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FF" w:rsidRDefault="00433FFF">
      <w:pPr>
        <w:rPr>
          <w:sz w:val="44"/>
          <w:szCs w:val="44"/>
        </w:rPr>
      </w:pPr>
      <w:r>
        <w:rPr>
          <w:sz w:val="44"/>
          <w:szCs w:val="44"/>
        </w:rPr>
        <w:t>CCC Annual Report 2016–17 - Compliance Checklist</w:t>
      </w:r>
    </w:p>
    <w:p w:rsidR="00433FFF" w:rsidRDefault="00433FFF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2268"/>
        <w:gridCol w:w="1695"/>
      </w:tblGrid>
      <w:tr w:rsidR="007F5E6C" w:rsidTr="00F77613">
        <w:tc>
          <w:tcPr>
            <w:tcW w:w="5949" w:type="dxa"/>
            <w:gridSpan w:val="2"/>
          </w:tcPr>
          <w:p w:rsidR="007F5E6C" w:rsidRPr="007F5E6C" w:rsidRDefault="007F5E6C">
            <w:r w:rsidRPr="007F5E6C">
              <w:t>Summary of requirements</w:t>
            </w:r>
          </w:p>
        </w:tc>
        <w:tc>
          <w:tcPr>
            <w:tcW w:w="2268" w:type="dxa"/>
          </w:tcPr>
          <w:p w:rsidR="007F5E6C" w:rsidRPr="007F5E6C" w:rsidRDefault="007F5E6C">
            <w:r>
              <w:t>Basis for requirement</w:t>
            </w:r>
          </w:p>
        </w:tc>
        <w:tc>
          <w:tcPr>
            <w:tcW w:w="1695" w:type="dxa"/>
          </w:tcPr>
          <w:p w:rsidR="007F5E6C" w:rsidRPr="007F5E6C" w:rsidRDefault="007F5E6C">
            <w:r>
              <w:t>Annual report reference</w:t>
            </w:r>
          </w:p>
        </w:tc>
      </w:tr>
      <w:tr w:rsidR="007F5E6C" w:rsidTr="00F77613">
        <w:tc>
          <w:tcPr>
            <w:tcW w:w="1413" w:type="dxa"/>
          </w:tcPr>
          <w:p w:rsidR="007F5E6C" w:rsidRDefault="007F5E6C" w:rsidP="007F5E6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Letter of compliance </w:t>
            </w:r>
          </w:p>
        </w:tc>
        <w:tc>
          <w:tcPr>
            <w:tcW w:w="4536" w:type="dxa"/>
          </w:tcPr>
          <w:p w:rsidR="007F5E6C" w:rsidRDefault="007F5E6C" w:rsidP="007F5E6C">
            <w:pPr>
              <w:pStyle w:val="Default"/>
              <w:rPr>
                <w:color w:val="auto"/>
              </w:rPr>
            </w:pPr>
          </w:p>
          <w:p w:rsidR="007F5E6C" w:rsidRDefault="007F5E6C" w:rsidP="00624554">
            <w:pPr>
              <w:pStyle w:val="Default"/>
              <w:ind w:left="176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 letter of compliance from the accountable officer or statutory body to the relevant Minister/s </w:t>
            </w:r>
          </w:p>
          <w:p w:rsidR="007F5E6C" w:rsidRDefault="007F5E6C" w:rsidP="007F5E6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F5E6C" w:rsidRDefault="007F5E6C" w:rsidP="007F5E6C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– </w:t>
            </w:r>
            <w:r>
              <w:rPr>
                <w:sz w:val="16"/>
                <w:szCs w:val="16"/>
              </w:rPr>
              <w:t xml:space="preserve">section 7 </w:t>
            </w:r>
          </w:p>
        </w:tc>
        <w:tc>
          <w:tcPr>
            <w:tcW w:w="1695" w:type="dxa"/>
          </w:tcPr>
          <w:p w:rsidR="007F5E6C" w:rsidRPr="00BB6335" w:rsidRDefault="009E65E1" w:rsidP="007F5E6C">
            <w:pPr>
              <w:rPr>
                <w:sz w:val="16"/>
                <w:szCs w:val="16"/>
              </w:rPr>
            </w:pPr>
            <w:r w:rsidRPr="00BB6335">
              <w:rPr>
                <w:sz w:val="16"/>
                <w:szCs w:val="16"/>
              </w:rPr>
              <w:t xml:space="preserve">page </w:t>
            </w:r>
            <w:r w:rsidR="00B80158" w:rsidRPr="00BB6335">
              <w:rPr>
                <w:sz w:val="16"/>
                <w:szCs w:val="16"/>
              </w:rPr>
              <w:t>ii</w:t>
            </w:r>
          </w:p>
        </w:tc>
      </w:tr>
      <w:tr w:rsidR="00F77613" w:rsidTr="00F77613">
        <w:tc>
          <w:tcPr>
            <w:tcW w:w="1413" w:type="dxa"/>
            <w:vMerge w:val="restart"/>
          </w:tcPr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Accessibility </w:t>
            </w:r>
          </w:p>
          <w:p w:rsidR="00F77613" w:rsidRDefault="00F77613" w:rsidP="007F5E6C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F77613" w:rsidRPr="007F5E6C" w:rsidRDefault="00F77613" w:rsidP="007F5E6C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F77613" w:rsidRDefault="00F77613" w:rsidP="007F5E6C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Table of contents </w:t>
            </w:r>
          </w:p>
          <w:p w:rsidR="00F77613" w:rsidRPr="007F5E6C" w:rsidRDefault="00F77613" w:rsidP="00F77613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F77613" w:rsidRPr="007F5E6C" w:rsidRDefault="00F77613" w:rsidP="007F5E6C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Glossary </w:t>
            </w:r>
          </w:p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9.1 </w:t>
            </w:r>
          </w:p>
        </w:tc>
        <w:tc>
          <w:tcPr>
            <w:tcW w:w="1695" w:type="dxa"/>
          </w:tcPr>
          <w:p w:rsidR="00F77613" w:rsidRPr="00BB6335" w:rsidRDefault="009E65E1" w:rsidP="007F5E6C">
            <w:pPr>
              <w:rPr>
                <w:sz w:val="16"/>
                <w:szCs w:val="16"/>
              </w:rPr>
            </w:pPr>
            <w:r w:rsidRPr="00BB6335">
              <w:rPr>
                <w:sz w:val="16"/>
                <w:szCs w:val="16"/>
              </w:rPr>
              <w:t xml:space="preserve">page </w:t>
            </w:r>
            <w:r w:rsidR="00B80158" w:rsidRPr="00BB6335">
              <w:rPr>
                <w:sz w:val="16"/>
                <w:szCs w:val="16"/>
              </w:rPr>
              <w:t>ii</w:t>
            </w:r>
          </w:p>
          <w:p w:rsidR="009E65E1" w:rsidRPr="00BB6335" w:rsidRDefault="009E65E1" w:rsidP="007F5E6C">
            <w:pPr>
              <w:rPr>
                <w:sz w:val="16"/>
                <w:szCs w:val="16"/>
              </w:rPr>
            </w:pPr>
          </w:p>
          <w:p w:rsidR="009E65E1" w:rsidRPr="00BB6335" w:rsidRDefault="009E65E1" w:rsidP="007F5E6C">
            <w:pPr>
              <w:rPr>
                <w:sz w:val="16"/>
                <w:szCs w:val="16"/>
              </w:rPr>
            </w:pPr>
            <w:r w:rsidRPr="00BB6335">
              <w:rPr>
                <w:sz w:val="16"/>
                <w:szCs w:val="16"/>
              </w:rPr>
              <w:t xml:space="preserve">pages 92–94, </w:t>
            </w:r>
            <w:bookmarkStart w:id="0" w:name="_GoBack"/>
            <w:bookmarkEnd w:id="0"/>
            <w:r w:rsidRPr="00BB6335">
              <w:rPr>
                <w:sz w:val="16"/>
                <w:szCs w:val="16"/>
              </w:rPr>
              <w:t>inside back cover</w:t>
            </w:r>
          </w:p>
        </w:tc>
      </w:tr>
      <w:tr w:rsidR="00F77613" w:rsidTr="00F77613">
        <w:tc>
          <w:tcPr>
            <w:tcW w:w="1413" w:type="dxa"/>
            <w:vMerge/>
          </w:tcPr>
          <w:p w:rsidR="00F77613" w:rsidRDefault="00F77613" w:rsidP="007F5E6C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F77613" w:rsidRPr="007F5E6C" w:rsidRDefault="00F77613" w:rsidP="007F5E6C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F77613" w:rsidRPr="007F5E6C" w:rsidRDefault="00F77613" w:rsidP="007F5E6C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Public availability </w:t>
            </w:r>
          </w:p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9.2 </w:t>
            </w:r>
          </w:p>
        </w:tc>
        <w:tc>
          <w:tcPr>
            <w:tcW w:w="1695" w:type="dxa"/>
          </w:tcPr>
          <w:p w:rsidR="00F77613" w:rsidRPr="00BB6335" w:rsidRDefault="000F023F" w:rsidP="007F5E6C">
            <w:r w:rsidRPr="00BB6335">
              <w:rPr>
                <w:sz w:val="16"/>
                <w:szCs w:val="16"/>
              </w:rPr>
              <w:t>inside back cover</w:t>
            </w:r>
          </w:p>
        </w:tc>
      </w:tr>
      <w:tr w:rsidR="00F77613" w:rsidTr="00F77613">
        <w:tc>
          <w:tcPr>
            <w:tcW w:w="1413" w:type="dxa"/>
            <w:vMerge/>
          </w:tcPr>
          <w:p w:rsidR="00F77613" w:rsidRDefault="00F77613" w:rsidP="007F5E6C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F77613" w:rsidRPr="007F5E6C" w:rsidRDefault="00F77613" w:rsidP="007F5E6C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F77613" w:rsidRPr="007F5E6C" w:rsidRDefault="00F77613" w:rsidP="007F5E6C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Interpreter service statement </w:t>
            </w:r>
          </w:p>
          <w:p w:rsidR="00F77613" w:rsidRPr="007F5E6C" w:rsidRDefault="00F77613" w:rsidP="007F5E6C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Queensland Government Language Services Policy </w:t>
            </w:r>
          </w:p>
          <w:p w:rsidR="00F77613" w:rsidRDefault="00F77613" w:rsidP="007F5E6C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9.3 </w:t>
            </w:r>
          </w:p>
        </w:tc>
        <w:tc>
          <w:tcPr>
            <w:tcW w:w="1695" w:type="dxa"/>
          </w:tcPr>
          <w:p w:rsidR="000F023F" w:rsidRPr="00BB6335" w:rsidRDefault="000F023F" w:rsidP="000F023F">
            <w:pPr>
              <w:rPr>
                <w:sz w:val="16"/>
                <w:szCs w:val="16"/>
              </w:rPr>
            </w:pPr>
            <w:r w:rsidRPr="00BB6335">
              <w:rPr>
                <w:sz w:val="16"/>
                <w:szCs w:val="16"/>
              </w:rPr>
              <w:t xml:space="preserve">page </w:t>
            </w:r>
            <w:r w:rsidR="00B80158" w:rsidRPr="00BB6335">
              <w:rPr>
                <w:sz w:val="16"/>
                <w:szCs w:val="16"/>
              </w:rPr>
              <w:t>ii</w:t>
            </w:r>
          </w:p>
          <w:p w:rsidR="00F77613" w:rsidRPr="00BB6335" w:rsidRDefault="00F77613" w:rsidP="007F5E6C"/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7F5E6C" w:rsidRDefault="000F023F" w:rsidP="000F023F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0F023F" w:rsidRPr="007F5E6C" w:rsidRDefault="000F023F" w:rsidP="000F023F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Copyright notice </w:t>
            </w:r>
          </w:p>
          <w:p w:rsidR="000F023F" w:rsidRPr="007F5E6C" w:rsidRDefault="000F023F" w:rsidP="000F023F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Copyright Act 1968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9.4 </w:t>
            </w:r>
          </w:p>
        </w:tc>
        <w:tc>
          <w:tcPr>
            <w:tcW w:w="1695" w:type="dxa"/>
          </w:tcPr>
          <w:p w:rsidR="000F023F" w:rsidRPr="000F023F" w:rsidRDefault="000F023F" w:rsidP="000F023F">
            <w:r w:rsidRPr="000F023F">
              <w:rPr>
                <w:sz w:val="16"/>
                <w:szCs w:val="16"/>
              </w:rPr>
              <w:t>inside back cover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Pr="007F5E6C" w:rsidRDefault="000F023F" w:rsidP="000F023F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Information Licensing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i/>
                <w:iCs/>
                <w:sz w:val="16"/>
                <w:szCs w:val="16"/>
              </w:rPr>
              <w:t>QGEA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– Information Licensing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9.5 </w:t>
            </w:r>
          </w:p>
        </w:tc>
        <w:tc>
          <w:tcPr>
            <w:tcW w:w="1695" w:type="dxa"/>
          </w:tcPr>
          <w:p w:rsidR="000F023F" w:rsidRPr="000F023F" w:rsidRDefault="000F023F" w:rsidP="000F023F">
            <w:r w:rsidRPr="000F023F">
              <w:rPr>
                <w:sz w:val="16"/>
                <w:szCs w:val="16"/>
              </w:rPr>
              <w:t>inside back cover</w:t>
            </w:r>
          </w:p>
        </w:tc>
      </w:tr>
      <w:tr w:rsidR="000F023F" w:rsidTr="00F77613">
        <w:tc>
          <w:tcPr>
            <w:tcW w:w="1413" w:type="dxa"/>
            <w:vMerge w:val="restart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General information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Pr="007F5E6C" w:rsidRDefault="000F023F" w:rsidP="000F023F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Introductory Information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10.1 </w:t>
            </w:r>
          </w:p>
        </w:tc>
        <w:tc>
          <w:tcPr>
            <w:tcW w:w="1695" w:type="dxa"/>
          </w:tcPr>
          <w:p w:rsidR="000F023F" w:rsidRPr="000F023F" w:rsidRDefault="00355E54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F023F" w:rsidRPr="000F023F">
              <w:rPr>
                <w:sz w:val="16"/>
                <w:szCs w:val="16"/>
              </w:rPr>
              <w:t>ages 6–8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0F023F" w:rsidRPr="007F5E6C" w:rsidRDefault="000F023F" w:rsidP="000F023F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 w:rsidRPr="007F5E6C">
              <w:rPr>
                <w:b/>
                <w:bCs/>
                <w:sz w:val="16"/>
                <w:szCs w:val="16"/>
              </w:rPr>
              <w:t xml:space="preserve">Agency role and main functions </w:t>
            </w:r>
          </w:p>
          <w:p w:rsidR="000F023F" w:rsidRPr="00F77613" w:rsidRDefault="000F023F" w:rsidP="000F023F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10.2 </w:t>
            </w:r>
          </w:p>
        </w:tc>
        <w:tc>
          <w:tcPr>
            <w:tcW w:w="1695" w:type="dxa"/>
          </w:tcPr>
          <w:p w:rsidR="000F023F" w:rsidRPr="000F023F" w:rsidRDefault="00355E54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F023F">
              <w:rPr>
                <w:sz w:val="16"/>
                <w:szCs w:val="16"/>
              </w:rPr>
              <w:t>ages 10–12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  <w:p w:rsidR="000F023F" w:rsidRPr="007F5E6C" w:rsidRDefault="000F023F" w:rsidP="000F023F">
            <w:pPr>
              <w:pStyle w:val="Default"/>
              <w:numPr>
                <w:ilvl w:val="0"/>
                <w:numId w:val="4"/>
              </w:numPr>
              <w:ind w:left="176" w:hanging="176"/>
              <w:rPr>
                <w:b/>
                <w:bCs/>
                <w:sz w:val="16"/>
                <w:szCs w:val="16"/>
              </w:rPr>
            </w:pPr>
            <w:r w:rsidRPr="007F5E6C">
              <w:rPr>
                <w:b/>
                <w:bCs/>
                <w:sz w:val="16"/>
                <w:szCs w:val="16"/>
              </w:rPr>
              <w:t xml:space="preserve">Operating environment </w:t>
            </w:r>
          </w:p>
          <w:p w:rsidR="000F023F" w:rsidRPr="00F77613" w:rsidRDefault="000F023F" w:rsidP="000F023F">
            <w:pPr>
              <w:pStyle w:val="Default"/>
              <w:ind w:left="17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10.3 </w:t>
            </w:r>
          </w:p>
        </w:tc>
        <w:tc>
          <w:tcPr>
            <w:tcW w:w="1695" w:type="dxa"/>
          </w:tcPr>
          <w:p w:rsidR="000F023F" w:rsidRPr="000F023F" w:rsidRDefault="00355E54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F023F">
              <w:rPr>
                <w:sz w:val="16"/>
                <w:szCs w:val="16"/>
              </w:rPr>
              <w:t>ages 6–8, 14–42</w:t>
            </w:r>
          </w:p>
        </w:tc>
      </w:tr>
      <w:tr w:rsidR="000F023F" w:rsidTr="00F77613">
        <w:tc>
          <w:tcPr>
            <w:tcW w:w="1413" w:type="dxa"/>
            <w:vMerge w:val="restart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Non-financial performance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77613">
              <w:rPr>
                <w:b/>
                <w:bCs/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Government’s objectives for the community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11.1 </w:t>
            </w:r>
          </w:p>
        </w:tc>
        <w:tc>
          <w:tcPr>
            <w:tcW w:w="1695" w:type="dxa"/>
          </w:tcPr>
          <w:p w:rsidR="000F023F" w:rsidRPr="000F023F" w:rsidRDefault="00355E54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77613">
              <w:rPr>
                <w:b/>
                <w:bCs/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Other whole-of-government plans / specific initiatives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11.2 </w:t>
            </w:r>
          </w:p>
        </w:tc>
        <w:tc>
          <w:tcPr>
            <w:tcW w:w="1695" w:type="dxa"/>
          </w:tcPr>
          <w:p w:rsidR="000F023F" w:rsidRPr="000F023F" w:rsidRDefault="00EB27EE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355E54">
              <w:rPr>
                <w:sz w:val="16"/>
                <w:szCs w:val="16"/>
              </w:rPr>
              <w:t>age 6</w:t>
            </w:r>
            <w:r>
              <w:rPr>
                <w:sz w:val="16"/>
                <w:szCs w:val="16"/>
              </w:rPr>
              <w:t xml:space="preserve"> &amp; 14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77613">
              <w:rPr>
                <w:b/>
                <w:bCs/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Agency objectives and performance indicators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11.3 </w:t>
            </w:r>
          </w:p>
        </w:tc>
        <w:tc>
          <w:tcPr>
            <w:tcW w:w="1695" w:type="dxa"/>
          </w:tcPr>
          <w:p w:rsidR="000F023F" w:rsidRPr="000F023F" w:rsidRDefault="003031C5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B27EE">
              <w:rPr>
                <w:sz w:val="16"/>
                <w:szCs w:val="16"/>
              </w:rPr>
              <w:t>age 14, 30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77613">
              <w:rPr>
                <w:b/>
                <w:bCs/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Agency service areas and service standards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11.4 </w:t>
            </w:r>
          </w:p>
        </w:tc>
        <w:tc>
          <w:tcPr>
            <w:tcW w:w="1695" w:type="dxa"/>
          </w:tcPr>
          <w:p w:rsidR="000F023F" w:rsidRPr="000F023F" w:rsidRDefault="00EB27EE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5</w:t>
            </w:r>
          </w:p>
        </w:tc>
      </w:tr>
      <w:tr w:rsidR="000F023F" w:rsidTr="00F77613">
        <w:tc>
          <w:tcPr>
            <w:tcW w:w="1413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Financial performance </w:t>
            </w: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F77613">
              <w:rPr>
                <w:b/>
                <w:bCs/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Summary of financial performance </w:t>
            </w: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12.1 </w:t>
            </w:r>
          </w:p>
        </w:tc>
        <w:tc>
          <w:tcPr>
            <w:tcW w:w="1695" w:type="dxa"/>
          </w:tcPr>
          <w:p w:rsidR="000F023F" w:rsidRPr="000F023F" w:rsidRDefault="003031C5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53–58</w:t>
            </w:r>
          </w:p>
        </w:tc>
      </w:tr>
      <w:tr w:rsidR="000F023F" w:rsidTr="00F77613">
        <w:tc>
          <w:tcPr>
            <w:tcW w:w="1413" w:type="dxa"/>
            <w:vMerge w:val="restart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Governance – management and structure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F023F" w:rsidRPr="00F77613" w:rsidRDefault="000F023F" w:rsidP="000F023F">
            <w:pPr>
              <w:pStyle w:val="Default"/>
              <w:numPr>
                <w:ilvl w:val="0"/>
                <w:numId w:val="4"/>
              </w:numPr>
              <w:ind w:left="175" w:hanging="18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Organisational structure </w:t>
            </w:r>
          </w:p>
          <w:p w:rsidR="000F023F" w:rsidRPr="00F77613" w:rsidRDefault="000F023F" w:rsidP="000F023F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13.1 </w:t>
            </w:r>
          </w:p>
        </w:tc>
        <w:tc>
          <w:tcPr>
            <w:tcW w:w="1695" w:type="dxa"/>
          </w:tcPr>
          <w:p w:rsidR="000F023F" w:rsidRPr="000F023F" w:rsidRDefault="003031C5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46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Executive management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13.2 </w:t>
            </w:r>
          </w:p>
        </w:tc>
        <w:tc>
          <w:tcPr>
            <w:tcW w:w="1695" w:type="dxa"/>
          </w:tcPr>
          <w:p w:rsidR="000F023F" w:rsidRPr="000F023F" w:rsidRDefault="003031C5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44 &amp; 47–48</w:t>
            </w:r>
          </w:p>
        </w:tc>
      </w:tr>
      <w:tr w:rsidR="000F023F" w:rsidTr="00C8038C">
        <w:trPr>
          <w:trHeight w:val="670"/>
        </w:trPr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ind w:left="175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Government bodies (statutory bodies and other entities)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13.3 </w:t>
            </w:r>
          </w:p>
        </w:tc>
        <w:tc>
          <w:tcPr>
            <w:tcW w:w="1695" w:type="dxa"/>
          </w:tcPr>
          <w:p w:rsidR="000F023F" w:rsidRPr="000F023F" w:rsidRDefault="003031C5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Public Sector Ethics Act 1994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Public Sector Ethics Act 1994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13.4 </w:t>
            </w:r>
          </w:p>
        </w:tc>
        <w:tc>
          <w:tcPr>
            <w:tcW w:w="1695" w:type="dxa"/>
          </w:tcPr>
          <w:p w:rsidR="000F023F" w:rsidRPr="000F023F" w:rsidRDefault="003031C5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36</w:t>
            </w:r>
          </w:p>
        </w:tc>
      </w:tr>
      <w:tr w:rsidR="000F023F" w:rsidTr="00F77613">
        <w:tc>
          <w:tcPr>
            <w:tcW w:w="1413" w:type="dxa"/>
            <w:vMerge w:val="restart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Governance – risk </w:t>
            </w:r>
            <w:r>
              <w:rPr>
                <w:b/>
                <w:bCs/>
                <w:sz w:val="16"/>
                <w:szCs w:val="16"/>
              </w:rPr>
              <w:lastRenderedPageBreak/>
              <w:t xml:space="preserve">management and accountability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Pr="00BC7FAF" w:rsidRDefault="000F023F" w:rsidP="000F023F">
            <w:pPr>
              <w:pStyle w:val="Default"/>
              <w:numPr>
                <w:ilvl w:val="0"/>
                <w:numId w:val="4"/>
              </w:numPr>
              <w:ind w:left="175" w:hanging="142"/>
              <w:rPr>
                <w:b/>
                <w:sz w:val="16"/>
                <w:szCs w:val="16"/>
              </w:rPr>
            </w:pPr>
            <w:r w:rsidRPr="00BC7FAF">
              <w:rPr>
                <w:b/>
                <w:sz w:val="16"/>
                <w:szCs w:val="16"/>
              </w:rPr>
              <w:t xml:space="preserve">Risk management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14.1 </w:t>
            </w:r>
          </w:p>
        </w:tc>
        <w:tc>
          <w:tcPr>
            <w:tcW w:w="1695" w:type="dxa"/>
          </w:tcPr>
          <w:p w:rsidR="000F023F" w:rsidRPr="000F023F" w:rsidRDefault="00631672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49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Audit committee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14.2 </w:t>
            </w:r>
          </w:p>
        </w:tc>
        <w:tc>
          <w:tcPr>
            <w:tcW w:w="1695" w:type="dxa"/>
          </w:tcPr>
          <w:p w:rsidR="000F023F" w:rsidRPr="000F023F" w:rsidRDefault="005A32AF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631672">
              <w:rPr>
                <w:sz w:val="16"/>
                <w:szCs w:val="16"/>
              </w:rPr>
              <w:t>age 50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Internal audit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14.3</w:t>
            </w:r>
          </w:p>
        </w:tc>
        <w:tc>
          <w:tcPr>
            <w:tcW w:w="1695" w:type="dxa"/>
          </w:tcPr>
          <w:p w:rsidR="000F023F" w:rsidRPr="000F023F" w:rsidRDefault="005A32AF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631672">
              <w:rPr>
                <w:sz w:val="16"/>
                <w:szCs w:val="16"/>
              </w:rPr>
              <w:t>age 50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External scrutiny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14.4 </w:t>
            </w:r>
          </w:p>
        </w:tc>
        <w:tc>
          <w:tcPr>
            <w:tcW w:w="1695" w:type="dxa"/>
          </w:tcPr>
          <w:p w:rsidR="000F023F" w:rsidRPr="000F023F" w:rsidRDefault="005A32AF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631672">
              <w:rPr>
                <w:sz w:val="16"/>
                <w:szCs w:val="16"/>
              </w:rPr>
              <w:t>age 51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Information systems and recordkeeping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14.5 </w:t>
            </w:r>
          </w:p>
        </w:tc>
        <w:tc>
          <w:tcPr>
            <w:tcW w:w="1695" w:type="dxa"/>
          </w:tcPr>
          <w:p w:rsidR="000F023F" w:rsidRPr="000F023F" w:rsidRDefault="005A32AF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pages 42 &amp; 51</w:t>
            </w:r>
          </w:p>
        </w:tc>
      </w:tr>
      <w:tr w:rsidR="000F023F" w:rsidTr="005A32AF">
        <w:trPr>
          <w:trHeight w:val="1717"/>
        </w:trPr>
        <w:tc>
          <w:tcPr>
            <w:tcW w:w="1413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Governance – human resources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Early retirement, redundancy and retrenchment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Directive No.11/12 </w:t>
            </w:r>
            <w:r>
              <w:rPr>
                <w:i/>
                <w:iCs/>
                <w:sz w:val="16"/>
                <w:szCs w:val="16"/>
              </w:rPr>
              <w:t xml:space="preserve">Early Retirement, Redundancy and Retrenchment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Directive No.16/16 </w:t>
            </w:r>
            <w:r>
              <w:rPr>
                <w:i/>
                <w:iCs/>
                <w:sz w:val="16"/>
                <w:szCs w:val="16"/>
              </w:rPr>
              <w:t xml:space="preserve">Early Retirement, Redundancy and Retrenchment </w:t>
            </w:r>
            <w:r>
              <w:rPr>
                <w:sz w:val="16"/>
                <w:szCs w:val="16"/>
              </w:rPr>
              <w:t xml:space="preserve">(from 20 May 2016)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15.2 </w:t>
            </w:r>
          </w:p>
        </w:tc>
        <w:tc>
          <w:tcPr>
            <w:tcW w:w="1695" w:type="dxa"/>
          </w:tcPr>
          <w:p w:rsidR="000F023F" w:rsidRPr="000F023F" w:rsidRDefault="005A32AF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41</w:t>
            </w:r>
          </w:p>
        </w:tc>
      </w:tr>
      <w:tr w:rsidR="000F023F" w:rsidTr="00F77613">
        <w:tc>
          <w:tcPr>
            <w:tcW w:w="1413" w:type="dxa"/>
            <w:vMerge w:val="restart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Open Data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Statement advising publication of information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16 </w:t>
            </w:r>
          </w:p>
        </w:tc>
        <w:tc>
          <w:tcPr>
            <w:tcW w:w="1695" w:type="dxa"/>
          </w:tcPr>
          <w:p w:rsidR="000F023F" w:rsidRPr="000F023F" w:rsidRDefault="005A32AF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ii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Consultancies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33.1 </w:t>
            </w:r>
          </w:p>
        </w:tc>
        <w:tc>
          <w:tcPr>
            <w:tcW w:w="1695" w:type="dxa"/>
          </w:tcPr>
          <w:p w:rsidR="000F023F" w:rsidRPr="000F023F" w:rsidRDefault="00372FD1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ii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Overseas travel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33.2 </w:t>
            </w:r>
          </w:p>
        </w:tc>
        <w:tc>
          <w:tcPr>
            <w:tcW w:w="1695" w:type="dxa"/>
          </w:tcPr>
          <w:p w:rsidR="000F023F" w:rsidRPr="000F023F" w:rsidRDefault="00372FD1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ii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Queensland Language Services Policy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33.3 </w:t>
            </w:r>
          </w:p>
        </w:tc>
        <w:tc>
          <w:tcPr>
            <w:tcW w:w="1695" w:type="dxa"/>
          </w:tcPr>
          <w:p w:rsidR="000F023F" w:rsidRPr="000F023F" w:rsidRDefault="00372FD1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ii</w:t>
            </w:r>
          </w:p>
        </w:tc>
      </w:tr>
      <w:tr w:rsidR="000F023F" w:rsidTr="00F77613">
        <w:tc>
          <w:tcPr>
            <w:tcW w:w="1413" w:type="dxa"/>
            <w:vMerge w:val="restart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Financial statements </w:t>
            </w:r>
          </w:p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Pr="00C8038C" w:rsidRDefault="000F023F" w:rsidP="000F023F">
            <w:pPr>
              <w:pStyle w:val="Default"/>
              <w:rPr>
                <w:color w:val="auto"/>
                <w:sz w:val="16"/>
                <w:szCs w:val="16"/>
              </w:rPr>
            </w:pPr>
          </w:p>
          <w:p w:rsidR="000F023F" w:rsidRPr="00C8038C" w:rsidRDefault="00C8038C" w:rsidP="00C8038C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 w:rsidR="000F023F" w:rsidRPr="00C8038C">
              <w:rPr>
                <w:b/>
                <w:bCs/>
                <w:sz w:val="16"/>
                <w:szCs w:val="16"/>
              </w:rPr>
              <w:t xml:space="preserve">Certification of financial statements </w:t>
            </w:r>
          </w:p>
          <w:p w:rsidR="000F023F" w:rsidRPr="00C8038C" w:rsidRDefault="000F023F" w:rsidP="000F023F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FAA – section 62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FPMS</w:t>
            </w:r>
            <w:proofErr w:type="spellEnd"/>
            <w:r>
              <w:rPr>
                <w:sz w:val="16"/>
                <w:szCs w:val="16"/>
              </w:rPr>
              <w:t xml:space="preserve"> – sections 42, 43 and 50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17.1 </w:t>
            </w:r>
          </w:p>
        </w:tc>
        <w:tc>
          <w:tcPr>
            <w:tcW w:w="1695" w:type="dxa"/>
          </w:tcPr>
          <w:p w:rsidR="000F023F" w:rsidRPr="000F023F" w:rsidRDefault="00C8038C" w:rsidP="003D4A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502DB">
              <w:rPr>
                <w:sz w:val="16"/>
                <w:szCs w:val="16"/>
              </w:rPr>
              <w:t>age</w:t>
            </w:r>
            <w:r w:rsidR="003D4A5A">
              <w:rPr>
                <w:sz w:val="16"/>
                <w:szCs w:val="16"/>
              </w:rPr>
              <w:t>s 59–</w:t>
            </w:r>
            <w:r w:rsidR="00D502DB">
              <w:rPr>
                <w:sz w:val="16"/>
                <w:szCs w:val="16"/>
              </w:rPr>
              <w:t>88</w:t>
            </w:r>
          </w:p>
        </w:tc>
      </w:tr>
      <w:tr w:rsidR="000F023F" w:rsidTr="00F77613">
        <w:tc>
          <w:tcPr>
            <w:tcW w:w="1413" w:type="dxa"/>
            <w:vMerge/>
          </w:tcPr>
          <w:p w:rsidR="000F023F" w:rsidRDefault="000F023F" w:rsidP="000F023F">
            <w:pPr>
              <w:rPr>
                <w:sz w:val="44"/>
                <w:szCs w:val="44"/>
              </w:rPr>
            </w:pPr>
          </w:p>
        </w:tc>
        <w:tc>
          <w:tcPr>
            <w:tcW w:w="4536" w:type="dxa"/>
          </w:tcPr>
          <w:p w:rsidR="000F023F" w:rsidRDefault="000F023F" w:rsidP="000F023F">
            <w:pPr>
              <w:pStyle w:val="Default"/>
              <w:rPr>
                <w:color w:val="auto"/>
              </w:rPr>
            </w:pP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 </w:t>
            </w:r>
            <w:r>
              <w:rPr>
                <w:b/>
                <w:bCs/>
                <w:sz w:val="16"/>
                <w:szCs w:val="16"/>
              </w:rPr>
              <w:t xml:space="preserve">Independent Auditor’s Report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FAA – section 62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FPMS</w:t>
            </w:r>
            <w:proofErr w:type="spellEnd"/>
            <w:r>
              <w:rPr>
                <w:sz w:val="16"/>
                <w:szCs w:val="16"/>
              </w:rPr>
              <w:t xml:space="preserve"> – section 50 </w:t>
            </w:r>
          </w:p>
          <w:p w:rsidR="000F023F" w:rsidRDefault="000F023F" w:rsidP="000F023F">
            <w:pPr>
              <w:pStyle w:val="Defaul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ARRs</w:t>
            </w:r>
            <w:proofErr w:type="spellEnd"/>
            <w:r>
              <w:rPr>
                <w:sz w:val="16"/>
                <w:szCs w:val="16"/>
              </w:rPr>
              <w:t xml:space="preserve"> – section 17.2 </w:t>
            </w:r>
          </w:p>
        </w:tc>
        <w:tc>
          <w:tcPr>
            <w:tcW w:w="1695" w:type="dxa"/>
          </w:tcPr>
          <w:p w:rsidR="000F023F" w:rsidRPr="000F023F" w:rsidRDefault="00D502DB" w:rsidP="000F02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page 89–91</w:t>
            </w:r>
          </w:p>
        </w:tc>
      </w:tr>
    </w:tbl>
    <w:p w:rsidR="00F77613" w:rsidRDefault="00F77613">
      <w:pPr>
        <w:rPr>
          <w:sz w:val="44"/>
          <w:szCs w:val="44"/>
        </w:rPr>
      </w:pPr>
    </w:p>
    <w:p w:rsidR="00F77613" w:rsidRDefault="00F77613" w:rsidP="00F776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FAA </w:t>
      </w:r>
      <w:r>
        <w:rPr>
          <w:i/>
          <w:iCs/>
          <w:sz w:val="16"/>
          <w:szCs w:val="16"/>
        </w:rPr>
        <w:t xml:space="preserve">Financial Accountability Act 2009 </w:t>
      </w:r>
    </w:p>
    <w:p w:rsidR="00F77613" w:rsidRDefault="00F77613" w:rsidP="00F77613">
      <w:pPr>
        <w:pStyle w:val="Default"/>
        <w:rPr>
          <w:sz w:val="16"/>
          <w:szCs w:val="16"/>
        </w:rPr>
      </w:pPr>
      <w:proofErr w:type="spellStart"/>
      <w:r>
        <w:rPr>
          <w:sz w:val="16"/>
          <w:szCs w:val="16"/>
        </w:rPr>
        <w:t>FPMS</w:t>
      </w:r>
      <w:proofErr w:type="spell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Financial and Performance Management Standard 2009 </w:t>
      </w:r>
    </w:p>
    <w:p w:rsidR="00433FFF" w:rsidRPr="00C46F22" w:rsidRDefault="00F77613" w:rsidP="00F77613">
      <w:pPr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C46F22">
        <w:rPr>
          <w:rFonts w:ascii="Arial" w:hAnsi="Arial" w:cs="Arial"/>
          <w:i/>
          <w:iCs/>
          <w:color w:val="000000"/>
          <w:sz w:val="16"/>
          <w:szCs w:val="16"/>
        </w:rPr>
        <w:t>ARRs</w:t>
      </w:r>
      <w:proofErr w:type="spellEnd"/>
      <w:r w:rsidRPr="00C46F22">
        <w:rPr>
          <w:rFonts w:ascii="Arial" w:hAnsi="Arial" w:cs="Arial"/>
          <w:i/>
          <w:iCs/>
          <w:color w:val="000000"/>
          <w:sz w:val="16"/>
          <w:szCs w:val="16"/>
        </w:rPr>
        <w:t xml:space="preserve"> Annual report requirements for Queensland Government agencies </w:t>
      </w:r>
      <w:r w:rsidR="00433FFF" w:rsidRPr="00C46F22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sectPr w:rsidR="00433FFF" w:rsidRPr="00C46F22" w:rsidSect="00433FF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A3C"/>
    <w:multiLevelType w:val="hybridMultilevel"/>
    <w:tmpl w:val="7A022DAA"/>
    <w:lvl w:ilvl="0" w:tplc="9CB40D94">
      <w:numFmt w:val="bullet"/>
      <w:lvlText w:val="•"/>
      <w:lvlJc w:val="left"/>
      <w:pPr>
        <w:ind w:left="262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75576"/>
    <w:multiLevelType w:val="hybridMultilevel"/>
    <w:tmpl w:val="D19A9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B5A04"/>
    <w:multiLevelType w:val="hybridMultilevel"/>
    <w:tmpl w:val="3AA68222"/>
    <w:lvl w:ilvl="0" w:tplc="F018832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5D88"/>
    <w:multiLevelType w:val="hybridMultilevel"/>
    <w:tmpl w:val="EE9805FA"/>
    <w:lvl w:ilvl="0" w:tplc="9CB40D9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A0E23"/>
    <w:multiLevelType w:val="hybridMultilevel"/>
    <w:tmpl w:val="186C6F80"/>
    <w:lvl w:ilvl="0" w:tplc="F018832A">
      <w:start w:val="1"/>
      <w:numFmt w:val="bullet"/>
      <w:lvlText w:val=""/>
      <w:lvlJc w:val="left"/>
      <w:pPr>
        <w:ind w:left="1080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B20D2"/>
    <w:multiLevelType w:val="hybridMultilevel"/>
    <w:tmpl w:val="8646B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4324"/>
    <w:multiLevelType w:val="hybridMultilevel"/>
    <w:tmpl w:val="E78A51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F49EC"/>
    <w:multiLevelType w:val="hybridMultilevel"/>
    <w:tmpl w:val="555C18FC"/>
    <w:lvl w:ilvl="0" w:tplc="9CB40D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qXPgBsco5XjYZwo/aQoOmEFXVoH0eQBCXdGa4AdLUGSTXLJ2xA/PiZxH2fHOwui5x79SKz70yxnUgWmf/ZB0Q==" w:salt="Bywu9MJuUJhtii03Cmip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FF"/>
    <w:rsid w:val="000F023F"/>
    <w:rsid w:val="003031C5"/>
    <w:rsid w:val="00346F4B"/>
    <w:rsid w:val="00355E54"/>
    <w:rsid w:val="00372FD1"/>
    <w:rsid w:val="003D4A5A"/>
    <w:rsid w:val="00433FFF"/>
    <w:rsid w:val="005A32AF"/>
    <w:rsid w:val="00624554"/>
    <w:rsid w:val="00631672"/>
    <w:rsid w:val="00721A48"/>
    <w:rsid w:val="007F5E6C"/>
    <w:rsid w:val="009E65E1"/>
    <w:rsid w:val="00B80158"/>
    <w:rsid w:val="00BB6335"/>
    <w:rsid w:val="00BC7FAF"/>
    <w:rsid w:val="00C46F22"/>
    <w:rsid w:val="00C8038C"/>
    <w:rsid w:val="00D502DB"/>
    <w:rsid w:val="00EB27EE"/>
    <w:rsid w:val="00F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D52B-ABA2-412F-B71F-7F8D776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3F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33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F89F6921.dotm</Template>
  <TotalTime>1228</TotalTime>
  <Pages>2</Pages>
  <Words>451</Words>
  <Characters>2573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 Annual Report 2016–17 Compliance Checklist</vt:lpstr>
    </vt:vector>
  </TitlesOfParts>
  <Company>Crime and Corruption Commission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 Annual Report 2016–17 Compliance Checklist</dc:title>
  <dc:subject>CCC Annual Report 2016–17 Compliance Checklist</dc:subject>
  <dc:creator>Crime and Corruption Commission (Queensland)</dc:creator>
  <cp:keywords/>
  <dc:description/>
  <cp:lastModifiedBy>Stephen Patch</cp:lastModifiedBy>
  <cp:revision>15</cp:revision>
  <cp:lastPrinted>2017-09-04T23:29:00Z</cp:lastPrinted>
  <dcterms:created xsi:type="dcterms:W3CDTF">2017-08-29T01:26:00Z</dcterms:created>
  <dcterms:modified xsi:type="dcterms:W3CDTF">2017-09-04T23:30:00Z</dcterms:modified>
</cp:coreProperties>
</file>