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35F0" w14:textId="61B5A618" w:rsidR="008E6609" w:rsidRDefault="001F67E4">
      <w:pPr>
        <w:rPr>
          <w:b/>
          <w:i/>
        </w:rPr>
      </w:pPr>
      <w:r w:rsidRPr="001F67E4">
        <w:rPr>
          <w:b/>
          <w:i/>
        </w:rPr>
        <w:t xml:space="preserve">Annual report requirements for Queensland Government agencies for the </w:t>
      </w:r>
      <w:r w:rsidR="00E47CF3" w:rsidRPr="0069535C">
        <w:rPr>
          <w:b/>
          <w:i/>
        </w:rPr>
        <w:t>20</w:t>
      </w:r>
      <w:r w:rsidR="00241BC4">
        <w:rPr>
          <w:b/>
          <w:i/>
        </w:rPr>
        <w:t>2</w:t>
      </w:r>
      <w:r w:rsidR="002538AF">
        <w:rPr>
          <w:b/>
          <w:i/>
        </w:rPr>
        <w:t>4</w:t>
      </w:r>
      <w:r w:rsidR="0069535C" w:rsidRPr="0069535C">
        <w:rPr>
          <w:b/>
          <w:i/>
        </w:rPr>
        <w:t>–</w:t>
      </w:r>
      <w:r w:rsidR="00D92771">
        <w:rPr>
          <w:b/>
          <w:i/>
        </w:rPr>
        <w:t>2</w:t>
      </w:r>
      <w:r w:rsidR="002538AF">
        <w:rPr>
          <w:b/>
          <w:i/>
        </w:rPr>
        <w:t>5</w:t>
      </w:r>
      <w:r w:rsidR="00E47CF3" w:rsidRPr="0069535C">
        <w:rPr>
          <w:b/>
          <w:i/>
        </w:rPr>
        <w:t xml:space="preserve"> </w:t>
      </w:r>
      <w:r w:rsidRPr="001F67E4">
        <w:rPr>
          <w:b/>
          <w:i/>
        </w:rPr>
        <w:t>reporting period</w:t>
      </w:r>
    </w:p>
    <w:p w14:paraId="29B8A89E" w14:textId="7B5BEF97" w:rsidR="001F67E4" w:rsidRPr="002B75B1" w:rsidRDefault="008E6609">
      <w:pPr>
        <w:rPr>
          <w:b/>
        </w:rPr>
      </w:pPr>
      <w:r w:rsidRPr="008E6609">
        <w:rPr>
          <w:b/>
          <w:sz w:val="28"/>
          <w:szCs w:val="28"/>
        </w:rPr>
        <w:t xml:space="preserve">Reporting template </w:t>
      </w:r>
      <w:r w:rsidRPr="001F67E4">
        <w:rPr>
          <w:b/>
        </w:rPr>
        <w:t>for</w:t>
      </w:r>
      <w:r>
        <w:rPr>
          <w:b/>
          <w:i/>
        </w:rPr>
        <w:t xml:space="preserve"> </w:t>
      </w:r>
      <w:r w:rsidR="0069535C" w:rsidRPr="0069535C">
        <w:rPr>
          <w:b/>
        </w:rPr>
        <w:t>Section</w:t>
      </w:r>
      <w:r w:rsidR="0069535C">
        <w:rPr>
          <w:b/>
          <w:i/>
        </w:rPr>
        <w:t xml:space="preserve"> </w:t>
      </w:r>
      <w:r w:rsidR="0069535C">
        <w:rPr>
          <w:b/>
        </w:rPr>
        <w:t>13</w:t>
      </w:r>
      <w:r w:rsidR="002B75B1">
        <w:rPr>
          <w:b/>
        </w:rPr>
        <w:t>.3 Government bodies (statutory bodies and other entities)</w:t>
      </w:r>
    </w:p>
    <w:p w14:paraId="2C297BFC" w14:textId="77777777" w:rsidR="001F67E4" w:rsidRPr="001F67E4" w:rsidRDefault="001F67E4" w:rsidP="001F67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433"/>
        <w:gridCol w:w="1533"/>
        <w:gridCol w:w="1451"/>
        <w:gridCol w:w="1455"/>
        <w:gridCol w:w="1461"/>
      </w:tblGrid>
      <w:tr w:rsidR="001F67E4" w:rsidRPr="001F67E4" w14:paraId="0C08BEDF" w14:textId="77777777" w:rsidTr="001F67E4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2A11" w14:textId="2B651ABD" w:rsidR="001F67E4" w:rsidRPr="001A784F" w:rsidRDefault="001A784F" w:rsidP="002E2EB5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A784F">
              <w:rPr>
                <w:rFonts w:ascii="Arial" w:hAnsi="Arial" w:cs="Arial"/>
                <w:b/>
                <w:i/>
                <w:sz w:val="16"/>
                <w:szCs w:val="16"/>
              </w:rPr>
              <w:t>Crime Reference Committee</w:t>
            </w:r>
            <w:r w:rsidR="001F67E4" w:rsidRPr="001A784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1F67E4" w:rsidRPr="001F67E4" w14:paraId="6ED33185" w14:textId="77777777" w:rsidTr="001A784F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2BAE" w14:textId="77777777" w:rsidR="001F67E4" w:rsidRPr="00BB519C" w:rsidRDefault="001F67E4" w:rsidP="00BB519C">
            <w:pPr>
              <w:rPr>
                <w:rFonts w:ascii="Arial" w:hAnsi="Arial" w:cs="Arial"/>
                <w:sz w:val="16"/>
                <w:szCs w:val="16"/>
              </w:rPr>
            </w:pPr>
            <w:r w:rsidRPr="00BB519C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4AA" w14:textId="1381D459" w:rsidR="001F67E4" w:rsidRPr="009B7863" w:rsidRDefault="001A784F" w:rsidP="009B7863">
            <w:pPr>
              <w:pStyle w:val="ListParagraph"/>
              <w:ind w:left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B7863">
              <w:rPr>
                <w:rFonts w:ascii="Arial" w:hAnsi="Arial" w:cs="Arial"/>
                <w:bCs/>
                <w:i/>
                <w:sz w:val="16"/>
                <w:szCs w:val="16"/>
              </w:rPr>
              <w:t>Crime and Corruption Act 2001</w:t>
            </w:r>
          </w:p>
        </w:tc>
      </w:tr>
      <w:tr w:rsidR="001F67E4" w:rsidRPr="001F67E4" w14:paraId="6D44E981" w14:textId="77777777" w:rsidTr="001A784F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AD95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8921" w14:textId="77777777" w:rsidR="001A784F" w:rsidRPr="006129BF" w:rsidRDefault="001A784F" w:rsidP="001A784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 xml:space="preserve">The reference committee has the following functions— </w:t>
            </w:r>
          </w:p>
          <w:p w14:paraId="33C396E6" w14:textId="77777777" w:rsidR="001A784F" w:rsidRPr="006129BF" w:rsidRDefault="001A784F" w:rsidP="001A78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 xml:space="preserve">to refer, as provided under chapter 2, part 2, division 2, major crime to the commission for </w:t>
            </w:r>
            <w:proofErr w:type="gramStart"/>
            <w:r w:rsidRPr="006129BF">
              <w:rPr>
                <w:rFonts w:ascii="Arial" w:hAnsi="Arial" w:cs="Arial"/>
                <w:sz w:val="16"/>
                <w:szCs w:val="16"/>
              </w:rPr>
              <w:t>investigation;</w:t>
            </w:r>
            <w:proofErr w:type="gramEnd"/>
            <w:r w:rsidRPr="006129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80BC36" w14:textId="77777777" w:rsidR="001A784F" w:rsidRPr="006129BF" w:rsidRDefault="001A784F" w:rsidP="001A78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 xml:space="preserve">to authorise the commission, as provided under chapter 2, part 4, division 2A, to undertake specific intelligence </w:t>
            </w:r>
            <w:proofErr w:type="gramStart"/>
            <w:r w:rsidRPr="006129BF">
              <w:rPr>
                <w:rFonts w:ascii="Arial" w:hAnsi="Arial" w:cs="Arial"/>
                <w:sz w:val="16"/>
                <w:szCs w:val="16"/>
              </w:rPr>
              <w:t>operations;</w:t>
            </w:r>
            <w:proofErr w:type="gramEnd"/>
            <w:r w:rsidRPr="006129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C14878" w14:textId="77777777" w:rsidR="001A784F" w:rsidRPr="006129BF" w:rsidRDefault="001A784F" w:rsidP="001A78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 xml:space="preserve">to review general referrals under section </w:t>
            </w:r>
            <w:proofErr w:type="gramStart"/>
            <w:r w:rsidRPr="006129BF">
              <w:rPr>
                <w:rFonts w:ascii="Arial" w:hAnsi="Arial" w:cs="Arial"/>
                <w:sz w:val="16"/>
                <w:szCs w:val="16"/>
              </w:rPr>
              <w:t>30A;</w:t>
            </w:r>
            <w:proofErr w:type="gramEnd"/>
            <w:r w:rsidRPr="006129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53071E" w14:textId="7C061050" w:rsidR="001F67E4" w:rsidRPr="001F67E4" w:rsidRDefault="001A784F" w:rsidP="00555CA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to coordinate, to the extent the committee considers appropriate, investigations into major crime conducted by the commission in cooperation with a police task force or another entity.</w:t>
            </w:r>
          </w:p>
        </w:tc>
      </w:tr>
      <w:tr w:rsidR="001A784F" w:rsidRPr="001F67E4" w14:paraId="592F55C6" w14:textId="77777777" w:rsidTr="001A784F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F161" w14:textId="77777777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237F" w14:textId="169A3523" w:rsidR="001A784F" w:rsidRPr="006129BF" w:rsidRDefault="001A784F" w:rsidP="001A784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Key achievements of the Crime Reference Committee in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6129BF">
              <w:rPr>
                <w:rFonts w:ascii="Arial" w:hAnsi="Arial" w:cs="Arial"/>
                <w:sz w:val="16"/>
                <w:szCs w:val="16"/>
              </w:rPr>
              <w:t>–2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129B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B6F93CF" w14:textId="3321EDD1" w:rsidR="001A784F" w:rsidRPr="006129BF" w:rsidRDefault="001A784F" w:rsidP="001A784F">
            <w:pPr>
              <w:numPr>
                <w:ilvl w:val="0"/>
                <w:numId w:val="4"/>
              </w:numPr>
              <w:spacing w:before="60" w:after="60"/>
              <w:ind w:left="74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129BF">
              <w:rPr>
                <w:rFonts w:ascii="Arial" w:hAnsi="Arial" w:cs="Arial"/>
                <w:sz w:val="16"/>
                <w:szCs w:val="16"/>
              </w:rPr>
              <w:t xml:space="preserve">pproved </w:t>
            </w:r>
            <w:r w:rsidR="00411028">
              <w:rPr>
                <w:rFonts w:ascii="Arial" w:hAnsi="Arial" w:cs="Arial"/>
                <w:sz w:val="16"/>
                <w:szCs w:val="16"/>
              </w:rPr>
              <w:t>24</w:t>
            </w:r>
            <w:r w:rsidRPr="006129BF">
              <w:rPr>
                <w:rFonts w:ascii="Arial" w:hAnsi="Arial" w:cs="Arial"/>
                <w:sz w:val="16"/>
                <w:szCs w:val="16"/>
              </w:rPr>
              <w:t xml:space="preserve"> new operations (Crime Investigations – </w:t>
            </w:r>
            <w:r w:rsidR="00411028">
              <w:rPr>
                <w:rFonts w:ascii="Arial" w:hAnsi="Arial" w:cs="Arial"/>
                <w:sz w:val="16"/>
                <w:szCs w:val="16"/>
              </w:rPr>
              <w:t>23</w:t>
            </w:r>
            <w:r w:rsidRPr="006129BF">
              <w:rPr>
                <w:rFonts w:ascii="Arial" w:hAnsi="Arial" w:cs="Arial"/>
                <w:sz w:val="16"/>
                <w:szCs w:val="16"/>
              </w:rPr>
              <w:t xml:space="preserve">; Intelligence Operations – </w:t>
            </w:r>
            <w:r w:rsidR="00411028">
              <w:rPr>
                <w:rFonts w:ascii="Arial" w:hAnsi="Arial" w:cs="Arial"/>
                <w:sz w:val="16"/>
                <w:szCs w:val="16"/>
              </w:rPr>
              <w:t>1</w:t>
            </w:r>
            <w:r w:rsidRPr="006129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286296A" w14:textId="50A62686" w:rsidR="001A784F" w:rsidRPr="006129BF" w:rsidRDefault="001A784F" w:rsidP="001A784F">
            <w:pPr>
              <w:numPr>
                <w:ilvl w:val="0"/>
                <w:numId w:val="4"/>
              </w:numPr>
              <w:spacing w:before="60" w:after="60"/>
              <w:ind w:left="74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129BF">
              <w:rPr>
                <w:rFonts w:ascii="Arial" w:hAnsi="Arial" w:cs="Arial"/>
                <w:sz w:val="16"/>
                <w:szCs w:val="16"/>
              </w:rPr>
              <w:t xml:space="preserve">pproved amendments to </w:t>
            </w:r>
            <w:r w:rsidR="00411028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6129BF">
              <w:rPr>
                <w:rFonts w:ascii="Arial" w:hAnsi="Arial" w:cs="Arial"/>
                <w:sz w:val="16"/>
                <w:szCs w:val="16"/>
              </w:rPr>
              <w:t>operations (Crime Investigations</w:t>
            </w:r>
            <w:r>
              <w:rPr>
                <w:rFonts w:ascii="Arial" w:hAnsi="Arial" w:cs="Arial"/>
                <w:sz w:val="16"/>
                <w:szCs w:val="16"/>
              </w:rPr>
              <w:t>), and</w:t>
            </w:r>
          </w:p>
          <w:p w14:paraId="433EBEED" w14:textId="3B4F1858" w:rsidR="001A784F" w:rsidRPr="001F67E4" w:rsidRDefault="001A784F" w:rsidP="00B24C4B">
            <w:pPr>
              <w:numPr>
                <w:ilvl w:val="0"/>
                <w:numId w:val="4"/>
              </w:numPr>
              <w:spacing w:before="60" w:after="60"/>
              <w:ind w:left="74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6129BF">
              <w:rPr>
                <w:rFonts w:ascii="Arial" w:hAnsi="Arial" w:cs="Arial"/>
                <w:sz w:val="16"/>
                <w:szCs w:val="16"/>
              </w:rPr>
              <w:t xml:space="preserve">eviewed documentation for General Referrals – </w:t>
            </w:r>
            <w:r w:rsidR="004110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A784F" w:rsidRPr="001F67E4" w14:paraId="49A678F7" w14:textId="77777777" w:rsidTr="001A784F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784E" w14:textId="77777777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06FA" w14:textId="4555CF32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Transactions are accounted for in the CCC Financial Statements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6129BF">
              <w:rPr>
                <w:rFonts w:ascii="Arial" w:hAnsi="Arial" w:cs="Arial"/>
                <w:sz w:val="16"/>
                <w:szCs w:val="16"/>
              </w:rPr>
              <w:t>–2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A784F" w:rsidRPr="001F67E4" w14:paraId="254054E0" w14:textId="77777777" w:rsidTr="001F67E4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74E6" w14:textId="77777777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67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NB: If there is a very large pool of members (e.g. for a Tribunal), do not include each member in the list below, instead provide details for the different types of members e.g. for ordinary sessional members</w:t>
            </w:r>
          </w:p>
        </w:tc>
      </w:tr>
      <w:tr w:rsidR="001A784F" w:rsidRPr="001F67E4" w14:paraId="6B60D110" w14:textId="77777777" w:rsidTr="001A784F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ED7E" w14:textId="77777777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C5A0" w14:textId="77777777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7692" w14:textId="77777777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B04" w14:textId="77777777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621D" w14:textId="77777777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CC12" w14:textId="77777777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9B7863" w:rsidRPr="001F67E4" w14:paraId="3510A065" w14:textId="77777777" w:rsidTr="00555193">
        <w:trPr>
          <w:trHeight w:val="328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13CD5" w14:textId="6D40DF0D" w:rsidR="009B7863" w:rsidRPr="001F67E4" w:rsidRDefault="009B7863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Chair of the Committee – CCC Chairperson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87A" w14:textId="4F1BA6C5" w:rsidR="009B7863" w:rsidRPr="001F67E4" w:rsidRDefault="009B7863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Bruce Barbour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6632D" w14:textId="77777777" w:rsidR="009B7863" w:rsidRDefault="009B7863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1FD1F53" w14:textId="26C0CFBC" w:rsidR="009B7863" w:rsidRPr="001F67E4" w:rsidRDefault="009B7863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78880" w14:textId="484CD011" w:rsidR="009B7863" w:rsidRPr="001F67E4" w:rsidRDefault="009B7863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C45B4" w14:textId="605B83A3" w:rsidR="009B7863" w:rsidRPr="001F67E4" w:rsidRDefault="009B7863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AF4DE" w14:textId="74C2F01C" w:rsidR="009B7863" w:rsidRPr="001F67E4" w:rsidRDefault="009B7863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9B7863" w:rsidRPr="001F67E4" w14:paraId="21598A9D" w14:textId="77777777" w:rsidTr="00555193">
        <w:trPr>
          <w:trHeight w:val="328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9FB" w14:textId="77777777" w:rsidR="009B7863" w:rsidRPr="006129BF" w:rsidRDefault="009B7863" w:rsidP="001A78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826E" w14:textId="72D9B040" w:rsidR="009B7863" w:rsidRPr="006129BF" w:rsidRDefault="009B7863" w:rsidP="001A78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(acting) Kathryn McMillan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A467" w14:textId="4DEE1F49" w:rsidR="009B7863" w:rsidRDefault="009B7863" w:rsidP="001A78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994" w14:textId="77777777" w:rsidR="009B7863" w:rsidRPr="006129BF" w:rsidRDefault="009B7863" w:rsidP="001A78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8DC3" w14:textId="77777777" w:rsidR="009B7863" w:rsidRPr="006129BF" w:rsidRDefault="009B7863" w:rsidP="001A78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5A5E" w14:textId="77777777" w:rsidR="009B7863" w:rsidRPr="006129BF" w:rsidRDefault="009B7863" w:rsidP="001A78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84F" w:rsidRPr="001F67E4" w14:paraId="47D302D7" w14:textId="77777777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6BD" w14:textId="75824D51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Member – Commissioner of Police (delegated)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73D" w14:textId="1718E427" w:rsidR="001A784F" w:rsidRPr="001F67E4" w:rsidRDefault="000468A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0468AF">
              <w:rPr>
                <w:rFonts w:ascii="Arial" w:hAnsi="Arial" w:cs="Arial"/>
                <w:sz w:val="16"/>
                <w:szCs w:val="16"/>
              </w:rPr>
              <w:t>Brian Connors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2AF" w14:textId="491C8B73" w:rsidR="001A784F" w:rsidRPr="006129BF" w:rsidRDefault="000468AF" w:rsidP="00046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5FC7C42" w14:textId="671EA04E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ECA8" w14:textId="2458D31B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CC76" w14:textId="7EA77F9B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A635" w14:textId="7AD7647A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1A784F" w:rsidRPr="001F67E4" w14:paraId="4DB0333C" w14:textId="77777777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68B" w14:textId="2B0AF9B8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Member – Principal Commissioner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7A3" w14:textId="77777777" w:rsidR="001A784F" w:rsidRPr="006129BF" w:rsidRDefault="001A784F" w:rsidP="001A784F">
            <w:pPr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 xml:space="preserve">Luke </w:t>
            </w:r>
            <w:proofErr w:type="spellStart"/>
            <w:r w:rsidRPr="006129BF">
              <w:rPr>
                <w:rFonts w:ascii="Arial" w:hAnsi="Arial" w:cs="Arial"/>
                <w:sz w:val="16"/>
                <w:szCs w:val="16"/>
              </w:rPr>
              <w:t>Twyford</w:t>
            </w:r>
            <w:proofErr w:type="spellEnd"/>
          </w:p>
          <w:p w14:paraId="41B696FD" w14:textId="5F1AD073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CFF" w14:textId="16F278B4" w:rsidR="001A784F" w:rsidRPr="00E74282" w:rsidRDefault="00E74282" w:rsidP="00E742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F83F" w14:textId="5D0F3FC5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58E9" w14:textId="2D0E5AE9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C30" w14:textId="1AC2572B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1A784F" w:rsidRPr="001F67E4" w14:paraId="7C072FD2" w14:textId="77777777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AC7" w14:textId="77777777" w:rsidR="001A784F" w:rsidRPr="006129BF" w:rsidRDefault="001A784F" w:rsidP="001A784F">
            <w:pPr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 xml:space="preserve">Member – </w:t>
            </w:r>
          </w:p>
          <w:p w14:paraId="1E625738" w14:textId="2D8839F0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SEO Crime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B52" w14:textId="5E237744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Sharon Loder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9AB" w14:textId="11A345B2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4002" w14:textId="3FB576E9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3C02" w14:textId="2F9F99CB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E3CE" w14:textId="18DBCFB9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411028" w:rsidRPr="001F67E4" w14:paraId="178E8717" w14:textId="77777777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881" w14:textId="5754A8A0" w:rsidR="00411028" w:rsidRPr="006129BF" w:rsidRDefault="00411028" w:rsidP="001A78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Member, Acting AC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CBE" w14:textId="53A5A575" w:rsidR="00411028" w:rsidRPr="006129BF" w:rsidRDefault="00411028" w:rsidP="004110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Craig McGrath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9A43" w14:textId="7CA461C7" w:rsidR="00411028" w:rsidRPr="00F14380" w:rsidRDefault="00411028" w:rsidP="001A78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0BF" w14:textId="207C23B2" w:rsidR="00411028" w:rsidRPr="006129BF" w:rsidRDefault="00411028" w:rsidP="001A78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C226" w14:textId="3C555988" w:rsidR="00411028" w:rsidRPr="00E71F5C" w:rsidRDefault="00411028" w:rsidP="001A78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FF93" w14:textId="1BEEC93A" w:rsidR="00411028" w:rsidRPr="00E71F5C" w:rsidRDefault="00411028" w:rsidP="001A78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1A784F" w:rsidRPr="001F67E4" w14:paraId="4B254ED2" w14:textId="77777777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616" w14:textId="43BCB0EB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C75" w14:textId="38DBF080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John Anderson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EC67" w14:textId="4E177035" w:rsidR="001A784F" w:rsidRPr="001F67E4" w:rsidRDefault="00F14380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1438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F23A" w14:textId="4D6A20A7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$250 / meeting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7E7F" w14:textId="7B73946F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E71F5C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FC4" w14:textId="439B1F6F" w:rsidR="001A784F" w:rsidRPr="001F67E4" w:rsidRDefault="001A784F" w:rsidP="001A784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E71F5C">
              <w:rPr>
                <w:rFonts w:ascii="Arial" w:hAnsi="Arial" w:cs="Arial"/>
                <w:sz w:val="16"/>
                <w:szCs w:val="16"/>
              </w:rPr>
              <w:t>$2,</w:t>
            </w:r>
            <w:r w:rsidR="00F14380">
              <w:rPr>
                <w:rFonts w:ascii="Arial" w:hAnsi="Arial" w:cs="Arial"/>
                <w:sz w:val="16"/>
                <w:szCs w:val="16"/>
              </w:rPr>
              <w:t>250</w:t>
            </w:r>
            <w:r w:rsidRPr="00E71F5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1A784F" w:rsidRPr="001F67E4" w14:paraId="3E44ACDA" w14:textId="77777777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21ED" w14:textId="6C45A413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55C4" w14:textId="0E46EA8C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Ali de Jersey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23C8" w14:textId="62196010" w:rsidR="001A784F" w:rsidRPr="001F67E4" w:rsidRDefault="00F14380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98EF" w14:textId="2BEA91FB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129BF">
              <w:rPr>
                <w:rFonts w:ascii="Arial" w:hAnsi="Arial" w:cs="Arial"/>
                <w:sz w:val="16"/>
                <w:szCs w:val="16"/>
              </w:rPr>
              <w:t>$250 / meeting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42C" w14:textId="515FAAB0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71F5C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7A11" w14:textId="70310FF4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71F5C">
              <w:rPr>
                <w:rFonts w:ascii="Arial" w:hAnsi="Arial" w:cs="Arial"/>
                <w:sz w:val="16"/>
                <w:szCs w:val="16"/>
              </w:rPr>
              <w:t>$1,</w:t>
            </w:r>
            <w:r w:rsidR="00F14380">
              <w:rPr>
                <w:rFonts w:ascii="Arial" w:hAnsi="Arial" w:cs="Arial"/>
                <w:sz w:val="16"/>
                <w:szCs w:val="16"/>
              </w:rPr>
              <w:t>500</w:t>
            </w:r>
            <w:r w:rsidRPr="00E71F5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1A784F" w:rsidRPr="001F67E4" w14:paraId="2D294578" w14:textId="77777777" w:rsidTr="001A784F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F664" w14:textId="77777777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5E02" w14:textId="2314AB87" w:rsidR="00F14380" w:rsidRDefault="001A784F" w:rsidP="001A784F">
            <w:pPr>
              <w:spacing w:after="160" w:line="259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E71F5C">
              <w:rPr>
                <w:rFonts w:ascii="Arial" w:hAnsi="Arial" w:cs="Arial"/>
                <w:sz w:val="16"/>
                <w:szCs w:val="16"/>
              </w:rPr>
              <w:t>There</w:t>
            </w:r>
            <w:r w:rsidRPr="00E71F5C">
              <w:rPr>
                <w:rFonts w:ascii="Arial" w:hAnsi="Arial" w:cs="Arial"/>
                <w:iCs/>
                <w:sz w:val="16"/>
                <w:szCs w:val="16"/>
              </w:rPr>
              <w:t xml:space="preserve"> were </w:t>
            </w:r>
            <w:r w:rsidR="00F14380"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E71F5C">
              <w:rPr>
                <w:rFonts w:ascii="Arial" w:hAnsi="Arial" w:cs="Arial"/>
                <w:iCs/>
                <w:sz w:val="16"/>
                <w:szCs w:val="16"/>
              </w:rPr>
              <w:t xml:space="preserve"> meetings scheduled during 202</w:t>
            </w: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Pr="00E71F5C">
              <w:rPr>
                <w:rFonts w:ascii="Arial" w:hAnsi="Arial" w:cs="Arial"/>
                <w:iCs/>
                <w:sz w:val="16"/>
                <w:szCs w:val="16"/>
              </w:rPr>
              <w:t>–2</w:t>
            </w: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Pr="00E71F5C">
              <w:rPr>
                <w:rFonts w:ascii="Arial" w:hAnsi="Arial" w:cs="Arial"/>
                <w:iCs/>
                <w:sz w:val="16"/>
                <w:szCs w:val="16"/>
              </w:rPr>
              <w:t xml:space="preserve">, </w:t>
            </w:r>
            <w:r w:rsidR="000468AF">
              <w:rPr>
                <w:rFonts w:ascii="Arial" w:hAnsi="Arial" w:cs="Arial"/>
                <w:iCs/>
                <w:sz w:val="16"/>
                <w:szCs w:val="16"/>
              </w:rPr>
              <w:t>Two were cancelled, one on the 30 July 2024 and the other on the 24 September 2024, due to there not being enough members</w:t>
            </w:r>
            <w:r w:rsidR="00315868">
              <w:rPr>
                <w:rFonts w:ascii="Arial" w:hAnsi="Arial" w:cs="Arial"/>
                <w:iCs/>
                <w:sz w:val="16"/>
                <w:szCs w:val="16"/>
              </w:rPr>
              <w:t xml:space="preserve"> who could attend</w:t>
            </w:r>
            <w:r w:rsidR="000468AF">
              <w:rPr>
                <w:rFonts w:ascii="Arial" w:hAnsi="Arial" w:cs="Arial"/>
                <w:iCs/>
                <w:sz w:val="16"/>
                <w:szCs w:val="16"/>
              </w:rPr>
              <w:t>.  Both cancellations were approved by the Chair.</w:t>
            </w:r>
          </w:p>
          <w:p w14:paraId="25A45A4F" w14:textId="7FDCCCC4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A784F" w:rsidRPr="001F67E4" w14:paraId="3D0C699F" w14:textId="77777777" w:rsidTr="001A784F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CBFC" w14:textId="77777777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1640" w14:textId="089880D6" w:rsidR="00745C37" w:rsidRPr="00E71F5C" w:rsidRDefault="00745C37" w:rsidP="00745C3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$638.72</w:t>
            </w:r>
            <w:r w:rsidR="00FA0D89" w:rsidRPr="00FA0D89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  <w:p w14:paraId="6D504FA5" w14:textId="036EAE7D" w:rsidR="001A784F" w:rsidRPr="001F67E4" w:rsidRDefault="001A784F" w:rsidP="001A784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3CDC32" w14:textId="7578225E" w:rsidR="001F67E4" w:rsidRPr="00FA0D89" w:rsidRDefault="00FA0D89" w:rsidP="002E2EB5">
      <w:pPr>
        <w:spacing w:before="120" w:after="0"/>
        <w:ind w:left="630" w:hanging="630"/>
        <w:rPr>
          <w:sz w:val="16"/>
          <w:szCs w:val="16"/>
        </w:rPr>
      </w:pPr>
      <w:r w:rsidRPr="00FA0D89">
        <w:rPr>
          <w:sz w:val="16"/>
          <w:szCs w:val="16"/>
        </w:rPr>
        <w:t>Note:</w:t>
      </w:r>
    </w:p>
    <w:p w14:paraId="419C95B9" w14:textId="5EBC78F7" w:rsidR="00FA0D89" w:rsidRDefault="00FA0D89" w:rsidP="009B7863">
      <w:pPr>
        <w:pStyle w:val="ListParagraph"/>
        <w:numPr>
          <w:ilvl w:val="0"/>
          <w:numId w:val="5"/>
        </w:numPr>
        <w:ind w:left="284" w:hanging="284"/>
        <w:rPr>
          <w:sz w:val="16"/>
          <w:szCs w:val="16"/>
        </w:rPr>
      </w:pPr>
      <w:r w:rsidRPr="00FA0D89">
        <w:rPr>
          <w:sz w:val="16"/>
          <w:szCs w:val="16"/>
        </w:rPr>
        <w:t xml:space="preserve">Reimbursement </w:t>
      </w:r>
      <w:r w:rsidR="00D86527">
        <w:rPr>
          <w:sz w:val="16"/>
          <w:szCs w:val="16"/>
        </w:rPr>
        <w:t>of</w:t>
      </w:r>
      <w:r w:rsidRPr="00FA0D89">
        <w:rPr>
          <w:sz w:val="16"/>
          <w:szCs w:val="16"/>
        </w:rPr>
        <w:t xml:space="preserve"> travel costs </w:t>
      </w:r>
      <w:r w:rsidR="00D86527">
        <w:rPr>
          <w:sz w:val="16"/>
          <w:szCs w:val="16"/>
        </w:rPr>
        <w:t xml:space="preserve">incurred by </w:t>
      </w:r>
      <w:r w:rsidR="00D86527" w:rsidRPr="00FA0D89">
        <w:rPr>
          <w:sz w:val="16"/>
          <w:szCs w:val="16"/>
        </w:rPr>
        <w:t>John Anderson</w:t>
      </w:r>
      <w:r w:rsidR="00D86527">
        <w:rPr>
          <w:sz w:val="16"/>
          <w:szCs w:val="16"/>
        </w:rPr>
        <w:t xml:space="preserve"> to</w:t>
      </w:r>
      <w:r w:rsidR="00D86527" w:rsidRPr="00FA0D89">
        <w:rPr>
          <w:sz w:val="16"/>
          <w:szCs w:val="16"/>
        </w:rPr>
        <w:t xml:space="preserve"> attend meetings </w:t>
      </w:r>
      <w:r w:rsidR="00D86527">
        <w:rPr>
          <w:sz w:val="16"/>
          <w:szCs w:val="16"/>
        </w:rPr>
        <w:t>in</w:t>
      </w:r>
      <w:r w:rsidR="00D86527" w:rsidRPr="00FA0D89">
        <w:rPr>
          <w:sz w:val="16"/>
          <w:szCs w:val="16"/>
        </w:rPr>
        <w:t xml:space="preserve"> 2024-25</w:t>
      </w:r>
      <w:r w:rsidRPr="00FA0D89">
        <w:rPr>
          <w:sz w:val="16"/>
          <w:szCs w:val="16"/>
        </w:rPr>
        <w:t xml:space="preserve">. </w:t>
      </w:r>
    </w:p>
    <w:p w14:paraId="0B38D469" w14:textId="77777777" w:rsidR="002E2EB5" w:rsidRDefault="002E2EB5" w:rsidP="002E2EB5">
      <w:pPr>
        <w:rPr>
          <w:sz w:val="16"/>
          <w:szCs w:val="16"/>
        </w:rPr>
      </w:pPr>
    </w:p>
    <w:p w14:paraId="1D1A23EC" w14:textId="77777777" w:rsidR="002E2EB5" w:rsidRDefault="002E2EB5" w:rsidP="002E2EB5">
      <w:pPr>
        <w:rPr>
          <w:sz w:val="16"/>
          <w:szCs w:val="16"/>
        </w:rPr>
      </w:pPr>
    </w:p>
    <w:p w14:paraId="629E1812" w14:textId="660E45F3" w:rsidR="002E2EB5" w:rsidRDefault="002E2EB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2E2EB5" w:rsidRPr="001F67E4" w14:paraId="7A58A313" w14:textId="77777777" w:rsidTr="00D83C79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7D8E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lastRenderedPageBreak/>
              <w:t>Commissioner for Police Service Reviews</w:t>
            </w:r>
          </w:p>
        </w:tc>
      </w:tr>
      <w:tr w:rsidR="002E2EB5" w:rsidRPr="001F67E4" w14:paraId="56FA0A4F" w14:textId="77777777" w:rsidTr="00D83C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FEB9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CB8F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61069">
              <w:rPr>
                <w:rFonts w:ascii="Arial" w:hAnsi="Arial" w:cs="Arial"/>
                <w:i/>
                <w:iCs/>
                <w:sz w:val="16"/>
                <w:szCs w:val="16"/>
              </w:rPr>
              <w:t>Crime and Corruption Act 2001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461069">
              <w:rPr>
                <w:rFonts w:ascii="Arial" w:hAnsi="Arial" w:cs="Arial"/>
                <w:i/>
                <w:iCs/>
                <w:sz w:val="16"/>
                <w:szCs w:val="16"/>
              </w:rPr>
              <w:t>&amp; Police Service Administration Act 1990</w:t>
            </w:r>
          </w:p>
        </w:tc>
      </w:tr>
      <w:tr w:rsidR="002E2EB5" w:rsidRPr="001F67E4" w14:paraId="09DDE714" w14:textId="77777777" w:rsidTr="00D83C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5EFA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7455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61069">
              <w:rPr>
                <w:rFonts w:ascii="Arial" w:hAnsi="Arial" w:cs="Arial"/>
                <w:sz w:val="16"/>
                <w:szCs w:val="16"/>
              </w:rPr>
              <w:t>To independently arbitrate, through a transparent and independent review process any grievances that police officers may have about promotions, transfers or disciplinary action and provide a recommendation to the Commissioner of Police.</w:t>
            </w:r>
          </w:p>
        </w:tc>
      </w:tr>
      <w:tr w:rsidR="002E2EB5" w:rsidRPr="001F67E4" w14:paraId="68EC8154" w14:textId="77777777" w:rsidTr="00D83C79">
        <w:trPr>
          <w:trHeight w:val="117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AA08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BE7D" w14:textId="77777777" w:rsidR="002E2EB5" w:rsidRPr="00873835" w:rsidRDefault="002E2EB5" w:rsidP="00D83C79">
            <w:pPr>
              <w:spacing w:before="60" w:after="60" w:line="259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Key achievements of the Commissioners for Police Service Reviews in 202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4–</w:t>
            </w: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5</w:t>
            </w: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:</w:t>
            </w:r>
          </w:p>
          <w:p w14:paraId="55C9831F" w14:textId="77777777" w:rsidR="002E2EB5" w:rsidRPr="00873835" w:rsidRDefault="002E2EB5" w:rsidP="002E2EB5">
            <w:pPr>
              <w:pStyle w:val="ListParagraph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Review 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r</w:t>
            </w: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eports include clear explanations of reasons for final recommendation/</w:t>
            </w:r>
            <w:proofErr w:type="gramStart"/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s;</w:t>
            </w:r>
            <w:proofErr w:type="gramEnd"/>
          </w:p>
          <w:p w14:paraId="2EB82191" w14:textId="77777777" w:rsidR="002E2EB5" w:rsidRPr="000A2A6B" w:rsidRDefault="002E2EB5" w:rsidP="002E2EB5">
            <w:pPr>
              <w:pStyle w:val="ListParagraph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87383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Liaison with QPS undertaken as requested and as required with the objective of ensuring timely finalisation of matters and strengthening of the robustness of independent review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  <w:tr w:rsidR="002E2EB5" w:rsidRPr="001F67E4" w14:paraId="0BE38762" w14:textId="77777777" w:rsidTr="00D83C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28F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E921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73835">
              <w:rPr>
                <w:rFonts w:ascii="Arial" w:hAnsi="Arial" w:cs="Arial"/>
                <w:sz w:val="16"/>
                <w:szCs w:val="16"/>
              </w:rPr>
              <w:t>Transactions are accounted for in the CCC Financial Statements 202</w:t>
            </w:r>
            <w:r>
              <w:rPr>
                <w:rFonts w:ascii="Arial" w:hAnsi="Arial" w:cs="Arial"/>
                <w:sz w:val="16"/>
                <w:szCs w:val="16"/>
              </w:rPr>
              <w:t>4–</w:t>
            </w:r>
            <w:r w:rsidRPr="0087383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E2EB5" w:rsidRPr="001F67E4" w14:paraId="10AB286B" w14:textId="77777777" w:rsidTr="00D83C79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FC3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E2EB5" w:rsidRPr="001F67E4" w14:paraId="5CB5B74A" w14:textId="77777777" w:rsidTr="00D83C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5CC7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F1D9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C41D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3B70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2CA7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CAE6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2E2EB5" w:rsidRPr="001F67E4" w14:paraId="17A97C6F" w14:textId="77777777" w:rsidTr="00D83C79"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4574A3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Commissioner (Administrator)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987A7C" w14:textId="77777777" w:rsidR="002E2EB5" w:rsidRDefault="002E2EB5" w:rsidP="00D83C79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Julie Cork</w:t>
            </w:r>
          </w:p>
          <w:p w14:paraId="5D9FEF1D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2657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1135B7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essions (3 hearings)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BCCCA4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3A525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E32FB2" w14:textId="77777777" w:rsidR="002E2EB5" w:rsidRPr="0080561D" w:rsidRDefault="002E2EB5" w:rsidP="00D83C79">
            <w:pPr>
              <w:spacing w:after="160" w:line="259" w:lineRule="auto"/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7,280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2E2EB5" w:rsidRPr="001F67E4" w14:paraId="46F67DD3" w14:textId="77777777" w:rsidTr="00D83C79">
        <w:trPr>
          <w:trHeight w:val="264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76DB6" w14:textId="77777777" w:rsidR="002E2EB5" w:rsidRDefault="002E2EB5" w:rsidP="00D83C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8D296" w14:textId="77777777" w:rsidR="002E2EB5" w:rsidRDefault="002E2EB5" w:rsidP="00D83C7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472" w14:textId="77777777" w:rsidR="002E2EB5" w:rsidRPr="001F67E4" w:rsidRDefault="002E2EB5" w:rsidP="00D83C79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D53D17">
              <w:rPr>
                <w:rFonts w:ascii="Arial" w:hAnsi="Arial" w:cs="Arial"/>
                <w:sz w:val="16"/>
                <w:szCs w:val="16"/>
              </w:rPr>
              <w:t>sessions for administrative duties related to hearings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71CD8" w14:textId="77777777" w:rsidR="002E2EB5" w:rsidRPr="0034763E" w:rsidRDefault="002E2EB5" w:rsidP="00D83C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A65BC" w14:textId="77777777" w:rsidR="002E2EB5" w:rsidRPr="0034763E" w:rsidRDefault="002E2EB5" w:rsidP="00D83C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D99EA" w14:textId="77777777" w:rsidR="002E2EB5" w:rsidRPr="001F67E4" w:rsidRDefault="002E2EB5" w:rsidP="00D83C79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</w:tr>
      <w:tr w:rsidR="002E2EB5" w:rsidRPr="001F67E4" w14:paraId="6A43E6CD" w14:textId="77777777" w:rsidTr="00D83C79">
        <w:trPr>
          <w:trHeight w:val="264"/>
        </w:trPr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CFE" w14:textId="77777777" w:rsidR="002E2EB5" w:rsidRDefault="002E2EB5" w:rsidP="00D83C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835" w14:textId="77777777" w:rsidR="002E2EB5" w:rsidRDefault="002E2EB5" w:rsidP="00D83C7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CD83" w14:textId="77777777" w:rsidR="002E2EB5" w:rsidRDefault="002E2EB5" w:rsidP="00D83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sessions of other administrative duties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6A3" w14:textId="77777777" w:rsidR="002E2EB5" w:rsidRPr="0034763E" w:rsidRDefault="002E2EB5" w:rsidP="00D83C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25B" w14:textId="77777777" w:rsidR="002E2EB5" w:rsidRPr="0034763E" w:rsidRDefault="002E2EB5" w:rsidP="00D83C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6A" w14:textId="77777777" w:rsidR="002E2EB5" w:rsidRPr="001F67E4" w:rsidRDefault="002E2EB5" w:rsidP="00D83C79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</w:p>
        </w:tc>
      </w:tr>
      <w:tr w:rsidR="002E2EB5" w:rsidRPr="001F67E4" w14:paraId="30B0754A" w14:textId="77777777" w:rsidTr="00D83C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2D93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37D9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135B7">
              <w:rPr>
                <w:rFonts w:ascii="Arial" w:hAnsi="Arial" w:cs="Arial"/>
                <w:sz w:val="16"/>
                <w:szCs w:val="16"/>
              </w:rPr>
              <w:t>Patrick Mullins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3255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 </w:t>
            </w:r>
            <w:r w:rsidRPr="001135B7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essions (9 hearings)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D10D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C865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C160" w14:textId="77777777" w:rsidR="002E2EB5" w:rsidRPr="0020152E" w:rsidRDefault="002E2EB5" w:rsidP="00D83C79">
            <w:pPr>
              <w:spacing w:after="160" w:line="259" w:lineRule="auto"/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</w:pPr>
            <w:r w:rsidRPr="00E933FD">
              <w:rPr>
                <w:rFonts w:ascii="Arial" w:hAnsi="Arial" w:cs="Arial"/>
                <w:iCs/>
                <w:sz w:val="16"/>
                <w:szCs w:val="16"/>
              </w:rPr>
              <w:t>$5,720</w:t>
            </w:r>
            <w:r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2E2EB5" w:rsidRPr="001F67E4" w14:paraId="15FEA5C4" w14:textId="77777777" w:rsidTr="00D83C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638F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5052" w14:textId="77777777" w:rsidR="002E2EB5" w:rsidRPr="00B322F9" w:rsidRDefault="002E2EB5" w:rsidP="00D83C79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53D17">
              <w:rPr>
                <w:rFonts w:ascii="Arial" w:hAnsi="Arial" w:cs="Arial"/>
                <w:sz w:val="16"/>
                <w:szCs w:val="16"/>
              </w:rPr>
              <w:t xml:space="preserve"> hearings were held in relation to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D53D17">
              <w:rPr>
                <w:rFonts w:ascii="Arial" w:hAnsi="Arial" w:cs="Arial"/>
                <w:sz w:val="16"/>
                <w:szCs w:val="16"/>
              </w:rPr>
              <w:t xml:space="preserve"> matters during the reporting period (</w:t>
            </w:r>
            <w:r>
              <w:rPr>
                <w:rFonts w:ascii="Arial" w:hAnsi="Arial" w:cs="Arial"/>
                <w:sz w:val="16"/>
                <w:szCs w:val="16"/>
              </w:rPr>
              <w:t>two matters were re-heard</w:t>
            </w:r>
            <w:r w:rsidRPr="00D53D17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533E3EDE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D7E92">
              <w:rPr>
                <w:rFonts w:ascii="Arial" w:hAnsi="Arial" w:cs="Arial"/>
                <w:sz w:val="16"/>
                <w:szCs w:val="16"/>
              </w:rPr>
              <w:t xml:space="preserve">Of the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BD7E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31">
              <w:rPr>
                <w:rFonts w:ascii="Arial" w:hAnsi="Arial" w:cs="Arial"/>
                <w:sz w:val="16"/>
                <w:szCs w:val="16"/>
              </w:rPr>
              <w:t xml:space="preserve">hearings, </w:t>
            </w:r>
            <w:r>
              <w:rPr>
                <w:rFonts w:ascii="Arial" w:hAnsi="Arial" w:cs="Arial"/>
                <w:sz w:val="16"/>
                <w:szCs w:val="16"/>
              </w:rPr>
              <w:t>one was heard on papers.</w:t>
            </w:r>
          </w:p>
        </w:tc>
      </w:tr>
      <w:tr w:rsidR="002E2EB5" w:rsidRPr="001F67E4" w14:paraId="5BC06D7D" w14:textId="77777777" w:rsidTr="00D83C79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FEE2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042A" w14:textId="77777777" w:rsidR="002E2EB5" w:rsidRPr="001F67E4" w:rsidRDefault="002E2EB5" w:rsidP="00D83C7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34763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00353107" w14:textId="77777777" w:rsidR="002E2EB5" w:rsidRPr="006754A1" w:rsidRDefault="002E2EB5" w:rsidP="002E2EB5">
      <w:pPr>
        <w:spacing w:before="120" w:after="0"/>
        <w:ind w:left="630" w:hanging="630"/>
        <w:rPr>
          <w:rFonts w:ascii="Arial" w:hAnsi="Arial" w:cs="Arial"/>
          <w:sz w:val="16"/>
          <w:szCs w:val="16"/>
        </w:rPr>
      </w:pPr>
      <w:r w:rsidRPr="006754A1">
        <w:rPr>
          <w:rFonts w:ascii="Arial" w:hAnsi="Arial" w:cs="Arial"/>
          <w:sz w:val="16"/>
          <w:szCs w:val="16"/>
        </w:rPr>
        <w:t>Notes:</w:t>
      </w:r>
    </w:p>
    <w:p w14:paraId="13A67A24" w14:textId="77777777" w:rsidR="002E2EB5" w:rsidRPr="009B7863" w:rsidRDefault="002E2EB5" w:rsidP="009B7863">
      <w:pPr>
        <w:pStyle w:val="ListParagraph"/>
        <w:numPr>
          <w:ilvl w:val="0"/>
          <w:numId w:val="8"/>
        </w:numPr>
        <w:ind w:left="284" w:hanging="284"/>
        <w:rPr>
          <w:sz w:val="16"/>
          <w:szCs w:val="16"/>
        </w:rPr>
      </w:pPr>
      <w:r w:rsidRPr="009B7863">
        <w:rPr>
          <w:sz w:val="16"/>
          <w:szCs w:val="16"/>
        </w:rPr>
        <w:t xml:space="preserve">Commissioners for Police Service Reviews preside over closed hearings and are remunerated for the total hours worked relating to each hearing paid per session (up to 4 hours work) in accordance with the Remuneration Procedures for Part-time Chairs and Members of Queensland Government Bodies). </w:t>
      </w:r>
    </w:p>
    <w:p w14:paraId="74A86B14" w14:textId="77777777" w:rsidR="002E2EB5" w:rsidRPr="009B7863" w:rsidRDefault="002E2EB5" w:rsidP="009B7863">
      <w:pPr>
        <w:pStyle w:val="ListParagraph"/>
        <w:numPr>
          <w:ilvl w:val="0"/>
          <w:numId w:val="8"/>
        </w:numPr>
        <w:ind w:left="284" w:hanging="284"/>
        <w:rPr>
          <w:sz w:val="16"/>
          <w:szCs w:val="16"/>
        </w:rPr>
      </w:pPr>
      <w:r w:rsidRPr="009B7863">
        <w:rPr>
          <w:sz w:val="16"/>
          <w:szCs w:val="16"/>
        </w:rPr>
        <w:t>One session attended by Ms Cork was not remunerated.</w:t>
      </w:r>
    </w:p>
    <w:p w14:paraId="7C20C8B7" w14:textId="77777777" w:rsidR="002E2EB5" w:rsidRPr="009B7863" w:rsidRDefault="002E2EB5" w:rsidP="009B7863">
      <w:pPr>
        <w:pStyle w:val="ListParagraph"/>
        <w:numPr>
          <w:ilvl w:val="0"/>
          <w:numId w:val="8"/>
        </w:numPr>
        <w:ind w:left="284" w:hanging="284"/>
        <w:rPr>
          <w:sz w:val="16"/>
          <w:szCs w:val="16"/>
        </w:rPr>
      </w:pPr>
      <w:r w:rsidRPr="009B7863">
        <w:rPr>
          <w:sz w:val="16"/>
          <w:szCs w:val="16"/>
        </w:rPr>
        <w:t xml:space="preserve">The actual fees received by Mr Mullins this year includes payment for 2 hearings held in 2023–24. </w:t>
      </w:r>
    </w:p>
    <w:p w14:paraId="4C9E6C32" w14:textId="77777777" w:rsidR="002E2EB5" w:rsidRPr="002E2EB5" w:rsidRDefault="002E2EB5" w:rsidP="002E2EB5">
      <w:pPr>
        <w:rPr>
          <w:sz w:val="16"/>
          <w:szCs w:val="16"/>
        </w:rPr>
      </w:pPr>
    </w:p>
    <w:sectPr w:rsidR="002E2EB5" w:rsidRPr="002E2E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91E8" w14:textId="77777777" w:rsidR="002B7EB0" w:rsidRDefault="002B7EB0" w:rsidP="00AB1EBC">
      <w:pPr>
        <w:spacing w:after="0" w:line="240" w:lineRule="auto"/>
      </w:pPr>
      <w:r>
        <w:separator/>
      </w:r>
    </w:p>
  </w:endnote>
  <w:endnote w:type="continuationSeparator" w:id="0">
    <w:p w14:paraId="0379D40E" w14:textId="77777777" w:rsidR="002B7EB0" w:rsidRDefault="002B7EB0" w:rsidP="00AB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FD4DB" w14:textId="77777777" w:rsidR="00E74282" w:rsidRDefault="00E7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F72F" w14:textId="77777777" w:rsidR="00E74282" w:rsidRDefault="00E74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1656B" w14:textId="77777777" w:rsidR="00E74282" w:rsidRDefault="00E7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E115" w14:textId="77777777" w:rsidR="002B7EB0" w:rsidRDefault="002B7EB0" w:rsidP="00AB1EBC">
      <w:pPr>
        <w:spacing w:after="0" w:line="240" w:lineRule="auto"/>
      </w:pPr>
      <w:r>
        <w:separator/>
      </w:r>
    </w:p>
  </w:footnote>
  <w:footnote w:type="continuationSeparator" w:id="0">
    <w:p w14:paraId="2BBFA0EB" w14:textId="77777777" w:rsidR="002B7EB0" w:rsidRDefault="002B7EB0" w:rsidP="00AB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9164" w14:textId="7A715342" w:rsidR="00AB1EBC" w:rsidRDefault="00AB1E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9402EF" wp14:editId="29E09E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7396631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35715" w14:textId="08A0B6DF" w:rsidR="00AB1EBC" w:rsidRPr="00AB1EBC" w:rsidRDefault="00AB1EBC" w:rsidP="00AB1E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1E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402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C335715" w14:textId="08A0B6DF" w:rsidR="00AB1EBC" w:rsidRPr="00AB1EBC" w:rsidRDefault="00AB1EBC" w:rsidP="00AB1E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1EB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1A70" w14:textId="2F0A02E1" w:rsidR="00AB1EBC" w:rsidRDefault="00AB1E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1D3F24" wp14:editId="4C228FD4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429982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B53D5" w14:textId="5FDBE76C" w:rsidR="00AB1EBC" w:rsidRPr="00AB1EBC" w:rsidRDefault="00AB1EBC" w:rsidP="00AB1E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1E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D3F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374B53D5" w14:textId="5FDBE76C" w:rsidR="00AB1EBC" w:rsidRPr="00AB1EBC" w:rsidRDefault="00AB1EBC" w:rsidP="00AB1E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1EB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63E6" w14:textId="43676AC8" w:rsidR="00AB1EBC" w:rsidRDefault="00AB1E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78564A" wp14:editId="398AE6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693112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45EAF" w14:textId="60916804" w:rsidR="00AB1EBC" w:rsidRPr="00AB1EBC" w:rsidRDefault="00AB1EBC" w:rsidP="00AB1E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1E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85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7645EAF" w14:textId="60916804" w:rsidR="00AB1EBC" w:rsidRPr="00AB1EBC" w:rsidRDefault="00AB1EBC" w:rsidP="00AB1E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1EB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6FB"/>
    <w:multiLevelType w:val="hybridMultilevel"/>
    <w:tmpl w:val="9916473E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>
      <w:start w:val="1"/>
      <w:numFmt w:val="lowerRoman"/>
      <w:lvlText w:val="%3."/>
      <w:lvlJc w:val="right"/>
      <w:pPr>
        <w:ind w:left="2205" w:hanging="180"/>
      </w:pPr>
    </w:lvl>
    <w:lvl w:ilvl="3" w:tplc="0C09000F">
      <w:start w:val="1"/>
      <w:numFmt w:val="decimal"/>
      <w:lvlText w:val="%4."/>
      <w:lvlJc w:val="left"/>
      <w:pPr>
        <w:ind w:left="2925" w:hanging="360"/>
      </w:pPr>
    </w:lvl>
    <w:lvl w:ilvl="4" w:tplc="0C090019">
      <w:start w:val="1"/>
      <w:numFmt w:val="lowerLetter"/>
      <w:lvlText w:val="%5."/>
      <w:lvlJc w:val="left"/>
      <w:pPr>
        <w:ind w:left="3645" w:hanging="360"/>
      </w:pPr>
    </w:lvl>
    <w:lvl w:ilvl="5" w:tplc="0C09001B">
      <w:start w:val="1"/>
      <w:numFmt w:val="lowerRoman"/>
      <w:lvlText w:val="%6."/>
      <w:lvlJc w:val="right"/>
      <w:pPr>
        <w:ind w:left="4365" w:hanging="180"/>
      </w:pPr>
    </w:lvl>
    <w:lvl w:ilvl="6" w:tplc="0C09000F">
      <w:start w:val="1"/>
      <w:numFmt w:val="decimal"/>
      <w:lvlText w:val="%7."/>
      <w:lvlJc w:val="left"/>
      <w:pPr>
        <w:ind w:left="5085" w:hanging="360"/>
      </w:pPr>
    </w:lvl>
    <w:lvl w:ilvl="7" w:tplc="0C090019">
      <w:start w:val="1"/>
      <w:numFmt w:val="lowerLetter"/>
      <w:lvlText w:val="%8."/>
      <w:lvlJc w:val="left"/>
      <w:pPr>
        <w:ind w:left="5805" w:hanging="360"/>
      </w:pPr>
    </w:lvl>
    <w:lvl w:ilvl="8" w:tplc="0C0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53F4DD6"/>
    <w:multiLevelType w:val="hybridMultilevel"/>
    <w:tmpl w:val="DD12804A"/>
    <w:lvl w:ilvl="0" w:tplc="D07A5A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25DE"/>
    <w:multiLevelType w:val="hybridMultilevel"/>
    <w:tmpl w:val="C256D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21B"/>
    <w:multiLevelType w:val="multilevel"/>
    <w:tmpl w:val="AD86735A"/>
    <w:lvl w:ilvl="0">
      <w:start w:val="14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BCA0EB2"/>
    <w:multiLevelType w:val="hybridMultilevel"/>
    <w:tmpl w:val="21924A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81D9E"/>
    <w:multiLevelType w:val="hybridMultilevel"/>
    <w:tmpl w:val="B904697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41739"/>
    <w:multiLevelType w:val="hybridMultilevel"/>
    <w:tmpl w:val="21924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568F9"/>
    <w:multiLevelType w:val="hybridMultilevel"/>
    <w:tmpl w:val="DD2EB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961393">
    <w:abstractNumId w:val="3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495137">
    <w:abstractNumId w:val="5"/>
  </w:num>
  <w:num w:numId="3" w16cid:durableId="2041129060">
    <w:abstractNumId w:val="7"/>
  </w:num>
  <w:num w:numId="4" w16cid:durableId="228199885">
    <w:abstractNumId w:val="1"/>
  </w:num>
  <w:num w:numId="5" w16cid:durableId="705788369">
    <w:abstractNumId w:val="4"/>
  </w:num>
  <w:num w:numId="6" w16cid:durableId="1871146423">
    <w:abstractNumId w:val="2"/>
  </w:num>
  <w:num w:numId="7" w16cid:durableId="884565736">
    <w:abstractNumId w:val="0"/>
  </w:num>
  <w:num w:numId="8" w16cid:durableId="507214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kDioArGDp4EgtZYmFkqRKWG0xkWRr5tPCkXGhRXCnYFSP2zGqWJgIyQnvHKfMSE9bDLohvHVWuYM+tXCEBfjQ==" w:salt="iUpt8ou6bshgoEfVDXQz6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E4"/>
    <w:rsid w:val="000468AF"/>
    <w:rsid w:val="00140993"/>
    <w:rsid w:val="00142322"/>
    <w:rsid w:val="001A784F"/>
    <w:rsid w:val="001F67E4"/>
    <w:rsid w:val="001F6F2A"/>
    <w:rsid w:val="00223DF4"/>
    <w:rsid w:val="00241BC4"/>
    <w:rsid w:val="002471AB"/>
    <w:rsid w:val="002538AF"/>
    <w:rsid w:val="002B2B60"/>
    <w:rsid w:val="002B75B1"/>
    <w:rsid w:val="002B7EB0"/>
    <w:rsid w:val="002E2EB5"/>
    <w:rsid w:val="00315868"/>
    <w:rsid w:val="003D19A5"/>
    <w:rsid w:val="003E4190"/>
    <w:rsid w:val="003F2827"/>
    <w:rsid w:val="00411028"/>
    <w:rsid w:val="0043426C"/>
    <w:rsid w:val="004E3AC8"/>
    <w:rsid w:val="0052290F"/>
    <w:rsid w:val="00555CA6"/>
    <w:rsid w:val="00571010"/>
    <w:rsid w:val="005760D8"/>
    <w:rsid w:val="0069535C"/>
    <w:rsid w:val="00741327"/>
    <w:rsid w:val="00745C37"/>
    <w:rsid w:val="007C2C10"/>
    <w:rsid w:val="00855C79"/>
    <w:rsid w:val="008E6609"/>
    <w:rsid w:val="009A2E86"/>
    <w:rsid w:val="009B7863"/>
    <w:rsid w:val="00A3048F"/>
    <w:rsid w:val="00A80F0E"/>
    <w:rsid w:val="00AB1EBC"/>
    <w:rsid w:val="00AE57B2"/>
    <w:rsid w:val="00B06745"/>
    <w:rsid w:val="00B1167A"/>
    <w:rsid w:val="00B24C4B"/>
    <w:rsid w:val="00B338A3"/>
    <w:rsid w:val="00B46F8D"/>
    <w:rsid w:val="00BB519C"/>
    <w:rsid w:val="00BC3967"/>
    <w:rsid w:val="00BC3D08"/>
    <w:rsid w:val="00BD1878"/>
    <w:rsid w:val="00CC15EB"/>
    <w:rsid w:val="00CD73A0"/>
    <w:rsid w:val="00D86527"/>
    <w:rsid w:val="00D92771"/>
    <w:rsid w:val="00E47CF3"/>
    <w:rsid w:val="00E74282"/>
    <w:rsid w:val="00F14380"/>
    <w:rsid w:val="00F24C5B"/>
    <w:rsid w:val="00F402A3"/>
    <w:rsid w:val="00F76D68"/>
    <w:rsid w:val="00FA0D89"/>
    <w:rsid w:val="00FA5E94"/>
    <w:rsid w:val="00F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59F28"/>
  <w15:chartTrackingRefBased/>
  <w15:docId w15:val="{9D28B34D-9318-47D0-BB17-214AAC1B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7E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413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BC"/>
  </w:style>
  <w:style w:type="paragraph" w:styleId="ListParagraph">
    <w:name w:val="List Paragraph"/>
    <w:basedOn w:val="Normal"/>
    <w:uiPriority w:val="34"/>
    <w:qFormat/>
    <w:rsid w:val="001A784F"/>
    <w:pPr>
      <w:spacing w:line="25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74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548369F6FBC46B9DDB22555A1B9EA" ma:contentTypeVersion="11" ma:contentTypeDescription="Create a new document." ma:contentTypeScope="" ma:versionID="ac99021e54902ea47a10c9ee1fa33785">
  <xsd:schema xmlns:xsd="http://www.w3.org/2001/XMLSchema" xmlns:xs="http://www.w3.org/2001/XMLSchema" xmlns:p="http://schemas.microsoft.com/office/2006/metadata/properties" xmlns:ns3="2cb9b4a7-4132-4300-8398-1e9c39c017b8" xmlns:ns4="f95f4cf7-2f26-4f7e-928c-d3b70891cb4d" targetNamespace="http://schemas.microsoft.com/office/2006/metadata/properties" ma:root="true" ma:fieldsID="2c8a72d49ae66efab5de72fd2ea75a99" ns3:_="" ns4:_="">
    <xsd:import namespace="2cb9b4a7-4132-4300-8398-1e9c39c017b8"/>
    <xsd:import namespace="f95f4cf7-2f26-4f7e-928c-d3b70891cb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b4a7-4132-4300-8398-1e9c39c01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f4cf7-2f26-4f7e-928c-d3b70891c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B1E356-2C58-4C21-95A0-796892E59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A6255E-92A1-4FA6-97DC-23092550D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FA0E2-6B79-4FF3-AB80-B70E17CD2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b4a7-4132-4300-8398-1e9c39c017b8"/>
    <ds:schemaRef ds:uri="f95f4cf7-2f26-4f7e-928c-d3b70891c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87CB1-6F2C-44B9-AC10-1578243B84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650</Words>
  <Characters>3694</Characters>
  <Application>Microsoft Office Word</Application>
  <DocSecurity>8</DocSecurity>
  <Lines>191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2025-09-08T06:23:00Z</dcterms:created>
  <dcterms:modified xsi:type="dcterms:W3CDTF">2025-09-08T06:23:00Z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0x010100E0F548369F6FBC46B9DDB22555A1B9EA</vt:lpwstr>
  </property>
  <property fmtid="{D5CDD505-2E9C-101B-9397-08002B2CF9AE}" pid="3" name="ClassificationContentMarkingHeaderShapeIds">
    <vt:lpwstr>3fbc6539,2c165d59,26536006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8aef7c1-6a42-4fdf-9098-721c17b924c1_Enabled">
    <vt:lpwstr>true</vt:lpwstr>
  </property>
  <property fmtid="{D5CDD505-2E9C-101B-9397-08002B2CF9AE}" pid="7" name="MSIP_Label_88aef7c1-6a42-4fdf-9098-721c17b924c1_SetDate">
    <vt:lpwstr>2025-05-06T04:19:18Z</vt:lpwstr>
  </property>
  <property fmtid="{D5CDD505-2E9C-101B-9397-08002B2CF9AE}" pid="8" name="MSIP_Label_88aef7c1-6a42-4fdf-9098-721c17b924c1_Method">
    <vt:lpwstr>Privileged</vt:lpwstr>
  </property>
  <property fmtid="{D5CDD505-2E9C-101B-9397-08002B2CF9AE}" pid="9" name="MSIP_Label_88aef7c1-6a42-4fdf-9098-721c17b924c1_Name">
    <vt:lpwstr>Official</vt:lpwstr>
  </property>
  <property fmtid="{D5CDD505-2E9C-101B-9397-08002B2CF9AE}" pid="10" name="MSIP_Label_88aef7c1-6a42-4fdf-9098-721c17b924c1_SiteId">
    <vt:lpwstr>b47fbe09-f37e-4756-a0c9-f44c55bfb295</vt:lpwstr>
  </property>
  <property fmtid="{D5CDD505-2E9C-101B-9397-08002B2CF9AE}" pid="11" name="MSIP_Label_88aef7c1-6a42-4fdf-9098-721c17b924c1_ActionId">
    <vt:lpwstr>1504f79b-a3ce-4349-8f14-386f0c60c3af</vt:lpwstr>
  </property>
  <property fmtid="{D5CDD505-2E9C-101B-9397-08002B2CF9AE}" pid="12" name="MSIP_Label_88aef7c1-6a42-4fdf-9098-721c17b924c1_ContentBits">
    <vt:lpwstr>1</vt:lpwstr>
  </property>
</Properties>
</file>