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theme/themeOverride4.xml" ContentType="application/vnd.openxmlformats-officedocument.themeOverride+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68.xml" ContentType="application/vnd.openxmlformats-officedocument.wordprocessingml.header+xml"/>
  <Override PartName="/word/header69.xml" ContentType="application/vnd.openxmlformats-officedocument.wordprocessingml.header+xml"/>
  <Override PartName="/word/footer18.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charts/chart17.xml" ContentType="application/vnd.openxmlformats-officedocument.drawingml.chart+xml"/>
  <Override PartName="/word/charts/style4.xml" ContentType="application/vnd.ms-office.chartstyle+xml"/>
  <Override PartName="/word/charts/colors4.xml" ContentType="application/vnd.ms-office.chartcolorstyle+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charts/chart1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9.xml" ContentType="application/vnd.openxmlformats-officedocument.drawingml.chart+xml"/>
  <Override PartName="/word/charts/style6.xml" ContentType="application/vnd.ms-office.chartstyle+xml"/>
  <Override PartName="/word/charts/colors6.xml" ContentType="application/vnd.ms-office.chartcolorstyle+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charts/chart2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3.xml" ContentType="application/vnd.openxmlformats-officedocument.drawingml.chart+xml"/>
  <Override PartName="/word/charts/style10.xml" ContentType="application/vnd.ms-office.chartstyle+xml"/>
  <Override PartName="/word/charts/colors10.xml" ContentType="application/vnd.ms-office.chartcolorstyle+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19.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charts/chart24.xml" ContentType="application/vnd.openxmlformats-officedocument.drawingml.chart+xml"/>
  <Override PartName="/word/charts/style11.xml" ContentType="application/vnd.ms-office.chartstyle+xml"/>
  <Override PartName="/word/charts/colors11.xml" ContentType="application/vnd.ms-office.chartcolorstyle+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footer20.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charts/chart2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6.xml" ContentType="application/vnd.openxmlformats-officedocument.drawingml.chart+xml"/>
  <Override PartName="/word/charts/style13.xml" ContentType="application/vnd.ms-office.chartstyle+xml"/>
  <Override PartName="/word/charts/colors13.xml" ContentType="application/vnd.ms-office.chartcolorstyle+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charts/chart27.xml" ContentType="application/vnd.openxmlformats-officedocument.drawingml.chart+xml"/>
  <Override PartName="/word/charts/style14.xml" ContentType="application/vnd.ms-office.chartstyle+xml"/>
  <Override PartName="/word/charts/colors14.xml" ContentType="application/vnd.ms-office.chartcolorstyle+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footer21.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footer22.xml" ContentType="application/vnd.openxmlformats-officedocument.wordprocessingml.footer+xml"/>
  <Override PartName="/word/header186.xml" ContentType="application/vnd.openxmlformats-officedocument.wordprocessingml.header+xml"/>
  <Override PartName="/word/footer23.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footer24.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footer25.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footer30.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CFF36" w14:textId="6835A016" w:rsidR="00CA7F44" w:rsidRPr="007A1087" w:rsidRDefault="006E41A8" w:rsidP="003E4F75">
      <w:pPr>
        <w:pStyle w:val="BasicParagraph"/>
        <w:suppressAutoHyphens/>
        <w:spacing w:line="240" w:lineRule="auto"/>
        <w:rPr>
          <w:caps/>
          <w:color w:val="414042" w:themeColor="text1"/>
          <w14:shadow w14:blurRad="50800" w14:dist="50800" w14:dir="5400000" w14:sx="0" w14:sy="0" w14:kx="0" w14:ky="0" w14:algn="ctr">
            <w14:srgbClr w14:val="000000"/>
          </w14:shadow>
        </w:rPr>
      </w:pPr>
      <w:bookmarkStart w:id="0" w:name="_Hlk162345111"/>
      <w:r>
        <w:rPr>
          <w:caps/>
          <w:noProof/>
          <w:color w:val="414042" w:themeColor="text1"/>
        </w:rPr>
        <w:drawing>
          <wp:anchor distT="0" distB="0" distL="114300" distR="114300" simplePos="0" relativeHeight="252550144" behindDoc="0" locked="0" layoutInCell="1" allowOverlap="1" wp14:anchorId="47209B05" wp14:editId="0018B66B">
            <wp:simplePos x="0" y="0"/>
            <wp:positionH relativeFrom="column">
              <wp:posOffset>2085975</wp:posOffset>
            </wp:positionH>
            <wp:positionV relativeFrom="paragraph">
              <wp:posOffset>4352925</wp:posOffset>
            </wp:positionV>
            <wp:extent cx="2948940" cy="607060"/>
            <wp:effectExtent l="0" t="0" r="3810" b="2540"/>
            <wp:wrapNone/>
            <wp:docPr id="443493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64202" name="Picture 1531664202"/>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2948940" cy="607060"/>
                    </a:xfrm>
                    <a:prstGeom prst="rect">
                      <a:avLst/>
                    </a:prstGeom>
                  </pic:spPr>
                </pic:pic>
              </a:graphicData>
            </a:graphic>
            <wp14:sizeRelH relativeFrom="page">
              <wp14:pctWidth>0</wp14:pctWidth>
            </wp14:sizeRelH>
            <wp14:sizeRelV relativeFrom="page">
              <wp14:pctHeight>0</wp14:pctHeight>
            </wp14:sizeRelV>
          </wp:anchor>
        </w:drawing>
      </w:r>
      <w:r>
        <w:rPr>
          <w:caps/>
          <w:noProof/>
          <w:color w:val="414042" w:themeColor="text1"/>
        </w:rPr>
        <mc:AlternateContent>
          <mc:Choice Requires="wpg">
            <w:drawing>
              <wp:anchor distT="0" distB="0" distL="114300" distR="114300" simplePos="0" relativeHeight="252548096" behindDoc="0" locked="0" layoutInCell="1" allowOverlap="1" wp14:anchorId="52E6514F" wp14:editId="3ABDEB4D">
                <wp:simplePos x="0" y="0"/>
                <wp:positionH relativeFrom="column">
                  <wp:posOffset>2600325</wp:posOffset>
                </wp:positionH>
                <wp:positionV relativeFrom="paragraph">
                  <wp:posOffset>5391150</wp:posOffset>
                </wp:positionV>
                <wp:extent cx="2402205" cy="1788903"/>
                <wp:effectExtent l="0" t="0" r="0" b="1905"/>
                <wp:wrapNone/>
                <wp:docPr id="736605192" name="Group 7"/>
                <wp:cNvGraphicFramePr/>
                <a:graphic xmlns:a="http://schemas.openxmlformats.org/drawingml/2006/main">
                  <a:graphicData uri="http://schemas.microsoft.com/office/word/2010/wordprocessingGroup">
                    <wpg:wgp>
                      <wpg:cNvGrpSpPr/>
                      <wpg:grpSpPr>
                        <a:xfrm>
                          <a:off x="0" y="0"/>
                          <a:ext cx="2402205" cy="1788903"/>
                          <a:chOff x="0" y="0"/>
                          <a:chExt cx="2402205" cy="1788903"/>
                        </a:xfrm>
                      </wpg:grpSpPr>
                      <wps:wsp>
                        <wps:cNvPr id="2041953411" name="Text Box 2"/>
                        <wps:cNvSpPr txBox="1">
                          <a:spLocks noChangeArrowheads="1"/>
                        </wps:cNvSpPr>
                        <wps:spPr bwMode="auto">
                          <a:xfrm>
                            <a:off x="0" y="0"/>
                            <a:ext cx="2402205" cy="1386840"/>
                          </a:xfrm>
                          <a:prstGeom prst="rect">
                            <a:avLst/>
                          </a:prstGeom>
                          <a:noFill/>
                          <a:ln w="9525">
                            <a:noFill/>
                            <a:miter lim="800000"/>
                            <a:headEnd/>
                            <a:tailEnd/>
                          </a:ln>
                        </wps:spPr>
                        <wps:txbx>
                          <w:txbxContent>
                            <w:p w14:paraId="58EE5729" w14:textId="77777777" w:rsidR="006E41A8" w:rsidRPr="0079540B" w:rsidRDefault="006E41A8" w:rsidP="006E41A8">
                              <w:pPr>
                                <w:spacing w:after="0" w:line="1080" w:lineRule="exact"/>
                                <w:jc w:val="right"/>
                                <w:rPr>
                                  <w:rFonts w:cstheme="majorHAnsi"/>
                                  <w:color w:val="FFFFFF" w:themeColor="background1"/>
                                  <w:sz w:val="100"/>
                                  <w:szCs w:val="100"/>
                                </w:rPr>
                              </w:pPr>
                              <w:r w:rsidRPr="0079540B">
                                <w:rPr>
                                  <w:rFonts w:ascii="DaxPro-Bold" w:hAnsi="DaxPro-Bold" w:cs="Calibri"/>
                                  <w:color w:val="FFFFFF" w:themeColor="background1"/>
                                  <w:sz w:val="94"/>
                                  <w:szCs w:val="94"/>
                                </w:rPr>
                                <w:t>ANNUAL</w:t>
                              </w:r>
                              <w:r w:rsidRPr="0079540B">
                                <w:rPr>
                                  <w:rFonts w:ascii="DaxPro-Bold" w:hAnsi="DaxPro-Bold" w:cs="Calibri"/>
                                  <w:color w:val="FFFFFF" w:themeColor="background1"/>
                                  <w:sz w:val="94"/>
                                  <w:szCs w:val="94"/>
                                </w:rPr>
                                <w:br/>
                                <w:t>REPORT</w:t>
                              </w:r>
                            </w:p>
                            <w:p w14:paraId="4A929FE1" w14:textId="77777777" w:rsidR="006E41A8" w:rsidRPr="0079540B" w:rsidRDefault="006E41A8" w:rsidP="006E41A8">
                              <w:pPr>
                                <w:spacing w:after="0" w:line="1080" w:lineRule="exact"/>
                                <w:rPr>
                                  <w:rFonts w:ascii="Calibri" w:hAnsi="Calibri" w:cs="Calibri"/>
                                  <w:color w:val="FFFFFF" w:themeColor="background1"/>
                                  <w:sz w:val="100"/>
                                  <w:szCs w:val="100"/>
                                </w:rPr>
                              </w:pPr>
                            </w:p>
                          </w:txbxContent>
                        </wps:txbx>
                        <wps:bodyPr rot="0" vert="horz" wrap="square" lIns="91440" tIns="45720" rIns="91440" bIns="45720" anchor="ctr" anchorCtr="0">
                          <a:noAutofit/>
                        </wps:bodyPr>
                      </wps:wsp>
                      <wps:wsp>
                        <wps:cNvPr id="598524418" name="Text Box 3"/>
                        <wps:cNvSpPr txBox="1"/>
                        <wps:spPr>
                          <a:xfrm>
                            <a:off x="400050" y="1314450"/>
                            <a:ext cx="1994535" cy="474453"/>
                          </a:xfrm>
                          <a:prstGeom prst="rect">
                            <a:avLst/>
                          </a:prstGeom>
                          <a:noFill/>
                          <a:ln w="6350">
                            <a:noFill/>
                          </a:ln>
                        </wps:spPr>
                        <wps:txbx>
                          <w:txbxContent>
                            <w:p w14:paraId="760C485C" w14:textId="77777777" w:rsidR="006E41A8" w:rsidRDefault="006E41A8" w:rsidP="006E41A8">
                              <w:pPr>
                                <w:jc w:val="right"/>
                              </w:pPr>
                              <w:r w:rsidRPr="0079540B">
                                <w:rPr>
                                  <w:rFonts w:ascii="DaxPro-Medium" w:hAnsi="DaxPro-Medium" w:cstheme="majorHAnsi"/>
                                  <w:color w:val="FFFFFF" w:themeColor="background1"/>
                                  <w:sz w:val="50"/>
                                  <w:szCs w:val="50"/>
                                </w:rPr>
                                <w:t>2023–24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E6514F" id="Group 7" o:spid="_x0000_s1026" style="position:absolute;margin-left:204.75pt;margin-top:424.5pt;width:189.15pt;height:140.85pt;z-index:252548096" coordsize="24022,1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">
                <v:shapetype id="_x0000_t202" coordsize="21600,21600" o:spt="202" path="m,l,21600r21600,l21600,xe">
                  <v:stroke joinstyle="miter"/>
                  <v:path gradientshapeok="t" o:connecttype="rect"/>
                </v:shapetype>
                <v:shape id="_x0000_s1027" type="#_x0000_t202" style="position:absolute;width:24022;height:1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" filled="f" stroked="f">
                  <v:textbox>
                    <w:txbxContent>
                      <w:p w14:paraId="58EE5729" w14:textId="77777777" w:rsidR="006E41A8" w:rsidRPr="0079540B" w:rsidRDefault="006E41A8" w:rsidP="006E41A8">
                        <w:pPr>
                          <w:spacing w:after="0" w:line="1080" w:lineRule="exact"/>
                          <w:jc w:val="right"/>
                          <w:rPr>
                            <w:rFonts w:cstheme="majorHAnsi"/>
                            <w:color w:val="FFFFFF" w:themeColor="background1"/>
                            <w:sz w:val="100"/>
                            <w:szCs w:val="100"/>
                          </w:rPr>
                        </w:pPr>
                        <w:r w:rsidRPr="0079540B">
                          <w:rPr>
                            <w:rFonts w:ascii="DaxPro-Bold" w:hAnsi="DaxPro-Bold" w:cs="Calibri"/>
                            <w:color w:val="FFFFFF" w:themeColor="background1"/>
                            <w:sz w:val="94"/>
                            <w:szCs w:val="94"/>
                          </w:rPr>
                          <w:t>ANNUAL</w:t>
                        </w:r>
                        <w:r w:rsidRPr="0079540B">
                          <w:rPr>
                            <w:rFonts w:ascii="DaxPro-Bold" w:hAnsi="DaxPro-Bold" w:cs="Calibri"/>
                            <w:color w:val="FFFFFF" w:themeColor="background1"/>
                            <w:sz w:val="94"/>
                            <w:szCs w:val="94"/>
                          </w:rPr>
                          <w:br/>
                          <w:t>REPORT</w:t>
                        </w:r>
                      </w:p>
                      <w:p w14:paraId="4A929FE1" w14:textId="77777777" w:rsidR="006E41A8" w:rsidRPr="0079540B" w:rsidRDefault="006E41A8" w:rsidP="006E41A8">
                        <w:pPr>
                          <w:spacing w:after="0" w:line="1080" w:lineRule="exact"/>
                          <w:rPr>
                            <w:rFonts w:ascii="Calibri" w:hAnsi="Calibri" w:cs="Calibri"/>
                            <w:color w:val="FFFFFF" w:themeColor="background1"/>
                            <w:sz w:val="100"/>
                            <w:szCs w:val="100"/>
                          </w:rPr>
                        </w:pPr>
                      </w:p>
                    </w:txbxContent>
                  </v:textbox>
                </v:shape>
                <v:shape id="Text Box 3" o:spid="_x0000_s1028" type="#_x0000_t202" style="position:absolute;left:4000;top:13144;width:19945;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" filled="f" stroked="f" strokeweight=".5pt">
                  <v:textbox>
                    <w:txbxContent>
                      <w:p w14:paraId="760C485C" w14:textId="77777777" w:rsidR="006E41A8" w:rsidRDefault="006E41A8" w:rsidP="006E41A8">
                        <w:pPr>
                          <w:jc w:val="right"/>
                        </w:pPr>
                        <w:r w:rsidRPr="0079540B">
                          <w:rPr>
                            <w:rFonts w:ascii="DaxPro-Medium" w:hAnsi="DaxPro-Medium" w:cstheme="majorHAnsi"/>
                            <w:color w:val="FFFFFF" w:themeColor="background1"/>
                            <w:sz w:val="50"/>
                            <w:szCs w:val="50"/>
                          </w:rPr>
                          <w:t>2023–24</w:t>
                        </w:r>
                      </w:p>
                    </w:txbxContent>
                  </v:textbox>
                </v:shape>
              </v:group>
            </w:pict>
          </mc:Fallback>
        </mc:AlternateContent>
      </w:r>
      <w:r w:rsidR="000C38A8">
        <w:rPr>
          <w:caps/>
          <w:noProof/>
          <w:color w:val="414042" w:themeColor="text1"/>
        </w:rPr>
        <w:drawing>
          <wp:anchor distT="0" distB="0" distL="114300" distR="114300" simplePos="0" relativeHeight="252503040" behindDoc="0" locked="0" layoutInCell="1" allowOverlap="1" wp14:anchorId="4526641A" wp14:editId="72644A4A">
            <wp:simplePos x="0" y="0"/>
            <wp:positionH relativeFrom="column">
              <wp:posOffset>2098951</wp:posOffset>
            </wp:positionH>
            <wp:positionV relativeFrom="paragraph">
              <wp:posOffset>-5310726</wp:posOffset>
            </wp:positionV>
            <wp:extent cx="2948940" cy="607060"/>
            <wp:effectExtent l="0" t="0" r="3810" b="2540"/>
            <wp:wrapNone/>
            <wp:docPr id="15316642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64202" name="Picture 1531664202"/>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2948940" cy="607060"/>
                    </a:xfrm>
                    <a:prstGeom prst="rect">
                      <a:avLst/>
                    </a:prstGeom>
                  </pic:spPr>
                </pic:pic>
              </a:graphicData>
            </a:graphic>
            <wp14:sizeRelH relativeFrom="page">
              <wp14:pctWidth>0</wp14:pctWidth>
            </wp14:sizeRelH>
            <wp14:sizeRelV relativeFrom="page">
              <wp14:pctHeight>0</wp14:pctHeight>
            </wp14:sizeRelV>
          </wp:anchor>
        </w:drawing>
      </w:r>
      <w:r w:rsidR="000C38A8">
        <w:rPr>
          <w:caps/>
          <w:noProof/>
          <w:color w:val="414042" w:themeColor="text1"/>
        </w:rPr>
        <mc:AlternateContent>
          <mc:Choice Requires="wpg">
            <w:drawing>
              <wp:anchor distT="0" distB="0" distL="114300" distR="114300" simplePos="0" relativeHeight="252500992" behindDoc="0" locked="0" layoutInCell="1" allowOverlap="1" wp14:anchorId="5FA74956" wp14:editId="4A7474DE">
                <wp:simplePos x="0" y="0"/>
                <wp:positionH relativeFrom="column">
                  <wp:posOffset>2774315</wp:posOffset>
                </wp:positionH>
                <wp:positionV relativeFrom="paragraph">
                  <wp:posOffset>-4243401</wp:posOffset>
                </wp:positionV>
                <wp:extent cx="2402205" cy="1788903"/>
                <wp:effectExtent l="0" t="0" r="0" b="1905"/>
                <wp:wrapNone/>
                <wp:docPr id="555837216" name="Group 7"/>
                <wp:cNvGraphicFramePr/>
                <a:graphic xmlns:a="http://schemas.openxmlformats.org/drawingml/2006/main">
                  <a:graphicData uri="http://schemas.microsoft.com/office/word/2010/wordprocessingGroup">
                    <wpg:wgp>
                      <wpg:cNvGrpSpPr/>
                      <wpg:grpSpPr>
                        <a:xfrm>
                          <a:off x="0" y="0"/>
                          <a:ext cx="2402205" cy="1788903"/>
                          <a:chOff x="0" y="0"/>
                          <a:chExt cx="2402205" cy="1788903"/>
                        </a:xfrm>
                      </wpg:grpSpPr>
                      <wps:wsp>
                        <wps:cNvPr id="17" name="Text Box 2"/>
                        <wps:cNvSpPr txBox="1">
                          <a:spLocks noChangeArrowheads="1"/>
                        </wps:cNvSpPr>
                        <wps:spPr bwMode="auto">
                          <a:xfrm>
                            <a:off x="0" y="0"/>
                            <a:ext cx="2402205" cy="1386840"/>
                          </a:xfrm>
                          <a:prstGeom prst="rect">
                            <a:avLst/>
                          </a:prstGeom>
                          <a:noFill/>
                          <a:ln w="9525">
                            <a:noFill/>
                            <a:miter lim="800000"/>
                            <a:headEnd/>
                            <a:tailEnd/>
                          </a:ln>
                        </wps:spPr>
                        <wps:txbx>
                          <w:txbxContent>
                            <w:p w14:paraId="463E4E2C" w14:textId="77777777" w:rsidR="000C38A8" w:rsidRPr="0079540B" w:rsidRDefault="000C38A8" w:rsidP="000C38A8">
                              <w:pPr>
                                <w:spacing w:after="0" w:line="1080" w:lineRule="exact"/>
                                <w:jc w:val="right"/>
                                <w:rPr>
                                  <w:rFonts w:cstheme="majorHAnsi"/>
                                  <w:color w:val="FFFFFF" w:themeColor="background1"/>
                                  <w:sz w:val="100"/>
                                  <w:szCs w:val="100"/>
                                </w:rPr>
                              </w:pPr>
                              <w:r w:rsidRPr="0079540B">
                                <w:rPr>
                                  <w:rFonts w:ascii="DaxPro-Bold" w:hAnsi="DaxPro-Bold" w:cs="Calibri"/>
                                  <w:color w:val="FFFFFF" w:themeColor="background1"/>
                                  <w:sz w:val="94"/>
                                  <w:szCs w:val="94"/>
                                </w:rPr>
                                <w:t>ANNUAL</w:t>
                              </w:r>
                              <w:r w:rsidRPr="0079540B">
                                <w:rPr>
                                  <w:rFonts w:ascii="DaxPro-Bold" w:hAnsi="DaxPro-Bold" w:cs="Calibri"/>
                                  <w:color w:val="FFFFFF" w:themeColor="background1"/>
                                  <w:sz w:val="94"/>
                                  <w:szCs w:val="94"/>
                                </w:rPr>
                                <w:br/>
                                <w:t>REPORT</w:t>
                              </w:r>
                            </w:p>
                            <w:p w14:paraId="5F49D323" w14:textId="77777777" w:rsidR="000C38A8" w:rsidRPr="0079540B" w:rsidRDefault="000C38A8" w:rsidP="000C38A8">
                              <w:pPr>
                                <w:spacing w:after="0" w:line="1080" w:lineRule="exact"/>
                                <w:rPr>
                                  <w:rFonts w:ascii="Calibri" w:hAnsi="Calibri" w:cs="Calibri"/>
                                  <w:color w:val="FFFFFF" w:themeColor="background1"/>
                                  <w:sz w:val="100"/>
                                  <w:szCs w:val="100"/>
                                </w:rPr>
                              </w:pPr>
                            </w:p>
                          </w:txbxContent>
                        </wps:txbx>
                        <wps:bodyPr rot="0" vert="horz" wrap="square" lIns="91440" tIns="45720" rIns="91440" bIns="45720" anchor="ctr" anchorCtr="0">
                          <a:noAutofit/>
                        </wps:bodyPr>
                      </wps:wsp>
                      <wps:wsp>
                        <wps:cNvPr id="2094818236" name="Text Box 3"/>
                        <wps:cNvSpPr txBox="1"/>
                        <wps:spPr>
                          <a:xfrm>
                            <a:off x="400050" y="1314450"/>
                            <a:ext cx="1994535" cy="474453"/>
                          </a:xfrm>
                          <a:prstGeom prst="rect">
                            <a:avLst/>
                          </a:prstGeom>
                          <a:noFill/>
                          <a:ln w="6350">
                            <a:noFill/>
                          </a:ln>
                        </wps:spPr>
                        <wps:txbx>
                          <w:txbxContent>
                            <w:p w14:paraId="2E35C7CC" w14:textId="77777777" w:rsidR="000C38A8" w:rsidRDefault="000C38A8" w:rsidP="000C38A8">
                              <w:pPr>
                                <w:jc w:val="right"/>
                              </w:pPr>
                              <w:r w:rsidRPr="0079540B">
                                <w:rPr>
                                  <w:rFonts w:ascii="DaxPro-Medium" w:hAnsi="DaxPro-Medium" w:cstheme="majorHAnsi"/>
                                  <w:color w:val="FFFFFF" w:themeColor="background1"/>
                                  <w:sz w:val="50"/>
                                  <w:szCs w:val="50"/>
                                </w:rPr>
                                <w:t>2023–24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A74956" id="_x0000_s1029" style="position:absolute;margin-left:218.45pt;margin-top:-334.15pt;width:189.15pt;height:140.85pt;z-index:252500992" coordsize="24022,1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">
                <v:shape id="_x0000_s1030" type="#_x0000_t202" style="position:absolute;width:24022;height:1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" filled="f" stroked="f">
                  <v:textbox>
                    <w:txbxContent>
                      <w:p w14:paraId="463E4E2C" w14:textId="77777777" w:rsidR="000C38A8" w:rsidRPr="0079540B" w:rsidRDefault="000C38A8" w:rsidP="000C38A8">
                        <w:pPr>
                          <w:spacing w:after="0" w:line="1080" w:lineRule="exact"/>
                          <w:jc w:val="right"/>
                          <w:rPr>
                            <w:rFonts w:cstheme="majorHAnsi"/>
                            <w:color w:val="FFFFFF" w:themeColor="background1"/>
                            <w:sz w:val="100"/>
                            <w:szCs w:val="100"/>
                          </w:rPr>
                        </w:pPr>
                        <w:r w:rsidRPr="0079540B">
                          <w:rPr>
                            <w:rFonts w:ascii="DaxPro-Bold" w:hAnsi="DaxPro-Bold" w:cs="Calibri"/>
                            <w:color w:val="FFFFFF" w:themeColor="background1"/>
                            <w:sz w:val="94"/>
                            <w:szCs w:val="94"/>
                          </w:rPr>
                          <w:t>ANNUAL</w:t>
                        </w:r>
                        <w:r w:rsidRPr="0079540B">
                          <w:rPr>
                            <w:rFonts w:ascii="DaxPro-Bold" w:hAnsi="DaxPro-Bold" w:cs="Calibri"/>
                            <w:color w:val="FFFFFF" w:themeColor="background1"/>
                            <w:sz w:val="94"/>
                            <w:szCs w:val="94"/>
                          </w:rPr>
                          <w:br/>
                          <w:t>REPORT</w:t>
                        </w:r>
                      </w:p>
                      <w:p w14:paraId="5F49D323" w14:textId="77777777" w:rsidR="000C38A8" w:rsidRPr="0079540B" w:rsidRDefault="000C38A8" w:rsidP="000C38A8">
                        <w:pPr>
                          <w:spacing w:after="0" w:line="1080" w:lineRule="exact"/>
                          <w:rPr>
                            <w:rFonts w:ascii="Calibri" w:hAnsi="Calibri" w:cs="Calibri"/>
                            <w:color w:val="FFFFFF" w:themeColor="background1"/>
                            <w:sz w:val="100"/>
                            <w:szCs w:val="100"/>
                          </w:rPr>
                        </w:pPr>
                      </w:p>
                    </w:txbxContent>
                  </v:textbox>
                </v:shape>
                <v:shape id="Text Box 3" o:spid="_x0000_s1031" type="#_x0000_t202" style="position:absolute;left:4000;top:13144;width:19945;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" filled="f" stroked="f" strokeweight=".5pt">
                  <v:textbox>
                    <w:txbxContent>
                      <w:p w14:paraId="2E35C7CC" w14:textId="77777777" w:rsidR="000C38A8" w:rsidRDefault="000C38A8" w:rsidP="000C38A8">
                        <w:pPr>
                          <w:jc w:val="right"/>
                        </w:pPr>
                        <w:r w:rsidRPr="0079540B">
                          <w:rPr>
                            <w:rFonts w:ascii="DaxPro-Medium" w:hAnsi="DaxPro-Medium" w:cstheme="majorHAnsi"/>
                            <w:color w:val="FFFFFF" w:themeColor="background1"/>
                            <w:sz w:val="50"/>
                            <w:szCs w:val="50"/>
                          </w:rPr>
                          <w:t>2023–24</w:t>
                        </w:r>
                      </w:p>
                    </w:txbxContent>
                  </v:textbox>
                </v:shape>
              </v:group>
            </w:pict>
          </mc:Fallback>
        </mc:AlternateContent>
      </w:r>
      <w:r w:rsidR="00CA7F44" w:rsidRPr="007A1087">
        <w:rPr>
          <w:color w:val="414042" w:themeColor="text1"/>
        </w:rPr>
        <w:br w:type="page"/>
      </w:r>
    </w:p>
    <w:p w14:paraId="1B9900A6" w14:textId="510E1C40" w:rsidR="00CA7F44" w:rsidRPr="007A1087" w:rsidRDefault="00CA7F44" w:rsidP="0040083F">
      <w:pPr>
        <w:suppressAutoHyphens/>
        <w:autoSpaceDE w:val="0"/>
        <w:autoSpaceDN w:val="0"/>
        <w:adjustRightInd w:val="0"/>
        <w:spacing w:before="360" w:after="113" w:line="288" w:lineRule="auto"/>
        <w:textAlignment w:val="center"/>
        <w:rPr>
          <w:color w:val="414042" w:themeColor="text1"/>
        </w:rPr>
      </w:pPr>
    </w:p>
    <w:p w14:paraId="7DA398CA" w14:textId="4F339354" w:rsidR="0085715C" w:rsidRPr="00AF0D5C" w:rsidRDefault="0085715C" w:rsidP="0085715C">
      <w:pPr>
        <w:suppressAutoHyphens/>
        <w:autoSpaceDE w:val="0"/>
        <w:autoSpaceDN w:val="0"/>
        <w:adjustRightInd w:val="0"/>
        <w:spacing w:before="360" w:after="113" w:line="288" w:lineRule="auto"/>
        <w:textAlignment w:val="center"/>
        <w:rPr>
          <w:rFonts w:cs="Calibri Light"/>
          <w:color w:val="414042" w:themeColor="text1"/>
          <w:sz w:val="16"/>
          <w:szCs w:val="16"/>
        </w:rPr>
      </w:pPr>
    </w:p>
    <w:p w14:paraId="053D9888" w14:textId="08A7E585" w:rsidR="00201A90" w:rsidRDefault="004E69BC" w:rsidP="0085715C">
      <w:pPr>
        <w:suppressAutoHyphens/>
        <w:autoSpaceDE w:val="0"/>
        <w:autoSpaceDN w:val="0"/>
        <w:adjustRightInd w:val="0"/>
        <w:spacing w:before="360" w:after="113" w:line="288" w:lineRule="auto"/>
        <w:textAlignment w:val="center"/>
        <w:rPr>
          <w:rFonts w:cs="Calibri Light"/>
          <w:color w:val="414042" w:themeColor="text1"/>
          <w:sz w:val="16"/>
          <w:szCs w:val="16"/>
        </w:rPr>
      </w:pPr>
      <w:r>
        <w:rPr>
          <w:noProof/>
        </w:rPr>
        <mc:AlternateContent>
          <mc:Choice Requires="wps">
            <w:drawing>
              <wp:anchor distT="0" distB="0" distL="114300" distR="114300" simplePos="0" relativeHeight="252505088" behindDoc="0" locked="0" layoutInCell="1" allowOverlap="1" wp14:anchorId="722E4603" wp14:editId="550BBEB3">
                <wp:simplePos x="0" y="0"/>
                <wp:positionH relativeFrom="column">
                  <wp:posOffset>-148590</wp:posOffset>
                </wp:positionH>
                <wp:positionV relativeFrom="paragraph">
                  <wp:posOffset>146720</wp:posOffset>
                </wp:positionV>
                <wp:extent cx="3904735" cy="732790"/>
                <wp:effectExtent l="0" t="0" r="0" b="0"/>
                <wp:wrapNone/>
                <wp:docPr id="10583124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735" cy="732790"/>
                        </a:xfrm>
                        <a:prstGeom prst="rect">
                          <a:avLst/>
                        </a:prstGeom>
                        <a:noFill/>
                        <a:ln w="9525">
                          <a:noFill/>
                          <a:miter lim="800000"/>
                          <a:headEnd/>
                          <a:tailEnd/>
                        </a:ln>
                      </wps:spPr>
                      <wps:txbx>
                        <w:txbxContent>
                          <w:p w14:paraId="6A6C6402" w14:textId="77777777" w:rsidR="00AB4E18" w:rsidRPr="004E69BC" w:rsidRDefault="00AB4E18" w:rsidP="00AB4E18">
                            <w:pPr>
                              <w:pStyle w:val="BasicParagraph"/>
                              <w:suppressAutoHyphens/>
                              <w:spacing w:line="240" w:lineRule="auto"/>
                              <w:rPr>
                                <w:rFonts w:ascii="Calibri" w:hAnsi="Calibri" w:cs="Calibri"/>
                                <w:color w:val="auto"/>
                                <w:sz w:val="22"/>
                                <w:szCs w:val="22"/>
                              </w:rPr>
                            </w:pPr>
                            <w:bookmarkStart w:id="1" w:name="_Hlk108623114"/>
                            <w:r w:rsidRPr="004E69BC">
                              <w:rPr>
                                <w:rFonts w:ascii="Calibri" w:hAnsi="Calibri" w:cs="Calibri"/>
                                <w:color w:val="auto"/>
                                <w:sz w:val="22"/>
                                <w:szCs w:val="22"/>
                              </w:rPr>
                              <w:t>An independent agency combating major crime and reducing corruption for the benefit of the Queensland community.</w:t>
                            </w:r>
                          </w:p>
                          <w:bookmarkEnd w:id="1"/>
                          <w:p w14:paraId="5B45838E" w14:textId="77777777" w:rsidR="00AB4E18" w:rsidRPr="004E69BC" w:rsidRDefault="00AB4E18" w:rsidP="00AB4E18">
                            <w:pPr>
                              <w:pStyle w:val="BasicParagraph"/>
                              <w:suppressAutoHyphens/>
                              <w:spacing w:after="0" w:line="240" w:lineRule="auto"/>
                              <w:jc w:val="right"/>
                              <w:rPr>
                                <w:rFonts w:asciiTheme="minorHAnsi" w:hAnsiTheme="minorHAnsi" w:cstheme="minorHAnsi"/>
                                <w:color w:val="414042" w:themeColor="text1"/>
                                <w:sz w:val="100"/>
                                <w:szCs w:val="1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E4603" id="Text Box 19" o:spid="_x0000_s1032" type="#_x0000_t202" style="position:absolute;margin-left:-11.7pt;margin-top:11.55pt;width:307.45pt;height:57.7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" filled="f" stroked="f">
                <v:textbox>
                  <w:txbxContent>
                    <w:p w14:paraId="6A6C6402" w14:textId="77777777" w:rsidR="00AB4E18" w:rsidRPr="004E69BC" w:rsidRDefault="00AB4E18" w:rsidP="00AB4E18">
                      <w:pPr>
                        <w:pStyle w:val="BasicParagraph"/>
                        <w:suppressAutoHyphens/>
                        <w:spacing w:line="240" w:lineRule="auto"/>
                        <w:rPr>
                          <w:rFonts w:ascii="Calibri" w:hAnsi="Calibri" w:cs="Calibri"/>
                          <w:color w:val="auto"/>
                          <w:sz w:val="22"/>
                          <w:szCs w:val="22"/>
                        </w:rPr>
                      </w:pPr>
                      <w:bookmarkStart w:id="2" w:name="_Hlk108623114"/>
                      <w:r w:rsidRPr="004E69BC">
                        <w:rPr>
                          <w:rFonts w:ascii="Calibri" w:hAnsi="Calibri" w:cs="Calibri"/>
                          <w:color w:val="auto"/>
                          <w:sz w:val="22"/>
                          <w:szCs w:val="22"/>
                        </w:rPr>
                        <w:t>An independent agency combating major crime and reducing corruption for the benefit of the Queensland community.</w:t>
                      </w:r>
                    </w:p>
                    <w:bookmarkEnd w:id="2"/>
                    <w:p w14:paraId="5B45838E" w14:textId="77777777" w:rsidR="00AB4E18" w:rsidRPr="004E69BC" w:rsidRDefault="00AB4E18" w:rsidP="00AB4E18">
                      <w:pPr>
                        <w:pStyle w:val="BasicParagraph"/>
                        <w:suppressAutoHyphens/>
                        <w:spacing w:after="0" w:line="240" w:lineRule="auto"/>
                        <w:jc w:val="right"/>
                        <w:rPr>
                          <w:rFonts w:asciiTheme="minorHAnsi" w:hAnsiTheme="minorHAnsi" w:cstheme="minorHAnsi"/>
                          <w:color w:val="414042" w:themeColor="text1"/>
                          <w:sz w:val="100"/>
                          <w:szCs w:val="100"/>
                        </w:rPr>
                      </w:pPr>
                    </w:p>
                  </w:txbxContent>
                </v:textbox>
              </v:shape>
            </w:pict>
          </mc:Fallback>
        </mc:AlternateContent>
      </w:r>
    </w:p>
    <w:p w14:paraId="3945ACD5" w14:textId="34DD2155" w:rsidR="00B420FA" w:rsidRDefault="00B420FA" w:rsidP="0085715C">
      <w:pPr>
        <w:suppressAutoHyphens/>
        <w:autoSpaceDE w:val="0"/>
        <w:autoSpaceDN w:val="0"/>
        <w:adjustRightInd w:val="0"/>
        <w:spacing w:before="360" w:after="113" w:line="288" w:lineRule="auto"/>
        <w:textAlignment w:val="center"/>
        <w:rPr>
          <w:rFonts w:cs="Calibri Light"/>
          <w:color w:val="414042" w:themeColor="text1"/>
          <w:sz w:val="16"/>
          <w:szCs w:val="16"/>
        </w:rPr>
      </w:pPr>
    </w:p>
    <w:p w14:paraId="5A60DD5C" w14:textId="7400A3B7" w:rsidR="00B420FA" w:rsidRDefault="00B420FA" w:rsidP="0085715C">
      <w:pPr>
        <w:suppressAutoHyphens/>
        <w:autoSpaceDE w:val="0"/>
        <w:autoSpaceDN w:val="0"/>
        <w:adjustRightInd w:val="0"/>
        <w:spacing w:before="360" w:after="113" w:line="288" w:lineRule="auto"/>
        <w:textAlignment w:val="center"/>
        <w:rPr>
          <w:rFonts w:cs="Calibri Light"/>
          <w:color w:val="414042" w:themeColor="text1"/>
          <w:sz w:val="16"/>
          <w:szCs w:val="16"/>
        </w:rPr>
      </w:pPr>
    </w:p>
    <w:p w14:paraId="47853179" w14:textId="198BA777" w:rsidR="00B420FA" w:rsidRDefault="00B420FA" w:rsidP="0085715C">
      <w:pPr>
        <w:suppressAutoHyphens/>
        <w:autoSpaceDE w:val="0"/>
        <w:autoSpaceDN w:val="0"/>
        <w:adjustRightInd w:val="0"/>
        <w:spacing w:before="360" w:after="113" w:line="288" w:lineRule="auto"/>
        <w:textAlignment w:val="center"/>
        <w:rPr>
          <w:rFonts w:cs="Calibri Light"/>
          <w:color w:val="414042" w:themeColor="text1"/>
          <w:sz w:val="16"/>
          <w:szCs w:val="16"/>
        </w:rPr>
      </w:pPr>
    </w:p>
    <w:p w14:paraId="11EA1A0B" w14:textId="0C1EAF3E" w:rsidR="00BF3E73" w:rsidRDefault="00BF3E73" w:rsidP="0085715C">
      <w:pPr>
        <w:suppressAutoHyphens/>
        <w:autoSpaceDE w:val="0"/>
        <w:autoSpaceDN w:val="0"/>
        <w:adjustRightInd w:val="0"/>
        <w:spacing w:before="360" w:after="113" w:line="288" w:lineRule="auto"/>
        <w:textAlignment w:val="center"/>
        <w:rPr>
          <w:rFonts w:cs="Calibri Light"/>
          <w:color w:val="414042" w:themeColor="text1"/>
          <w:sz w:val="16"/>
          <w:szCs w:val="16"/>
        </w:rPr>
      </w:pPr>
    </w:p>
    <w:p w14:paraId="1A4C8D56" w14:textId="455CB536" w:rsidR="00B420FA" w:rsidRPr="00AF0D5C" w:rsidRDefault="00B420FA" w:rsidP="0085715C">
      <w:pPr>
        <w:suppressAutoHyphens/>
        <w:autoSpaceDE w:val="0"/>
        <w:autoSpaceDN w:val="0"/>
        <w:adjustRightInd w:val="0"/>
        <w:spacing w:before="360" w:after="113" w:line="288" w:lineRule="auto"/>
        <w:textAlignment w:val="center"/>
        <w:rPr>
          <w:rFonts w:cs="Calibri Light"/>
          <w:color w:val="414042" w:themeColor="text1"/>
          <w:sz w:val="16"/>
          <w:szCs w:val="16"/>
        </w:rPr>
      </w:pPr>
    </w:p>
    <w:tbl>
      <w:tblPr>
        <w:tblStyle w:val="TableGrid2"/>
        <w:tblW w:w="0" w:type="auto"/>
        <w:tblInd w:w="-142" w:type="dxa"/>
        <w:tblBorders>
          <w:top w:val="single" w:sz="24" w:space="0" w:color="E6E7E8" w:themeColor="accent6"/>
          <w:left w:val="single" w:sz="24" w:space="0" w:color="E6E7E8" w:themeColor="accent6"/>
          <w:bottom w:val="single" w:sz="24" w:space="0" w:color="E6E7E8" w:themeColor="accent6"/>
          <w:right w:val="single" w:sz="24" w:space="0" w:color="E6E7E8" w:themeColor="accent6"/>
          <w:insideH w:val="none" w:sz="0" w:space="0" w:color="auto"/>
          <w:insideV w:val="none" w:sz="0" w:space="0" w:color="auto"/>
        </w:tblBorders>
        <w:shd w:val="clear" w:color="auto" w:fill="FFFFFF" w:themeFill="background1"/>
        <w:tblLook w:val="04A0" w:firstRow="1" w:lastRow="0" w:firstColumn="1" w:lastColumn="0" w:noHBand="0" w:noVBand="1"/>
      </w:tblPr>
      <w:tblGrid>
        <w:gridCol w:w="9043"/>
      </w:tblGrid>
      <w:tr w:rsidR="00AF0D5C" w:rsidRPr="00AF0D5C" w14:paraId="3AEAF737" w14:textId="77777777" w:rsidTr="00775E4D">
        <w:tc>
          <w:tcPr>
            <w:tcW w:w="9043" w:type="dxa"/>
            <w:shd w:val="clear" w:color="auto" w:fill="FFFFFF" w:themeFill="background1"/>
          </w:tcPr>
          <w:p w14:paraId="23337D6A" w14:textId="5C0A6984" w:rsidR="00AB4E18" w:rsidRPr="006B1E6A" w:rsidRDefault="006B1E6A" w:rsidP="006B1E6A">
            <w:pPr>
              <w:pStyle w:val="5A-Headingintext"/>
              <w:spacing w:before="240"/>
              <w:rPr>
                <w:rFonts w:eastAsiaTheme="minorHAnsi"/>
                <w:lang w:eastAsia="en-US"/>
              </w:rPr>
            </w:pPr>
            <w:r w:rsidRPr="00AF0D5C">
              <w:rPr>
                <w:rFonts w:eastAsia="Calibri"/>
                <w:noProof/>
                <w:sz w:val="16"/>
                <w:szCs w:val="18"/>
              </w:rPr>
              <w:drawing>
                <wp:anchor distT="0" distB="0" distL="114300" distR="114300" simplePos="0" relativeHeight="252508160" behindDoc="1" locked="0" layoutInCell="1" allowOverlap="1" wp14:anchorId="1E404603" wp14:editId="21E4BB96">
                  <wp:simplePos x="0" y="0"/>
                  <wp:positionH relativeFrom="column">
                    <wp:posOffset>6350</wp:posOffset>
                  </wp:positionH>
                  <wp:positionV relativeFrom="paragraph">
                    <wp:posOffset>248132</wp:posOffset>
                  </wp:positionV>
                  <wp:extent cx="600075" cy="600075"/>
                  <wp:effectExtent l="0" t="0" r="0" b="0"/>
                  <wp:wrapSquare wrapText="bothSides"/>
                  <wp:docPr id="3710652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65299" name="Picture 371065299"/>
                          <pic:cNvPicPr/>
                        </pic:nvPicPr>
                        <pic:blipFill>
                          <a:blip r:embed="rId10" cstate="hqprint">
                            <a:duotone>
                              <a:prstClr val="black"/>
                              <a:schemeClr val="tx1">
                                <a:tint val="45000"/>
                                <a:satMod val="400000"/>
                              </a:schemeClr>
                            </a:duotone>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sidR="00AB4E18" w:rsidRPr="006B1E6A">
              <w:rPr>
                <w:rFonts w:eastAsiaTheme="minorHAnsi"/>
                <w:lang w:eastAsia="en-US"/>
              </w:rPr>
              <w:t>Acknowledgement of Country</w:t>
            </w:r>
          </w:p>
          <w:p w14:paraId="119276F9" w14:textId="167ED4F5" w:rsidR="00AB4E18" w:rsidRPr="00AF0D5C" w:rsidRDefault="00AB4E18" w:rsidP="00AB4E18">
            <w:pPr>
              <w:suppressAutoHyphens/>
              <w:autoSpaceDE w:val="0"/>
              <w:autoSpaceDN w:val="0"/>
              <w:adjustRightInd w:val="0"/>
              <w:spacing w:after="0" w:line="288" w:lineRule="auto"/>
              <w:ind w:left="-817" w:right="169"/>
              <w:textAlignment w:val="center"/>
              <w:rPr>
                <w:rFonts w:ascii="Calibri" w:eastAsia="Calibri" w:hAnsi="Calibri" w:cs="Calibri"/>
                <w:b/>
                <w:color w:val="414042" w:themeColor="text1"/>
                <w:sz w:val="16"/>
                <w:szCs w:val="18"/>
              </w:rPr>
            </w:pPr>
            <w:r w:rsidRPr="00AF0D5C">
              <w:rPr>
                <w:rFonts w:ascii="Calibri" w:eastAsia="Calibri" w:hAnsi="Calibri" w:cs="Calibri"/>
                <w:color w:val="414042" w:themeColor="text1"/>
                <w:sz w:val="16"/>
                <w:szCs w:val="18"/>
              </w:rPr>
              <w:t xml:space="preserve">We acknowledge Aboriginal and Torres Strait Islander peoples as the First Australians and recognise their culture, history, diversity and their deep connection to the land, waters and seas of Queensland and the Torres Strait. </w:t>
            </w:r>
            <w:r w:rsidR="006B1E6A">
              <w:rPr>
                <w:rFonts w:ascii="Calibri" w:eastAsia="Calibri" w:hAnsi="Calibri" w:cs="Calibri"/>
                <w:color w:val="414042" w:themeColor="text1"/>
                <w:sz w:val="16"/>
                <w:szCs w:val="18"/>
              </w:rPr>
              <w:br/>
            </w:r>
            <w:r w:rsidRPr="00AF0D5C">
              <w:rPr>
                <w:rFonts w:ascii="Calibri" w:eastAsia="Calibri" w:hAnsi="Calibri" w:cs="Calibri"/>
                <w:color w:val="414042" w:themeColor="text1"/>
                <w:sz w:val="16"/>
                <w:szCs w:val="18"/>
              </w:rPr>
              <w:t>We acknowledge the Traditional Custodians of the lands on which we operate and wish to pay our respects to their Elders past, present, and emerging.</w:t>
            </w:r>
            <w:r w:rsidRPr="00AF0D5C">
              <w:rPr>
                <w:rFonts w:ascii="Calibri" w:eastAsia="Calibri" w:hAnsi="Calibri" w:cs="Calibri"/>
                <w:color w:val="414042" w:themeColor="text1"/>
                <w:sz w:val="16"/>
                <w:szCs w:val="18"/>
              </w:rPr>
              <w:br/>
            </w:r>
          </w:p>
        </w:tc>
      </w:tr>
    </w:tbl>
    <w:p w14:paraId="2BB36A1D" w14:textId="77777777" w:rsidR="00AB4E18" w:rsidRPr="00AF0D5C" w:rsidRDefault="00AB4E18" w:rsidP="0085715C">
      <w:pPr>
        <w:suppressAutoHyphens/>
        <w:autoSpaceDE w:val="0"/>
        <w:autoSpaceDN w:val="0"/>
        <w:adjustRightInd w:val="0"/>
        <w:spacing w:before="360" w:after="113" w:line="288" w:lineRule="auto"/>
        <w:textAlignment w:val="center"/>
        <w:rPr>
          <w:rFonts w:cs="Calibri Light"/>
          <w:color w:val="414042" w:themeColor="text1"/>
          <w:sz w:val="16"/>
          <w:szCs w:val="16"/>
        </w:rPr>
        <w:sectPr w:rsidR="00AB4E18" w:rsidRPr="00AF0D5C" w:rsidSect="00E2118F">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661" w:right="1259" w:bottom="278" w:left="1298" w:header="709" w:footer="283" w:gutter="0"/>
          <w:pgNumType w:start="1"/>
          <w:cols w:space="567"/>
          <w:titlePg/>
          <w:docGrid w:linePitch="360"/>
        </w:sectPr>
      </w:pPr>
    </w:p>
    <w:p w14:paraId="5C85F9DE" w14:textId="1ACFAE3D" w:rsidR="00201A90" w:rsidRPr="00AF0D5C" w:rsidRDefault="00201A90" w:rsidP="0085715C">
      <w:pPr>
        <w:suppressAutoHyphens/>
        <w:autoSpaceDE w:val="0"/>
        <w:autoSpaceDN w:val="0"/>
        <w:adjustRightInd w:val="0"/>
        <w:spacing w:before="360" w:after="113" w:line="288" w:lineRule="auto"/>
        <w:textAlignment w:val="center"/>
        <w:rPr>
          <w:rFonts w:cs="Calibri Light"/>
          <w:color w:val="414042" w:themeColor="text1"/>
          <w:sz w:val="16"/>
          <w:szCs w:val="16"/>
        </w:rPr>
      </w:pPr>
    </w:p>
    <w:tbl>
      <w:tblPr>
        <w:tblpPr w:leftFromText="180" w:rightFromText="180" w:vertAnchor="page" w:horzAnchor="margin" w:tblpY="8721"/>
        <w:tblW w:w="9072" w:type="dxa"/>
        <w:tblCellMar>
          <w:left w:w="0" w:type="dxa"/>
          <w:right w:w="0" w:type="dxa"/>
        </w:tblCellMar>
        <w:tblLook w:val="04A0" w:firstRow="1" w:lastRow="0" w:firstColumn="1" w:lastColumn="0" w:noHBand="0" w:noVBand="1"/>
      </w:tblPr>
      <w:tblGrid>
        <w:gridCol w:w="3479"/>
        <w:gridCol w:w="5593"/>
      </w:tblGrid>
      <w:tr w:rsidR="00AF0D5C" w:rsidRPr="00AF0D5C" w14:paraId="50C46EF4" w14:textId="77777777" w:rsidTr="00BA28D6">
        <w:tc>
          <w:tcPr>
            <w:tcW w:w="9072" w:type="dxa"/>
            <w:gridSpan w:val="2"/>
            <w:tcMar>
              <w:top w:w="113" w:type="dxa"/>
              <w:bottom w:w="170" w:type="dxa"/>
            </w:tcMar>
          </w:tcPr>
          <w:p w14:paraId="08973687" w14:textId="77777777" w:rsidR="00AB4E18" w:rsidRPr="00AF0D5C" w:rsidRDefault="00AB4E18" w:rsidP="00965915">
            <w:pPr>
              <w:spacing w:before="60" w:after="240" w:line="200" w:lineRule="exact"/>
              <w:rPr>
                <w:rFonts w:ascii="Calibri" w:eastAsia="Calibri" w:hAnsi="Calibri" w:cs="Times New Roman"/>
                <w:color w:val="414042" w:themeColor="text1"/>
                <w:sz w:val="16"/>
                <w:szCs w:val="20"/>
                <w:lang w:bidi="en-US"/>
              </w:rPr>
            </w:pPr>
            <w:bookmarkStart w:id="2" w:name="_Hlk175671406"/>
            <w:r w:rsidRPr="00AF0D5C">
              <w:rPr>
                <w:rFonts w:ascii="Calibri" w:eastAsia="Calibri" w:hAnsi="Calibri" w:cs="Times New Roman"/>
                <w:color w:val="414042" w:themeColor="text1"/>
                <w:sz w:val="16"/>
                <w:szCs w:val="20"/>
                <w:lang w:bidi="en-US"/>
              </w:rPr>
              <w:t>ISSN: 2205-5991 (Online)</w:t>
            </w:r>
          </w:p>
          <w:p w14:paraId="2C138C38" w14:textId="77777777" w:rsidR="00AB4E18" w:rsidRPr="00AF0D5C" w:rsidRDefault="00AB4E18" w:rsidP="00965915">
            <w:pPr>
              <w:spacing w:before="60" w:after="240" w:line="200" w:lineRule="exact"/>
              <w:rPr>
                <w:rFonts w:ascii="Calibri" w:eastAsia="Calibri" w:hAnsi="Calibri" w:cs="Times New Roman"/>
                <w:color w:val="414042" w:themeColor="text1"/>
                <w:sz w:val="16"/>
                <w:szCs w:val="20"/>
                <w:lang w:bidi="en-US"/>
              </w:rPr>
            </w:pPr>
            <w:r w:rsidRPr="00AF0D5C">
              <w:rPr>
                <w:rFonts w:ascii="Calibri" w:eastAsia="Calibri" w:hAnsi="Calibri" w:cs="Times New Roman"/>
                <w:color w:val="414042" w:themeColor="text1"/>
                <w:sz w:val="16"/>
                <w:szCs w:val="20"/>
                <w:lang w:bidi="en-US"/>
              </w:rPr>
              <w:t>© The Crime and Corruption Commission (CCC) 2024</w:t>
            </w:r>
          </w:p>
          <w:p w14:paraId="04F71C82" w14:textId="77777777" w:rsidR="00AB4E18" w:rsidRPr="00AF0D5C" w:rsidRDefault="00AB4E18" w:rsidP="00965915">
            <w:pPr>
              <w:suppressAutoHyphens/>
              <w:autoSpaceDE w:val="0"/>
              <w:autoSpaceDN w:val="0"/>
              <w:adjustRightInd w:val="0"/>
              <w:spacing w:after="0" w:line="288" w:lineRule="auto"/>
              <w:textAlignment w:val="center"/>
              <w:rPr>
                <w:rFonts w:ascii="Calibri" w:eastAsia="Calibri" w:hAnsi="Calibri" w:cs="Calibri"/>
                <w:b/>
                <w:color w:val="414042" w:themeColor="text1"/>
                <w:sz w:val="16"/>
                <w:szCs w:val="16"/>
              </w:rPr>
            </w:pPr>
            <w:r w:rsidRPr="00AF0D5C">
              <w:rPr>
                <w:rFonts w:ascii="Calibri" w:eastAsia="Calibri" w:hAnsi="Calibri" w:cs="Calibri"/>
                <w:b/>
                <w:bCs/>
                <w:color w:val="414042" w:themeColor="text1"/>
                <w:sz w:val="16"/>
                <w:szCs w:val="16"/>
              </w:rPr>
              <w:t>Licence</w:t>
            </w:r>
          </w:p>
          <w:p w14:paraId="170D6ABD" w14:textId="77777777" w:rsidR="00AB4E18" w:rsidRPr="00AF0D5C" w:rsidRDefault="00AB4E18" w:rsidP="00965915">
            <w:pPr>
              <w:suppressAutoHyphens/>
              <w:autoSpaceDE w:val="0"/>
              <w:autoSpaceDN w:val="0"/>
              <w:adjustRightInd w:val="0"/>
              <w:spacing w:after="0" w:line="288" w:lineRule="auto"/>
              <w:textAlignment w:val="center"/>
              <w:rPr>
                <w:color w:val="414042" w:themeColor="text1"/>
                <w:sz w:val="16"/>
                <w:szCs w:val="18"/>
                <w:u w:val="single"/>
              </w:rPr>
            </w:pPr>
            <w:r w:rsidRPr="00AF0D5C">
              <w:rPr>
                <w:rFonts w:ascii="Calibri" w:eastAsia="Calibri" w:hAnsi="Calibri" w:cs="Calibri"/>
                <w:color w:val="414042" w:themeColor="text1"/>
                <w:sz w:val="16"/>
                <w:szCs w:val="18"/>
              </w:rPr>
              <w:t xml:space="preserve">This annual report is licensed by the Crime and Corruption Commission under a Creative Commons Attribution (CC BY) 4.0 International licence. To view a copy of this licence, visit </w:t>
            </w:r>
            <w:hyperlink r:id="rId18" w:history="1">
              <w:r w:rsidRPr="00AF0D5C">
                <w:rPr>
                  <w:rStyle w:val="Hyperlink"/>
                  <w:color w:val="414042" w:themeColor="text1"/>
                  <w:sz w:val="16"/>
                  <w:szCs w:val="18"/>
                </w:rPr>
                <w:t>http://creativecommons.org/licenses/by/4.0/</w:t>
              </w:r>
            </w:hyperlink>
            <w:r w:rsidRPr="00AF0D5C">
              <w:rPr>
                <w:rStyle w:val="Hyperlink"/>
                <w:color w:val="414042" w:themeColor="text1"/>
                <w:sz w:val="16"/>
                <w:szCs w:val="18"/>
              </w:rPr>
              <w:t>.</w:t>
            </w:r>
          </w:p>
          <w:p w14:paraId="78C4A162" w14:textId="77777777" w:rsidR="00AB4E18" w:rsidRPr="00AF0D5C" w:rsidRDefault="00AB4E18" w:rsidP="00965915">
            <w:pPr>
              <w:suppressAutoHyphens/>
              <w:autoSpaceDE w:val="0"/>
              <w:autoSpaceDN w:val="0"/>
              <w:adjustRightInd w:val="0"/>
              <w:spacing w:before="120" w:after="0" w:line="288" w:lineRule="auto"/>
              <w:ind w:left="1560" w:right="3"/>
              <w:textAlignment w:val="center"/>
              <w:rPr>
                <w:rFonts w:ascii="Calibri" w:eastAsia="Calibri" w:hAnsi="Calibri" w:cs="Calibri"/>
                <w:color w:val="414042" w:themeColor="text1"/>
                <w:sz w:val="16"/>
                <w:szCs w:val="18"/>
              </w:rPr>
            </w:pPr>
            <w:r w:rsidRPr="00AF0D5C">
              <w:rPr>
                <w:noProof/>
                <w:color w:val="414042" w:themeColor="text1"/>
                <w:sz w:val="16"/>
                <w:lang w:eastAsia="en-AU"/>
              </w:rPr>
              <w:drawing>
                <wp:anchor distT="0" distB="0" distL="114300" distR="114300" simplePos="0" relativeHeight="252510208" behindDoc="1" locked="0" layoutInCell="1" allowOverlap="1" wp14:anchorId="407F8EE3" wp14:editId="78997B45">
                  <wp:simplePos x="0" y="0"/>
                  <wp:positionH relativeFrom="margin">
                    <wp:posOffset>25253</wp:posOffset>
                  </wp:positionH>
                  <wp:positionV relativeFrom="paragraph">
                    <wp:posOffset>92312</wp:posOffset>
                  </wp:positionV>
                  <wp:extent cx="866775" cy="302895"/>
                  <wp:effectExtent l="0" t="0" r="0" b="1905"/>
                  <wp:wrapTight wrapText="bothSides">
                    <wp:wrapPolygon edited="0">
                      <wp:start x="0" y="0"/>
                      <wp:lineTo x="0" y="20377"/>
                      <wp:lineTo x="20888" y="20377"/>
                      <wp:lineTo x="20888" y="0"/>
                      <wp:lineTo x="0" y="0"/>
                    </wp:wrapPolygon>
                  </wp:wrapTight>
                  <wp:docPr id="218" name="Picture 25" descr="Creative Commons Attributi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eative Commons Attribution (BY)"/>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66775" cy="302895"/>
                          </a:xfrm>
                          <a:prstGeom prst="rect">
                            <a:avLst/>
                          </a:prstGeom>
                          <a:noFill/>
                        </pic:spPr>
                      </pic:pic>
                    </a:graphicData>
                  </a:graphic>
                  <wp14:sizeRelH relativeFrom="page">
                    <wp14:pctWidth>0</wp14:pctWidth>
                  </wp14:sizeRelH>
                  <wp14:sizeRelV relativeFrom="page">
                    <wp14:pctHeight>0</wp14:pctHeight>
                  </wp14:sizeRelV>
                </wp:anchor>
              </w:drawing>
            </w:r>
            <w:r w:rsidRPr="00AF0D5C">
              <w:rPr>
                <w:rFonts w:ascii="Calibri" w:eastAsia="Calibri" w:hAnsi="Calibri" w:cs="Calibri"/>
                <w:color w:val="414042" w:themeColor="text1"/>
                <w:sz w:val="16"/>
                <w:szCs w:val="18"/>
              </w:rPr>
              <w:t xml:space="preserve">In essence, you are free to copy, communicate and adapt this publication, as long as you attribute the work to the Crime and Corruption Commission. For further information contact: </w:t>
            </w:r>
            <w:hyperlink r:id="rId21" w:history="1">
              <w:r w:rsidRPr="00AF0D5C">
                <w:rPr>
                  <w:rStyle w:val="Hyperlink"/>
                  <w:color w:val="414042" w:themeColor="text1"/>
                  <w:sz w:val="16"/>
                  <w:szCs w:val="16"/>
                </w:rPr>
                <w:t xml:space="preserve">mailbox@ccc.qld.gov.au. </w:t>
              </w:r>
            </w:hyperlink>
          </w:p>
          <w:p w14:paraId="2A702CCE" w14:textId="77777777" w:rsidR="00AB4E18" w:rsidRPr="00AF0D5C" w:rsidRDefault="00AB4E18" w:rsidP="00965915">
            <w:pPr>
              <w:suppressAutoHyphens/>
              <w:autoSpaceDE w:val="0"/>
              <w:autoSpaceDN w:val="0"/>
              <w:adjustRightInd w:val="0"/>
              <w:spacing w:after="0" w:line="288" w:lineRule="auto"/>
              <w:textAlignment w:val="center"/>
              <w:rPr>
                <w:rFonts w:ascii="Calibri" w:eastAsia="Calibri" w:hAnsi="Calibri" w:cs="Calibri"/>
                <w:b/>
                <w:bCs/>
                <w:color w:val="414042" w:themeColor="text1"/>
                <w:sz w:val="16"/>
                <w:szCs w:val="16"/>
              </w:rPr>
            </w:pPr>
          </w:p>
          <w:p w14:paraId="2C73AC96" w14:textId="77777777" w:rsidR="00AB4E18" w:rsidRPr="00AF0D5C" w:rsidRDefault="00AB4E18" w:rsidP="00965915">
            <w:pPr>
              <w:suppressAutoHyphens/>
              <w:autoSpaceDE w:val="0"/>
              <w:autoSpaceDN w:val="0"/>
              <w:adjustRightInd w:val="0"/>
              <w:spacing w:after="0" w:line="288" w:lineRule="auto"/>
              <w:textAlignment w:val="center"/>
              <w:rPr>
                <w:rFonts w:ascii="Minion Pro" w:eastAsia="Calibri" w:hAnsi="Minion Pro" w:cs="Minion Pro"/>
                <w:b/>
                <w:bCs/>
                <w:color w:val="414042" w:themeColor="text1"/>
                <w:sz w:val="16"/>
                <w:szCs w:val="16"/>
              </w:rPr>
            </w:pPr>
            <w:r w:rsidRPr="00AF0D5C">
              <w:rPr>
                <w:rFonts w:ascii="Calibri" w:eastAsia="Calibri" w:hAnsi="Calibri" w:cs="Calibri"/>
                <w:b/>
                <w:bCs/>
                <w:color w:val="414042" w:themeColor="text1"/>
                <w:sz w:val="16"/>
                <w:szCs w:val="16"/>
              </w:rPr>
              <w:t>Attribution</w:t>
            </w:r>
          </w:p>
          <w:p w14:paraId="6CB0B07C" w14:textId="77777777" w:rsidR="00AB4E18" w:rsidRPr="00AF0D5C" w:rsidRDefault="00AB4E18" w:rsidP="00965915">
            <w:pPr>
              <w:suppressAutoHyphens/>
              <w:autoSpaceDE w:val="0"/>
              <w:autoSpaceDN w:val="0"/>
              <w:adjustRightInd w:val="0"/>
              <w:spacing w:after="240" w:line="288" w:lineRule="auto"/>
              <w:textAlignment w:val="center"/>
              <w:rPr>
                <w:rFonts w:ascii="Calibri" w:eastAsia="Calibri" w:hAnsi="Calibri" w:cs="Calibri"/>
                <w:i/>
                <w:iCs/>
                <w:color w:val="414042" w:themeColor="text1"/>
                <w:sz w:val="16"/>
                <w:szCs w:val="18"/>
              </w:rPr>
            </w:pPr>
            <w:r w:rsidRPr="00AF0D5C">
              <w:rPr>
                <w:rFonts w:ascii="Calibri" w:eastAsia="Calibri" w:hAnsi="Calibri" w:cs="Calibri"/>
                <w:color w:val="414042" w:themeColor="text1"/>
                <w:sz w:val="16"/>
                <w:szCs w:val="18"/>
              </w:rPr>
              <w:t xml:space="preserve">Content from this publication should be attributed as: </w:t>
            </w:r>
            <w:r w:rsidRPr="00AF0D5C">
              <w:rPr>
                <w:rFonts w:cs="Calibri Light"/>
                <w:i/>
                <w:iCs/>
                <w:color w:val="414042" w:themeColor="text1"/>
                <w:sz w:val="16"/>
                <w:szCs w:val="16"/>
              </w:rPr>
              <w:t xml:space="preserve"> </w:t>
            </w:r>
            <w:r w:rsidRPr="00AF0D5C">
              <w:rPr>
                <w:rFonts w:ascii="Calibri" w:eastAsia="Calibri" w:hAnsi="Calibri" w:cs="Calibri"/>
                <w:i/>
                <w:iCs/>
                <w:color w:val="414042" w:themeColor="text1"/>
                <w:sz w:val="16"/>
                <w:szCs w:val="18"/>
              </w:rPr>
              <w:t>The Crime and Corruption Commission Annual Report 2023–24</w:t>
            </w:r>
          </w:p>
          <w:p w14:paraId="516F7583" w14:textId="77777777" w:rsidR="00AB4E18" w:rsidRPr="00AF0D5C" w:rsidRDefault="00AB4E18" w:rsidP="00965915">
            <w:pPr>
              <w:suppressAutoHyphens/>
              <w:autoSpaceDE w:val="0"/>
              <w:autoSpaceDN w:val="0"/>
              <w:adjustRightInd w:val="0"/>
              <w:spacing w:after="0" w:line="288" w:lineRule="auto"/>
              <w:textAlignment w:val="center"/>
              <w:rPr>
                <w:rFonts w:ascii="Calibri" w:eastAsia="Calibri" w:hAnsi="Calibri" w:cs="Calibri"/>
                <w:b/>
                <w:bCs/>
                <w:color w:val="414042" w:themeColor="text1"/>
                <w:sz w:val="16"/>
                <w:szCs w:val="16"/>
              </w:rPr>
            </w:pPr>
            <w:r w:rsidRPr="00AF0D5C">
              <w:rPr>
                <w:rFonts w:ascii="Calibri" w:eastAsia="Calibri" w:hAnsi="Calibri" w:cs="Calibri"/>
                <w:b/>
                <w:bCs/>
                <w:color w:val="414042" w:themeColor="text1"/>
                <w:sz w:val="16"/>
                <w:szCs w:val="16"/>
              </w:rPr>
              <w:t>Disclaimer of Liability</w:t>
            </w:r>
          </w:p>
          <w:p w14:paraId="3BFC1528" w14:textId="77777777" w:rsidR="00AB4E18" w:rsidRPr="00AF0D5C" w:rsidRDefault="00AB4E18" w:rsidP="00965915">
            <w:pPr>
              <w:suppressAutoHyphens/>
              <w:autoSpaceDE w:val="0"/>
              <w:autoSpaceDN w:val="0"/>
              <w:adjustRightInd w:val="0"/>
              <w:spacing w:after="0" w:line="288" w:lineRule="auto"/>
              <w:textAlignment w:val="center"/>
              <w:rPr>
                <w:rFonts w:ascii="Calibri" w:eastAsia="Calibri" w:hAnsi="Calibri" w:cs="Calibri"/>
                <w:color w:val="414042" w:themeColor="text1"/>
                <w:sz w:val="18"/>
                <w:szCs w:val="18"/>
              </w:rPr>
            </w:pPr>
            <w:r w:rsidRPr="00AF0D5C">
              <w:rPr>
                <w:rFonts w:ascii="Calibri" w:eastAsia="Calibri" w:hAnsi="Calibri" w:cs="Calibri"/>
                <w:color w:val="414042" w:themeColor="text1"/>
                <w:sz w:val="16"/>
                <w:szCs w:val="18"/>
              </w:rPr>
              <w:t>While every effort is made to ensure that accurate information is disseminated through this medium, the Crime and Corruption Commission makes no representation about the content and suitability of this information for any purpose. The information provided is only intended to increase awareness and provide general information on the topic. It does not constitute legal advice. The Crime and Corruption Commission does not accept responsibility for any actions undertaken based on the information contained herein.</w:t>
            </w:r>
          </w:p>
        </w:tc>
      </w:tr>
      <w:tr w:rsidR="00AF0D5C" w:rsidRPr="00AF0D5C" w14:paraId="479BADF7" w14:textId="77777777" w:rsidTr="00BA28D6">
        <w:tc>
          <w:tcPr>
            <w:tcW w:w="3479" w:type="dxa"/>
            <w:tcMar>
              <w:top w:w="113" w:type="dxa"/>
              <w:bottom w:w="170" w:type="dxa"/>
            </w:tcMar>
          </w:tcPr>
          <w:p w14:paraId="1AE1752A" w14:textId="77777777" w:rsidR="00AB4E18" w:rsidRPr="00AF0D5C" w:rsidRDefault="00AB4E18" w:rsidP="00965915">
            <w:pPr>
              <w:spacing w:after="0" w:line="240" w:lineRule="exact"/>
              <w:rPr>
                <w:rFonts w:ascii="Calibri" w:eastAsia="Calibri" w:hAnsi="Calibri" w:cs="Times New Roman"/>
                <w:color w:val="414042" w:themeColor="text1"/>
                <w:sz w:val="16"/>
                <w:szCs w:val="16"/>
              </w:rPr>
            </w:pPr>
            <w:r w:rsidRPr="00AF0D5C">
              <w:rPr>
                <w:rFonts w:ascii="Calibri" w:eastAsia="Calibri" w:hAnsi="Calibri" w:cs="Times New Roman"/>
                <w:b/>
                <w:color w:val="414042" w:themeColor="text1"/>
                <w:sz w:val="16"/>
                <w:szCs w:val="16"/>
              </w:rPr>
              <w:t>Crime and Corruption Commission</w:t>
            </w:r>
            <w:r w:rsidRPr="00AF0D5C">
              <w:rPr>
                <w:rFonts w:ascii="Calibri" w:eastAsia="Calibri" w:hAnsi="Calibri" w:cs="Times New Roman"/>
                <w:color w:val="414042" w:themeColor="text1"/>
                <w:sz w:val="16"/>
                <w:szCs w:val="16"/>
              </w:rPr>
              <w:br/>
              <w:t>GPO Box 3123, Brisbane QLD 4001</w:t>
            </w:r>
          </w:p>
          <w:p w14:paraId="56587CA9" w14:textId="77777777" w:rsidR="00AB4E18" w:rsidRPr="00AF0D5C" w:rsidRDefault="00AB4E18" w:rsidP="00965915">
            <w:pPr>
              <w:spacing w:after="0" w:line="240" w:lineRule="exact"/>
              <w:rPr>
                <w:rFonts w:ascii="Calibri" w:eastAsia="Calibri" w:hAnsi="Calibri" w:cs="Times New Roman"/>
                <w:color w:val="414042" w:themeColor="text1"/>
                <w:sz w:val="16"/>
                <w:szCs w:val="16"/>
              </w:rPr>
            </w:pPr>
            <w:r w:rsidRPr="00AF0D5C">
              <w:rPr>
                <w:rFonts w:ascii="Calibri" w:eastAsia="Calibri" w:hAnsi="Calibri" w:cs="Times New Roman"/>
                <w:color w:val="414042" w:themeColor="text1"/>
                <w:sz w:val="16"/>
                <w:szCs w:val="16"/>
              </w:rPr>
              <w:t>Level 2, North Tower Green Square</w:t>
            </w:r>
            <w:r w:rsidRPr="00AF0D5C">
              <w:rPr>
                <w:rFonts w:ascii="Calibri" w:eastAsia="Calibri" w:hAnsi="Calibri" w:cs="Times New Roman"/>
                <w:color w:val="414042" w:themeColor="text1"/>
                <w:sz w:val="16"/>
                <w:szCs w:val="16"/>
              </w:rPr>
              <w:br/>
              <w:t>515 St Pauls Terrace</w:t>
            </w:r>
            <w:r w:rsidRPr="00AF0D5C">
              <w:rPr>
                <w:rFonts w:ascii="Calibri" w:eastAsia="Calibri" w:hAnsi="Calibri" w:cs="Times New Roman"/>
                <w:color w:val="414042" w:themeColor="text1"/>
                <w:sz w:val="16"/>
                <w:szCs w:val="16"/>
              </w:rPr>
              <w:br/>
              <w:t>Fortitude Valley QLD 4006</w:t>
            </w:r>
          </w:p>
        </w:tc>
        <w:tc>
          <w:tcPr>
            <w:tcW w:w="5593" w:type="dxa"/>
            <w:tcMar>
              <w:top w:w="113" w:type="dxa"/>
              <w:bottom w:w="170" w:type="dxa"/>
            </w:tcMar>
          </w:tcPr>
          <w:p w14:paraId="1BB34646" w14:textId="77777777" w:rsidR="00AB4E18" w:rsidRPr="00AF0D5C" w:rsidRDefault="00AB4E18" w:rsidP="00965915">
            <w:pPr>
              <w:spacing w:after="0" w:line="240" w:lineRule="exact"/>
              <w:rPr>
                <w:rFonts w:ascii="Calibri" w:eastAsia="Calibri" w:hAnsi="Calibri" w:cs="Times New Roman"/>
                <w:color w:val="414042" w:themeColor="text1"/>
                <w:sz w:val="16"/>
                <w:szCs w:val="16"/>
              </w:rPr>
            </w:pPr>
            <w:r w:rsidRPr="00AF0D5C">
              <w:rPr>
                <w:rFonts w:ascii="Calibri" w:eastAsia="Calibri" w:hAnsi="Calibri" w:cs="Times New Roman"/>
                <w:color w:val="414042" w:themeColor="text1"/>
                <w:sz w:val="16"/>
                <w:szCs w:val="16"/>
              </w:rPr>
              <w:br/>
              <w:t>Phone:</w:t>
            </w:r>
            <w:r w:rsidRPr="00AF0D5C">
              <w:rPr>
                <w:rFonts w:ascii="Calibri" w:eastAsia="Calibri" w:hAnsi="Calibri" w:cs="Times New Roman"/>
                <w:color w:val="414042" w:themeColor="text1"/>
                <w:sz w:val="16"/>
                <w:szCs w:val="16"/>
              </w:rPr>
              <w:tab/>
              <w:t>07 3360 6060</w:t>
            </w:r>
            <w:r w:rsidRPr="00AF0D5C">
              <w:rPr>
                <w:rFonts w:ascii="Calibri" w:eastAsia="Calibri" w:hAnsi="Calibri" w:cs="Times New Roman"/>
                <w:color w:val="414042" w:themeColor="text1"/>
                <w:sz w:val="16"/>
                <w:szCs w:val="16"/>
              </w:rPr>
              <w:br/>
            </w:r>
            <w:r w:rsidRPr="00AF0D5C">
              <w:rPr>
                <w:rFonts w:ascii="Calibri" w:eastAsia="Calibri" w:hAnsi="Calibri" w:cs="Times New Roman"/>
                <w:color w:val="414042" w:themeColor="text1"/>
                <w:sz w:val="16"/>
                <w:szCs w:val="16"/>
              </w:rPr>
              <w:tab/>
              <w:t>(toll-free outside Brisbane: 1800 061 611)</w:t>
            </w:r>
            <w:r w:rsidRPr="00AF0D5C">
              <w:rPr>
                <w:rFonts w:ascii="Calibri" w:eastAsia="Calibri" w:hAnsi="Calibri" w:cs="Times New Roman"/>
                <w:color w:val="414042" w:themeColor="text1"/>
                <w:sz w:val="16"/>
                <w:szCs w:val="16"/>
              </w:rPr>
              <w:br/>
              <w:t>Fax:</w:t>
            </w:r>
            <w:r w:rsidRPr="00AF0D5C">
              <w:rPr>
                <w:rFonts w:ascii="Calibri" w:eastAsia="Calibri" w:hAnsi="Calibri" w:cs="Times New Roman"/>
                <w:color w:val="414042" w:themeColor="text1"/>
                <w:sz w:val="16"/>
                <w:szCs w:val="16"/>
              </w:rPr>
              <w:tab/>
              <w:t>07 3360 6333</w:t>
            </w:r>
            <w:r w:rsidRPr="00AF0D5C">
              <w:rPr>
                <w:rFonts w:ascii="Calibri" w:eastAsia="Calibri" w:hAnsi="Calibri" w:cs="Times New Roman"/>
                <w:color w:val="414042" w:themeColor="text1"/>
                <w:sz w:val="16"/>
                <w:szCs w:val="16"/>
              </w:rPr>
              <w:br/>
              <w:t>Email:</w:t>
            </w:r>
            <w:r w:rsidRPr="00AF0D5C">
              <w:rPr>
                <w:rFonts w:ascii="Calibri" w:eastAsia="Calibri" w:hAnsi="Calibri" w:cs="Times New Roman"/>
                <w:color w:val="414042" w:themeColor="text1"/>
                <w:sz w:val="16"/>
                <w:szCs w:val="16"/>
              </w:rPr>
              <w:tab/>
            </w:r>
            <w:hyperlink r:id="rId22" w:history="1">
              <w:r w:rsidRPr="00AF0D5C">
                <w:rPr>
                  <w:rFonts w:ascii="Calibri" w:eastAsia="Calibri" w:hAnsi="Calibri" w:cs="Times New Roman"/>
                  <w:color w:val="414042" w:themeColor="text1"/>
                  <w:sz w:val="16"/>
                  <w:szCs w:val="16"/>
                </w:rPr>
                <w:t>mailbox@ccc.qld.gov.au</w:t>
              </w:r>
            </w:hyperlink>
          </w:p>
        </w:tc>
      </w:tr>
      <w:tr w:rsidR="00AF0D5C" w:rsidRPr="00AF0D5C" w14:paraId="1FB6BD0E" w14:textId="77777777" w:rsidTr="00BA28D6">
        <w:trPr>
          <w:trHeight w:val="312"/>
        </w:trPr>
        <w:tc>
          <w:tcPr>
            <w:tcW w:w="9072" w:type="dxa"/>
            <w:gridSpan w:val="2"/>
            <w:shd w:val="clear" w:color="auto" w:fill="414042" w:themeFill="text1"/>
            <w:tcMar>
              <w:top w:w="57" w:type="dxa"/>
              <w:left w:w="113" w:type="dxa"/>
              <w:bottom w:w="113" w:type="dxa"/>
            </w:tcMar>
          </w:tcPr>
          <w:p w14:paraId="3A6DC1F6" w14:textId="77777777" w:rsidR="00AB4E18" w:rsidRPr="00AF0D5C" w:rsidRDefault="00AB4E18" w:rsidP="00965915">
            <w:pPr>
              <w:spacing w:before="60" w:after="0" w:line="200" w:lineRule="exact"/>
              <w:rPr>
                <w:rFonts w:ascii="Calibri" w:eastAsia="Calibri" w:hAnsi="Calibri" w:cs="Times New Roman"/>
                <w:color w:val="414042" w:themeColor="text1"/>
                <w:sz w:val="18"/>
                <w:szCs w:val="16"/>
                <w:lang w:bidi="en-US"/>
              </w:rPr>
            </w:pPr>
            <w:r w:rsidRPr="003254B0">
              <w:rPr>
                <w:rFonts w:ascii="Calibri" w:eastAsia="Calibri" w:hAnsi="Calibri" w:cs="Times New Roman"/>
                <w:color w:val="FFFFFF" w:themeColor="background1"/>
                <w:sz w:val="16"/>
                <w:szCs w:val="16"/>
                <w:lang w:bidi="en-US"/>
              </w:rPr>
              <w:t xml:space="preserve">Note: This publication is accessible through the CCC website: </w:t>
            </w:r>
            <w:hyperlink r:id="rId23" w:history="1">
              <w:r w:rsidRPr="003254B0">
                <w:rPr>
                  <w:rFonts w:ascii="Calibri" w:eastAsia="Calibri" w:hAnsi="Calibri" w:cs="Times New Roman"/>
                  <w:color w:val="FFFFFF" w:themeColor="background1"/>
                  <w:sz w:val="16"/>
                  <w:szCs w:val="16"/>
                  <w:u w:val="single"/>
                  <w:lang w:bidi="en-US"/>
                </w:rPr>
                <w:t>www.ccc.qld.gov.au</w:t>
              </w:r>
            </w:hyperlink>
            <w:r w:rsidRPr="00AF0D5C">
              <w:rPr>
                <w:rFonts w:ascii="Calibri" w:eastAsia="Calibri" w:hAnsi="Calibri" w:cs="Times New Roman"/>
                <w:color w:val="414042" w:themeColor="text1"/>
                <w:sz w:val="16"/>
                <w:szCs w:val="16"/>
                <w:u w:val="single"/>
                <w:lang w:bidi="en-US"/>
              </w:rPr>
              <w:t>.</w:t>
            </w:r>
          </w:p>
        </w:tc>
      </w:tr>
      <w:bookmarkEnd w:id="2"/>
    </w:tbl>
    <w:p w14:paraId="29341A6E" w14:textId="06AAB808" w:rsidR="0085715C" w:rsidRDefault="0085715C">
      <w:pPr>
        <w:spacing w:before="120" w:after="0" w:line="260" w:lineRule="exact"/>
        <w:rPr>
          <w:color w:val="414042" w:themeColor="text1"/>
        </w:rPr>
      </w:pPr>
    </w:p>
    <w:p w14:paraId="68607D60" w14:textId="77777777" w:rsidR="002521A6" w:rsidRPr="002521A6" w:rsidRDefault="002521A6" w:rsidP="002521A6"/>
    <w:p w14:paraId="734DA026" w14:textId="77777777" w:rsidR="002521A6" w:rsidRPr="002521A6" w:rsidRDefault="002521A6" w:rsidP="002521A6"/>
    <w:p w14:paraId="6B9EC7C5" w14:textId="77777777" w:rsidR="002521A6" w:rsidRPr="002521A6" w:rsidRDefault="002521A6" w:rsidP="002521A6"/>
    <w:p w14:paraId="76247E75" w14:textId="77777777" w:rsidR="002521A6" w:rsidRPr="002521A6" w:rsidRDefault="002521A6" w:rsidP="002521A6"/>
    <w:p w14:paraId="324A7104" w14:textId="77777777" w:rsidR="002521A6" w:rsidRPr="002521A6" w:rsidRDefault="002521A6" w:rsidP="002521A6"/>
    <w:p w14:paraId="300C01FD" w14:textId="77777777" w:rsidR="002521A6" w:rsidRPr="002521A6" w:rsidRDefault="002521A6" w:rsidP="002521A6"/>
    <w:p w14:paraId="56666915" w14:textId="77777777" w:rsidR="002521A6" w:rsidRPr="002521A6" w:rsidRDefault="002521A6" w:rsidP="002521A6"/>
    <w:p w14:paraId="1A14917E" w14:textId="77777777" w:rsidR="002521A6" w:rsidRPr="002521A6" w:rsidRDefault="002521A6" w:rsidP="002521A6"/>
    <w:p w14:paraId="7D33EAAE" w14:textId="77777777" w:rsidR="002521A6" w:rsidRPr="002521A6" w:rsidRDefault="002521A6" w:rsidP="002521A6"/>
    <w:p w14:paraId="7963BAC2" w14:textId="77777777" w:rsidR="002521A6" w:rsidRPr="002521A6" w:rsidRDefault="002521A6" w:rsidP="002521A6"/>
    <w:p w14:paraId="69D505C2" w14:textId="77777777" w:rsidR="002521A6" w:rsidRPr="002521A6" w:rsidRDefault="002521A6" w:rsidP="002521A6"/>
    <w:p w14:paraId="4BD1C3A4" w14:textId="77777777" w:rsidR="002521A6" w:rsidRPr="002521A6" w:rsidRDefault="002521A6" w:rsidP="002521A6"/>
    <w:p w14:paraId="68FC7DFD" w14:textId="77777777" w:rsidR="002521A6" w:rsidRPr="002521A6" w:rsidRDefault="002521A6" w:rsidP="002521A6"/>
    <w:p w14:paraId="207243A5" w14:textId="77777777" w:rsidR="002521A6" w:rsidRPr="002521A6" w:rsidRDefault="002521A6" w:rsidP="002521A6"/>
    <w:p w14:paraId="5D245416" w14:textId="4EC753E9" w:rsidR="00516128" w:rsidRDefault="00516128" w:rsidP="002521A6">
      <w:r>
        <w:br w:type="page"/>
      </w:r>
    </w:p>
    <w:p w14:paraId="145C253F" w14:textId="77777777" w:rsidR="00516128" w:rsidRDefault="00516128" w:rsidP="0045684C">
      <w:pPr>
        <w:pStyle w:val="1Heading"/>
        <w:sectPr w:rsidR="00516128" w:rsidSect="00C77834">
          <w:headerReference w:type="even" r:id="rId24"/>
          <w:headerReference w:type="default" r:id="rId25"/>
          <w:footerReference w:type="even" r:id="rId26"/>
          <w:footerReference w:type="default" r:id="rId27"/>
          <w:headerReference w:type="first" r:id="rId28"/>
          <w:footerReference w:type="first" r:id="rId29"/>
          <w:type w:val="continuous"/>
          <w:pgSz w:w="11906" w:h="16838"/>
          <w:pgMar w:top="2155" w:right="1134" w:bottom="964" w:left="1134" w:header="709" w:footer="283" w:gutter="0"/>
          <w:cols w:space="567"/>
          <w:docGrid w:linePitch="360"/>
        </w:sectPr>
      </w:pPr>
    </w:p>
    <w:p w14:paraId="05986B65" w14:textId="77777777" w:rsidR="0045684C" w:rsidRDefault="0045684C" w:rsidP="0045684C">
      <w:pPr>
        <w:pStyle w:val="1Heading"/>
      </w:pPr>
      <w:r>
        <w:lastRenderedPageBreak/>
        <w:t>Contents</w:t>
      </w:r>
    </w:p>
    <w:p w14:paraId="77904556" w14:textId="27CF5D8B" w:rsidR="002521A6" w:rsidRPr="002521A6" w:rsidRDefault="002521A6" w:rsidP="002521A6">
      <w:pPr>
        <w:tabs>
          <w:tab w:val="left" w:pos="3177"/>
        </w:tabs>
      </w:pPr>
    </w:p>
    <w:tbl>
      <w:tblPr>
        <w:tblpPr w:leftFromText="180" w:rightFromText="180" w:vertAnchor="text" w:horzAnchor="margin" w:tblpY="35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tblCellMar>
        <w:tblLook w:val="04A0" w:firstRow="1" w:lastRow="0" w:firstColumn="1" w:lastColumn="0" w:noHBand="0" w:noVBand="1"/>
      </w:tblPr>
      <w:tblGrid>
        <w:gridCol w:w="8221"/>
        <w:gridCol w:w="1417"/>
      </w:tblGrid>
      <w:tr w:rsidR="002508BC" w:rsidRPr="002508BC" w14:paraId="2D2B6B4F" w14:textId="77777777" w:rsidTr="00277508">
        <w:trPr>
          <w:trHeight w:val="941"/>
        </w:trPr>
        <w:tc>
          <w:tcPr>
            <w:tcW w:w="4265" w:type="pct"/>
            <w:tcBorders>
              <w:top w:val="nil"/>
              <w:left w:val="nil"/>
              <w:right w:val="nil"/>
            </w:tcBorders>
            <w:shd w:val="clear" w:color="auto" w:fill="auto"/>
            <w:vAlign w:val="center"/>
          </w:tcPr>
          <w:p w14:paraId="6E2A9163" w14:textId="2ED658CA" w:rsidR="00222F0B" w:rsidRPr="009D0957" w:rsidRDefault="00507575" w:rsidP="00E6408B">
            <w:pPr>
              <w:pStyle w:val="1Heading"/>
              <w:spacing w:after="0"/>
              <w:rPr>
                <w:szCs w:val="28"/>
              </w:rPr>
            </w:pPr>
            <w:hyperlink w:anchor="Aboutus" w:history="1">
              <w:r w:rsidR="00222F0B" w:rsidRPr="00E6408B">
                <w:rPr>
                  <w:rStyle w:val="Hyperlink"/>
                  <w:rFonts w:cs="Calibri"/>
                  <w:bCs/>
                  <w:color w:val="auto"/>
                  <w:sz w:val="28"/>
                  <w:szCs w:val="28"/>
                  <w:u w:val="none"/>
                </w:rPr>
                <w:t>About us</w:t>
              </w:r>
            </w:hyperlink>
          </w:p>
        </w:tc>
        <w:tc>
          <w:tcPr>
            <w:tcW w:w="735" w:type="pct"/>
            <w:tcBorders>
              <w:top w:val="nil"/>
              <w:left w:val="nil"/>
              <w:right w:val="nil"/>
            </w:tcBorders>
            <w:shd w:val="clear" w:color="auto" w:fill="auto"/>
            <w:vAlign w:val="center"/>
          </w:tcPr>
          <w:p w14:paraId="721866C4" w14:textId="49C73ECD" w:rsidR="00222F0B" w:rsidRPr="009D0957" w:rsidRDefault="00507575" w:rsidP="00E6408B">
            <w:pPr>
              <w:pStyle w:val="1Heading"/>
              <w:spacing w:after="0"/>
              <w:rPr>
                <w:szCs w:val="28"/>
              </w:rPr>
            </w:pPr>
            <w:hyperlink w:anchor="Aboutus" w:history="1">
              <w:r w:rsidR="004A36F8" w:rsidRPr="00E6408B">
                <w:rPr>
                  <w:rStyle w:val="Hyperlink"/>
                  <w:color w:val="auto"/>
                  <w:sz w:val="28"/>
                  <w:szCs w:val="28"/>
                  <w:u w:val="none"/>
                </w:rPr>
                <w:t>5</w:t>
              </w:r>
            </w:hyperlink>
          </w:p>
        </w:tc>
      </w:tr>
      <w:tr w:rsidR="002508BC" w:rsidRPr="002508BC" w14:paraId="1BF3EAF7" w14:textId="77777777" w:rsidTr="00277508">
        <w:trPr>
          <w:trHeight w:val="794"/>
        </w:trPr>
        <w:tc>
          <w:tcPr>
            <w:tcW w:w="4265" w:type="pct"/>
            <w:tcBorders>
              <w:left w:val="nil"/>
              <w:right w:val="nil"/>
            </w:tcBorders>
            <w:shd w:val="clear" w:color="auto" w:fill="auto"/>
            <w:vAlign w:val="center"/>
          </w:tcPr>
          <w:p w14:paraId="017638E2" w14:textId="5A754983" w:rsidR="00222F0B" w:rsidRPr="009D0957" w:rsidRDefault="00507575" w:rsidP="00E6408B">
            <w:pPr>
              <w:pStyle w:val="1Heading"/>
              <w:spacing w:after="0"/>
              <w:rPr>
                <w:szCs w:val="28"/>
              </w:rPr>
            </w:pPr>
            <w:hyperlink w:anchor="YearAtAGlance" w:history="1">
              <w:r w:rsidR="00222F0B" w:rsidRPr="00E6408B">
                <w:rPr>
                  <w:rStyle w:val="Hyperlink"/>
                  <w:rFonts w:cs="Calibri"/>
                  <w:bCs/>
                  <w:color w:val="auto"/>
                  <w:sz w:val="28"/>
                  <w:szCs w:val="28"/>
                  <w:u w:val="none"/>
                </w:rPr>
                <w:t>202</w:t>
              </w:r>
              <w:r w:rsidR="00DE0D95" w:rsidRPr="00E6408B">
                <w:rPr>
                  <w:rStyle w:val="Hyperlink"/>
                  <w:rFonts w:cs="Calibri"/>
                  <w:bCs/>
                  <w:color w:val="auto"/>
                  <w:sz w:val="28"/>
                  <w:szCs w:val="28"/>
                  <w:u w:val="none"/>
                </w:rPr>
                <w:t>3</w:t>
              </w:r>
              <w:r w:rsidR="00222F0B" w:rsidRPr="00E6408B">
                <w:rPr>
                  <w:rStyle w:val="Hyperlink"/>
                  <w:rFonts w:cs="Calibri"/>
                  <w:bCs/>
                  <w:color w:val="auto"/>
                  <w:sz w:val="28"/>
                  <w:szCs w:val="28"/>
                  <w:u w:val="none"/>
                </w:rPr>
                <w:t>–2</w:t>
              </w:r>
              <w:r w:rsidR="00DE0D95" w:rsidRPr="00E6408B">
                <w:rPr>
                  <w:rStyle w:val="Hyperlink"/>
                  <w:rFonts w:cs="Calibri"/>
                  <w:bCs/>
                  <w:color w:val="auto"/>
                  <w:sz w:val="28"/>
                  <w:szCs w:val="28"/>
                  <w:u w:val="none"/>
                </w:rPr>
                <w:t>4</w:t>
              </w:r>
              <w:r w:rsidR="00222F0B" w:rsidRPr="00E6408B">
                <w:rPr>
                  <w:rStyle w:val="Hyperlink"/>
                  <w:rFonts w:cs="Calibri"/>
                  <w:bCs/>
                  <w:color w:val="auto"/>
                  <w:sz w:val="28"/>
                  <w:szCs w:val="28"/>
                  <w:u w:val="none"/>
                </w:rPr>
                <w:t xml:space="preserve"> at a glance</w:t>
              </w:r>
            </w:hyperlink>
          </w:p>
        </w:tc>
        <w:tc>
          <w:tcPr>
            <w:tcW w:w="735" w:type="pct"/>
            <w:tcBorders>
              <w:left w:val="nil"/>
              <w:right w:val="nil"/>
            </w:tcBorders>
            <w:shd w:val="clear" w:color="auto" w:fill="auto"/>
            <w:vAlign w:val="center"/>
          </w:tcPr>
          <w:p w14:paraId="2F70F857" w14:textId="44AE4B44" w:rsidR="00222F0B" w:rsidRPr="009D0957" w:rsidRDefault="00507575" w:rsidP="00E6408B">
            <w:pPr>
              <w:pStyle w:val="1Heading"/>
              <w:spacing w:after="0"/>
              <w:rPr>
                <w:szCs w:val="28"/>
              </w:rPr>
            </w:pPr>
            <w:hyperlink w:anchor="YearAtAGlance" w:history="1">
              <w:r w:rsidR="004A36F8" w:rsidRPr="00E6408B">
                <w:rPr>
                  <w:rStyle w:val="Hyperlink"/>
                  <w:color w:val="auto"/>
                  <w:sz w:val="28"/>
                  <w:szCs w:val="28"/>
                  <w:u w:val="none"/>
                </w:rPr>
                <w:t>16</w:t>
              </w:r>
            </w:hyperlink>
          </w:p>
        </w:tc>
      </w:tr>
      <w:tr w:rsidR="002508BC" w:rsidRPr="002508BC" w14:paraId="2FCEAB53" w14:textId="77777777" w:rsidTr="00277508">
        <w:trPr>
          <w:trHeight w:val="794"/>
        </w:trPr>
        <w:tc>
          <w:tcPr>
            <w:tcW w:w="4265" w:type="pct"/>
            <w:tcBorders>
              <w:left w:val="nil"/>
              <w:right w:val="nil"/>
            </w:tcBorders>
            <w:shd w:val="clear" w:color="auto" w:fill="auto"/>
            <w:vAlign w:val="center"/>
          </w:tcPr>
          <w:p w14:paraId="346AF21F" w14:textId="3775C7F5" w:rsidR="00222F0B" w:rsidRPr="009D0957" w:rsidRDefault="00507575" w:rsidP="00E6408B">
            <w:pPr>
              <w:pStyle w:val="1Heading"/>
              <w:spacing w:after="0"/>
              <w:rPr>
                <w:rFonts w:cs="Calibri"/>
                <w:bCs/>
                <w:szCs w:val="28"/>
              </w:rPr>
            </w:pPr>
            <w:hyperlink w:anchor="ObjectiveEfficientandEffective" w:history="1">
              <w:r w:rsidR="004E37B0" w:rsidRPr="00E6408B">
                <w:rPr>
                  <w:rStyle w:val="Hyperlink"/>
                  <w:rFonts w:cs="Calibri"/>
                  <w:bCs/>
                  <w:color w:val="auto"/>
                  <w:sz w:val="28"/>
                  <w:szCs w:val="28"/>
                  <w:u w:val="none"/>
                </w:rPr>
                <w:t>Efficient and effective</w:t>
              </w:r>
            </w:hyperlink>
          </w:p>
        </w:tc>
        <w:tc>
          <w:tcPr>
            <w:tcW w:w="735" w:type="pct"/>
            <w:tcBorders>
              <w:left w:val="nil"/>
              <w:right w:val="nil"/>
            </w:tcBorders>
            <w:shd w:val="clear" w:color="auto" w:fill="auto"/>
            <w:vAlign w:val="center"/>
          </w:tcPr>
          <w:p w14:paraId="05D74DC1" w14:textId="025D394A" w:rsidR="00222F0B" w:rsidRPr="009D0957" w:rsidRDefault="00507575" w:rsidP="00E6408B">
            <w:pPr>
              <w:pStyle w:val="1Heading"/>
              <w:spacing w:after="0"/>
              <w:rPr>
                <w:szCs w:val="28"/>
              </w:rPr>
            </w:pPr>
            <w:hyperlink w:anchor="ObjectiveEfficientandEffective" w:history="1">
              <w:r w:rsidR="004A36F8" w:rsidRPr="00E6408B">
                <w:rPr>
                  <w:rStyle w:val="Hyperlink"/>
                  <w:color w:val="auto"/>
                  <w:sz w:val="28"/>
                  <w:szCs w:val="28"/>
                  <w:u w:val="none"/>
                </w:rPr>
                <w:t>31</w:t>
              </w:r>
            </w:hyperlink>
            <w:hyperlink w:anchor="reducingccinqld" w:history="1"/>
          </w:p>
        </w:tc>
      </w:tr>
      <w:tr w:rsidR="002508BC" w:rsidRPr="002508BC" w14:paraId="3D67813E" w14:textId="77777777" w:rsidTr="00277508">
        <w:trPr>
          <w:trHeight w:val="794"/>
        </w:trPr>
        <w:tc>
          <w:tcPr>
            <w:tcW w:w="4265" w:type="pct"/>
            <w:tcBorders>
              <w:left w:val="nil"/>
              <w:bottom w:val="single" w:sz="8" w:space="0" w:color="auto"/>
              <w:right w:val="nil"/>
            </w:tcBorders>
            <w:shd w:val="clear" w:color="auto" w:fill="auto"/>
            <w:vAlign w:val="center"/>
          </w:tcPr>
          <w:p w14:paraId="268F4A33" w14:textId="7C1B4EEB" w:rsidR="00222F0B" w:rsidRPr="009D0957" w:rsidRDefault="00507575" w:rsidP="00E6408B">
            <w:pPr>
              <w:pStyle w:val="1Heading"/>
              <w:spacing w:after="0"/>
              <w:rPr>
                <w:rFonts w:cs="Calibri"/>
                <w:bCs/>
                <w:szCs w:val="28"/>
              </w:rPr>
            </w:pPr>
            <w:hyperlink w:anchor="ObjectiveSafeandCapable" w:history="1">
              <w:r w:rsidR="004E37B0" w:rsidRPr="00E6408B">
                <w:rPr>
                  <w:rStyle w:val="Hyperlink"/>
                  <w:rFonts w:cs="Calibri"/>
                  <w:bCs/>
                  <w:color w:val="auto"/>
                  <w:sz w:val="28"/>
                  <w:szCs w:val="28"/>
                  <w:u w:val="none"/>
                </w:rPr>
                <w:t>Safe and capable</w:t>
              </w:r>
            </w:hyperlink>
          </w:p>
        </w:tc>
        <w:tc>
          <w:tcPr>
            <w:tcW w:w="735" w:type="pct"/>
            <w:tcBorders>
              <w:left w:val="nil"/>
              <w:bottom w:val="single" w:sz="8" w:space="0" w:color="auto"/>
              <w:right w:val="nil"/>
            </w:tcBorders>
            <w:shd w:val="clear" w:color="auto" w:fill="auto"/>
            <w:vAlign w:val="center"/>
          </w:tcPr>
          <w:p w14:paraId="621E3F19" w14:textId="0673267C" w:rsidR="00222F0B" w:rsidRPr="009D0957" w:rsidRDefault="00507575" w:rsidP="00E6408B">
            <w:pPr>
              <w:pStyle w:val="1Heading"/>
              <w:spacing w:after="0"/>
              <w:rPr>
                <w:szCs w:val="28"/>
              </w:rPr>
            </w:pPr>
            <w:hyperlink w:anchor="ObjectiveSafeandCapable" w:history="1">
              <w:r w:rsidR="004A36F8" w:rsidRPr="00E6408B">
                <w:rPr>
                  <w:rStyle w:val="Hyperlink"/>
                  <w:color w:val="auto"/>
                  <w:sz w:val="28"/>
                  <w:szCs w:val="28"/>
                  <w:u w:val="none"/>
                </w:rPr>
                <w:t>42</w:t>
              </w:r>
            </w:hyperlink>
          </w:p>
        </w:tc>
      </w:tr>
      <w:tr w:rsidR="002508BC" w:rsidRPr="002508BC" w14:paraId="4FF3E704" w14:textId="77777777" w:rsidTr="00277508">
        <w:trPr>
          <w:trHeight w:val="794"/>
        </w:trPr>
        <w:tc>
          <w:tcPr>
            <w:tcW w:w="4265" w:type="pct"/>
            <w:tcBorders>
              <w:left w:val="nil"/>
              <w:bottom w:val="single" w:sz="8" w:space="0" w:color="auto"/>
              <w:right w:val="nil"/>
            </w:tcBorders>
            <w:shd w:val="clear" w:color="auto" w:fill="auto"/>
            <w:vAlign w:val="center"/>
          </w:tcPr>
          <w:p w14:paraId="69924226" w14:textId="3B1AF0C3" w:rsidR="004E37B0" w:rsidRPr="009D0957" w:rsidRDefault="00507575" w:rsidP="00E6408B">
            <w:pPr>
              <w:pStyle w:val="1Heading"/>
              <w:spacing w:after="0"/>
              <w:rPr>
                <w:szCs w:val="28"/>
              </w:rPr>
            </w:pPr>
            <w:hyperlink w:anchor="ObjectiveAssessibleAccountableCollaborat" w:history="1">
              <w:r w:rsidR="004E37B0" w:rsidRPr="00E6408B">
                <w:rPr>
                  <w:rStyle w:val="Hyperlink"/>
                  <w:rFonts w:cs="Calibri"/>
                  <w:bCs/>
                  <w:color w:val="auto"/>
                  <w:sz w:val="28"/>
                  <w:szCs w:val="28"/>
                  <w:u w:val="none"/>
                </w:rPr>
                <w:t>Accessible, accountable and collaborative</w:t>
              </w:r>
            </w:hyperlink>
          </w:p>
        </w:tc>
        <w:tc>
          <w:tcPr>
            <w:tcW w:w="735" w:type="pct"/>
            <w:tcBorders>
              <w:left w:val="nil"/>
              <w:bottom w:val="single" w:sz="8" w:space="0" w:color="auto"/>
              <w:right w:val="nil"/>
            </w:tcBorders>
            <w:shd w:val="clear" w:color="auto" w:fill="auto"/>
            <w:vAlign w:val="center"/>
          </w:tcPr>
          <w:p w14:paraId="2B009229" w14:textId="6A491ABD" w:rsidR="004E37B0" w:rsidRPr="009D0957" w:rsidRDefault="00507575" w:rsidP="00E6408B">
            <w:pPr>
              <w:pStyle w:val="1Heading"/>
              <w:spacing w:after="0"/>
              <w:rPr>
                <w:szCs w:val="28"/>
              </w:rPr>
            </w:pPr>
            <w:hyperlink w:anchor="ObjectiveAssessibleAccountableCollaborat" w:history="1">
              <w:r w:rsidR="004A36F8" w:rsidRPr="00E6408B">
                <w:rPr>
                  <w:rStyle w:val="Hyperlink"/>
                  <w:color w:val="auto"/>
                  <w:sz w:val="28"/>
                  <w:szCs w:val="28"/>
                  <w:u w:val="none"/>
                </w:rPr>
                <w:t>48</w:t>
              </w:r>
            </w:hyperlink>
          </w:p>
        </w:tc>
      </w:tr>
      <w:tr w:rsidR="002508BC" w:rsidRPr="002508BC" w14:paraId="79C0A1D3" w14:textId="77777777" w:rsidTr="00277508">
        <w:trPr>
          <w:trHeight w:val="794"/>
        </w:trPr>
        <w:tc>
          <w:tcPr>
            <w:tcW w:w="4265" w:type="pct"/>
            <w:tcBorders>
              <w:left w:val="nil"/>
              <w:bottom w:val="single" w:sz="8" w:space="0" w:color="auto"/>
              <w:right w:val="nil"/>
            </w:tcBorders>
            <w:shd w:val="clear" w:color="auto" w:fill="auto"/>
            <w:vAlign w:val="center"/>
          </w:tcPr>
          <w:p w14:paraId="63212A58" w14:textId="7F9F4EEA" w:rsidR="004E37B0" w:rsidRPr="009D0957" w:rsidRDefault="00507575" w:rsidP="00E6408B">
            <w:pPr>
              <w:pStyle w:val="1Heading"/>
              <w:spacing w:after="0"/>
              <w:rPr>
                <w:szCs w:val="28"/>
              </w:rPr>
            </w:pPr>
            <w:hyperlink w:anchor="ObjectiveContinuousImporovment" w:history="1">
              <w:r w:rsidR="004E37B0" w:rsidRPr="00E6408B">
                <w:rPr>
                  <w:rStyle w:val="Hyperlink"/>
                  <w:rFonts w:cs="Calibri"/>
                  <w:bCs/>
                  <w:color w:val="auto"/>
                  <w:sz w:val="28"/>
                  <w:szCs w:val="28"/>
                  <w:u w:val="none"/>
                </w:rPr>
                <w:t>Continuous improvement</w:t>
              </w:r>
            </w:hyperlink>
          </w:p>
        </w:tc>
        <w:tc>
          <w:tcPr>
            <w:tcW w:w="735" w:type="pct"/>
            <w:tcBorders>
              <w:left w:val="nil"/>
              <w:bottom w:val="single" w:sz="8" w:space="0" w:color="auto"/>
              <w:right w:val="nil"/>
            </w:tcBorders>
            <w:shd w:val="clear" w:color="auto" w:fill="auto"/>
            <w:vAlign w:val="center"/>
          </w:tcPr>
          <w:p w14:paraId="0A62576D" w14:textId="67559855" w:rsidR="004E37B0" w:rsidRPr="009D0957" w:rsidRDefault="00507575" w:rsidP="00E6408B">
            <w:pPr>
              <w:pStyle w:val="1Heading"/>
              <w:spacing w:after="0"/>
              <w:rPr>
                <w:szCs w:val="28"/>
              </w:rPr>
            </w:pPr>
            <w:hyperlink w:anchor="ObjectiveContinuousImporovment" w:history="1">
              <w:r w:rsidR="004A36F8" w:rsidRPr="00E6408B">
                <w:rPr>
                  <w:rStyle w:val="Hyperlink"/>
                  <w:color w:val="auto"/>
                  <w:sz w:val="28"/>
                  <w:szCs w:val="28"/>
                  <w:u w:val="none"/>
                </w:rPr>
                <w:t>53</w:t>
              </w:r>
            </w:hyperlink>
          </w:p>
        </w:tc>
      </w:tr>
      <w:tr w:rsidR="002508BC" w:rsidRPr="002508BC" w14:paraId="5093D206" w14:textId="77777777" w:rsidTr="00277508">
        <w:trPr>
          <w:trHeight w:val="794"/>
        </w:trPr>
        <w:tc>
          <w:tcPr>
            <w:tcW w:w="4265" w:type="pct"/>
            <w:tcBorders>
              <w:left w:val="nil"/>
              <w:bottom w:val="single" w:sz="8" w:space="0" w:color="auto"/>
              <w:right w:val="nil"/>
            </w:tcBorders>
            <w:shd w:val="clear" w:color="auto" w:fill="auto"/>
            <w:vAlign w:val="center"/>
          </w:tcPr>
          <w:p w14:paraId="65C86059" w14:textId="7C3D534C" w:rsidR="00B47EEE" w:rsidRPr="009D0957" w:rsidRDefault="00507575" w:rsidP="00E6408B">
            <w:pPr>
              <w:pStyle w:val="1Heading"/>
              <w:spacing w:after="0"/>
              <w:rPr>
                <w:szCs w:val="28"/>
              </w:rPr>
            </w:pPr>
            <w:hyperlink w:anchor="GovernanceandPeople" w:history="1">
              <w:r w:rsidR="00543CE2" w:rsidRPr="00E6408B">
                <w:rPr>
                  <w:rStyle w:val="Hyperlink"/>
                  <w:rFonts w:cs="Calibri"/>
                  <w:bCs/>
                  <w:color w:val="auto"/>
                  <w:sz w:val="28"/>
                  <w:szCs w:val="28"/>
                  <w:u w:val="none"/>
                </w:rPr>
                <w:t>Governance and people</w:t>
              </w:r>
            </w:hyperlink>
          </w:p>
        </w:tc>
        <w:tc>
          <w:tcPr>
            <w:tcW w:w="735" w:type="pct"/>
            <w:tcBorders>
              <w:left w:val="nil"/>
              <w:bottom w:val="single" w:sz="8" w:space="0" w:color="auto"/>
              <w:right w:val="nil"/>
            </w:tcBorders>
            <w:shd w:val="clear" w:color="auto" w:fill="auto"/>
            <w:vAlign w:val="center"/>
          </w:tcPr>
          <w:p w14:paraId="53251497" w14:textId="00E593CB" w:rsidR="00B47EEE" w:rsidRPr="009D0957" w:rsidRDefault="00507575" w:rsidP="00E6408B">
            <w:pPr>
              <w:pStyle w:val="1Heading"/>
              <w:spacing w:after="0"/>
              <w:rPr>
                <w:szCs w:val="28"/>
              </w:rPr>
            </w:pPr>
            <w:hyperlink w:anchor="GovernanceandPeople" w:history="1">
              <w:r w:rsidR="004A36F8" w:rsidRPr="00E6408B">
                <w:rPr>
                  <w:rStyle w:val="Hyperlink"/>
                  <w:color w:val="auto"/>
                  <w:sz w:val="28"/>
                  <w:szCs w:val="28"/>
                  <w:u w:val="none"/>
                </w:rPr>
                <w:t>57</w:t>
              </w:r>
            </w:hyperlink>
          </w:p>
        </w:tc>
      </w:tr>
      <w:tr w:rsidR="002508BC" w:rsidRPr="002508BC" w14:paraId="5400ED00" w14:textId="77777777" w:rsidTr="00277508">
        <w:trPr>
          <w:trHeight w:val="794"/>
        </w:trPr>
        <w:tc>
          <w:tcPr>
            <w:tcW w:w="4265" w:type="pct"/>
            <w:tcBorders>
              <w:top w:val="single" w:sz="8" w:space="0" w:color="auto"/>
              <w:left w:val="nil"/>
              <w:right w:val="nil"/>
            </w:tcBorders>
            <w:shd w:val="clear" w:color="auto" w:fill="auto"/>
            <w:vAlign w:val="center"/>
          </w:tcPr>
          <w:p w14:paraId="4EC82991" w14:textId="608A5AE9" w:rsidR="00222F0B" w:rsidRPr="009D0957" w:rsidRDefault="00507575" w:rsidP="00E6408B">
            <w:pPr>
              <w:pStyle w:val="1Heading"/>
              <w:spacing w:after="0"/>
              <w:rPr>
                <w:rFonts w:cs="Calibri"/>
                <w:bCs/>
                <w:szCs w:val="28"/>
              </w:rPr>
            </w:pPr>
            <w:hyperlink w:anchor="FinancialInformation" w:history="1">
              <w:r w:rsidR="00222F0B" w:rsidRPr="00E6408B">
                <w:rPr>
                  <w:rStyle w:val="Hyperlink"/>
                  <w:rFonts w:cs="Calibri"/>
                  <w:bCs/>
                  <w:color w:val="auto"/>
                  <w:sz w:val="28"/>
                  <w:szCs w:val="28"/>
                  <w:u w:val="none"/>
                </w:rPr>
                <w:t>Financial information</w:t>
              </w:r>
            </w:hyperlink>
          </w:p>
        </w:tc>
        <w:tc>
          <w:tcPr>
            <w:tcW w:w="735" w:type="pct"/>
            <w:tcBorders>
              <w:top w:val="single" w:sz="8" w:space="0" w:color="auto"/>
              <w:left w:val="nil"/>
              <w:right w:val="nil"/>
            </w:tcBorders>
            <w:shd w:val="clear" w:color="auto" w:fill="auto"/>
            <w:vAlign w:val="center"/>
          </w:tcPr>
          <w:p w14:paraId="6FEF8CFE" w14:textId="590BC53C" w:rsidR="00222F0B" w:rsidRPr="009D0957" w:rsidRDefault="00507575" w:rsidP="00E6408B">
            <w:pPr>
              <w:pStyle w:val="1Heading"/>
              <w:spacing w:after="0"/>
              <w:rPr>
                <w:szCs w:val="28"/>
              </w:rPr>
            </w:pPr>
            <w:hyperlink w:anchor="FinancialInformation" w:history="1">
              <w:r w:rsidR="004A36F8" w:rsidRPr="00E6408B">
                <w:rPr>
                  <w:rStyle w:val="Hyperlink"/>
                  <w:color w:val="auto"/>
                  <w:sz w:val="28"/>
                  <w:szCs w:val="28"/>
                  <w:u w:val="none"/>
                </w:rPr>
                <w:t>71</w:t>
              </w:r>
            </w:hyperlink>
          </w:p>
        </w:tc>
      </w:tr>
      <w:tr w:rsidR="002508BC" w:rsidRPr="002508BC" w14:paraId="47222F2F" w14:textId="77777777" w:rsidTr="00277508">
        <w:trPr>
          <w:trHeight w:val="794"/>
        </w:trPr>
        <w:tc>
          <w:tcPr>
            <w:tcW w:w="4265" w:type="pct"/>
            <w:tcBorders>
              <w:left w:val="nil"/>
              <w:right w:val="nil"/>
            </w:tcBorders>
            <w:shd w:val="clear" w:color="auto" w:fill="auto"/>
            <w:vAlign w:val="center"/>
          </w:tcPr>
          <w:p w14:paraId="4290F53D" w14:textId="28B7639C" w:rsidR="00222F0B" w:rsidRPr="009D0957" w:rsidRDefault="00507575" w:rsidP="00E6408B">
            <w:pPr>
              <w:pStyle w:val="1Heading"/>
              <w:spacing w:after="0"/>
              <w:rPr>
                <w:rFonts w:cs="Calibri"/>
                <w:bCs/>
                <w:szCs w:val="28"/>
              </w:rPr>
            </w:pPr>
            <w:hyperlink w:anchor="Appendicies" w:history="1">
              <w:r w:rsidR="00222F0B" w:rsidRPr="00E6408B">
                <w:rPr>
                  <w:rStyle w:val="Hyperlink"/>
                  <w:rFonts w:cs="Calibri"/>
                  <w:bCs/>
                  <w:color w:val="auto"/>
                  <w:sz w:val="28"/>
                  <w:szCs w:val="28"/>
                  <w:u w:val="none"/>
                </w:rPr>
                <w:t>Appendices</w:t>
              </w:r>
            </w:hyperlink>
          </w:p>
        </w:tc>
        <w:tc>
          <w:tcPr>
            <w:tcW w:w="735" w:type="pct"/>
            <w:tcBorders>
              <w:left w:val="nil"/>
              <w:right w:val="nil"/>
            </w:tcBorders>
            <w:shd w:val="clear" w:color="auto" w:fill="auto"/>
            <w:vAlign w:val="center"/>
          </w:tcPr>
          <w:p w14:paraId="4E1CEFA3" w14:textId="2F0EF6A2" w:rsidR="00222F0B" w:rsidRPr="009D0957" w:rsidRDefault="00507575" w:rsidP="00E6408B">
            <w:pPr>
              <w:pStyle w:val="1Heading"/>
              <w:spacing w:after="0"/>
              <w:rPr>
                <w:szCs w:val="28"/>
              </w:rPr>
            </w:pPr>
            <w:hyperlink w:anchor="Appendicies" w:history="1">
              <w:r w:rsidR="005D21BA" w:rsidRPr="00E6408B">
                <w:rPr>
                  <w:rStyle w:val="Hyperlink"/>
                  <w:color w:val="auto"/>
                  <w:sz w:val="28"/>
                  <w:szCs w:val="28"/>
                  <w:u w:val="none"/>
                </w:rPr>
                <w:t>108</w:t>
              </w:r>
            </w:hyperlink>
          </w:p>
        </w:tc>
      </w:tr>
    </w:tbl>
    <w:p w14:paraId="3F236752" w14:textId="77777777" w:rsidR="00986531" w:rsidRPr="00AF0D5C" w:rsidRDefault="00986531">
      <w:pPr>
        <w:spacing w:before="120" w:after="0" w:line="260" w:lineRule="exact"/>
        <w:rPr>
          <w:color w:val="414042" w:themeColor="text1"/>
        </w:rPr>
      </w:pPr>
    </w:p>
    <w:p w14:paraId="6B7063A9" w14:textId="77777777" w:rsidR="00C04288" w:rsidRPr="00AF0D5C" w:rsidRDefault="00C04288">
      <w:pPr>
        <w:spacing w:before="120" w:after="0" w:line="260" w:lineRule="exact"/>
        <w:rPr>
          <w:color w:val="414042" w:themeColor="text1"/>
        </w:rPr>
      </w:pPr>
      <w:r w:rsidRPr="00AF0D5C">
        <w:rPr>
          <w:color w:val="414042" w:themeColor="text1"/>
        </w:rPr>
        <w:br w:type="page"/>
      </w:r>
    </w:p>
    <w:p w14:paraId="0190E0E7" w14:textId="77777777" w:rsidR="00C04288" w:rsidRPr="00AF0D5C" w:rsidRDefault="00C04288">
      <w:pPr>
        <w:spacing w:before="120" w:after="0" w:line="260" w:lineRule="exact"/>
        <w:rPr>
          <w:color w:val="414042" w:themeColor="text1"/>
        </w:rPr>
        <w:sectPr w:rsidR="00C04288" w:rsidRPr="00AF0D5C" w:rsidSect="00C77834">
          <w:headerReference w:type="default" r:id="rId30"/>
          <w:type w:val="continuous"/>
          <w:pgSz w:w="11906" w:h="16838"/>
          <w:pgMar w:top="2155" w:right="1134" w:bottom="964" w:left="1134" w:header="709" w:footer="283" w:gutter="0"/>
          <w:cols w:space="567"/>
          <w:docGrid w:linePitch="360"/>
        </w:sectPr>
      </w:pPr>
    </w:p>
    <w:tbl>
      <w:tblPr>
        <w:tblW w:w="0" w:type="auto"/>
        <w:shd w:val="clear" w:color="auto" w:fill="E6E7E8" w:themeFill="background2"/>
        <w:tblLook w:val="04A0" w:firstRow="1" w:lastRow="0" w:firstColumn="1" w:lastColumn="0" w:noHBand="0" w:noVBand="1"/>
      </w:tblPr>
      <w:tblGrid>
        <w:gridCol w:w="4535"/>
      </w:tblGrid>
      <w:tr w:rsidR="00AF0D5C" w:rsidRPr="00AF0D5C" w14:paraId="691FF5F5" w14:textId="77777777" w:rsidTr="00913BBD">
        <w:tc>
          <w:tcPr>
            <w:tcW w:w="4535" w:type="dxa"/>
            <w:shd w:val="clear" w:color="auto" w:fill="E6E7E8" w:themeFill="accent6"/>
          </w:tcPr>
          <w:p w14:paraId="172EA5F1" w14:textId="77777777" w:rsidR="00C04288" w:rsidRPr="00AF0D5C" w:rsidRDefault="00C04288" w:rsidP="00913BBD">
            <w:pPr>
              <w:shd w:val="clear" w:color="auto" w:fill="E6E7E8" w:themeFill="accent6"/>
              <w:spacing w:before="120" w:after="0" w:line="260" w:lineRule="exact"/>
              <w:rPr>
                <w:rFonts w:asciiTheme="majorHAnsi" w:hAnsiTheme="majorHAnsi" w:cstheme="majorHAnsi"/>
                <w:b/>
                <w:bCs/>
                <w:color w:val="414042" w:themeColor="text1"/>
              </w:rPr>
            </w:pPr>
          </w:p>
          <w:p w14:paraId="2D672374" w14:textId="6C4B050B" w:rsidR="00D92454" w:rsidRPr="00AF0D5C" w:rsidRDefault="00D92454" w:rsidP="00E6066A">
            <w:pPr>
              <w:pStyle w:val="BODY"/>
              <w:ind w:firstLine="184"/>
              <w:rPr>
                <w:rFonts w:asciiTheme="minorHAnsi" w:hAnsiTheme="minorHAnsi" w:cstheme="minorHAnsi"/>
                <w:b/>
                <w:bCs/>
                <w:color w:val="414042" w:themeColor="text1"/>
                <w:sz w:val="28"/>
                <w:szCs w:val="28"/>
              </w:rPr>
            </w:pPr>
            <w:r w:rsidRPr="00AF0D5C">
              <w:rPr>
                <w:rFonts w:asciiTheme="minorHAnsi" w:hAnsiTheme="minorHAnsi" w:cstheme="minorHAnsi"/>
                <w:b/>
                <w:bCs/>
                <w:color w:val="414042" w:themeColor="text1"/>
                <w:sz w:val="28"/>
                <w:szCs w:val="28"/>
              </w:rPr>
              <w:t>Letter of compliance</w:t>
            </w:r>
          </w:p>
          <w:p w14:paraId="3D817312" w14:textId="45194249" w:rsidR="00D92454" w:rsidRPr="00AF0D5C" w:rsidRDefault="00DE2B68" w:rsidP="00DE2B68">
            <w:pPr>
              <w:shd w:val="clear" w:color="auto" w:fill="E6E7E8" w:themeFill="accent6"/>
              <w:spacing w:before="240"/>
              <w:ind w:left="177" w:right="173"/>
              <w:rPr>
                <w:rFonts w:asciiTheme="majorHAnsi" w:hAnsiTheme="majorHAnsi" w:cstheme="majorHAnsi"/>
                <w:color w:val="414042" w:themeColor="text1"/>
              </w:rPr>
            </w:pPr>
            <w:r w:rsidRPr="00AF0D5C">
              <w:rPr>
                <w:rFonts w:asciiTheme="majorHAnsi" w:hAnsiTheme="majorHAnsi" w:cstheme="majorHAnsi"/>
                <w:color w:val="414042" w:themeColor="text1"/>
              </w:rPr>
              <w:br/>
            </w:r>
            <w:r w:rsidR="00D92454" w:rsidRPr="00AF0D5C">
              <w:rPr>
                <w:rFonts w:asciiTheme="majorHAnsi" w:hAnsiTheme="majorHAnsi" w:cstheme="majorHAnsi"/>
                <w:color w:val="414042" w:themeColor="text1"/>
              </w:rPr>
              <w:t>3</w:t>
            </w:r>
            <w:r w:rsidR="00C923CE" w:rsidRPr="00AF0D5C">
              <w:rPr>
                <w:rFonts w:asciiTheme="majorHAnsi" w:hAnsiTheme="majorHAnsi" w:cstheme="majorHAnsi"/>
                <w:color w:val="414042" w:themeColor="text1"/>
              </w:rPr>
              <w:t>0</w:t>
            </w:r>
            <w:r w:rsidR="00D92454" w:rsidRPr="00AF0D5C">
              <w:rPr>
                <w:rFonts w:asciiTheme="majorHAnsi" w:hAnsiTheme="majorHAnsi" w:cstheme="majorHAnsi"/>
                <w:color w:val="414042" w:themeColor="text1"/>
              </w:rPr>
              <w:t xml:space="preserve"> August 202</w:t>
            </w:r>
            <w:r w:rsidR="00222F0B" w:rsidRPr="00AF0D5C">
              <w:rPr>
                <w:rFonts w:asciiTheme="majorHAnsi" w:hAnsiTheme="majorHAnsi" w:cstheme="majorHAnsi"/>
                <w:color w:val="414042" w:themeColor="text1"/>
              </w:rPr>
              <w:t>4</w:t>
            </w:r>
          </w:p>
          <w:p w14:paraId="6880BCFE" w14:textId="5605DEB8" w:rsidR="00D92454" w:rsidRPr="00AF0D5C" w:rsidRDefault="00D92454" w:rsidP="001647F0">
            <w:pPr>
              <w:widowControl w:val="0"/>
              <w:shd w:val="clear" w:color="auto" w:fill="E6E7E8" w:themeFill="accent6"/>
              <w:spacing w:after="0"/>
              <w:ind w:left="176" w:right="176"/>
              <w:rPr>
                <w:rFonts w:asciiTheme="majorHAnsi" w:hAnsiTheme="majorHAnsi" w:cstheme="majorHAnsi"/>
                <w:color w:val="414042" w:themeColor="text1"/>
              </w:rPr>
            </w:pPr>
            <w:r w:rsidRPr="00AF0D5C">
              <w:rPr>
                <w:rFonts w:asciiTheme="majorHAnsi" w:hAnsiTheme="majorHAnsi" w:cstheme="majorHAnsi"/>
                <w:color w:val="414042" w:themeColor="text1"/>
              </w:rPr>
              <w:t>The Honourable Yvette D'Ath MP</w:t>
            </w:r>
            <w:r w:rsidR="00F91366" w:rsidRPr="00AF0D5C">
              <w:rPr>
                <w:rFonts w:asciiTheme="majorHAnsi" w:hAnsiTheme="majorHAnsi" w:cstheme="majorHAnsi"/>
                <w:color w:val="414042" w:themeColor="text1"/>
              </w:rPr>
              <w:br/>
            </w:r>
          </w:p>
          <w:p w14:paraId="2DDF58E1" w14:textId="3A3E0B0A" w:rsidR="00D92454" w:rsidRPr="00AF0D5C" w:rsidRDefault="00D92454" w:rsidP="001647F0">
            <w:pPr>
              <w:widowControl w:val="0"/>
              <w:shd w:val="clear" w:color="auto" w:fill="E6E7E8" w:themeFill="accent6"/>
              <w:spacing w:after="0"/>
              <w:ind w:left="176" w:right="176"/>
              <w:rPr>
                <w:rFonts w:asciiTheme="majorHAnsi" w:hAnsiTheme="majorHAnsi" w:cstheme="majorHAnsi"/>
                <w:color w:val="414042" w:themeColor="text1"/>
              </w:rPr>
            </w:pPr>
            <w:r w:rsidRPr="00AF0D5C">
              <w:rPr>
                <w:rFonts w:asciiTheme="majorHAnsi" w:hAnsiTheme="majorHAnsi" w:cstheme="majorHAnsi"/>
                <w:color w:val="414042" w:themeColor="text1"/>
              </w:rPr>
              <w:t>Attorney-General and Minister for Justice,</w:t>
            </w:r>
            <w:r w:rsidRPr="00AF0D5C">
              <w:rPr>
                <w:rFonts w:asciiTheme="majorHAnsi" w:hAnsiTheme="majorHAnsi" w:cstheme="majorHAnsi"/>
                <w:color w:val="414042" w:themeColor="text1"/>
              </w:rPr>
              <w:br/>
              <w:t xml:space="preserve">and Minister for the Prevention of Domestic </w:t>
            </w:r>
            <w:r w:rsidR="00420125" w:rsidRPr="00AF0D5C">
              <w:rPr>
                <w:rFonts w:asciiTheme="majorHAnsi" w:hAnsiTheme="majorHAnsi" w:cstheme="majorHAnsi"/>
                <w:color w:val="414042" w:themeColor="text1"/>
              </w:rPr>
              <w:br/>
            </w:r>
            <w:r w:rsidRPr="00AF0D5C">
              <w:rPr>
                <w:rFonts w:asciiTheme="majorHAnsi" w:hAnsiTheme="majorHAnsi" w:cstheme="majorHAnsi"/>
                <w:color w:val="414042" w:themeColor="text1"/>
              </w:rPr>
              <w:t>and Family Violence</w:t>
            </w:r>
            <w:r w:rsidR="00F91366" w:rsidRPr="00AF0D5C">
              <w:rPr>
                <w:rFonts w:asciiTheme="majorHAnsi" w:hAnsiTheme="majorHAnsi" w:cstheme="majorHAnsi"/>
                <w:color w:val="414042" w:themeColor="text1"/>
              </w:rPr>
              <w:br/>
            </w:r>
          </w:p>
          <w:p w14:paraId="6C618C33" w14:textId="77777777" w:rsidR="00D92454" w:rsidRPr="00AF0D5C" w:rsidRDefault="00D92454" w:rsidP="001647F0">
            <w:pPr>
              <w:widowControl w:val="0"/>
              <w:shd w:val="clear" w:color="auto" w:fill="E6E7E8" w:themeFill="accent6"/>
              <w:spacing w:after="0"/>
              <w:ind w:left="176" w:right="176"/>
              <w:rPr>
                <w:rFonts w:asciiTheme="majorHAnsi" w:hAnsiTheme="majorHAnsi" w:cstheme="majorHAnsi"/>
                <w:color w:val="414042" w:themeColor="text1"/>
              </w:rPr>
            </w:pPr>
            <w:r w:rsidRPr="00AF0D5C">
              <w:rPr>
                <w:rFonts w:asciiTheme="majorHAnsi" w:hAnsiTheme="majorHAnsi" w:cstheme="majorHAnsi"/>
                <w:color w:val="414042" w:themeColor="text1"/>
              </w:rPr>
              <w:t>1 William Street Brisbane Qld 4000</w:t>
            </w:r>
          </w:p>
          <w:p w14:paraId="754C5FE8" w14:textId="32799BF4" w:rsidR="00D92454" w:rsidRPr="00AF0D5C" w:rsidRDefault="006D51E2" w:rsidP="001647F0">
            <w:pPr>
              <w:widowControl w:val="0"/>
              <w:shd w:val="clear" w:color="auto" w:fill="E6E7E8" w:themeFill="accent6"/>
              <w:spacing w:after="0"/>
              <w:ind w:left="176" w:right="176"/>
              <w:rPr>
                <w:rFonts w:asciiTheme="majorHAnsi" w:hAnsiTheme="majorHAnsi" w:cstheme="majorHAnsi"/>
                <w:color w:val="414042" w:themeColor="text1"/>
              </w:rPr>
            </w:pPr>
            <w:r w:rsidRPr="00AF0D5C">
              <w:rPr>
                <w:rFonts w:asciiTheme="majorHAnsi" w:hAnsiTheme="majorHAnsi" w:cstheme="majorHAnsi"/>
                <w:color w:val="414042" w:themeColor="text1"/>
              </w:rPr>
              <w:br/>
            </w:r>
          </w:p>
          <w:p w14:paraId="0E085054" w14:textId="77777777" w:rsidR="00D92454" w:rsidRPr="00AF0D5C" w:rsidRDefault="00D92454" w:rsidP="00DE2B68">
            <w:pPr>
              <w:shd w:val="clear" w:color="auto" w:fill="E6E7E8" w:themeFill="accent6"/>
              <w:ind w:left="177" w:right="173"/>
              <w:rPr>
                <w:rFonts w:asciiTheme="majorHAnsi" w:hAnsiTheme="majorHAnsi" w:cstheme="majorHAnsi"/>
                <w:color w:val="414042" w:themeColor="text1"/>
              </w:rPr>
            </w:pPr>
            <w:r w:rsidRPr="00AF0D5C">
              <w:rPr>
                <w:rFonts w:asciiTheme="majorHAnsi" w:hAnsiTheme="majorHAnsi" w:cstheme="majorHAnsi"/>
                <w:color w:val="414042" w:themeColor="text1"/>
              </w:rPr>
              <w:t>Dear Attorney-General</w:t>
            </w:r>
          </w:p>
          <w:p w14:paraId="6FFE6288" w14:textId="59741D30" w:rsidR="00D92454" w:rsidRPr="00AF0D5C" w:rsidRDefault="00D92454" w:rsidP="00DE2B68">
            <w:pPr>
              <w:shd w:val="clear" w:color="auto" w:fill="E6E7E8" w:themeFill="accent6"/>
              <w:ind w:left="177" w:right="173"/>
              <w:rPr>
                <w:rFonts w:asciiTheme="majorHAnsi" w:hAnsiTheme="majorHAnsi" w:cstheme="majorHAnsi"/>
                <w:color w:val="414042" w:themeColor="text1"/>
              </w:rPr>
            </w:pPr>
            <w:r w:rsidRPr="00AF0D5C">
              <w:rPr>
                <w:rFonts w:asciiTheme="majorHAnsi" w:hAnsiTheme="majorHAnsi" w:cstheme="majorHAnsi"/>
                <w:color w:val="414042" w:themeColor="text1"/>
              </w:rPr>
              <w:t>I am pleased to submit for presentation to the Parliament the Annual Report 202</w:t>
            </w:r>
            <w:r w:rsidR="00222F0B" w:rsidRPr="00AF0D5C">
              <w:rPr>
                <w:rFonts w:asciiTheme="majorHAnsi" w:hAnsiTheme="majorHAnsi" w:cstheme="majorHAnsi"/>
                <w:color w:val="414042" w:themeColor="text1"/>
              </w:rPr>
              <w:t>3</w:t>
            </w:r>
            <w:r w:rsidRPr="00AF0D5C">
              <w:rPr>
                <w:rFonts w:asciiTheme="majorHAnsi" w:hAnsiTheme="majorHAnsi" w:cstheme="majorHAnsi"/>
                <w:color w:val="414042" w:themeColor="text1"/>
              </w:rPr>
              <w:t>–2</w:t>
            </w:r>
            <w:r w:rsidR="00222F0B" w:rsidRPr="00AF0D5C">
              <w:rPr>
                <w:rFonts w:asciiTheme="majorHAnsi" w:hAnsiTheme="majorHAnsi" w:cstheme="majorHAnsi"/>
                <w:color w:val="414042" w:themeColor="text1"/>
              </w:rPr>
              <w:t>4</w:t>
            </w:r>
            <w:r w:rsidRPr="00AF0D5C">
              <w:rPr>
                <w:rFonts w:asciiTheme="majorHAnsi" w:hAnsiTheme="majorHAnsi" w:cstheme="majorHAnsi"/>
                <w:color w:val="414042" w:themeColor="text1"/>
              </w:rPr>
              <w:t xml:space="preserve"> and financial statements for the Crime and Corruption Commission for the reporting period 1 July 202</w:t>
            </w:r>
            <w:r w:rsidR="00222F0B" w:rsidRPr="00AF0D5C">
              <w:rPr>
                <w:rFonts w:asciiTheme="majorHAnsi" w:hAnsiTheme="majorHAnsi" w:cstheme="majorHAnsi"/>
                <w:color w:val="414042" w:themeColor="text1"/>
              </w:rPr>
              <w:t>3</w:t>
            </w:r>
            <w:r w:rsidRPr="00AF0D5C">
              <w:rPr>
                <w:rFonts w:asciiTheme="majorHAnsi" w:hAnsiTheme="majorHAnsi" w:cstheme="majorHAnsi"/>
                <w:color w:val="414042" w:themeColor="text1"/>
              </w:rPr>
              <w:t xml:space="preserve"> to 30 June 202</w:t>
            </w:r>
            <w:r w:rsidR="00222F0B" w:rsidRPr="00AF0D5C">
              <w:rPr>
                <w:rFonts w:asciiTheme="majorHAnsi" w:hAnsiTheme="majorHAnsi" w:cstheme="majorHAnsi"/>
                <w:color w:val="414042" w:themeColor="text1"/>
              </w:rPr>
              <w:t>4</w:t>
            </w:r>
            <w:r w:rsidRPr="00AF0D5C">
              <w:rPr>
                <w:rFonts w:asciiTheme="majorHAnsi" w:hAnsiTheme="majorHAnsi" w:cstheme="majorHAnsi"/>
                <w:color w:val="414042" w:themeColor="text1"/>
              </w:rPr>
              <w:t>.</w:t>
            </w:r>
          </w:p>
          <w:p w14:paraId="0D16E835" w14:textId="77777777" w:rsidR="00D92454" w:rsidRPr="00AF0D5C" w:rsidRDefault="00D92454" w:rsidP="00DE2B68">
            <w:pPr>
              <w:shd w:val="clear" w:color="auto" w:fill="E6E7E8" w:themeFill="accent6"/>
              <w:ind w:left="177" w:right="173"/>
              <w:rPr>
                <w:rFonts w:asciiTheme="majorHAnsi" w:hAnsiTheme="majorHAnsi" w:cstheme="majorHAnsi"/>
                <w:color w:val="414042" w:themeColor="text1"/>
              </w:rPr>
            </w:pPr>
            <w:r w:rsidRPr="00AF0D5C">
              <w:rPr>
                <w:rFonts w:asciiTheme="majorHAnsi" w:hAnsiTheme="majorHAnsi" w:cstheme="majorHAnsi"/>
                <w:color w:val="414042" w:themeColor="text1"/>
              </w:rPr>
              <w:t>I certify that this Annual Report complies with:</w:t>
            </w:r>
          </w:p>
          <w:p w14:paraId="42D6E2D7" w14:textId="7281FB3B" w:rsidR="00D92454" w:rsidRPr="00AF0D5C" w:rsidRDefault="00D92454" w:rsidP="002F23D4">
            <w:pPr>
              <w:pStyle w:val="Bullets"/>
              <w:numPr>
                <w:ilvl w:val="0"/>
                <w:numId w:val="56"/>
              </w:numPr>
              <w:ind w:right="173"/>
              <w:rPr>
                <w:color w:val="414042" w:themeColor="text1"/>
              </w:rPr>
            </w:pPr>
            <w:r w:rsidRPr="00AF0D5C">
              <w:rPr>
                <w:color w:val="414042" w:themeColor="text1"/>
              </w:rPr>
              <w:t xml:space="preserve">the prescribed requirements of the </w:t>
            </w:r>
            <w:r w:rsidRPr="00AF0D5C">
              <w:rPr>
                <w:i/>
                <w:iCs/>
                <w:color w:val="414042" w:themeColor="text1"/>
              </w:rPr>
              <w:t>Financial Accountability Act 2009</w:t>
            </w:r>
            <w:r w:rsidRPr="00AF0D5C">
              <w:rPr>
                <w:color w:val="414042" w:themeColor="text1"/>
              </w:rPr>
              <w:t xml:space="preserve"> </w:t>
            </w:r>
            <w:r w:rsidR="00462084" w:rsidRPr="00AF0D5C">
              <w:rPr>
                <w:color w:val="414042" w:themeColor="text1"/>
              </w:rPr>
              <w:t xml:space="preserve">(Qld) </w:t>
            </w:r>
            <w:r w:rsidRPr="00AF0D5C">
              <w:rPr>
                <w:color w:val="414042" w:themeColor="text1"/>
              </w:rPr>
              <w:t xml:space="preserve">and the </w:t>
            </w:r>
            <w:r w:rsidRPr="00AF0D5C">
              <w:rPr>
                <w:i/>
                <w:iCs/>
                <w:color w:val="414042" w:themeColor="text1"/>
              </w:rPr>
              <w:t>Financial and Performance Management Standard 2019</w:t>
            </w:r>
            <w:r w:rsidR="00462084" w:rsidRPr="00AF0D5C">
              <w:rPr>
                <w:color w:val="414042" w:themeColor="text1"/>
              </w:rPr>
              <w:t xml:space="preserve"> (Qld)</w:t>
            </w:r>
            <w:r w:rsidRPr="00AF0D5C">
              <w:rPr>
                <w:color w:val="414042" w:themeColor="text1"/>
              </w:rPr>
              <w:t>, and</w:t>
            </w:r>
          </w:p>
          <w:p w14:paraId="48C924AD" w14:textId="1D0488F1" w:rsidR="00D92454" w:rsidRPr="00AF0D5C" w:rsidRDefault="00D92454" w:rsidP="002F23D4">
            <w:pPr>
              <w:pStyle w:val="Bullets"/>
              <w:numPr>
                <w:ilvl w:val="0"/>
                <w:numId w:val="56"/>
              </w:numPr>
              <w:ind w:right="173"/>
              <w:rPr>
                <w:color w:val="414042" w:themeColor="text1"/>
              </w:rPr>
            </w:pPr>
            <w:r w:rsidRPr="00AF0D5C">
              <w:rPr>
                <w:color w:val="414042" w:themeColor="text1"/>
              </w:rPr>
              <w:t xml:space="preserve">the detailed requirements set out in the </w:t>
            </w:r>
            <w:r w:rsidRPr="00AF0D5C">
              <w:rPr>
                <w:i/>
                <w:iCs/>
                <w:color w:val="414042" w:themeColor="text1"/>
              </w:rPr>
              <w:t>Annual report requirements for Queensland Government agencies</w:t>
            </w:r>
            <w:r w:rsidRPr="00AF0D5C">
              <w:rPr>
                <w:color w:val="414042" w:themeColor="text1"/>
              </w:rPr>
              <w:t>.</w:t>
            </w:r>
          </w:p>
          <w:p w14:paraId="6790E121" w14:textId="7E60A8FE" w:rsidR="00D92454" w:rsidRPr="00AF0D5C" w:rsidRDefault="00D92454" w:rsidP="00DE2B68">
            <w:pPr>
              <w:shd w:val="clear" w:color="auto" w:fill="E6E7E8" w:themeFill="accent6"/>
              <w:ind w:left="177" w:right="173"/>
              <w:rPr>
                <w:rFonts w:asciiTheme="majorHAnsi" w:hAnsiTheme="majorHAnsi" w:cstheme="majorHAnsi"/>
                <w:color w:val="414042" w:themeColor="text1"/>
              </w:rPr>
            </w:pPr>
            <w:r w:rsidRPr="00AF0D5C">
              <w:rPr>
                <w:rFonts w:asciiTheme="majorHAnsi" w:hAnsiTheme="majorHAnsi" w:cstheme="majorHAnsi"/>
                <w:color w:val="414042" w:themeColor="text1"/>
              </w:rPr>
              <w:t xml:space="preserve">A checklist outlining the annual reporting requirements can be accessed at page </w:t>
            </w:r>
            <w:r w:rsidR="0018660A" w:rsidRPr="00AF0D5C">
              <w:rPr>
                <w:rFonts w:asciiTheme="majorHAnsi" w:hAnsiTheme="majorHAnsi" w:cstheme="majorHAnsi"/>
                <w:color w:val="414042" w:themeColor="text1"/>
              </w:rPr>
              <w:t>11</w:t>
            </w:r>
            <w:r w:rsidR="00BD45C1" w:rsidRPr="00AF0D5C">
              <w:rPr>
                <w:rFonts w:asciiTheme="majorHAnsi" w:hAnsiTheme="majorHAnsi" w:cstheme="majorHAnsi"/>
                <w:color w:val="414042" w:themeColor="text1"/>
              </w:rPr>
              <w:t>4</w:t>
            </w:r>
            <w:r w:rsidRPr="00AF0D5C">
              <w:rPr>
                <w:rFonts w:asciiTheme="majorHAnsi" w:hAnsiTheme="majorHAnsi" w:cstheme="majorHAnsi"/>
                <w:color w:val="414042" w:themeColor="text1"/>
              </w:rPr>
              <w:t xml:space="preserve"> of this annual report.</w:t>
            </w:r>
            <w:r w:rsidR="006D51E2" w:rsidRPr="00AF0D5C">
              <w:rPr>
                <w:rFonts w:asciiTheme="majorHAnsi" w:hAnsiTheme="majorHAnsi" w:cstheme="majorHAnsi"/>
                <w:color w:val="414042" w:themeColor="text1"/>
              </w:rPr>
              <w:br/>
            </w:r>
          </w:p>
          <w:p w14:paraId="3C19987D" w14:textId="2DD1C54C" w:rsidR="00D92454" w:rsidRPr="00AF0D5C" w:rsidRDefault="00102503" w:rsidP="00DE2B68">
            <w:pPr>
              <w:shd w:val="clear" w:color="auto" w:fill="E6E7E8" w:themeFill="accent6"/>
              <w:ind w:left="177" w:right="173"/>
              <w:rPr>
                <w:rFonts w:asciiTheme="majorHAnsi" w:hAnsiTheme="majorHAnsi" w:cstheme="majorHAnsi"/>
                <w:color w:val="414042" w:themeColor="text1"/>
              </w:rPr>
            </w:pPr>
            <w:r>
              <w:rPr>
                <w:rFonts w:asciiTheme="majorHAnsi" w:hAnsiTheme="majorHAnsi" w:cstheme="majorHAnsi"/>
                <w:noProof/>
                <w:color w:val="414042" w:themeColor="text1"/>
              </w:rPr>
              <w:drawing>
                <wp:anchor distT="0" distB="0" distL="114300" distR="114300" simplePos="0" relativeHeight="252527616" behindDoc="1" locked="0" layoutInCell="1" allowOverlap="1" wp14:anchorId="502D217C" wp14:editId="22E391B8">
                  <wp:simplePos x="0" y="0"/>
                  <wp:positionH relativeFrom="column">
                    <wp:posOffset>104775</wp:posOffset>
                  </wp:positionH>
                  <wp:positionV relativeFrom="paragraph">
                    <wp:posOffset>250825</wp:posOffset>
                  </wp:positionV>
                  <wp:extent cx="1573530" cy="474980"/>
                  <wp:effectExtent l="0" t="0" r="0" b="0"/>
                  <wp:wrapTopAndBottom/>
                  <wp:docPr id="853556303" name="Picture 1"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56303" name="Picture 1" descr="A close up of a signature&#10;&#10;Description automatically generated"/>
                          <pic:cNvPicPr/>
                        </pic:nvPicPr>
                        <pic:blipFill>
                          <a:blip r:embed="rId31">
                            <a:extLst>
                              <a:ext uri="{BEBA8EAE-BF5A-486C-A8C5-ECC9F3942E4B}">
                                <a14:imgProps xmlns:a14="http://schemas.microsoft.com/office/drawing/2010/main">
                                  <a14:imgLayer r:embed="rId32">
                                    <a14:imgEffect>
                                      <a14:backgroundRemoval t="9023" b="89474" l="2961" r="93166">
                                        <a14:foregroundMark x1="10706" y1="33083" x2="10706" y2="33083"/>
                                        <a14:foregroundMark x1="12984" y1="45113" x2="12984" y2="45113"/>
                                        <a14:foregroundMark x1="10023" y1="20301" x2="10023" y2="20301"/>
                                        <a14:foregroundMark x1="11617" y1="44361" x2="11617" y2="44361"/>
                                        <a14:foregroundMark x1="27563" y1="46617" x2="27563" y2="46617"/>
                                        <a14:foregroundMark x1="40774" y1="32331" x2="40774" y2="32331"/>
                                        <a14:foregroundMark x1="3189" y1="33083" x2="3189" y2="33083"/>
                                        <a14:foregroundMark x1="5923" y1="66917" x2="5923" y2="66917"/>
                                        <a14:foregroundMark x1="12301" y1="54135" x2="12301" y2="54135"/>
                                        <a14:foregroundMark x1="93166" y1="29323" x2="93166" y2="29323"/>
                                        <a14:foregroundMark x1="88155" y1="50376" x2="88155" y2="50376"/>
                                      </a14:backgroundRemoval>
                                    </a14:imgEffect>
                                  </a14:imgLayer>
                                </a14:imgProps>
                              </a:ext>
                              <a:ext uri="{28A0092B-C50C-407E-A947-70E740481C1C}">
                                <a14:useLocalDpi xmlns:a14="http://schemas.microsoft.com/office/drawing/2010/main" val="0"/>
                              </a:ext>
                            </a:extLst>
                          </a:blip>
                          <a:stretch>
                            <a:fillRect/>
                          </a:stretch>
                        </pic:blipFill>
                        <pic:spPr>
                          <a:xfrm>
                            <a:off x="0" y="0"/>
                            <a:ext cx="1573530" cy="474980"/>
                          </a:xfrm>
                          <a:prstGeom prst="rect">
                            <a:avLst/>
                          </a:prstGeom>
                        </pic:spPr>
                      </pic:pic>
                    </a:graphicData>
                  </a:graphic>
                  <wp14:sizeRelH relativeFrom="margin">
                    <wp14:pctWidth>0</wp14:pctWidth>
                  </wp14:sizeRelH>
                  <wp14:sizeRelV relativeFrom="margin">
                    <wp14:pctHeight>0</wp14:pctHeight>
                  </wp14:sizeRelV>
                </wp:anchor>
              </w:drawing>
            </w:r>
            <w:r w:rsidR="00D92454" w:rsidRPr="00AF0D5C">
              <w:rPr>
                <w:rFonts w:asciiTheme="majorHAnsi" w:hAnsiTheme="majorHAnsi" w:cstheme="majorHAnsi"/>
                <w:color w:val="414042" w:themeColor="text1"/>
              </w:rPr>
              <w:t>Yours sincerely</w:t>
            </w:r>
          </w:p>
          <w:p w14:paraId="218DF27A" w14:textId="5A9F56CC" w:rsidR="00D92454" w:rsidRPr="00AF0D5C" w:rsidRDefault="00D92454" w:rsidP="00DE2B68">
            <w:pPr>
              <w:shd w:val="clear" w:color="auto" w:fill="E6E7E8" w:themeFill="accent6"/>
              <w:spacing w:after="120"/>
              <w:ind w:left="177" w:right="173"/>
              <w:rPr>
                <w:rFonts w:asciiTheme="minorHAnsi" w:hAnsiTheme="minorHAnsi" w:cstheme="minorHAnsi"/>
                <w:b/>
                <w:bCs/>
                <w:color w:val="414042" w:themeColor="text1"/>
              </w:rPr>
            </w:pPr>
            <w:r w:rsidRPr="00AF0D5C">
              <w:rPr>
                <w:rFonts w:asciiTheme="minorHAnsi" w:hAnsiTheme="minorHAnsi" w:cstheme="minorHAnsi"/>
                <w:b/>
                <w:bCs/>
                <w:color w:val="414042" w:themeColor="text1"/>
              </w:rPr>
              <w:t>Bruce Barbour</w:t>
            </w:r>
          </w:p>
          <w:p w14:paraId="450A23E5" w14:textId="4DB3A7DC" w:rsidR="00D92454" w:rsidRPr="00AF0D5C" w:rsidRDefault="00D92454" w:rsidP="00420125">
            <w:pPr>
              <w:shd w:val="clear" w:color="auto" w:fill="E6E7E8" w:themeFill="accent6"/>
              <w:spacing w:after="120"/>
              <w:ind w:left="177" w:right="173"/>
              <w:rPr>
                <w:rFonts w:asciiTheme="majorHAnsi" w:hAnsiTheme="majorHAnsi" w:cstheme="majorHAnsi"/>
                <w:color w:val="414042" w:themeColor="text1"/>
              </w:rPr>
            </w:pPr>
            <w:r w:rsidRPr="00AF0D5C">
              <w:rPr>
                <w:rFonts w:asciiTheme="majorHAnsi" w:hAnsiTheme="majorHAnsi" w:cstheme="majorHAnsi"/>
                <w:color w:val="414042" w:themeColor="text1"/>
              </w:rPr>
              <w:t>Chairperson</w:t>
            </w:r>
            <w:r w:rsidR="00420125" w:rsidRPr="00AF0D5C">
              <w:rPr>
                <w:rFonts w:asciiTheme="majorHAnsi" w:hAnsiTheme="majorHAnsi" w:cstheme="majorHAnsi"/>
                <w:color w:val="414042" w:themeColor="text1"/>
              </w:rPr>
              <w:br/>
            </w:r>
            <w:r w:rsidRPr="00AF0D5C">
              <w:rPr>
                <w:rFonts w:asciiTheme="majorHAnsi" w:hAnsiTheme="majorHAnsi" w:cstheme="majorHAnsi"/>
                <w:color w:val="414042" w:themeColor="text1"/>
              </w:rPr>
              <w:t>Crime and Corruption Commission</w:t>
            </w:r>
          </w:p>
          <w:p w14:paraId="3C9CD988" w14:textId="77777777" w:rsidR="009D0EE5" w:rsidRDefault="009D0EE5" w:rsidP="006D51E2">
            <w:pPr>
              <w:shd w:val="clear" w:color="auto" w:fill="E6E7E8" w:themeFill="accent6"/>
              <w:spacing w:after="120"/>
              <w:ind w:right="173"/>
              <w:rPr>
                <w:rFonts w:asciiTheme="majorHAnsi" w:hAnsiTheme="majorHAnsi" w:cstheme="majorHAnsi"/>
                <w:color w:val="414042" w:themeColor="text1"/>
              </w:rPr>
            </w:pPr>
          </w:p>
          <w:p w14:paraId="2E829B5B" w14:textId="77777777" w:rsidR="009D0EE5" w:rsidRDefault="009D0EE5" w:rsidP="006D51E2">
            <w:pPr>
              <w:shd w:val="clear" w:color="auto" w:fill="E6E7E8" w:themeFill="accent6"/>
              <w:spacing w:after="120"/>
              <w:ind w:right="173"/>
              <w:rPr>
                <w:rFonts w:asciiTheme="majorHAnsi" w:hAnsiTheme="majorHAnsi" w:cstheme="majorHAnsi"/>
                <w:color w:val="414042" w:themeColor="text1"/>
              </w:rPr>
            </w:pPr>
          </w:p>
          <w:p w14:paraId="4ECF21A3" w14:textId="77777777" w:rsidR="001417B5" w:rsidRPr="00AF0D5C" w:rsidRDefault="001417B5" w:rsidP="006D51E2">
            <w:pPr>
              <w:shd w:val="clear" w:color="auto" w:fill="E6E7E8" w:themeFill="accent6"/>
              <w:spacing w:after="120"/>
              <w:ind w:right="173"/>
              <w:rPr>
                <w:rFonts w:asciiTheme="majorHAnsi" w:hAnsiTheme="majorHAnsi" w:cstheme="majorHAnsi"/>
                <w:color w:val="414042" w:themeColor="text1"/>
              </w:rPr>
            </w:pPr>
          </w:p>
          <w:p w14:paraId="7A45F6F4" w14:textId="294D8510" w:rsidR="00DE2B68" w:rsidRPr="00AF0D5C" w:rsidRDefault="00DE2B68" w:rsidP="00913BBD">
            <w:pPr>
              <w:shd w:val="clear" w:color="auto" w:fill="E6E7E8" w:themeFill="accent6"/>
              <w:spacing w:before="120" w:after="0" w:line="260" w:lineRule="exact"/>
              <w:rPr>
                <w:color w:val="414042" w:themeColor="text1"/>
              </w:rPr>
            </w:pPr>
          </w:p>
        </w:tc>
      </w:tr>
    </w:tbl>
    <w:p w14:paraId="1CBF0220" w14:textId="77777777" w:rsidR="00F91366" w:rsidRPr="009D0957" w:rsidRDefault="00F42F76" w:rsidP="00E6408B">
      <w:pPr>
        <w:pStyle w:val="newBODYTEXT"/>
      </w:pPr>
      <w:r w:rsidRPr="00AF0D5C">
        <w:br w:type="column"/>
      </w:r>
      <w:r w:rsidR="00F91366" w:rsidRPr="00E6408B">
        <w:rPr>
          <w:rFonts w:asciiTheme="minorHAnsi" w:hAnsiTheme="minorHAnsi" w:cstheme="minorHAnsi"/>
          <w:b/>
          <w:bCs/>
          <w:sz w:val="28"/>
          <w:szCs w:val="28"/>
        </w:rPr>
        <w:t xml:space="preserve">About this report </w:t>
      </w:r>
    </w:p>
    <w:p w14:paraId="14D384A9" w14:textId="36ACC2EE" w:rsidR="00D92454" w:rsidRPr="00AF0D5C" w:rsidRDefault="00D92454" w:rsidP="006B1E6A">
      <w:pPr>
        <w:pStyle w:val="newBODYTEXT"/>
        <w:ind w:right="-143"/>
      </w:pPr>
      <w:r w:rsidRPr="00AF0D5C">
        <w:t xml:space="preserve">This annual report assesses our agency’s performance against our strategic objectives, including performance indicators aligning with our </w:t>
      </w:r>
      <w:r w:rsidRPr="00AF0D5C">
        <w:rPr>
          <w:i/>
          <w:iCs/>
          <w:u w:color="BCBEC0" w:themeColor="accent5"/>
        </w:rPr>
        <w:t xml:space="preserve">Strategic Plan </w:t>
      </w:r>
      <w:r w:rsidR="00222F0B" w:rsidRPr="00AF0D5C">
        <w:rPr>
          <w:i/>
          <w:iCs/>
          <w:u w:color="BCBEC0" w:themeColor="accent5"/>
        </w:rPr>
        <w:t>2023–27</w:t>
      </w:r>
      <w:r w:rsidRPr="00AF0D5C">
        <w:t xml:space="preserve">, </w:t>
      </w:r>
      <w:r w:rsidRPr="00AF0D5C">
        <w:br/>
      </w:r>
      <w:r w:rsidRPr="00AF0D5C">
        <w:rPr>
          <w:i/>
          <w:iCs/>
        </w:rPr>
        <w:t>Operational Plan 202</w:t>
      </w:r>
      <w:r w:rsidR="001266BA" w:rsidRPr="00AF0D5C">
        <w:rPr>
          <w:i/>
          <w:iCs/>
        </w:rPr>
        <w:t>3</w:t>
      </w:r>
      <w:r w:rsidRPr="00AF0D5C">
        <w:rPr>
          <w:i/>
          <w:iCs/>
        </w:rPr>
        <w:t>–2</w:t>
      </w:r>
      <w:r w:rsidR="001266BA" w:rsidRPr="00AF0D5C">
        <w:rPr>
          <w:i/>
          <w:iCs/>
        </w:rPr>
        <w:t>4</w:t>
      </w:r>
      <w:r w:rsidRPr="00AF0D5C">
        <w:t xml:space="preserve">, and </w:t>
      </w:r>
      <w:r w:rsidRPr="00AF0D5C">
        <w:rPr>
          <w:i/>
          <w:iCs/>
        </w:rPr>
        <w:t>Service Delivery Statement 202</w:t>
      </w:r>
      <w:r w:rsidR="001266BA" w:rsidRPr="00AF0D5C">
        <w:rPr>
          <w:i/>
          <w:iCs/>
        </w:rPr>
        <w:t>3</w:t>
      </w:r>
      <w:r w:rsidRPr="00AF0D5C">
        <w:rPr>
          <w:i/>
          <w:iCs/>
        </w:rPr>
        <w:t>–2</w:t>
      </w:r>
      <w:r w:rsidR="001266BA" w:rsidRPr="00AF0D5C">
        <w:rPr>
          <w:i/>
          <w:iCs/>
        </w:rPr>
        <w:t>4</w:t>
      </w:r>
      <w:r w:rsidRPr="00AF0D5C">
        <w:t>. This report includes both qualitative and quantitative performance information demonstrating our commitment to comba</w:t>
      </w:r>
      <w:r w:rsidR="00AF3176" w:rsidRPr="00AF0D5C">
        <w:t>t</w:t>
      </w:r>
      <w:r w:rsidRPr="00AF0D5C">
        <w:t>ing major crime and reducing corruption for the benefit of the Queensland community.</w:t>
      </w:r>
    </w:p>
    <w:p w14:paraId="196A09D3" w14:textId="3CC60104" w:rsidR="00F42F76" w:rsidRPr="00AF0D5C" w:rsidRDefault="00F42F76" w:rsidP="006B1E6A">
      <w:pPr>
        <w:pStyle w:val="newBODYTEXT"/>
        <w:ind w:right="-143"/>
      </w:pPr>
      <w:r w:rsidRPr="00AF0D5C">
        <w:t xml:space="preserve">In accordance with the </w:t>
      </w:r>
      <w:r w:rsidRPr="003254B0">
        <w:rPr>
          <w:i/>
          <w:iCs/>
        </w:rPr>
        <w:t>Human Rights Act 2019</w:t>
      </w:r>
      <w:r w:rsidRPr="00AF0D5C">
        <w:t>, the CCC has given proper consideration to human rights in the drafting of the 2023</w:t>
      </w:r>
      <w:r w:rsidR="003254B0" w:rsidRPr="00AF0D5C">
        <w:rPr>
          <w:i/>
          <w:iCs/>
          <w:u w:color="BCBEC0" w:themeColor="accent5"/>
        </w:rPr>
        <w:t>–</w:t>
      </w:r>
      <w:r w:rsidRPr="00AF0D5C">
        <w:t xml:space="preserve">24 Annual Report, including identifying human rights that may be affected. The CCC considers that the decision to publish the information within the Annual Report is compatible with human rights pursuant to section 13 of the </w:t>
      </w:r>
      <w:r w:rsidRPr="003254B0">
        <w:rPr>
          <w:i/>
          <w:iCs/>
        </w:rPr>
        <w:t>Human Rights Act 2019</w:t>
      </w:r>
      <w:r w:rsidRPr="00AF0D5C">
        <w:t>.</w:t>
      </w:r>
    </w:p>
    <w:p w14:paraId="1194F7A7" w14:textId="77777777" w:rsidR="00D92454" w:rsidRPr="00AF0D5C" w:rsidRDefault="00D92454" w:rsidP="006B1E6A">
      <w:pPr>
        <w:pStyle w:val="newBODYTEXT"/>
        <w:ind w:right="-143"/>
      </w:pPr>
      <w:r w:rsidRPr="00AF0D5C">
        <w:t xml:space="preserve">As part of our commitment to transparent and accountable reporting, we have endeavoured to strike a balance between informing the public and protecting confidential information that could compromise a person or an ongoing investigation. For this reason, it is not possible to include detailed reports on our witness protection program. </w:t>
      </w:r>
    </w:p>
    <w:p w14:paraId="1AED8B40" w14:textId="7F35EBC9" w:rsidR="00D92454" w:rsidRPr="00AF0D5C" w:rsidRDefault="00D92454" w:rsidP="006B1E6A">
      <w:pPr>
        <w:pStyle w:val="newBODYTEXT"/>
        <w:ind w:right="-143"/>
      </w:pPr>
      <w:r w:rsidRPr="00AF0D5C">
        <w:t xml:space="preserve">This annual report is available on our website at </w:t>
      </w:r>
      <w:hyperlink r:id="rId33" w:history="1">
        <w:r w:rsidRPr="00AF0D5C">
          <w:rPr>
            <w:rStyle w:val="Hyperlink"/>
            <w:color w:val="414042" w:themeColor="text1"/>
            <w:u w:color="BCBEC0" w:themeColor="accent5"/>
          </w:rPr>
          <w:t>www.ccc.qld.gov.au/annualreport</w:t>
        </w:r>
      </w:hyperlink>
      <w:r w:rsidRPr="00AF0D5C">
        <w:t xml:space="preserve"> or in hard copy upon request. Our website also hosts detailed information about our agency, including our </w:t>
      </w:r>
      <w:r w:rsidRPr="00AF0D5C">
        <w:rPr>
          <w:i/>
          <w:iCs/>
          <w:u w:color="BCBEC0" w:themeColor="accent5"/>
        </w:rPr>
        <w:t xml:space="preserve">Strategic Plan </w:t>
      </w:r>
      <w:r w:rsidR="00222F0B" w:rsidRPr="00AF0D5C">
        <w:rPr>
          <w:i/>
          <w:iCs/>
          <w:u w:color="BCBEC0" w:themeColor="accent5"/>
        </w:rPr>
        <w:t>2023–27</w:t>
      </w:r>
      <w:r w:rsidRPr="00AF0D5C">
        <w:t xml:space="preserve">, </w:t>
      </w:r>
      <w:r w:rsidRPr="00AF0D5C">
        <w:rPr>
          <w:u w:color="BCBEC0" w:themeColor="accent5"/>
        </w:rPr>
        <w:t>publications</w:t>
      </w:r>
      <w:r w:rsidRPr="00AF0D5C">
        <w:t xml:space="preserve">, </w:t>
      </w:r>
      <w:r w:rsidRPr="00AF0D5C">
        <w:rPr>
          <w:u w:color="BCBEC0" w:themeColor="accent5"/>
        </w:rPr>
        <w:t>media releases</w:t>
      </w:r>
      <w:r w:rsidRPr="00AF0D5C">
        <w:t xml:space="preserve"> and information about </w:t>
      </w:r>
      <w:r w:rsidRPr="00AF0D5C">
        <w:rPr>
          <w:u w:color="BCBEC0" w:themeColor="accent5"/>
        </w:rPr>
        <w:t>government bodies</w:t>
      </w:r>
      <w:r w:rsidRPr="00AF0D5C">
        <w:t xml:space="preserve"> relevant to us.</w:t>
      </w:r>
    </w:p>
    <w:p w14:paraId="2603D7F7" w14:textId="5ACC611B" w:rsidR="00D92454" w:rsidRPr="00AF0D5C" w:rsidRDefault="00D92454" w:rsidP="006B1E6A">
      <w:pPr>
        <w:pStyle w:val="newBODYTEXT"/>
        <w:ind w:right="-143"/>
      </w:pPr>
      <w:r w:rsidRPr="00AF0D5C">
        <w:t xml:space="preserve">Additional information on consultancies, overseas travel, and interpreter services (in accordance with the Queensland Language Services Policy) is published online through the Queensland Government Open Data portal, </w:t>
      </w:r>
      <w:hyperlink r:id="rId34" w:history="1">
        <w:r w:rsidRPr="00AF0D5C">
          <w:rPr>
            <w:rStyle w:val="Hyperlink"/>
            <w:color w:val="414042" w:themeColor="text1"/>
            <w:u w:color="BCBEC0" w:themeColor="accent5"/>
          </w:rPr>
          <w:t>www.data.qld.gov.au</w:t>
        </w:r>
      </w:hyperlink>
      <w:r w:rsidRPr="00AF0D5C">
        <w:rPr>
          <w:rStyle w:val="Hyperlink"/>
          <w:color w:val="414042" w:themeColor="text1"/>
          <w:u w:val="none"/>
        </w:rPr>
        <w:t>.</w:t>
      </w:r>
    </w:p>
    <w:p w14:paraId="2112D69E" w14:textId="5B3669CA" w:rsidR="00D92454" w:rsidRPr="00AF0D5C" w:rsidRDefault="00D92454" w:rsidP="006B1E6A">
      <w:pPr>
        <w:pStyle w:val="5A-Headingintext"/>
        <w:ind w:right="-143"/>
      </w:pPr>
      <w:bookmarkStart w:id="3" w:name="_Hlk144293641"/>
      <w:r w:rsidRPr="00AF0D5C">
        <w:t>Interpreter service</w:t>
      </w:r>
    </w:p>
    <w:bookmarkEnd w:id="3"/>
    <w:p w14:paraId="6AC03E91" w14:textId="51855CDF" w:rsidR="00D92454" w:rsidRDefault="006B1E6A" w:rsidP="006B1E6A">
      <w:pPr>
        <w:spacing w:after="80"/>
        <w:ind w:right="-143"/>
        <w:rPr>
          <w:color w:val="414042" w:themeColor="text1"/>
        </w:rPr>
      </w:pPr>
      <w:r w:rsidRPr="00AF0D5C">
        <w:rPr>
          <w:noProof/>
          <w:color w:val="414042" w:themeColor="text1"/>
        </w:rPr>
        <w:drawing>
          <wp:anchor distT="0" distB="71755" distL="114300" distR="180340" simplePos="0" relativeHeight="252372992" behindDoc="1" locked="0" layoutInCell="1" allowOverlap="1" wp14:anchorId="5DC2225D" wp14:editId="02C3D787">
            <wp:simplePos x="0" y="0"/>
            <wp:positionH relativeFrom="column">
              <wp:posOffset>42545</wp:posOffset>
            </wp:positionH>
            <wp:positionV relativeFrom="page">
              <wp:posOffset>7560559</wp:posOffset>
            </wp:positionV>
            <wp:extent cx="532765" cy="532765"/>
            <wp:effectExtent l="0" t="0" r="635" b="635"/>
            <wp:wrapTight wrapText="bothSides">
              <wp:wrapPolygon edited="0">
                <wp:start x="0" y="0"/>
                <wp:lineTo x="0" y="20853"/>
                <wp:lineTo x="20853" y="20853"/>
                <wp:lineTo x="2085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5">
                      <a:extLst>
                        <a:ext uri="{28A0092B-C50C-407E-A947-70E740481C1C}">
                          <a14:useLocalDpi xmlns:a14="http://schemas.microsoft.com/office/drawing/2010/main" val="0"/>
                        </a:ext>
                      </a:extLst>
                    </a:blip>
                    <a:stretch>
                      <a:fillRect/>
                    </a:stretch>
                  </pic:blipFill>
                  <pic:spPr>
                    <a:xfrm>
                      <a:off x="0" y="0"/>
                      <a:ext cx="532765" cy="532765"/>
                    </a:xfrm>
                    <a:prstGeom prst="rect">
                      <a:avLst/>
                    </a:prstGeom>
                  </pic:spPr>
                </pic:pic>
              </a:graphicData>
            </a:graphic>
            <wp14:sizeRelH relativeFrom="page">
              <wp14:pctWidth>0</wp14:pctWidth>
            </wp14:sizeRelH>
            <wp14:sizeRelV relativeFrom="page">
              <wp14:pctHeight>0</wp14:pctHeight>
            </wp14:sizeRelV>
          </wp:anchor>
        </w:drawing>
      </w:r>
      <w:r w:rsidR="00D92454" w:rsidRPr="00AF0D5C">
        <w:rPr>
          <w:color w:val="414042" w:themeColor="text1"/>
        </w:rPr>
        <w:t xml:space="preserve">The Queensland Government is committed </w:t>
      </w:r>
      <w:r w:rsidR="00E13A38" w:rsidRPr="00AF0D5C">
        <w:rPr>
          <w:color w:val="414042" w:themeColor="text1"/>
        </w:rPr>
        <w:br/>
      </w:r>
      <w:r w:rsidR="00D92454" w:rsidRPr="00AF0D5C">
        <w:rPr>
          <w:color w:val="414042" w:themeColor="text1"/>
        </w:rPr>
        <w:t xml:space="preserve">to providing accessible services to Queenslanders from all culturally and linguistically diverse backgrounds. If you have difficulty in understanding this annual report, you can contact us on either </w:t>
      </w:r>
      <w:r w:rsidR="00D92454" w:rsidRPr="00AF0D5C">
        <w:rPr>
          <w:rFonts w:asciiTheme="minorHAnsi" w:hAnsiTheme="minorHAnsi" w:cstheme="minorHAnsi"/>
          <w:b/>
          <w:bCs/>
          <w:color w:val="414042" w:themeColor="text1"/>
        </w:rPr>
        <w:t>07 3360 6060</w:t>
      </w:r>
      <w:r w:rsidR="00D92454" w:rsidRPr="00AF0D5C">
        <w:rPr>
          <w:color w:val="414042" w:themeColor="text1"/>
        </w:rPr>
        <w:t xml:space="preserve"> or </w:t>
      </w:r>
      <w:r w:rsidR="00D92454" w:rsidRPr="00AF0D5C">
        <w:rPr>
          <w:rFonts w:asciiTheme="minorHAnsi" w:hAnsiTheme="minorHAnsi" w:cstheme="minorHAnsi"/>
          <w:b/>
          <w:bCs/>
          <w:color w:val="414042" w:themeColor="text1"/>
        </w:rPr>
        <w:t xml:space="preserve">toll-free </w:t>
      </w:r>
      <w:r w:rsidR="00A067D5">
        <w:rPr>
          <w:rFonts w:asciiTheme="minorHAnsi" w:hAnsiTheme="minorHAnsi" w:cstheme="minorHAnsi"/>
          <w:b/>
          <w:bCs/>
          <w:color w:val="414042" w:themeColor="text1"/>
        </w:rPr>
        <w:br/>
      </w:r>
      <w:r w:rsidR="00D92454" w:rsidRPr="00AF0D5C">
        <w:rPr>
          <w:rFonts w:asciiTheme="minorHAnsi" w:hAnsiTheme="minorHAnsi" w:cstheme="minorHAnsi"/>
          <w:b/>
          <w:bCs/>
          <w:color w:val="414042" w:themeColor="text1"/>
        </w:rPr>
        <w:t>1800 061 611</w:t>
      </w:r>
      <w:r w:rsidR="00D92454" w:rsidRPr="00AF0D5C">
        <w:rPr>
          <w:b/>
          <w:bCs/>
          <w:color w:val="414042" w:themeColor="text1"/>
        </w:rPr>
        <w:t xml:space="preserve"> </w:t>
      </w:r>
      <w:r w:rsidR="00D92454" w:rsidRPr="00AF0D5C">
        <w:rPr>
          <w:color w:val="414042" w:themeColor="text1"/>
        </w:rPr>
        <w:t>and we will arrange for an interpreter to effectively communicate the report to you.</w:t>
      </w:r>
    </w:p>
    <w:p w14:paraId="6C2D3257" w14:textId="77777777" w:rsidR="00D92454" w:rsidRPr="00AF0D5C" w:rsidRDefault="00D92454" w:rsidP="006B1E6A">
      <w:pPr>
        <w:pStyle w:val="5A-Headingintext"/>
        <w:ind w:right="-143"/>
      </w:pPr>
      <w:r w:rsidRPr="00AF0D5C">
        <w:t>Feedback</w:t>
      </w:r>
    </w:p>
    <w:p w14:paraId="1CF12280" w14:textId="77777777" w:rsidR="00D92454" w:rsidRPr="00AF0D5C" w:rsidRDefault="00D92454" w:rsidP="006B1E6A">
      <w:pPr>
        <w:spacing w:after="80"/>
        <w:ind w:right="-143"/>
        <w:rPr>
          <w:color w:val="414042" w:themeColor="text1"/>
          <w:spacing w:val="-4"/>
        </w:rPr>
      </w:pPr>
      <w:r w:rsidRPr="00AF0D5C">
        <w:rPr>
          <w:color w:val="414042" w:themeColor="text1"/>
          <w:spacing w:val="-4"/>
        </w:rPr>
        <w:t>We welcome your comments on this report. See the back cover for contact details on where to address your feedback.</w:t>
      </w:r>
    </w:p>
    <w:p w14:paraId="08077AAB" w14:textId="0027BDB5" w:rsidR="00D92454" w:rsidRPr="00AF0D5C" w:rsidRDefault="00D92454">
      <w:pPr>
        <w:spacing w:before="120" w:after="0" w:line="260" w:lineRule="exact"/>
        <w:rPr>
          <w:color w:val="414042" w:themeColor="text1"/>
        </w:rPr>
        <w:sectPr w:rsidR="00D92454" w:rsidRPr="00AF0D5C" w:rsidSect="00C04288">
          <w:type w:val="continuous"/>
          <w:pgSz w:w="11906" w:h="16838"/>
          <w:pgMar w:top="2155" w:right="1134" w:bottom="964" w:left="1134" w:header="709" w:footer="283" w:gutter="0"/>
          <w:cols w:num="2" w:space="567"/>
          <w:docGrid w:linePitch="360"/>
        </w:sectPr>
      </w:pPr>
    </w:p>
    <w:p w14:paraId="4AF10DC1" w14:textId="77777777" w:rsidR="008C6A0B" w:rsidRPr="00AF0D5C" w:rsidRDefault="008C6A0B" w:rsidP="00074FC3">
      <w:pPr>
        <w:rPr>
          <w:color w:val="414042" w:themeColor="text1"/>
        </w:rPr>
        <w:sectPr w:rsidR="008C6A0B" w:rsidRPr="00AF0D5C" w:rsidSect="00C77834">
          <w:headerReference w:type="even" r:id="rId36"/>
          <w:headerReference w:type="default" r:id="rId37"/>
          <w:footerReference w:type="even" r:id="rId38"/>
          <w:headerReference w:type="first" r:id="rId39"/>
          <w:type w:val="continuous"/>
          <w:pgSz w:w="11906" w:h="16838"/>
          <w:pgMar w:top="2155" w:right="1134" w:bottom="964" w:left="1134" w:header="709" w:footer="283" w:gutter="0"/>
          <w:cols w:num="2" w:space="567"/>
          <w:titlePg/>
          <w:docGrid w:linePitch="360"/>
        </w:sectPr>
      </w:pPr>
    </w:p>
    <w:p w14:paraId="469A639E" w14:textId="77777777" w:rsidR="008C6A0B" w:rsidRPr="00AF0D5C" w:rsidRDefault="008C6A0B" w:rsidP="008C6A0B">
      <w:pPr>
        <w:framePr w:hSpace="180" w:wrap="around" w:vAnchor="text" w:hAnchor="margin" w:y="-58"/>
        <w:suppressAutoHyphens/>
        <w:autoSpaceDE w:val="0"/>
        <w:autoSpaceDN w:val="0"/>
        <w:adjustRightInd w:val="0"/>
        <w:spacing w:after="170" w:line="288" w:lineRule="auto"/>
        <w:textAlignment w:val="center"/>
        <w:rPr>
          <w:rFonts w:cs="Calibri Light"/>
          <w:bCs/>
          <w:color w:val="414042" w:themeColor="text1"/>
          <w:szCs w:val="20"/>
        </w:rPr>
      </w:pPr>
    </w:p>
    <w:p w14:paraId="4227AD5C" w14:textId="5249E48D" w:rsidR="00123A41" w:rsidRPr="00AF0D5C" w:rsidRDefault="00123A41" w:rsidP="00FB32EE">
      <w:pPr>
        <w:pStyle w:val="1Heading"/>
      </w:pPr>
      <w:bookmarkStart w:id="4" w:name="_About_us"/>
      <w:bookmarkStart w:id="5" w:name="_Toc102037811"/>
      <w:bookmarkStart w:id="6" w:name="_Toc102038173"/>
      <w:bookmarkStart w:id="7" w:name="_Toc102038534"/>
      <w:bookmarkStart w:id="8" w:name="_Toc102038894"/>
      <w:bookmarkStart w:id="9" w:name="_Toc102039246"/>
      <w:bookmarkStart w:id="10" w:name="_Toc102039601"/>
      <w:bookmarkStart w:id="11" w:name="_Toc102039958"/>
      <w:bookmarkStart w:id="12" w:name="_Toc102040283"/>
      <w:bookmarkStart w:id="13" w:name="_Toc102040617"/>
      <w:bookmarkStart w:id="14" w:name="_Toc102040945"/>
      <w:bookmarkStart w:id="15" w:name="_Toc102041275"/>
      <w:bookmarkStart w:id="16" w:name="_Toc102041607"/>
      <w:bookmarkStart w:id="17" w:name="_Toc102041934"/>
      <w:bookmarkStart w:id="18" w:name="_Toc102042263"/>
      <w:bookmarkStart w:id="19" w:name="_Toc102045393"/>
      <w:bookmarkStart w:id="20" w:name="Aboutus"/>
      <w:bookmarkStart w:id="21" w:name="_Hlk73093692"/>
      <w:bookmarkEnd w:id="4"/>
      <w:r w:rsidRPr="00AF0D5C">
        <w:t>About us</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tbl>
      <w:tblPr>
        <w:tblW w:w="4846" w:type="pct"/>
        <w:tblBorders>
          <w:insideH w:val="single" w:sz="12" w:space="0" w:color="FFFFFF" w:themeColor="background1"/>
        </w:tblBorders>
        <w:tblLook w:val="04A0" w:firstRow="1" w:lastRow="0" w:firstColumn="1" w:lastColumn="0" w:noHBand="0" w:noVBand="1"/>
      </w:tblPr>
      <w:tblGrid>
        <w:gridCol w:w="7833"/>
        <w:gridCol w:w="1508"/>
      </w:tblGrid>
      <w:tr w:rsidR="002E0B4F" w:rsidRPr="002E0B4F" w14:paraId="2EE9ABCE" w14:textId="77777777" w:rsidTr="00C81201">
        <w:tc>
          <w:tcPr>
            <w:tcW w:w="4193" w:type="pct"/>
            <w:shd w:val="clear" w:color="auto" w:fill="auto"/>
          </w:tcPr>
          <w:bookmarkEnd w:id="20"/>
          <w:p w14:paraId="321D5983" w14:textId="721D0B62" w:rsidR="00222F0B" w:rsidRPr="00E6408B" w:rsidRDefault="006F0A5E" w:rsidP="00C81201">
            <w:pPr>
              <w:pStyle w:val="71Sectionnumbering"/>
              <w:framePr w:wrap="around" w:x="180"/>
              <w:rPr>
                <w:rStyle w:val="Hyperlink"/>
                <w:color w:val="auto"/>
                <w:u w:val="none"/>
              </w:rPr>
            </w:pPr>
            <w:r w:rsidRPr="002E0B4F">
              <w:fldChar w:fldCharType="begin"/>
            </w:r>
            <w:r w:rsidRPr="002E0B4F">
              <w:instrText>HYPERLINK  \l "Chairpersonmsg"</w:instrText>
            </w:r>
            <w:r w:rsidRPr="002E0B4F">
              <w:fldChar w:fldCharType="separate"/>
            </w:r>
            <w:r w:rsidR="00222F0B" w:rsidRPr="00E6408B">
              <w:rPr>
                <w:rStyle w:val="Hyperlink"/>
                <w:color w:val="auto"/>
                <w:u w:val="none"/>
              </w:rPr>
              <w:t>Message from the Chairperson</w:t>
            </w:r>
            <w:r w:rsidRPr="002E0B4F">
              <w:fldChar w:fldCharType="end"/>
            </w:r>
          </w:p>
        </w:tc>
        <w:tc>
          <w:tcPr>
            <w:tcW w:w="807" w:type="pct"/>
          </w:tcPr>
          <w:p w14:paraId="59A1B5E3" w14:textId="1E2916B6" w:rsidR="00222F0B" w:rsidRPr="00E6408B" w:rsidRDefault="00507575" w:rsidP="00C81201">
            <w:pPr>
              <w:pStyle w:val="71Sectionnumbering"/>
              <w:framePr w:wrap="around" w:x="180"/>
            </w:pPr>
            <w:hyperlink w:anchor="Chairpersonmsg" w:history="1">
              <w:r w:rsidR="00D13C92" w:rsidRPr="00E6408B">
                <w:rPr>
                  <w:rStyle w:val="Hyperlink"/>
                  <w:color w:val="auto"/>
                  <w:u w:val="none"/>
                </w:rPr>
                <w:t>6</w:t>
              </w:r>
            </w:hyperlink>
          </w:p>
        </w:tc>
      </w:tr>
      <w:tr w:rsidR="002E0B4F" w:rsidRPr="002E0B4F" w14:paraId="2823A220" w14:textId="77777777" w:rsidTr="00C81201">
        <w:tc>
          <w:tcPr>
            <w:tcW w:w="4193" w:type="pct"/>
            <w:shd w:val="clear" w:color="auto" w:fill="auto"/>
          </w:tcPr>
          <w:p w14:paraId="1CC00801" w14:textId="63B2C9E2" w:rsidR="00222F0B" w:rsidRPr="00E6408B" w:rsidRDefault="00507575" w:rsidP="00C81201">
            <w:pPr>
              <w:pStyle w:val="71Sectionnumbering"/>
              <w:framePr w:wrap="around" w:x="180"/>
            </w:pPr>
            <w:hyperlink w:anchor="CEOmsg" w:history="1">
              <w:r w:rsidR="00222F0B" w:rsidRPr="00E6408B">
                <w:rPr>
                  <w:rStyle w:val="Hyperlink"/>
                  <w:color w:val="auto"/>
                  <w:u w:val="none"/>
                </w:rPr>
                <w:t>Message from the Chief Executive Officer</w:t>
              </w:r>
            </w:hyperlink>
          </w:p>
        </w:tc>
        <w:tc>
          <w:tcPr>
            <w:tcW w:w="807" w:type="pct"/>
          </w:tcPr>
          <w:p w14:paraId="3F2C73AE" w14:textId="616E1E49" w:rsidR="00222F0B" w:rsidRPr="00E6408B" w:rsidRDefault="00507575" w:rsidP="00C81201">
            <w:pPr>
              <w:pStyle w:val="71Sectionnumbering"/>
              <w:framePr w:wrap="around" w:x="180"/>
            </w:pPr>
            <w:hyperlink w:anchor="CEOmsg" w:history="1">
              <w:r w:rsidR="00D13C92" w:rsidRPr="00E6408B">
                <w:rPr>
                  <w:rStyle w:val="Hyperlink"/>
                  <w:color w:val="auto"/>
                  <w:u w:val="none"/>
                </w:rPr>
                <w:t>8</w:t>
              </w:r>
            </w:hyperlink>
          </w:p>
        </w:tc>
      </w:tr>
      <w:tr w:rsidR="002E0B4F" w:rsidRPr="002E0B4F" w14:paraId="67E1E297" w14:textId="77777777" w:rsidTr="00C81201">
        <w:tc>
          <w:tcPr>
            <w:tcW w:w="4193" w:type="pct"/>
            <w:shd w:val="clear" w:color="auto" w:fill="auto"/>
          </w:tcPr>
          <w:p w14:paraId="2D4AB33A" w14:textId="30CA877C" w:rsidR="00222F0B" w:rsidRPr="00E6408B" w:rsidRDefault="00507575" w:rsidP="00C81201">
            <w:pPr>
              <w:pStyle w:val="71Sectionnumbering"/>
              <w:framePr w:wrap="around" w:x="180"/>
            </w:pPr>
            <w:hyperlink w:anchor="VisionPurposeValues" w:history="1">
              <w:r w:rsidR="00222F0B" w:rsidRPr="00E6408B">
                <w:rPr>
                  <w:rStyle w:val="Hyperlink"/>
                  <w:color w:val="auto"/>
                  <w:u w:val="none"/>
                </w:rPr>
                <w:t>Our vision, purpose and values</w:t>
              </w:r>
            </w:hyperlink>
          </w:p>
        </w:tc>
        <w:tc>
          <w:tcPr>
            <w:tcW w:w="807" w:type="pct"/>
          </w:tcPr>
          <w:p w14:paraId="74D8434B" w14:textId="39488FE5" w:rsidR="00222F0B" w:rsidRPr="00E6408B" w:rsidRDefault="00507575" w:rsidP="00C81201">
            <w:pPr>
              <w:pStyle w:val="71Sectionnumbering"/>
              <w:framePr w:wrap="around" w:x="180"/>
            </w:pPr>
            <w:hyperlink w:anchor="VisionPurposeValues" w:history="1">
              <w:r w:rsidR="00D13C92" w:rsidRPr="00E6408B">
                <w:rPr>
                  <w:rStyle w:val="Hyperlink"/>
                  <w:color w:val="auto"/>
                  <w:u w:val="none"/>
                </w:rPr>
                <w:t>10</w:t>
              </w:r>
            </w:hyperlink>
          </w:p>
        </w:tc>
      </w:tr>
      <w:tr w:rsidR="002E0B4F" w:rsidRPr="002E0B4F" w14:paraId="5DB5EC1B" w14:textId="77777777" w:rsidTr="00C81201">
        <w:tc>
          <w:tcPr>
            <w:tcW w:w="4193" w:type="pct"/>
            <w:shd w:val="clear" w:color="auto" w:fill="auto"/>
          </w:tcPr>
          <w:p w14:paraId="5FBEA421" w14:textId="091EA15A" w:rsidR="00222F0B" w:rsidRPr="00E6408B" w:rsidRDefault="00507575" w:rsidP="00C81201">
            <w:pPr>
              <w:pStyle w:val="71Sectionnumbering"/>
              <w:framePr w:wrap="around" w:x="180"/>
              <w:rPr>
                <w:rStyle w:val="Hyperlink"/>
                <w:color w:val="auto"/>
                <w:u w:val="none"/>
              </w:rPr>
            </w:pPr>
            <w:hyperlink w:anchor="WhoWeAre" w:history="1">
              <w:r w:rsidR="00222F0B" w:rsidRPr="00E6408B">
                <w:rPr>
                  <w:rStyle w:val="Hyperlink"/>
                  <w:color w:val="auto"/>
                  <w:u w:val="none"/>
                </w:rPr>
                <w:t>Who we are</w:t>
              </w:r>
            </w:hyperlink>
          </w:p>
        </w:tc>
        <w:tc>
          <w:tcPr>
            <w:tcW w:w="807" w:type="pct"/>
          </w:tcPr>
          <w:p w14:paraId="6C66BDC0" w14:textId="2BCE71B6" w:rsidR="00222F0B" w:rsidRPr="00E6408B" w:rsidRDefault="00507575" w:rsidP="00C81201">
            <w:pPr>
              <w:pStyle w:val="71Sectionnumbering"/>
              <w:framePr w:wrap="around" w:x="180"/>
            </w:pPr>
            <w:hyperlink w:anchor="WhoWeAre" w:history="1">
              <w:r w:rsidR="00D13C92" w:rsidRPr="00E6408B">
                <w:rPr>
                  <w:rStyle w:val="Hyperlink"/>
                  <w:color w:val="auto"/>
                  <w:u w:val="none"/>
                </w:rPr>
                <w:t>11</w:t>
              </w:r>
            </w:hyperlink>
          </w:p>
        </w:tc>
      </w:tr>
      <w:tr w:rsidR="002E0B4F" w:rsidRPr="002E0B4F" w14:paraId="054BDCFC" w14:textId="77777777" w:rsidTr="00C81201">
        <w:tc>
          <w:tcPr>
            <w:tcW w:w="4193" w:type="pct"/>
            <w:shd w:val="clear" w:color="auto" w:fill="auto"/>
          </w:tcPr>
          <w:p w14:paraId="63ECED84" w14:textId="4612A625" w:rsidR="00222F0B" w:rsidRPr="00E6408B" w:rsidRDefault="00507575" w:rsidP="00C81201">
            <w:pPr>
              <w:pStyle w:val="71Sectionnumbering"/>
              <w:framePr w:wrap="around" w:x="180"/>
              <w:rPr>
                <w:rStyle w:val="Hyperlink"/>
                <w:color w:val="auto"/>
                <w:u w:val="none"/>
              </w:rPr>
            </w:pPr>
            <w:hyperlink w:anchor="OrgStructure" w:history="1">
              <w:r w:rsidR="00222F0B" w:rsidRPr="00E6408B">
                <w:rPr>
                  <w:rStyle w:val="Hyperlink"/>
                  <w:color w:val="auto"/>
                  <w:u w:val="none"/>
                </w:rPr>
                <w:t>Our organisational structure</w:t>
              </w:r>
            </w:hyperlink>
          </w:p>
        </w:tc>
        <w:tc>
          <w:tcPr>
            <w:tcW w:w="807" w:type="pct"/>
          </w:tcPr>
          <w:p w14:paraId="25483E65" w14:textId="6FF978BA" w:rsidR="00222F0B" w:rsidRPr="00E6408B" w:rsidRDefault="00507575" w:rsidP="00C81201">
            <w:pPr>
              <w:pStyle w:val="71Sectionnumbering"/>
              <w:framePr w:wrap="around" w:x="180"/>
            </w:pPr>
            <w:hyperlink w:anchor="OrgStructure" w:history="1">
              <w:r w:rsidR="00D13C92" w:rsidRPr="00E6408B">
                <w:rPr>
                  <w:rStyle w:val="Hyperlink"/>
                  <w:color w:val="auto"/>
                  <w:u w:val="none"/>
                </w:rPr>
                <w:t>12</w:t>
              </w:r>
            </w:hyperlink>
          </w:p>
        </w:tc>
      </w:tr>
      <w:tr w:rsidR="002E0B4F" w:rsidRPr="002E0B4F" w14:paraId="7B442C84" w14:textId="77777777" w:rsidTr="00C81201">
        <w:tc>
          <w:tcPr>
            <w:tcW w:w="4193" w:type="pct"/>
            <w:shd w:val="clear" w:color="auto" w:fill="auto"/>
          </w:tcPr>
          <w:p w14:paraId="272FBCD9" w14:textId="242DEBDA" w:rsidR="00222F0B" w:rsidRPr="00E6408B" w:rsidRDefault="00507575" w:rsidP="00C81201">
            <w:pPr>
              <w:pStyle w:val="71Sectionnumbering"/>
              <w:framePr w:wrap="around" w:x="180"/>
              <w:rPr>
                <w:rStyle w:val="Hyperlink"/>
                <w:color w:val="auto"/>
                <w:u w:val="none"/>
              </w:rPr>
            </w:pPr>
            <w:hyperlink w:anchor="StakeholdersandPartners" w:history="1">
              <w:r w:rsidR="00222F0B" w:rsidRPr="00E6408B">
                <w:rPr>
                  <w:rStyle w:val="Hyperlink"/>
                  <w:color w:val="auto"/>
                  <w:u w:val="none"/>
                </w:rPr>
                <w:t>Our stakeholders and partners</w:t>
              </w:r>
            </w:hyperlink>
          </w:p>
        </w:tc>
        <w:tc>
          <w:tcPr>
            <w:tcW w:w="807" w:type="pct"/>
          </w:tcPr>
          <w:p w14:paraId="73A94CD5" w14:textId="0A95A2EF" w:rsidR="00222F0B" w:rsidRPr="00E6408B" w:rsidRDefault="00507575" w:rsidP="00C81201">
            <w:pPr>
              <w:pStyle w:val="71Sectionnumbering"/>
              <w:framePr w:wrap="around" w:x="180"/>
            </w:pPr>
            <w:hyperlink w:anchor="StakeholdersandPartners" w:history="1">
              <w:r w:rsidR="00D13C92" w:rsidRPr="00E6408B">
                <w:rPr>
                  <w:rStyle w:val="Hyperlink"/>
                  <w:color w:val="auto"/>
                  <w:u w:val="none"/>
                </w:rPr>
                <w:t>13</w:t>
              </w:r>
            </w:hyperlink>
          </w:p>
        </w:tc>
      </w:tr>
      <w:tr w:rsidR="002E0B4F" w:rsidRPr="002E0B4F" w14:paraId="4D024298" w14:textId="77777777" w:rsidTr="00C81201">
        <w:tc>
          <w:tcPr>
            <w:tcW w:w="4193" w:type="pct"/>
            <w:shd w:val="clear" w:color="auto" w:fill="auto"/>
          </w:tcPr>
          <w:p w14:paraId="016CCD73" w14:textId="2A6F0FD0" w:rsidR="00222F0B" w:rsidRPr="00E6408B" w:rsidRDefault="00507575" w:rsidP="00C81201">
            <w:pPr>
              <w:pStyle w:val="71Sectionnumbering"/>
              <w:framePr w:wrap="around" w:x="180"/>
              <w:rPr>
                <w:rStyle w:val="Hyperlink"/>
                <w:color w:val="auto"/>
                <w:u w:val="none"/>
              </w:rPr>
            </w:pPr>
            <w:hyperlink w:anchor="HowWeWork" w:history="1">
              <w:r w:rsidR="00222F0B" w:rsidRPr="00E6408B">
                <w:rPr>
                  <w:rStyle w:val="Hyperlink"/>
                  <w:color w:val="auto"/>
                  <w:u w:val="none"/>
                </w:rPr>
                <w:t>How we work</w:t>
              </w:r>
            </w:hyperlink>
          </w:p>
        </w:tc>
        <w:tc>
          <w:tcPr>
            <w:tcW w:w="807" w:type="pct"/>
          </w:tcPr>
          <w:p w14:paraId="2611944B" w14:textId="0ED7F348" w:rsidR="00222F0B" w:rsidRPr="00E6408B" w:rsidRDefault="00507575" w:rsidP="00C81201">
            <w:pPr>
              <w:pStyle w:val="71Sectionnumbering"/>
              <w:framePr w:wrap="around" w:x="180"/>
            </w:pPr>
            <w:hyperlink w:anchor="HowWeWork" w:history="1">
              <w:r w:rsidR="00D13C92" w:rsidRPr="00E6408B">
                <w:rPr>
                  <w:rStyle w:val="Hyperlink"/>
                  <w:color w:val="auto"/>
                  <w:u w:val="none"/>
                </w:rPr>
                <w:t>14</w:t>
              </w:r>
            </w:hyperlink>
          </w:p>
        </w:tc>
      </w:tr>
    </w:tbl>
    <w:p w14:paraId="2556DD6B" w14:textId="77777777" w:rsidR="00CA1C7B" w:rsidRPr="00AF0D5C" w:rsidRDefault="00CA1C7B" w:rsidP="00123A41">
      <w:pPr>
        <w:rPr>
          <w:color w:val="414042" w:themeColor="text1"/>
        </w:rPr>
        <w:sectPr w:rsidR="00CA1C7B" w:rsidRPr="00AF0D5C" w:rsidSect="00631264">
          <w:headerReference w:type="even" r:id="rId40"/>
          <w:headerReference w:type="default" r:id="rId41"/>
          <w:headerReference w:type="first" r:id="rId42"/>
          <w:pgSz w:w="11906" w:h="16838"/>
          <w:pgMar w:top="2155" w:right="1134" w:bottom="964" w:left="1134" w:header="709" w:footer="283" w:gutter="0"/>
          <w:cols w:space="567"/>
          <w:docGrid w:linePitch="360"/>
        </w:sectPr>
      </w:pPr>
    </w:p>
    <w:bookmarkEnd w:id="21"/>
    <w:p w14:paraId="33E694DC" w14:textId="513EA351" w:rsidR="004A1EA9" w:rsidRPr="00AF0D5C" w:rsidRDefault="004A1EA9">
      <w:pPr>
        <w:spacing w:before="120" w:after="0" w:line="260" w:lineRule="exact"/>
        <w:rPr>
          <w:color w:val="414042" w:themeColor="text1"/>
        </w:rPr>
      </w:pPr>
    </w:p>
    <w:p w14:paraId="0DAD7C71" w14:textId="77777777" w:rsidR="00395E1D" w:rsidRPr="00AF0D5C" w:rsidRDefault="00395E1D" w:rsidP="00123A41">
      <w:pPr>
        <w:rPr>
          <w:color w:val="414042" w:themeColor="text1"/>
        </w:rPr>
        <w:sectPr w:rsidR="00395E1D" w:rsidRPr="00AF0D5C" w:rsidSect="00C77834">
          <w:type w:val="continuous"/>
          <w:pgSz w:w="11906" w:h="16838"/>
          <w:pgMar w:top="2155" w:right="1134" w:bottom="964" w:left="1134" w:header="709" w:footer="283" w:gutter="0"/>
          <w:cols w:num="2" w:space="567"/>
          <w:docGrid w:linePitch="360"/>
        </w:sectPr>
      </w:pPr>
    </w:p>
    <w:p w14:paraId="0C21671B" w14:textId="77777777" w:rsidR="00A07747" w:rsidRPr="00AF0D5C" w:rsidRDefault="007A3E39" w:rsidP="00FB32EE">
      <w:pPr>
        <w:pStyle w:val="2Heading"/>
      </w:pPr>
      <w:bookmarkStart w:id="22" w:name="_Toc102037842"/>
      <w:bookmarkStart w:id="23" w:name="_Toc102038204"/>
      <w:bookmarkStart w:id="24" w:name="_Toc102038565"/>
      <w:bookmarkStart w:id="25" w:name="_Toc102038925"/>
      <w:bookmarkStart w:id="26" w:name="_Toc102039277"/>
      <w:bookmarkStart w:id="27" w:name="_Toc102039632"/>
      <w:bookmarkStart w:id="28" w:name="_Toc102039989"/>
      <w:bookmarkStart w:id="29" w:name="_Toc102040314"/>
      <w:bookmarkStart w:id="30" w:name="_Toc102040648"/>
      <w:bookmarkStart w:id="31" w:name="_Toc102040976"/>
      <w:bookmarkStart w:id="32" w:name="_Toc102041306"/>
      <w:bookmarkStart w:id="33" w:name="_Toc102041638"/>
      <w:bookmarkStart w:id="34" w:name="_Toc102041965"/>
      <w:bookmarkStart w:id="35" w:name="_Toc102042294"/>
      <w:bookmarkStart w:id="36" w:name="_Toc102045424"/>
      <w:bookmarkStart w:id="37" w:name="Chairpersonmsg"/>
      <w:bookmarkStart w:id="38" w:name="_Hlk169619348"/>
      <w:bookmarkStart w:id="39" w:name="_Toc102037812"/>
      <w:bookmarkStart w:id="40" w:name="_Toc102038174"/>
      <w:bookmarkStart w:id="41" w:name="_Toc102038535"/>
      <w:bookmarkStart w:id="42" w:name="_Toc102038895"/>
      <w:bookmarkStart w:id="43" w:name="_Toc102039247"/>
      <w:bookmarkStart w:id="44" w:name="_Toc102039602"/>
      <w:bookmarkStart w:id="45" w:name="_Toc102039959"/>
      <w:bookmarkStart w:id="46" w:name="_Toc102040284"/>
      <w:bookmarkStart w:id="47" w:name="_Toc102040618"/>
      <w:bookmarkStart w:id="48" w:name="_Toc102040946"/>
      <w:bookmarkStart w:id="49" w:name="_Toc102041276"/>
      <w:bookmarkStart w:id="50" w:name="_Toc102041608"/>
      <w:bookmarkStart w:id="51" w:name="_Toc102041935"/>
      <w:bookmarkStart w:id="52" w:name="_Toc102042264"/>
      <w:bookmarkStart w:id="53" w:name="_Toc102045394"/>
      <w:r w:rsidRPr="00AF0D5C">
        <w:t>Message from the Chairperson</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bookmarkEnd w:id="37"/>
    <w:p w14:paraId="7FC3801A" w14:textId="4422D02E" w:rsidR="00A07747" w:rsidRPr="00AF0D5C" w:rsidRDefault="00A07747" w:rsidP="00A07747">
      <w:pPr>
        <w:rPr>
          <w:rFonts w:ascii="Calibri" w:hAnsi="Calibri" w:cs="Calibri"/>
          <w:b/>
          <w:bCs/>
          <w:color w:val="414042" w:themeColor="text1"/>
          <w:spacing w:val="-6"/>
          <w:sz w:val="24"/>
          <w:szCs w:val="24"/>
          <w:lang w:val="en-US"/>
        </w:rPr>
      </w:pPr>
      <w:r w:rsidRPr="00AF0D5C">
        <w:rPr>
          <w:rFonts w:ascii="Calibri" w:hAnsi="Calibri" w:cs="Calibri"/>
          <w:b/>
          <w:bCs/>
          <w:color w:val="414042" w:themeColor="text1"/>
          <w:spacing w:val="-6"/>
          <w:sz w:val="24"/>
          <w:szCs w:val="24"/>
          <w:lang w:val="en-US"/>
        </w:rPr>
        <w:t xml:space="preserve">On 1 July 2023 the Commissioners and I set a new strategic direction for the Crime and Corruption Commission (CCC), articulated in our </w:t>
      </w:r>
      <w:r w:rsidRPr="00AF0D5C">
        <w:rPr>
          <w:rFonts w:ascii="Calibri" w:hAnsi="Calibri" w:cs="Calibri"/>
          <w:b/>
          <w:bCs/>
          <w:i/>
          <w:iCs/>
          <w:color w:val="414042" w:themeColor="text1"/>
          <w:spacing w:val="-6"/>
          <w:sz w:val="24"/>
          <w:szCs w:val="24"/>
          <w:lang w:val="en-US"/>
        </w:rPr>
        <w:t>Strategic plan 2023</w:t>
      </w:r>
      <w:r w:rsidR="00181183" w:rsidRPr="00AF0D5C">
        <w:rPr>
          <w:rFonts w:ascii="Calibri" w:hAnsi="Calibri" w:cs="Calibri"/>
          <w:b/>
          <w:bCs/>
          <w:i/>
          <w:iCs/>
          <w:color w:val="414042" w:themeColor="text1"/>
          <w:spacing w:val="-6"/>
          <w:sz w:val="24"/>
          <w:szCs w:val="24"/>
          <w:lang w:val="en-US"/>
        </w:rPr>
        <w:t>–</w:t>
      </w:r>
      <w:r w:rsidRPr="00AF0D5C">
        <w:rPr>
          <w:rFonts w:ascii="Calibri" w:hAnsi="Calibri" w:cs="Calibri"/>
          <w:b/>
          <w:bCs/>
          <w:i/>
          <w:iCs/>
          <w:color w:val="414042" w:themeColor="text1"/>
          <w:spacing w:val="-6"/>
          <w:sz w:val="24"/>
          <w:szCs w:val="24"/>
          <w:lang w:val="en-US"/>
        </w:rPr>
        <w:t>27</w:t>
      </w:r>
      <w:r w:rsidRPr="00AF0D5C">
        <w:rPr>
          <w:rFonts w:ascii="Calibri" w:hAnsi="Calibri" w:cs="Calibri"/>
          <w:b/>
          <w:bCs/>
          <w:color w:val="414042" w:themeColor="text1"/>
          <w:spacing w:val="-6"/>
          <w:sz w:val="24"/>
          <w:szCs w:val="24"/>
          <w:lang w:val="en-US"/>
        </w:rPr>
        <w:t xml:space="preserve">.  I am pleased to present our Annual Report 2023–24, which sets out how we have performed during this first year of our four-year plan. </w:t>
      </w:r>
    </w:p>
    <w:p w14:paraId="4ABE2F86" w14:textId="77777777" w:rsidR="00A07747" w:rsidRPr="00AF0D5C" w:rsidRDefault="00A07747" w:rsidP="00A07747">
      <w:pPr>
        <w:rPr>
          <w:color w:val="414042" w:themeColor="text1"/>
        </w:rPr>
        <w:sectPr w:rsidR="00A07747" w:rsidRPr="00AF0D5C" w:rsidSect="00A07747">
          <w:headerReference w:type="even" r:id="rId43"/>
          <w:headerReference w:type="default" r:id="rId44"/>
          <w:headerReference w:type="first" r:id="rId45"/>
          <w:type w:val="continuous"/>
          <w:pgSz w:w="11906" w:h="16838" w:code="9"/>
          <w:pgMar w:top="2155" w:right="1134" w:bottom="964" w:left="1134" w:header="720" w:footer="284" w:gutter="0"/>
          <w:cols w:space="567"/>
          <w:noEndnote/>
          <w:docGrid w:linePitch="272"/>
        </w:sectPr>
      </w:pPr>
    </w:p>
    <w:p w14:paraId="7D320C9B" w14:textId="77777777" w:rsidR="00A07747" w:rsidRPr="00AF0D5C" w:rsidRDefault="00A07747" w:rsidP="00A07747">
      <w:pPr>
        <w:rPr>
          <w:color w:val="414042" w:themeColor="text1"/>
        </w:rPr>
        <w:sectPr w:rsidR="00A07747" w:rsidRPr="00AF0D5C" w:rsidSect="00A07747">
          <w:type w:val="continuous"/>
          <w:pgSz w:w="11906" w:h="16838" w:code="9"/>
          <w:pgMar w:top="2155" w:right="1134" w:bottom="964" w:left="1134" w:header="720" w:footer="284" w:gutter="0"/>
          <w:cols w:space="567"/>
          <w:noEndnote/>
          <w:docGrid w:linePitch="272"/>
        </w:sectPr>
      </w:pPr>
    </w:p>
    <w:p w14:paraId="7C4772F4" w14:textId="4289C758" w:rsidR="00A07747" w:rsidRPr="00AF0D5C" w:rsidRDefault="00A07747" w:rsidP="00A11D50">
      <w:pPr>
        <w:pStyle w:val="newBODYTEXT"/>
        <w:ind w:right="140"/>
      </w:pPr>
      <w:r w:rsidRPr="00AF0D5C">
        <w:t>Our S</w:t>
      </w:r>
      <w:r w:rsidRPr="00AF0D5C">
        <w:rPr>
          <w:i/>
          <w:iCs/>
        </w:rPr>
        <w:t>trategic plan 2023</w:t>
      </w:r>
      <w:r w:rsidR="00181183" w:rsidRPr="00AF0D5C">
        <w:rPr>
          <w:i/>
          <w:iCs/>
        </w:rPr>
        <w:t>–</w:t>
      </w:r>
      <w:r w:rsidRPr="00AF0D5C">
        <w:rPr>
          <w:i/>
          <w:iCs/>
        </w:rPr>
        <w:t>27</w:t>
      </w:r>
      <w:r w:rsidRPr="00AF0D5C">
        <w:t xml:space="preserve"> demonstrates that we view our work as a crime and corruption commission through very different lenses. Our four strategic objectives show exactly what and how we will deliver to the people of Queensland, and how we want to be understood and valued by our stakeholders, peers and, most of all, the people of Queensland. </w:t>
      </w:r>
    </w:p>
    <w:p w14:paraId="5C11F11A" w14:textId="04D73DCE" w:rsidR="00A07747" w:rsidRPr="00AF0D5C" w:rsidRDefault="00A07747" w:rsidP="00A11D50">
      <w:pPr>
        <w:pStyle w:val="newBODYTEXT"/>
        <w:ind w:right="140"/>
      </w:pPr>
      <w:r w:rsidRPr="00AF0D5C">
        <w:t xml:space="preserve">Our ambition is to be </w:t>
      </w:r>
      <w:r w:rsidRPr="00AF0D5C">
        <w:rPr>
          <w:b/>
          <w:bCs/>
        </w:rPr>
        <w:t>an effective and efficient organisation</w:t>
      </w:r>
      <w:r w:rsidRPr="00AF0D5C">
        <w:t xml:space="preserve"> fighting crime and corruption. Our partners and communities must be able to have confidence in us. Although we have been entrusted with wide powers, we are responsible and judicious in how we exercise them, and are </w:t>
      </w:r>
      <w:r w:rsidRPr="00AF0D5C">
        <w:rPr>
          <w:b/>
          <w:bCs/>
        </w:rPr>
        <w:t>accountable and transparent</w:t>
      </w:r>
      <w:r w:rsidRPr="00AF0D5C">
        <w:t xml:space="preserve"> in every aspect of our performance. We need to be sure that our people have the right skills and </w:t>
      </w:r>
      <w:r w:rsidRPr="00AF0D5C">
        <w:rPr>
          <w:b/>
          <w:bCs/>
        </w:rPr>
        <w:t xml:space="preserve">capabilities </w:t>
      </w:r>
      <w:r w:rsidRPr="00AF0D5C">
        <w:t xml:space="preserve">to carry out sensitive and sometimes difficult tasks, and know that they are </w:t>
      </w:r>
      <w:r w:rsidRPr="00AF0D5C">
        <w:rPr>
          <w:b/>
          <w:bCs/>
        </w:rPr>
        <w:t>safe and supported</w:t>
      </w:r>
      <w:r w:rsidRPr="00AF0D5C">
        <w:t xml:space="preserve"> to do so. We are committed to </w:t>
      </w:r>
      <w:r w:rsidRPr="00AF0D5C">
        <w:rPr>
          <w:b/>
          <w:bCs/>
        </w:rPr>
        <w:t>continuous improvement</w:t>
      </w:r>
      <w:r w:rsidRPr="00AF0D5C">
        <w:t xml:space="preserve"> of our capabilities and our service delivery. </w:t>
      </w:r>
    </w:p>
    <w:p w14:paraId="375B5307" w14:textId="7D348CCF" w:rsidR="00A07747" w:rsidRPr="00AF0D5C" w:rsidRDefault="00A07747" w:rsidP="00A11D50">
      <w:pPr>
        <w:pStyle w:val="newBODYTEXT"/>
        <w:ind w:right="140"/>
      </w:pPr>
      <w:r w:rsidRPr="00AF0D5C">
        <w:t xml:space="preserve">As an enforcement and regulatory organisation, the CCC faces some </w:t>
      </w:r>
      <w:r w:rsidRPr="00AF0D5C">
        <w:rPr>
          <w:b/>
          <w:bCs/>
        </w:rPr>
        <w:t>strategic risks</w:t>
      </w:r>
      <w:r w:rsidRPr="00AF0D5C">
        <w:t xml:space="preserve">. They include legislation that may no longer be able to keep pace with criminal opportunism, particularly when it is able to exploit rapid improvements in technology. The reliability of intelligence and evidence tendered as proof of criminal or corrupt activity is increasingly being called into question </w:t>
      </w:r>
      <w:r w:rsidRPr="001417B5">
        <w:t>because of emerging technologies.</w:t>
      </w:r>
      <w:r w:rsidRPr="00AF0D5C">
        <w:t xml:space="preserve"> </w:t>
      </w:r>
      <w:r w:rsidR="00BC3B54">
        <w:br/>
      </w:r>
      <w:r w:rsidRPr="00AF0D5C">
        <w:t xml:space="preserve">Most of all, we cannot take risks with our defences against cybersecurity breaches, given the sensitivity </w:t>
      </w:r>
      <w:r w:rsidR="00BC3B54">
        <w:br/>
      </w:r>
      <w:r w:rsidRPr="00AF0D5C">
        <w:t xml:space="preserve">of the data we hold. </w:t>
      </w:r>
    </w:p>
    <w:p w14:paraId="458D128D" w14:textId="517851BD" w:rsidR="00A07747" w:rsidRPr="00AF0D5C" w:rsidRDefault="00A07747" w:rsidP="00A11D50">
      <w:pPr>
        <w:pStyle w:val="newBODYTEXT"/>
        <w:ind w:right="140"/>
      </w:pPr>
      <w:r w:rsidRPr="00AF0D5C">
        <w:t xml:space="preserve">As you read through this year’s annual report, you will see how we are dealing strategically with these risks. The Commission is aware of public concerns about the reach and impact of serious and organised crime in our communities. It knows the loss of confidence in public institutions that can result from serious or systemic public sector corruption. These very real concerns mean that the CCC cannot be complacent about the systems, resources and capabilities that we have. </w:t>
      </w:r>
      <w:r w:rsidR="006D51E2" w:rsidRPr="00AF0D5C">
        <w:br w:type="column"/>
      </w:r>
      <w:r w:rsidRPr="00AF0D5C">
        <w:t>As a small agency, we must target the matters where we can have greatest impact, forging and maintaining strong partnerships to achieve outcomes that we could not deliver by ourselves.</w:t>
      </w:r>
    </w:p>
    <w:p w14:paraId="500D9159" w14:textId="77777777" w:rsidR="00A07747" w:rsidRPr="00AF0D5C" w:rsidRDefault="00A07747" w:rsidP="00BC3B54">
      <w:pPr>
        <w:pStyle w:val="newBODYTEXT"/>
        <w:ind w:right="140"/>
      </w:pPr>
      <w:r w:rsidRPr="00AF0D5C">
        <w:t xml:space="preserve">The achievements of our Crime Division exemplify this. In August 2023 the CCC joined with five other state and national agencies in a crime operation that led to the seizure of illicit smoking products valued at millions of dollars, as well as a significant amount of cash. Operations such as this demonstrate that intelligence gathering and sharing has never been more important, or effective partnerships more critical in the fight against crime. To ensure this, the Senior Executive Officer (Crime) and other senior officers of the Crime Division represent the CCC on state and national law enforcement and intelligence committees. </w:t>
      </w:r>
    </w:p>
    <w:p w14:paraId="338DF347" w14:textId="1BB9641F" w:rsidR="00A07747" w:rsidRPr="00AF0D5C" w:rsidRDefault="00A07747" w:rsidP="00BC3B54">
      <w:pPr>
        <w:pStyle w:val="newBODYTEXT"/>
        <w:ind w:right="140"/>
      </w:pPr>
      <w:r w:rsidRPr="00AF0D5C">
        <w:t xml:space="preserve">As you will see in the report, much of our work this year has been directed to the interrelated matters of traffic in high-value illicit commodities such as drugs, and concealment of criminal assets facilitated by cryptocurrency and money laundering.  Since November 2023, our participation in National Taskforce Kubera, an Australia-New Zealand money laundering working group, </w:t>
      </w:r>
      <w:r w:rsidR="00FC50EA" w:rsidRPr="00AF0D5C">
        <w:t xml:space="preserve">makes us part of a group that supports the development and coordination of </w:t>
      </w:r>
      <w:r w:rsidRPr="00AF0D5C">
        <w:t>operational capabilities and strategies for addressing money laundering networks and the seizure of criminal assets.</w:t>
      </w:r>
    </w:p>
    <w:p w14:paraId="7F78B62A" w14:textId="5048C771" w:rsidR="00A07747" w:rsidRPr="00AF0D5C" w:rsidRDefault="00A07747" w:rsidP="00F52591">
      <w:pPr>
        <w:pStyle w:val="newBODYTEXT"/>
        <w:ind w:right="282"/>
      </w:pPr>
      <w:r w:rsidRPr="001417B5">
        <w:t xml:space="preserve">I am pleased to say that our work in the proceeds of crime space has been particularly effective this year. We obtained forfeiture orders of $10.5 million and restraint orders over a further $8.4 million. None the less, our review of Queensland’s </w:t>
      </w:r>
      <w:r w:rsidRPr="001417B5">
        <w:rPr>
          <w:i/>
          <w:iCs/>
        </w:rPr>
        <w:t>Criminal Proceeds Confiscation Act 2002</w:t>
      </w:r>
      <w:r w:rsidRPr="001417B5">
        <w:t xml:space="preserve"> identified that significant reform is necessary if our legislation is to have the disruptive impact on criminal activity that it was intended to have. Our findings are currently before government for consideration, and I look forward to the Government’s response to our recommendations.</w:t>
      </w:r>
      <w:r w:rsidRPr="00AF0D5C">
        <w:t xml:space="preserve"> </w:t>
      </w:r>
      <w:r w:rsidR="006D51E2">
        <w:br w:type="column"/>
      </w:r>
      <w:r w:rsidRPr="00697280">
        <w:t xml:space="preserve">Our long-established law enforcement partnership with the Queensland Police Service has seen significant outcomes for the people of Queensland again this year. Our use of coercive hearings powers in support of QPS investigations has achieved results in matters related to homicides, serious violent crimes, and crimes against vulnerable people, including very young children. Overall, we held </w:t>
      </w:r>
      <w:r w:rsidR="00DC0917" w:rsidRPr="00697280">
        <w:t xml:space="preserve">136 </w:t>
      </w:r>
      <w:r w:rsidRPr="00697280">
        <w:t>hearing days and examined 1</w:t>
      </w:r>
      <w:r w:rsidR="00DF6B85" w:rsidRPr="00697280">
        <w:t>1</w:t>
      </w:r>
      <w:r w:rsidRPr="00697280">
        <w:t>3 witnesses.</w:t>
      </w:r>
      <w:r w:rsidRPr="00AF0D5C">
        <w:t xml:space="preserve">  </w:t>
      </w:r>
    </w:p>
    <w:p w14:paraId="54F15946" w14:textId="77777777" w:rsidR="00A07747" w:rsidRPr="00AF0D5C" w:rsidRDefault="00A07747" w:rsidP="00F52591">
      <w:pPr>
        <w:pStyle w:val="newBODYTEXT"/>
        <w:ind w:right="282"/>
      </w:pPr>
      <w:r w:rsidRPr="00AF0D5C">
        <w:t xml:space="preserve">This year has seen </w:t>
      </w:r>
      <w:r w:rsidRPr="00697280">
        <w:rPr>
          <w:b/>
          <w:bCs/>
        </w:rPr>
        <w:t>significant developments and changes in the Corruption Division</w:t>
      </w:r>
      <w:r w:rsidRPr="00AF0D5C">
        <w:t xml:space="preserve">. The essential work of complaints management and investigation has of course been ongoing, even while we have been introducing improved systems of service delivery and capability building that are showing excellent results. </w:t>
      </w:r>
    </w:p>
    <w:p w14:paraId="49FAC18C" w14:textId="20A4B7A7" w:rsidR="00A07747" w:rsidRPr="00AF0D5C" w:rsidRDefault="00A07747" w:rsidP="00F52591">
      <w:pPr>
        <w:pStyle w:val="newBODYTEXT"/>
        <w:ind w:right="282"/>
      </w:pPr>
      <w:r w:rsidRPr="00AF0D5C">
        <w:t>This year we received 5</w:t>
      </w:r>
      <w:r w:rsidR="00DC0917" w:rsidRPr="00AF0D5C">
        <w:t>,</w:t>
      </w:r>
      <w:r w:rsidRPr="00AF0D5C">
        <w:t xml:space="preserve">025 complaints, comprised of some 13,917 allegations, of suspected corrupt conduct in the Queensland public sector. This is a </w:t>
      </w:r>
      <w:r w:rsidR="00A067D5">
        <w:br/>
      </w:r>
      <w:r w:rsidRPr="00AF0D5C">
        <w:t xml:space="preserve">28 per cent increase on the previous year, and </w:t>
      </w:r>
      <w:r w:rsidR="00A067D5">
        <w:br/>
      </w:r>
      <w:r w:rsidRPr="00AF0D5C">
        <w:t xml:space="preserve">has been a contributing factor to a decrease in the timeliness of our assessments. We finalised 46 </w:t>
      </w:r>
      <w:r w:rsidRPr="00697280">
        <w:rPr>
          <w:b/>
          <w:bCs/>
        </w:rPr>
        <w:t>corruption investigations</w:t>
      </w:r>
      <w:r w:rsidRPr="00AF0D5C">
        <w:t xml:space="preserve">, resulting in one person being charged with nine criminal offences, and two recommendations for disciplinary action. We also made 47 </w:t>
      </w:r>
      <w:r w:rsidRPr="00697280">
        <w:rPr>
          <w:b/>
          <w:bCs/>
        </w:rPr>
        <w:t>corruption prevention recommendations</w:t>
      </w:r>
      <w:r w:rsidRPr="00AF0D5C">
        <w:t xml:space="preserve">. We provided information to agencies to support their ongoing management of risk in relation to recruitment, procurement, gifts and benefits, and information management. </w:t>
      </w:r>
    </w:p>
    <w:p w14:paraId="7FB8EB19" w14:textId="7ED2E7CF" w:rsidR="006D51E2" w:rsidRPr="00AF0D5C" w:rsidRDefault="00A07747" w:rsidP="00F52591">
      <w:pPr>
        <w:pStyle w:val="newBODYTEXT"/>
        <w:ind w:right="282"/>
      </w:pPr>
      <w:r w:rsidRPr="00AF0D5C">
        <w:t>Our newly established corruption prevention and engagement function both consolidates and expands our skillset in intelligence gathering and analysis, research and data collection, with a greater focus on engagement and partnership with the public sector. In preparation for the local government elections in March, the CCC partnered with the Electoral Commission of Queensland and the Office of the Independent Assessor</w:t>
      </w:r>
      <w:r w:rsidR="00DC0917" w:rsidRPr="00AF0D5C">
        <w:t xml:space="preserve"> to engage with candidates about the need to campaign with integrity</w:t>
      </w:r>
      <w:r w:rsidRPr="00AF0D5C">
        <w:t xml:space="preserve">. With a new, fully resourced prevention function in place, I am very pleased that the CCC will be able to undertake more initiatives such as this, working in partnership to assist specific sectors understand corruption risks and resistance strategies.  </w:t>
      </w:r>
      <w:r w:rsidR="006D51E2" w:rsidRPr="00AF0D5C">
        <w:br w:type="column"/>
      </w:r>
      <w:r w:rsidRPr="00AF0D5C">
        <w:t xml:space="preserve">I also look forward to the resolution of some ongoing matters of vital importance to the CCC. </w:t>
      </w:r>
      <w:r w:rsidR="00F52591">
        <w:br/>
      </w:r>
      <w:r w:rsidRPr="00AF0D5C">
        <w:t xml:space="preserve">The first of these is the question of the CCC’s ability to report publicly on corruption investigations. </w:t>
      </w:r>
      <w:r w:rsidR="00A067D5">
        <w:br/>
      </w:r>
      <w:r w:rsidRPr="00AF0D5C">
        <w:t xml:space="preserve">This arose out of </w:t>
      </w:r>
      <w:r w:rsidRPr="00697280">
        <w:rPr>
          <w:b/>
          <w:bCs/>
          <w:i/>
          <w:iCs/>
        </w:rPr>
        <w:t>Carne v Crime and Corruption Commission</w:t>
      </w:r>
      <w:r w:rsidRPr="00AF0D5C">
        <w:t xml:space="preserve"> [2022] QCA 141 and the subsequent High Court decision that curtailed this very important function of any anti-corruption agency. With the handing down of the report and recommendations of the Holmes Review in May 2024, we are currently awaiting legislative amendments that will clarify the ability or limitations to publish on corruption investigations. </w:t>
      </w:r>
    </w:p>
    <w:p w14:paraId="336D3900" w14:textId="0B901DC9" w:rsidR="00A07747" w:rsidRPr="00AF0D5C" w:rsidRDefault="00A07747" w:rsidP="00F52591">
      <w:pPr>
        <w:pStyle w:val="newBODYTEXT"/>
        <w:ind w:right="282"/>
      </w:pPr>
      <w:r w:rsidRPr="00AF0D5C">
        <w:t xml:space="preserve">The other issue is the establishment of a police integrity unit for Queensland, to be situated within </w:t>
      </w:r>
      <w:r w:rsidR="00BC3B54">
        <w:br/>
      </w:r>
      <w:r w:rsidRPr="00AF0D5C">
        <w:t xml:space="preserve">the CCC, as recommended by the </w:t>
      </w:r>
      <w:r w:rsidR="005B4C71" w:rsidRPr="00AF0D5C">
        <w:t>Independent Commission of Inquiry into Queensland Police Service responses to domestic and family violence</w:t>
      </w:r>
      <w:r w:rsidRPr="00AF0D5C">
        <w:t xml:space="preserve">. Both these issues are before the government for consideration, and I hope for resolution of these early in the new financial year </w:t>
      </w:r>
      <w:r w:rsidR="00B27A89">
        <w:br/>
      </w:r>
      <w:r w:rsidRPr="00AF0D5C">
        <w:t>2024</w:t>
      </w:r>
      <w:r w:rsidR="00DC0917" w:rsidRPr="00AF0D5C">
        <w:t>–</w:t>
      </w:r>
      <w:r w:rsidRPr="00AF0D5C">
        <w:t xml:space="preserve">25. </w:t>
      </w:r>
    </w:p>
    <w:p w14:paraId="00307A8A" w14:textId="77777777" w:rsidR="00A07747" w:rsidRPr="00AF0D5C" w:rsidRDefault="00A07747" w:rsidP="00F52591">
      <w:pPr>
        <w:pStyle w:val="newBODYTEXT"/>
        <w:ind w:right="282"/>
      </w:pPr>
      <w:r w:rsidRPr="00AF0D5C">
        <w:t>Two years ago, in August 2022, the Commission</w:t>
      </w:r>
      <w:r w:rsidRPr="00AF0D5C">
        <w:rPr>
          <w:u w:color="E6E7E8" w:themeColor="background2"/>
        </w:rPr>
        <w:t xml:space="preserve"> of Inquiry relating to the Crime and Corruption Commission (</w:t>
      </w:r>
      <w:r w:rsidRPr="00697280">
        <w:rPr>
          <w:b/>
          <w:bCs/>
          <w:i/>
          <w:iCs/>
        </w:rPr>
        <w:t>Fitzgerald/Wilson Inquiry</w:t>
      </w:r>
      <w:r w:rsidRPr="00AF0D5C">
        <w:rPr>
          <w:u w:color="E6E7E8" w:themeColor="background2"/>
        </w:rPr>
        <w:t xml:space="preserve">) </w:t>
      </w:r>
      <w:r w:rsidRPr="00AF0D5C">
        <w:t xml:space="preserve">made 32 recommendations relating to the investigative and charging powers of the CCC, the role of seconded police officers for our corruption jurisdiction and our ongoing role in preventing corruption. As at 30 June 2024, the CCC has completed 11 recommendations in full and made material progress on 19 recommendations. The two remaining either require legislative amendments (which are therefore dependent on government), relate to future reporting requirements or are not the responsibility of the CCC.  </w:t>
      </w:r>
    </w:p>
    <w:p w14:paraId="5ED9A2D3" w14:textId="4180EF6B" w:rsidR="00A07747" w:rsidRPr="00AF0D5C" w:rsidRDefault="00A07747" w:rsidP="00F52591">
      <w:pPr>
        <w:pStyle w:val="newBODYTEXT"/>
        <w:ind w:right="282"/>
      </w:pPr>
      <w:r w:rsidRPr="00AF0D5C">
        <w:t>As we close out the 2023</w:t>
      </w:r>
      <w:r w:rsidR="00AE6652" w:rsidRPr="00AF0D5C">
        <w:t>–</w:t>
      </w:r>
      <w:r w:rsidRPr="00AF0D5C">
        <w:t xml:space="preserve">24 financial year, I can say that our operational outcomes, our strategic approach to preventing crime and corruption and our strong partnerships have made a significant contribution to Queensland this year. </w:t>
      </w:r>
    </w:p>
    <w:p w14:paraId="5E485650" w14:textId="77777777" w:rsidR="00A07747" w:rsidRPr="00AF0D5C" w:rsidRDefault="00A07747" w:rsidP="00F52591">
      <w:pPr>
        <w:pStyle w:val="newBODYTEXT"/>
        <w:ind w:right="282"/>
      </w:pPr>
      <w:r w:rsidRPr="00AF0D5C">
        <w:t>Finally, I want to thank all our staff for their professionalism and untiring efforts in service of the Queensland community.</w:t>
      </w:r>
    </w:p>
    <w:p w14:paraId="6FAF1C3F" w14:textId="77777777" w:rsidR="00A07747" w:rsidRPr="00AF0D5C" w:rsidRDefault="00A07747" w:rsidP="001C2C77">
      <w:pPr>
        <w:rPr>
          <w:rFonts w:asciiTheme="minorHAnsi" w:hAnsiTheme="minorHAnsi" w:cstheme="minorHAnsi"/>
          <w:b/>
          <w:bCs/>
          <w:color w:val="414042" w:themeColor="text1"/>
        </w:rPr>
      </w:pPr>
    </w:p>
    <w:tbl>
      <w:tblPr>
        <w:tblStyle w:val="TableGrid2"/>
        <w:tblW w:w="0" w:type="auto"/>
        <w:tblLook w:val="04A0" w:firstRow="1" w:lastRow="0" w:firstColumn="1" w:lastColumn="0" w:noHBand="0" w:noVBand="1"/>
      </w:tblPr>
      <w:tblGrid>
        <w:gridCol w:w="4490"/>
      </w:tblGrid>
      <w:tr w:rsidR="00AF0D5C" w:rsidRPr="00AF0D5C" w14:paraId="331FA3C1" w14:textId="77777777" w:rsidTr="00965915">
        <w:tc>
          <w:tcPr>
            <w:tcW w:w="4749" w:type="dxa"/>
            <w:tcBorders>
              <w:top w:val="nil"/>
              <w:left w:val="single" w:sz="36" w:space="0" w:color="E6E7E8" w:themeColor="background2"/>
              <w:bottom w:val="nil"/>
              <w:right w:val="nil"/>
            </w:tcBorders>
            <w:vAlign w:val="center"/>
          </w:tcPr>
          <w:p w14:paraId="346C204B" w14:textId="77777777" w:rsidR="006D51E2" w:rsidRPr="00AF0D5C" w:rsidRDefault="006D51E2" w:rsidP="00965915">
            <w:pPr>
              <w:ind w:right="71"/>
              <w:rPr>
                <w:rFonts w:asciiTheme="majorHAnsi" w:hAnsiTheme="majorHAnsi" w:cstheme="majorHAnsi"/>
                <w:b/>
                <w:bCs/>
                <w:color w:val="414042" w:themeColor="text1"/>
              </w:rPr>
            </w:pPr>
            <w:r w:rsidRPr="00C16D5B">
              <w:rPr>
                <w:rFonts w:asciiTheme="minorHAnsi" w:hAnsiTheme="minorHAnsi" w:cstheme="minorHAnsi"/>
                <w:b/>
                <w:bCs/>
                <w:color w:val="414042" w:themeColor="text1"/>
              </w:rPr>
              <w:t>Bruce Barbour</w:t>
            </w:r>
            <w:r w:rsidRPr="00AF0D5C">
              <w:rPr>
                <w:rFonts w:asciiTheme="majorHAnsi" w:hAnsiTheme="majorHAnsi" w:cstheme="majorHAnsi"/>
                <w:color w:val="414042" w:themeColor="text1"/>
              </w:rPr>
              <w:br/>
              <w:t>Chairperson</w:t>
            </w:r>
          </w:p>
        </w:tc>
      </w:tr>
    </w:tbl>
    <w:p w14:paraId="207CA133" w14:textId="77777777" w:rsidR="00EA669D" w:rsidRPr="00AF0D5C" w:rsidRDefault="00EA669D" w:rsidP="00EA669D">
      <w:pPr>
        <w:rPr>
          <w:rFonts w:asciiTheme="majorHAnsi" w:hAnsiTheme="majorHAnsi" w:cstheme="majorHAnsi"/>
          <w:color w:val="414042" w:themeColor="text1"/>
          <w:szCs w:val="20"/>
        </w:rPr>
      </w:pPr>
    </w:p>
    <w:p w14:paraId="71805F1E" w14:textId="77777777" w:rsidR="002227D3" w:rsidRPr="00AF0D5C" w:rsidRDefault="002227D3" w:rsidP="002227D3">
      <w:pPr>
        <w:spacing w:before="480"/>
        <w:rPr>
          <w:rFonts w:cs="Calibri Light"/>
          <w:color w:val="414042" w:themeColor="text1"/>
        </w:rPr>
        <w:sectPr w:rsidR="002227D3" w:rsidRPr="00AF0D5C" w:rsidSect="00C77834">
          <w:footerReference w:type="default" r:id="rId46"/>
          <w:type w:val="continuous"/>
          <w:pgSz w:w="11906" w:h="16838" w:code="9"/>
          <w:pgMar w:top="2155" w:right="1134" w:bottom="964" w:left="1134" w:header="720" w:footer="284" w:gutter="0"/>
          <w:cols w:num="2" w:space="567"/>
          <w:noEndnote/>
          <w:docGrid w:linePitch="272"/>
        </w:sectPr>
      </w:pPr>
    </w:p>
    <w:p w14:paraId="6E4804BA" w14:textId="6E5E20C0" w:rsidR="00507AF5" w:rsidRPr="00AF0D5C" w:rsidRDefault="00507AF5" w:rsidP="00FB32EE">
      <w:pPr>
        <w:pStyle w:val="2Heading"/>
      </w:pPr>
      <w:bookmarkStart w:id="54" w:name="_Toc102037851"/>
      <w:bookmarkStart w:id="55" w:name="_Toc102038213"/>
      <w:bookmarkStart w:id="56" w:name="_Toc102038574"/>
      <w:bookmarkStart w:id="57" w:name="_Toc102038934"/>
      <w:bookmarkStart w:id="58" w:name="_Toc102039286"/>
      <w:bookmarkStart w:id="59" w:name="_Toc102039641"/>
      <w:bookmarkStart w:id="60" w:name="_Toc102039998"/>
      <w:bookmarkStart w:id="61" w:name="_Toc102040323"/>
      <w:bookmarkStart w:id="62" w:name="_Toc102040657"/>
      <w:bookmarkStart w:id="63" w:name="_Toc102040985"/>
      <w:bookmarkStart w:id="64" w:name="_Toc102041315"/>
      <w:bookmarkStart w:id="65" w:name="_Toc102041647"/>
      <w:bookmarkStart w:id="66" w:name="_Toc102041974"/>
      <w:bookmarkStart w:id="67" w:name="_Toc102042303"/>
      <w:bookmarkStart w:id="68" w:name="_Toc102045433"/>
      <w:bookmarkStart w:id="69" w:name="CEOmsg"/>
      <w:r w:rsidRPr="00AF0D5C">
        <w:t>Message from the Chief Executive Officer</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bookmarkEnd w:id="69"/>
    <w:p w14:paraId="71BB3B93" w14:textId="2E300DDE" w:rsidR="00924B86" w:rsidRPr="00AF0D5C" w:rsidRDefault="00924B86" w:rsidP="00B82BCB">
      <w:pPr>
        <w:pStyle w:val="4H-Intro"/>
      </w:pPr>
      <w:r w:rsidRPr="00AF0D5C">
        <w:t xml:space="preserve">Our aim is to be the most effective and efficient crime and corruption commission that we can be. </w:t>
      </w:r>
      <w:r w:rsidR="006B1E6A">
        <w:br/>
      </w:r>
      <w:r w:rsidRPr="00AF0D5C">
        <w:t xml:space="preserve">This year, we have invested considerable resources and energy into the systems and safeguards that enable effective performance, ensure stakeholder confidence and maximise the impact of our work.  </w:t>
      </w:r>
    </w:p>
    <w:p w14:paraId="3B4C1B2C" w14:textId="77777777" w:rsidR="00924B86" w:rsidRPr="00AF0D5C" w:rsidRDefault="00924B86" w:rsidP="00507AF5">
      <w:pPr>
        <w:rPr>
          <w:strike/>
          <w:color w:val="414042" w:themeColor="text1"/>
        </w:rPr>
      </w:pPr>
    </w:p>
    <w:p w14:paraId="5A50266B" w14:textId="45718946" w:rsidR="00924B86" w:rsidRPr="00AF0D5C" w:rsidRDefault="00924B86" w:rsidP="00507AF5">
      <w:pPr>
        <w:rPr>
          <w:strike/>
          <w:color w:val="414042" w:themeColor="text1"/>
        </w:rPr>
        <w:sectPr w:rsidR="00924B86" w:rsidRPr="00AF0D5C" w:rsidSect="003550DF">
          <w:headerReference w:type="even" r:id="rId47"/>
          <w:headerReference w:type="default" r:id="rId48"/>
          <w:footerReference w:type="even" r:id="rId49"/>
          <w:footerReference w:type="default" r:id="rId50"/>
          <w:headerReference w:type="first" r:id="rId51"/>
          <w:footerReference w:type="first" r:id="rId52"/>
          <w:type w:val="continuous"/>
          <w:pgSz w:w="11906" w:h="16838"/>
          <w:pgMar w:top="2155" w:right="1134" w:bottom="964" w:left="1134" w:header="709" w:footer="284" w:gutter="0"/>
          <w:cols w:space="708"/>
          <w:docGrid w:linePitch="360"/>
        </w:sectPr>
      </w:pPr>
    </w:p>
    <w:p w14:paraId="797FBE22" w14:textId="69D0407D" w:rsidR="00924B86" w:rsidRPr="001417B5" w:rsidRDefault="00924B86" w:rsidP="001417B5">
      <w:pPr>
        <w:pStyle w:val="5A-Headingintext"/>
      </w:pPr>
      <w:bookmarkStart w:id="70" w:name="_Hlk137480382"/>
      <w:r w:rsidRPr="001417B5">
        <w:t>Our operating environment</w:t>
      </w:r>
    </w:p>
    <w:p w14:paraId="34AE235A" w14:textId="57265790" w:rsidR="00924B86" w:rsidRPr="00AF0D5C" w:rsidRDefault="00924B86" w:rsidP="001417B5">
      <w:pPr>
        <w:pStyle w:val="newBODYTEXT"/>
      </w:pPr>
      <w:r w:rsidRPr="00AF0D5C">
        <w:t xml:space="preserve">The CCC’s operating environment is complex by nature of its breadth of legislative obligations, its oversight of a broad public sector, and its interactions with multiple law enforcement and integrity partners. This is overlaid with its requirements to understand, investigate and, wherever possible mitigate the impact of, crime and corruption on the Queensland community. </w:t>
      </w:r>
    </w:p>
    <w:p w14:paraId="178EF70F" w14:textId="77777777" w:rsidR="00924B86" w:rsidRPr="00AF0D5C" w:rsidRDefault="00924B86" w:rsidP="00697280">
      <w:pPr>
        <w:pStyle w:val="newBODYTEXT"/>
        <w:spacing w:after="240"/>
      </w:pPr>
      <w:r w:rsidRPr="00AF0D5C">
        <w:t xml:space="preserve">As well as those specific challenges, the CCC, like any other contemporary organisation, is profoundly impacted by the expansion of technologies and digital information, the need for strong cybersecurity defences, and the need to respond to changing social expectations and labour market dynamics.  </w:t>
      </w:r>
    </w:p>
    <w:p w14:paraId="5B4F9E9D" w14:textId="77777777" w:rsidR="000739A8" w:rsidRDefault="00924B86" w:rsidP="001417B5">
      <w:pPr>
        <w:pStyle w:val="5A-Headingintext"/>
      </w:pPr>
      <w:r w:rsidRPr="00C16D5B">
        <w:t xml:space="preserve">Staffing and the workforce </w:t>
      </w:r>
    </w:p>
    <w:p w14:paraId="7DD73B3D" w14:textId="13A27AD9" w:rsidR="00924B86" w:rsidRPr="00AF0D5C" w:rsidRDefault="00924B86" w:rsidP="001417B5">
      <w:pPr>
        <w:pStyle w:val="newBODYTEXT"/>
      </w:pPr>
      <w:r w:rsidRPr="00AF0D5C">
        <w:t>The CCC is in many ways a unique and sometimes challenging workplace, so the capabilities, professional satisfaction and well-being of our staff are essential considerations for all CCC leaders, managers and supervisors. A</w:t>
      </w:r>
      <w:r w:rsidR="0039105E" w:rsidRPr="00AF0D5C">
        <w:t>s</w:t>
      </w:r>
      <w:r w:rsidRPr="00AF0D5C">
        <w:t xml:space="preserve"> at 30 June 2024, our workforce comprised 341 full-time equivalents </w:t>
      </w:r>
      <w:r w:rsidR="00DC0917" w:rsidRPr="00AF0D5C">
        <w:t>(</w:t>
      </w:r>
      <w:r w:rsidRPr="00AF0D5C">
        <w:t>FTE</w:t>
      </w:r>
      <w:r w:rsidR="00DC0917" w:rsidRPr="00AF0D5C">
        <w:t>)</w:t>
      </w:r>
      <w:r w:rsidRPr="00AF0D5C">
        <w:t xml:space="preserve"> across a broad range of specialist and professional disciplines. This year we made significant investments in our people, and I am pleased to report that we are seeing excellent results and an increase in employee satisfaction. </w:t>
      </w:r>
    </w:p>
    <w:p w14:paraId="6E765BB0" w14:textId="77777777" w:rsidR="00697280" w:rsidRDefault="00924B86" w:rsidP="001417B5">
      <w:pPr>
        <w:pStyle w:val="newBODYTEXT"/>
      </w:pPr>
      <w:r w:rsidRPr="00AF0D5C">
        <w:t xml:space="preserve">With Australia facing widespread talent shortages and difficulties in staff retention, the CCC has firmly committed to ensuring that the people who work here have a positive experience from the very start of their engagement with us. We refreshed our workforce strategy, taking a renewed approach to talent attraction, recruitment, selection and onboarding processes. By the end of June 2024, I am pleased to say that we have increased our onboarding satisfaction metrics across all measures. </w:t>
      </w:r>
      <w:r w:rsidRPr="00AF0D5C">
        <w:br w:type="column"/>
      </w:r>
    </w:p>
    <w:p w14:paraId="73B417D8" w14:textId="20155BFA" w:rsidR="00924B86" w:rsidRPr="00AF0D5C" w:rsidRDefault="00924B86" w:rsidP="006B1E6A">
      <w:pPr>
        <w:pStyle w:val="newBODYTEXT"/>
        <w:ind w:right="141"/>
      </w:pPr>
      <w:r w:rsidRPr="00AF0D5C">
        <w:t>In line with this, our range of online learning modules has been expanded and redesigned to support all staff, in particular new starters, to better understand their role, responsibilities and ways of working at the CCC. The modules reinforce the importance of accountability, governance and decision-making as part of the essential professional awareness that all CCC staff are expected to have.</w:t>
      </w:r>
    </w:p>
    <w:p w14:paraId="58364A93" w14:textId="65BA1AC2" w:rsidR="006D51E2" w:rsidRPr="00AF0D5C" w:rsidRDefault="00924B86" w:rsidP="006B1E6A">
      <w:pPr>
        <w:pStyle w:val="newBODYTEXT"/>
        <w:ind w:right="141"/>
      </w:pPr>
      <w:r w:rsidRPr="00AF0D5C">
        <w:t xml:space="preserve">Professional development and learning is an area of heavy investment for the CCC. We substantially increased our expenditure on training and development, including professional memberships and study assistance, from $309,000 to over $550,000.  Among the areas of focus for this investment have been capabilities identified as critical to our success, particularly emerging areas of expertise. These include cryptocurrency, procurement fraud, public interest disclosures and human rights, to ensure that our staff are expanding and refining their knowledge of increasingly sophisticated challenges in law enforcement, corruption investigation and financial crime. </w:t>
      </w:r>
      <w:r w:rsidR="00697C54" w:rsidRPr="00AF0D5C">
        <w:br w:type="column"/>
      </w:r>
      <w:r w:rsidR="00A067D5" w:rsidRPr="00A067D5">
        <w:rPr>
          <w:rStyle w:val="5A-HeadingintextChar"/>
          <w:rFonts w:asciiTheme="minorHAnsi" w:hAnsiTheme="minorHAnsi" w:cstheme="minorHAnsi"/>
          <w:noProof/>
          <w:sz w:val="22"/>
          <w:szCs w:val="22"/>
        </w:rPr>
        <mc:AlternateContent>
          <mc:Choice Requires="wps">
            <w:drawing>
              <wp:anchor distT="1620520" distB="0" distL="114300" distR="114300" simplePos="0" relativeHeight="252512256" behindDoc="0" locked="0" layoutInCell="1" allowOverlap="1" wp14:anchorId="23F69884" wp14:editId="73066E53">
                <wp:simplePos x="0" y="0"/>
                <wp:positionH relativeFrom="column">
                  <wp:posOffset>-73025</wp:posOffset>
                </wp:positionH>
                <wp:positionV relativeFrom="paragraph">
                  <wp:posOffset>1454785</wp:posOffset>
                </wp:positionV>
                <wp:extent cx="6400800" cy="0"/>
                <wp:effectExtent l="0" t="0" r="0" b="0"/>
                <wp:wrapTopAndBottom/>
                <wp:docPr id="1571254897" name="Straight Connector 14"/>
                <wp:cNvGraphicFramePr/>
                <a:graphic xmlns:a="http://schemas.openxmlformats.org/drawingml/2006/main">
                  <a:graphicData uri="http://schemas.microsoft.com/office/word/2010/wordprocessingShape">
                    <wps:wsp>
                      <wps:cNvCnPr/>
                      <wps:spPr>
                        <a:xfrm>
                          <a:off x="0" y="0"/>
                          <a:ext cx="6400800" cy="0"/>
                        </a:xfrm>
                        <a:prstGeom prst="line">
                          <a:avLst/>
                        </a:prstGeom>
                        <a:noFill/>
                        <a:ln w="6350" cap="flat" cmpd="sng" algn="ctr">
                          <a:noFill/>
                          <a:prstDash val="solid"/>
                          <a:miter lim="800000"/>
                        </a:ln>
                        <a:effectLst/>
                      </wps:spPr>
                      <wps:bodyPr/>
                    </wps:wsp>
                  </a:graphicData>
                </a:graphic>
                <wp14:sizeRelH relativeFrom="margin">
                  <wp14:pctWidth>0</wp14:pctWidth>
                </wp14:sizeRelH>
              </wp:anchor>
            </w:drawing>
          </mc:Choice>
          <mc:Fallback>
            <w:pict>
              <v:line w14:anchorId="2F189BEF" id="Straight Connector 14" o:spid="_x0000_s1026" style="position:absolute;z-index:252512256;visibility:visible;mso-wrap-style:square;mso-width-percent:0;mso-wrap-distance-left:9pt;mso-wrap-distance-top:127.6pt;mso-wrap-distance-right:9pt;mso-wrap-distance-bottom:0;mso-position-horizontal:absolute;mso-position-horizontal-relative:text;mso-position-vertical:absolute;mso-position-vertical-relative:text;mso-width-percent:0;mso-width-relative:margin" from="-5.75pt,114.55pt" to="498.2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" stroked="f" strokeweight=".5pt">
                <v:stroke joinstyle="miter"/>
                <w10:wrap type="topAndBottom"/>
              </v:line>
            </w:pict>
          </mc:Fallback>
        </mc:AlternateContent>
      </w:r>
      <w:r w:rsidR="006D51E2" w:rsidRPr="00A067D5">
        <w:rPr>
          <w:rStyle w:val="5A-HeadingintextChar"/>
          <w:rFonts w:asciiTheme="minorHAnsi" w:hAnsiTheme="minorHAnsi" w:cstheme="minorHAnsi"/>
          <w:sz w:val="22"/>
          <w:szCs w:val="22"/>
        </w:rPr>
        <w:t>Digital and Data &amp; Analytics Strategies</w:t>
      </w:r>
      <w:r w:rsidR="006D51E2" w:rsidRPr="00A067D5">
        <w:rPr>
          <w:sz w:val="18"/>
          <w:szCs w:val="18"/>
        </w:rPr>
        <w:t xml:space="preserve"> </w:t>
      </w:r>
    </w:p>
    <w:p w14:paraId="35D7C557" w14:textId="6CCCE4A8" w:rsidR="006D51E2" w:rsidRPr="006D51E2" w:rsidRDefault="006D51E2" w:rsidP="002F018B">
      <w:pPr>
        <w:autoSpaceDE w:val="0"/>
        <w:autoSpaceDN w:val="0"/>
        <w:adjustRightInd w:val="0"/>
        <w:spacing w:after="0"/>
        <w:rPr>
          <w:rFonts w:asciiTheme="majorHAnsi" w:hAnsiTheme="majorHAnsi" w:cstheme="majorHAnsi"/>
          <w:color w:val="414042" w:themeColor="text1"/>
          <w:szCs w:val="20"/>
        </w:rPr>
      </w:pPr>
      <w:r w:rsidRPr="006D51E2">
        <w:rPr>
          <w:rFonts w:asciiTheme="majorHAnsi" w:hAnsiTheme="majorHAnsi" w:cstheme="majorHAnsi"/>
          <w:color w:val="414042" w:themeColor="text1"/>
          <w:szCs w:val="20"/>
        </w:rPr>
        <w:t>The CCC views</w:t>
      </w:r>
      <w:r w:rsidRPr="006D51E2">
        <w:rPr>
          <w:rFonts w:asciiTheme="majorHAnsi" w:hAnsiTheme="majorHAnsi" w:cstheme="majorHAnsi"/>
          <w:b/>
          <w:bCs/>
          <w:color w:val="414042" w:themeColor="text1"/>
          <w:szCs w:val="20"/>
        </w:rPr>
        <w:t xml:space="preserve"> </w:t>
      </w:r>
      <w:r w:rsidRPr="006D51E2">
        <w:rPr>
          <w:rFonts w:asciiTheme="majorHAnsi" w:hAnsiTheme="majorHAnsi" w:cstheme="majorHAnsi"/>
          <w:color w:val="414042" w:themeColor="text1"/>
          <w:szCs w:val="20"/>
        </w:rPr>
        <w:t xml:space="preserve">data literacy, data-driven decision making, and innovative analytics as key to our own success and to delivering value to our stakeholders and partners. </w:t>
      </w:r>
    </w:p>
    <w:p w14:paraId="31BA6F93" w14:textId="58A8FB36" w:rsidR="006D51E2" w:rsidRPr="006D51E2" w:rsidRDefault="006D51E2" w:rsidP="002F018B">
      <w:pPr>
        <w:spacing w:before="120"/>
        <w:rPr>
          <w:rFonts w:asciiTheme="majorHAnsi" w:eastAsia="Calibri" w:hAnsiTheme="majorHAnsi" w:cstheme="majorHAnsi"/>
          <w:color w:val="414042" w:themeColor="text1"/>
          <w:szCs w:val="20"/>
        </w:rPr>
      </w:pPr>
      <w:r w:rsidRPr="006D51E2">
        <w:rPr>
          <w:rFonts w:asciiTheme="majorHAnsi" w:eastAsia="Calibri" w:hAnsiTheme="majorHAnsi" w:cstheme="majorHAnsi"/>
          <w:color w:val="414042" w:themeColor="text1"/>
          <w:szCs w:val="20"/>
        </w:rPr>
        <w:t xml:space="preserve">Like our Workforce Strategy, we refreshed our Digital and Data &amp; Analytics Strategies. Our intention is to maximise our digital investments to improve our efficiency and effectiveness, and create high-value datasets to support our strategic priorities.  </w:t>
      </w:r>
    </w:p>
    <w:p w14:paraId="5857337E" w14:textId="77777777" w:rsidR="006D51E2" w:rsidRPr="006D51E2" w:rsidRDefault="006D51E2" w:rsidP="002F018B">
      <w:pPr>
        <w:spacing w:before="120"/>
        <w:rPr>
          <w:rFonts w:asciiTheme="majorHAnsi" w:eastAsia="Calibri" w:hAnsiTheme="majorHAnsi" w:cstheme="majorHAnsi"/>
          <w:color w:val="414042" w:themeColor="text1"/>
          <w:szCs w:val="20"/>
        </w:rPr>
      </w:pPr>
      <w:r w:rsidRPr="006D51E2">
        <w:rPr>
          <w:rFonts w:asciiTheme="majorHAnsi" w:eastAsia="Calibri" w:hAnsiTheme="majorHAnsi" w:cstheme="majorHAnsi"/>
          <w:color w:val="414042" w:themeColor="text1"/>
          <w:szCs w:val="20"/>
        </w:rPr>
        <w:t xml:space="preserve">This financial year we progressed simpler and smarter digital solutions, across all CCC divisions. </w:t>
      </w:r>
    </w:p>
    <w:p w14:paraId="245F417E" w14:textId="57A2E775" w:rsidR="006D51E2" w:rsidRPr="006D51E2" w:rsidRDefault="006D51E2" w:rsidP="002F018B">
      <w:pPr>
        <w:spacing w:before="120"/>
        <w:rPr>
          <w:rFonts w:asciiTheme="majorHAnsi" w:eastAsia="Calibri" w:hAnsiTheme="majorHAnsi" w:cstheme="majorHAnsi"/>
          <w:color w:val="414042" w:themeColor="text1"/>
          <w:szCs w:val="20"/>
        </w:rPr>
      </w:pPr>
      <w:r w:rsidRPr="006D51E2">
        <w:rPr>
          <w:rFonts w:asciiTheme="majorHAnsi" w:hAnsiTheme="majorHAnsi" w:cstheme="majorHAnsi"/>
          <w:color w:val="414042" w:themeColor="text1"/>
          <w:szCs w:val="20"/>
        </w:rPr>
        <w:t>We undertook work</w:t>
      </w:r>
      <w:r w:rsidRPr="006D51E2">
        <w:rPr>
          <w:rFonts w:asciiTheme="majorHAnsi" w:eastAsia="Calibri" w:hAnsiTheme="majorHAnsi" w:cstheme="majorHAnsi"/>
          <w:color w:val="414042" w:themeColor="text1"/>
          <w:szCs w:val="20"/>
        </w:rPr>
        <w:t xml:space="preserve"> to streamline and enhance our </w:t>
      </w:r>
      <w:r w:rsidR="002F018B">
        <w:rPr>
          <w:rFonts w:asciiTheme="majorHAnsi" w:eastAsia="Calibri" w:hAnsiTheme="majorHAnsi" w:cstheme="majorHAnsi"/>
          <w:color w:val="414042" w:themeColor="text1"/>
          <w:szCs w:val="20"/>
        </w:rPr>
        <w:br/>
      </w:r>
      <w:r w:rsidRPr="006D51E2">
        <w:rPr>
          <w:rFonts w:asciiTheme="majorHAnsi" w:eastAsia="Calibri" w:hAnsiTheme="majorHAnsi" w:cstheme="majorHAnsi"/>
          <w:color w:val="414042" w:themeColor="text1"/>
          <w:szCs w:val="20"/>
        </w:rPr>
        <w:t>digital Governance Risk and Compliance system (dGRC),</w:t>
      </w:r>
      <w:r w:rsidRPr="006D51E2">
        <w:rPr>
          <w:rFonts w:asciiTheme="majorHAnsi" w:hAnsiTheme="majorHAnsi" w:cstheme="majorHAnsi"/>
          <w:color w:val="414042" w:themeColor="text1"/>
          <w:szCs w:val="20"/>
        </w:rPr>
        <w:t xml:space="preserve"> first launched in 2020, and developed or progressed several b</w:t>
      </w:r>
      <w:r w:rsidRPr="006D51E2">
        <w:rPr>
          <w:rFonts w:asciiTheme="majorHAnsi" w:eastAsia="Calibri" w:hAnsiTheme="majorHAnsi" w:cstheme="majorHAnsi"/>
          <w:color w:val="414042" w:themeColor="text1"/>
          <w:szCs w:val="20"/>
        </w:rPr>
        <w:t xml:space="preserve">usiness intelligence dashboards. These bring together multiple datasets and enable us to make better informed decisions and streamline reporting. Two of these were specifically related to our corruption function – our complaints-related Intake and Assessment dashboard and our Investigation Monitoring dashboard which allows us to more effectively track the progress of matters devolved to public sector agencies to investigate. </w:t>
      </w:r>
    </w:p>
    <w:p w14:paraId="756034A5" w14:textId="77777777" w:rsidR="006D51E2" w:rsidRPr="006D51E2" w:rsidRDefault="006D51E2" w:rsidP="002F018B">
      <w:pPr>
        <w:spacing w:after="120"/>
        <w:rPr>
          <w:rFonts w:asciiTheme="majorHAnsi" w:hAnsiTheme="majorHAnsi" w:cstheme="majorHAnsi"/>
          <w:color w:val="414042" w:themeColor="text1"/>
          <w:szCs w:val="20"/>
        </w:rPr>
      </w:pPr>
      <w:r w:rsidRPr="006D51E2">
        <w:rPr>
          <w:rFonts w:asciiTheme="majorHAnsi" w:eastAsia="Calibri" w:hAnsiTheme="majorHAnsi" w:cstheme="majorHAnsi"/>
          <w:color w:val="414042" w:themeColor="text1"/>
          <w:szCs w:val="20"/>
        </w:rPr>
        <w:t xml:space="preserve">These last two dashboards are only part of our data and analytics capability uplift for the Corruption Division, which currently has a number of significant projects and initiatives under way. It also includes a data and insights plan, an enhanced corruption allegations data dashboard, and the creation of a proof of concept to enable the exchange of corruption outcomes data with other public sector agencies. All of this work is directed to making the CCC Queensland’s trusted agency for data and insights about corruption risk and prevention. </w:t>
      </w:r>
    </w:p>
    <w:p w14:paraId="06D08ECA" w14:textId="799FBD18" w:rsidR="006D51E2" w:rsidRPr="006D51E2" w:rsidRDefault="00697C54" w:rsidP="00A067D5">
      <w:pPr>
        <w:spacing w:before="540" w:after="240"/>
        <w:ind w:right="142"/>
        <w:rPr>
          <w:rFonts w:asciiTheme="majorHAnsi" w:hAnsiTheme="majorHAnsi" w:cstheme="majorHAnsi"/>
          <w:color w:val="414042" w:themeColor="text1"/>
          <w:szCs w:val="20"/>
        </w:rPr>
      </w:pPr>
      <w:r w:rsidRPr="00AF0D5C">
        <w:rPr>
          <w:rFonts w:asciiTheme="majorHAnsi" w:eastAsia="Calibri" w:hAnsiTheme="majorHAnsi" w:cstheme="majorHAnsi"/>
          <w:color w:val="414042" w:themeColor="text1"/>
          <w:szCs w:val="20"/>
        </w:rPr>
        <w:br w:type="column"/>
      </w:r>
      <w:r w:rsidR="006D51E2" w:rsidRPr="006D51E2">
        <w:rPr>
          <w:rFonts w:asciiTheme="majorHAnsi" w:eastAsia="Calibri" w:hAnsiTheme="majorHAnsi" w:cstheme="majorHAnsi"/>
          <w:color w:val="414042" w:themeColor="text1"/>
          <w:szCs w:val="20"/>
        </w:rPr>
        <w:t>Further support for our crime and corruption functions will come from two other digital solutions. The CCC is investing in a comprehensive, fit-for-purpose case management system to support investigators and improve the efficiency and quality of our crime operations and corruption investigations. A new digital Legal Practice Management System (LPMS) will enable our legal staff to streamline or automate processes where possible, with implementation scheduled to be completed in 2024.</w:t>
      </w:r>
      <w:r w:rsidR="006D51E2" w:rsidRPr="006D51E2">
        <w:rPr>
          <w:rFonts w:asciiTheme="majorHAnsi" w:hAnsiTheme="majorHAnsi" w:cstheme="majorHAnsi"/>
          <w:color w:val="414042" w:themeColor="text1"/>
          <w:szCs w:val="20"/>
        </w:rPr>
        <w:t xml:space="preserve"> </w:t>
      </w:r>
    </w:p>
    <w:p w14:paraId="0A027DC7" w14:textId="2B83B1AE" w:rsidR="006D51E2" w:rsidRPr="00A067D5" w:rsidRDefault="006D51E2" w:rsidP="00A067D5">
      <w:pPr>
        <w:pStyle w:val="5A-Headingintext"/>
      </w:pPr>
      <w:r w:rsidRPr="00A067D5">
        <w:t>Looking ahead</w:t>
      </w:r>
    </w:p>
    <w:p w14:paraId="1C9FFD15" w14:textId="77777777" w:rsidR="006D51E2" w:rsidRPr="006D51E2" w:rsidRDefault="006D51E2" w:rsidP="002F018B">
      <w:pPr>
        <w:spacing w:after="120"/>
        <w:ind w:right="141"/>
        <w:rPr>
          <w:rFonts w:asciiTheme="majorHAnsi" w:hAnsiTheme="majorHAnsi" w:cstheme="majorHAnsi"/>
          <w:color w:val="414042" w:themeColor="text1"/>
          <w:szCs w:val="20"/>
        </w:rPr>
      </w:pPr>
      <w:r w:rsidRPr="006D51E2">
        <w:rPr>
          <w:rFonts w:asciiTheme="majorHAnsi" w:hAnsiTheme="majorHAnsi" w:cstheme="majorHAnsi"/>
          <w:color w:val="414042" w:themeColor="text1"/>
          <w:szCs w:val="20"/>
        </w:rPr>
        <w:t>As this year’s annual report will show, o</w:t>
      </w:r>
      <w:r w:rsidRPr="006D51E2">
        <w:rPr>
          <w:rFonts w:asciiTheme="majorHAnsi" w:eastAsia="Calibri" w:hAnsiTheme="majorHAnsi" w:cstheme="majorHAnsi"/>
          <w:color w:val="414042" w:themeColor="text1"/>
          <w:szCs w:val="20"/>
        </w:rPr>
        <w:t xml:space="preserve">ver the last 12 months we have effected great change and renewal right across the CCC. The results that we have delivered in this first year of our new four-year strategic plan are a solid foundation for the future. </w:t>
      </w:r>
    </w:p>
    <w:p w14:paraId="40BCD48A" w14:textId="77777777" w:rsidR="006D51E2" w:rsidRPr="006D51E2" w:rsidRDefault="006D51E2" w:rsidP="002F018B">
      <w:pPr>
        <w:ind w:right="141"/>
        <w:rPr>
          <w:rFonts w:asciiTheme="majorHAnsi" w:hAnsiTheme="majorHAnsi" w:cstheme="majorHAnsi"/>
          <w:color w:val="414042" w:themeColor="text1"/>
          <w:szCs w:val="20"/>
        </w:rPr>
      </w:pPr>
      <w:r w:rsidRPr="006D51E2">
        <w:rPr>
          <w:rFonts w:asciiTheme="majorHAnsi" w:hAnsiTheme="majorHAnsi" w:cstheme="majorHAnsi"/>
          <w:color w:val="414042" w:themeColor="text1"/>
          <w:szCs w:val="20"/>
        </w:rPr>
        <w:t>I would like to thank our staff who continue to work with unwavering commitment and dedication to the purpose of the CCC.</w:t>
      </w:r>
      <w:r w:rsidRPr="006D51E2">
        <w:rPr>
          <w:rFonts w:asciiTheme="majorHAnsi" w:hAnsiTheme="majorHAnsi" w:cstheme="majorHAnsi"/>
          <w:color w:val="414042" w:themeColor="text1"/>
          <w:szCs w:val="20"/>
        </w:rPr>
        <w:br/>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tblGrid>
      <w:tr w:rsidR="00AF0D5C" w:rsidRPr="006D51E2" w14:paraId="5625A42D" w14:textId="77777777" w:rsidTr="006900F6">
        <w:tc>
          <w:tcPr>
            <w:tcW w:w="4535" w:type="dxa"/>
            <w:tcBorders>
              <w:left w:val="single" w:sz="36" w:space="0" w:color="E6E7E8" w:themeColor="background2"/>
            </w:tcBorders>
            <w:vAlign w:val="bottom"/>
          </w:tcPr>
          <w:p w14:paraId="273277AB" w14:textId="77777777" w:rsidR="006D51E2" w:rsidRPr="006D51E2" w:rsidRDefault="006D51E2" w:rsidP="006900F6">
            <w:pPr>
              <w:ind w:right="71"/>
              <w:rPr>
                <w:rFonts w:asciiTheme="majorHAnsi" w:hAnsiTheme="majorHAnsi" w:cstheme="majorHAnsi"/>
                <w:color w:val="414042" w:themeColor="text1"/>
              </w:rPr>
            </w:pPr>
            <w:r w:rsidRPr="00C16D5B">
              <w:rPr>
                <w:rFonts w:asciiTheme="minorHAnsi" w:hAnsiTheme="minorHAnsi" w:cstheme="minorHAnsi"/>
                <w:b/>
                <w:bCs/>
                <w:color w:val="414042" w:themeColor="text1"/>
              </w:rPr>
              <w:t>Jen O’Farrell</w:t>
            </w:r>
            <w:r w:rsidRPr="006D51E2">
              <w:rPr>
                <w:rFonts w:asciiTheme="majorHAnsi" w:hAnsiTheme="majorHAnsi" w:cstheme="majorHAnsi"/>
                <w:b/>
                <w:bCs/>
                <w:color w:val="414042" w:themeColor="text1"/>
              </w:rPr>
              <w:br/>
            </w:r>
            <w:r w:rsidRPr="006D51E2">
              <w:rPr>
                <w:rFonts w:asciiTheme="majorHAnsi" w:hAnsiTheme="majorHAnsi" w:cstheme="majorHAnsi"/>
                <w:color w:val="414042" w:themeColor="text1"/>
              </w:rPr>
              <w:t>Chief Executive Officer (CEO)</w:t>
            </w:r>
          </w:p>
        </w:tc>
      </w:tr>
    </w:tbl>
    <w:p w14:paraId="342F8BC2" w14:textId="429F3047" w:rsidR="00924B86" w:rsidRPr="00AF0D5C" w:rsidRDefault="00924B86" w:rsidP="006D51E2">
      <w:pPr>
        <w:rPr>
          <w:rFonts w:eastAsia="Calibri" w:cs="Calibri Light"/>
          <w:color w:val="414042" w:themeColor="text1"/>
          <w:sz w:val="19"/>
          <w:szCs w:val="20"/>
        </w:rPr>
        <w:sectPr w:rsidR="00924B86" w:rsidRPr="00AF0D5C" w:rsidSect="002F018B">
          <w:headerReference w:type="even" r:id="rId53"/>
          <w:headerReference w:type="default" r:id="rId54"/>
          <w:footerReference w:type="default" r:id="rId55"/>
          <w:headerReference w:type="first" r:id="rId56"/>
          <w:type w:val="continuous"/>
          <w:pgSz w:w="11906" w:h="16838" w:code="9"/>
          <w:pgMar w:top="2155" w:right="1134" w:bottom="964" w:left="1134" w:header="720" w:footer="284" w:gutter="0"/>
          <w:cols w:num="2" w:space="566"/>
          <w:noEndnote/>
          <w:docGrid w:linePitch="272"/>
        </w:sectPr>
      </w:pPr>
      <w:r w:rsidRPr="00AF0D5C">
        <w:rPr>
          <w:rFonts w:eastAsia="Calibri" w:cs="Calibri Light"/>
          <w:color w:val="414042" w:themeColor="text1"/>
          <w:sz w:val="19"/>
          <w:szCs w:val="20"/>
        </w:rPr>
        <w:t xml:space="preserve"> </w:t>
      </w:r>
    </w:p>
    <w:p w14:paraId="1DA0D82D" w14:textId="77777777" w:rsidR="00321BD4" w:rsidRPr="00AF0D5C" w:rsidRDefault="006D3942" w:rsidP="00B02BC4">
      <w:pPr>
        <w:pStyle w:val="2Heading"/>
        <w:sectPr w:rsidR="00321BD4" w:rsidRPr="00AF0D5C" w:rsidSect="00C77834">
          <w:headerReference w:type="even" r:id="rId57"/>
          <w:headerReference w:type="default" r:id="rId58"/>
          <w:footerReference w:type="default" r:id="rId59"/>
          <w:headerReference w:type="first" r:id="rId60"/>
          <w:pgSz w:w="11906" w:h="16838" w:code="9"/>
          <w:pgMar w:top="2155" w:right="1134" w:bottom="964" w:left="1134" w:header="720" w:footer="283" w:gutter="0"/>
          <w:cols w:space="567"/>
          <w:noEndnote/>
          <w:docGrid w:linePitch="272"/>
        </w:sectPr>
      </w:pPr>
      <w:bookmarkStart w:id="71" w:name="_Our_vision,_purpose"/>
      <w:bookmarkStart w:id="72" w:name="VisionPurposeValues"/>
      <w:bookmarkEnd w:id="38"/>
      <w:bookmarkEnd w:id="70"/>
      <w:bookmarkEnd w:id="71"/>
      <w:r w:rsidRPr="00AF0D5C">
        <w:t>Our vision, purpose and values</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11628F1C" w14:textId="76BB2EA0" w:rsidR="006D3942" w:rsidRPr="00FB32EE" w:rsidRDefault="006D3942" w:rsidP="00C903A2">
      <w:pPr>
        <w:pStyle w:val="3Heading-highlight"/>
      </w:pPr>
      <w:bookmarkStart w:id="73" w:name="_Toc102037813"/>
      <w:bookmarkStart w:id="74" w:name="_Toc102038175"/>
      <w:bookmarkStart w:id="75" w:name="_Toc102038536"/>
      <w:bookmarkStart w:id="76" w:name="_Toc102038896"/>
      <w:bookmarkStart w:id="77" w:name="_Toc102039248"/>
      <w:bookmarkStart w:id="78" w:name="_Toc102039603"/>
      <w:bookmarkStart w:id="79" w:name="_Toc102039960"/>
      <w:bookmarkStart w:id="80" w:name="_Toc102040285"/>
      <w:bookmarkStart w:id="81" w:name="_Toc102040619"/>
      <w:bookmarkStart w:id="82" w:name="_Toc102040947"/>
      <w:bookmarkStart w:id="83" w:name="_Toc102041277"/>
      <w:bookmarkStart w:id="84" w:name="_Toc102041609"/>
      <w:bookmarkStart w:id="85" w:name="_Toc102041936"/>
      <w:bookmarkStart w:id="86" w:name="_Toc102042265"/>
      <w:bookmarkStart w:id="87" w:name="_Toc102045395"/>
      <w:bookmarkEnd w:id="72"/>
      <w:r w:rsidRPr="00FB32EE">
        <w:t>Our vision</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022F12D4" w14:textId="17A40146" w:rsidR="006D3942" w:rsidRPr="00AF0D5C" w:rsidRDefault="006D3942" w:rsidP="007208F0">
      <w:pPr>
        <w:spacing w:after="600"/>
        <w:rPr>
          <w:color w:val="414042" w:themeColor="text1"/>
        </w:rPr>
      </w:pPr>
      <w:r w:rsidRPr="00AF0D5C">
        <w:rPr>
          <w:color w:val="414042" w:themeColor="text1"/>
        </w:rPr>
        <w:t xml:space="preserve">Safe communities supported by fair and ethical </w:t>
      </w:r>
      <w:r w:rsidR="00334478" w:rsidRPr="00AF0D5C">
        <w:rPr>
          <w:color w:val="414042" w:themeColor="text1"/>
        </w:rPr>
        <w:br/>
      </w:r>
      <w:r w:rsidRPr="00AF0D5C">
        <w:rPr>
          <w:color w:val="414042" w:themeColor="text1"/>
        </w:rPr>
        <w:t>public institutions.</w:t>
      </w:r>
    </w:p>
    <w:p w14:paraId="674413EF" w14:textId="77777777" w:rsidR="008B0438" w:rsidRPr="00AF0D5C" w:rsidRDefault="008B0438" w:rsidP="00C903A2">
      <w:pPr>
        <w:pStyle w:val="3Heading-highlight"/>
      </w:pPr>
      <w:bookmarkStart w:id="88" w:name="_Toc102037814"/>
      <w:bookmarkStart w:id="89" w:name="_Toc102038176"/>
      <w:bookmarkStart w:id="90" w:name="_Toc102038537"/>
      <w:bookmarkStart w:id="91" w:name="_Toc102038897"/>
      <w:bookmarkStart w:id="92" w:name="_Toc102039249"/>
      <w:bookmarkStart w:id="93" w:name="_Toc102039604"/>
      <w:bookmarkStart w:id="94" w:name="_Toc102039961"/>
      <w:bookmarkStart w:id="95" w:name="_Toc102040286"/>
      <w:bookmarkStart w:id="96" w:name="_Toc102040620"/>
      <w:bookmarkStart w:id="97" w:name="_Toc102040948"/>
      <w:bookmarkStart w:id="98" w:name="_Toc102041278"/>
      <w:bookmarkStart w:id="99" w:name="_Toc102041610"/>
      <w:bookmarkStart w:id="100" w:name="_Toc102041937"/>
      <w:bookmarkStart w:id="101" w:name="_Toc102042266"/>
      <w:bookmarkStart w:id="102" w:name="_Toc102045396"/>
      <w:r w:rsidRPr="00AF0D5C">
        <w:t>Our purpose</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5A560106" w14:textId="4EA18F31" w:rsidR="008B0438" w:rsidRPr="00AF0D5C" w:rsidRDefault="00B17C77" w:rsidP="00334478">
      <w:pPr>
        <w:ind w:right="140"/>
        <w:rPr>
          <w:color w:val="414042" w:themeColor="text1"/>
        </w:rPr>
      </w:pPr>
      <w:r w:rsidRPr="00AF0D5C">
        <w:rPr>
          <w:color w:val="414042" w:themeColor="text1"/>
        </w:rPr>
        <w:t>The CCC is</w:t>
      </w:r>
      <w:r w:rsidR="008B0438" w:rsidRPr="00AF0D5C">
        <w:rPr>
          <w:color w:val="414042" w:themeColor="text1"/>
        </w:rPr>
        <w:t xml:space="preserve"> an independent agency combating major crime and reducing corruption for the benefit of </w:t>
      </w:r>
      <w:r w:rsidR="00334478" w:rsidRPr="00AF0D5C">
        <w:rPr>
          <w:color w:val="414042" w:themeColor="text1"/>
        </w:rPr>
        <w:br/>
      </w:r>
      <w:r w:rsidR="008B0438" w:rsidRPr="00AF0D5C">
        <w:rPr>
          <w:color w:val="414042" w:themeColor="text1"/>
        </w:rPr>
        <w:t>the Queensland community.</w:t>
      </w:r>
    </w:p>
    <w:p w14:paraId="6DA5BEB7" w14:textId="77777777" w:rsidR="0045530C" w:rsidRPr="00AF0D5C" w:rsidRDefault="0045530C" w:rsidP="00334478">
      <w:pPr>
        <w:ind w:right="140"/>
        <w:rPr>
          <w:color w:val="414042" w:themeColor="text1"/>
        </w:rPr>
      </w:pPr>
    </w:p>
    <w:p w14:paraId="03F60397" w14:textId="77777777" w:rsidR="0045530C" w:rsidRPr="00AF0D5C" w:rsidRDefault="0045530C" w:rsidP="00C903A2">
      <w:pPr>
        <w:pStyle w:val="Heading3"/>
        <w:sectPr w:rsidR="0045530C" w:rsidRPr="00AF0D5C" w:rsidSect="00C77834">
          <w:type w:val="continuous"/>
          <w:pgSz w:w="11906" w:h="16838" w:code="9"/>
          <w:pgMar w:top="2155" w:right="1134" w:bottom="964" w:left="1134" w:header="720" w:footer="720" w:gutter="0"/>
          <w:cols w:num="2" w:space="567"/>
          <w:noEndnote/>
          <w:docGrid w:linePitch="272"/>
        </w:sectPr>
      </w:pPr>
    </w:p>
    <w:p w14:paraId="0A927263" w14:textId="6B80507E" w:rsidR="0045530C" w:rsidRPr="00AF0D5C" w:rsidRDefault="0045530C" w:rsidP="00C903A2">
      <w:pPr>
        <w:pStyle w:val="3Heading-highlight"/>
      </w:pPr>
      <w:bookmarkStart w:id="103" w:name="_Toc102037815"/>
      <w:bookmarkStart w:id="104" w:name="_Toc102038177"/>
      <w:bookmarkStart w:id="105" w:name="_Toc102038538"/>
      <w:bookmarkStart w:id="106" w:name="_Toc102038898"/>
      <w:bookmarkStart w:id="107" w:name="_Toc102039250"/>
      <w:bookmarkStart w:id="108" w:name="_Toc102039605"/>
      <w:bookmarkStart w:id="109" w:name="_Toc102039962"/>
      <w:bookmarkStart w:id="110" w:name="_Toc102040287"/>
      <w:bookmarkStart w:id="111" w:name="_Toc102040621"/>
      <w:bookmarkStart w:id="112" w:name="_Toc102040949"/>
      <w:bookmarkStart w:id="113" w:name="_Toc102041279"/>
      <w:bookmarkStart w:id="114" w:name="_Toc102041611"/>
      <w:bookmarkStart w:id="115" w:name="_Toc102041938"/>
      <w:bookmarkStart w:id="116" w:name="_Toc102042267"/>
      <w:bookmarkStart w:id="117" w:name="_Toc102045397"/>
      <w:r w:rsidRPr="00AF0D5C">
        <w:t>Our values</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39BDA213" w14:textId="6FB4296A" w:rsidR="0045530C" w:rsidRPr="00AF0D5C" w:rsidRDefault="0045530C" w:rsidP="00334478">
      <w:pPr>
        <w:ind w:right="140"/>
        <w:rPr>
          <w:color w:val="414042" w:themeColor="text1"/>
        </w:rPr>
        <w:sectPr w:rsidR="0045530C" w:rsidRPr="00AF0D5C" w:rsidSect="00C77834">
          <w:type w:val="continuous"/>
          <w:pgSz w:w="11906" w:h="16838" w:code="9"/>
          <w:pgMar w:top="2155" w:right="1134" w:bottom="964" w:left="1134" w:header="720" w:footer="720" w:gutter="0"/>
          <w:cols w:space="567"/>
          <w:noEndnote/>
          <w:docGrid w:linePitch="272"/>
        </w:sectPr>
      </w:pPr>
    </w:p>
    <w:tbl>
      <w:tblPr>
        <w:tblW w:w="3229" w:type="pct"/>
        <w:tblInd w:w="-142" w:type="dxa"/>
        <w:tblCellMar>
          <w:right w:w="0" w:type="dxa"/>
        </w:tblCellMar>
        <w:tblLook w:val="04A0" w:firstRow="1" w:lastRow="0" w:firstColumn="1" w:lastColumn="0" w:noHBand="0" w:noVBand="1"/>
      </w:tblPr>
      <w:tblGrid>
        <w:gridCol w:w="1560"/>
        <w:gridCol w:w="4535"/>
        <w:gridCol w:w="129"/>
      </w:tblGrid>
      <w:tr w:rsidR="00AF0D5C" w:rsidRPr="00AF0D5C" w14:paraId="42B29643" w14:textId="77777777" w:rsidTr="00B02BC4">
        <w:trPr>
          <w:gridAfter w:val="1"/>
          <w:wAfter w:w="104" w:type="pct"/>
          <w:trHeight w:val="227"/>
        </w:trPr>
        <w:tc>
          <w:tcPr>
            <w:tcW w:w="4896" w:type="pct"/>
            <w:gridSpan w:val="2"/>
            <w:shd w:val="clear" w:color="auto" w:fill="auto"/>
          </w:tcPr>
          <w:p w14:paraId="25A4EA05" w14:textId="6700546F" w:rsidR="006D3942" w:rsidRPr="00AF0D5C" w:rsidRDefault="006D3942" w:rsidP="00352BC9">
            <w:pPr>
              <w:spacing w:after="0"/>
              <w:ind w:firstLine="34"/>
              <w:rPr>
                <w:color w:val="414042" w:themeColor="text1"/>
              </w:rPr>
            </w:pPr>
            <w:r w:rsidRPr="00AF0D5C">
              <w:rPr>
                <w:color w:val="414042" w:themeColor="text1"/>
              </w:rPr>
              <w:t>Our values underpin everything we do.</w:t>
            </w:r>
          </w:p>
        </w:tc>
      </w:tr>
      <w:tr w:rsidR="00AF0D5C" w:rsidRPr="00AF0D5C" w14:paraId="6B46F748" w14:textId="77777777" w:rsidTr="00B02BC4">
        <w:trPr>
          <w:trHeight w:val="1531"/>
        </w:trPr>
        <w:tc>
          <w:tcPr>
            <w:tcW w:w="1253" w:type="pct"/>
            <w:shd w:val="clear" w:color="auto" w:fill="auto"/>
          </w:tcPr>
          <w:p w14:paraId="583B5703" w14:textId="0758630A" w:rsidR="006D3942" w:rsidRPr="00AF0D5C" w:rsidRDefault="006862B8" w:rsidP="006D3942">
            <w:pPr>
              <w:suppressAutoHyphens/>
              <w:autoSpaceDE w:val="0"/>
              <w:autoSpaceDN w:val="0"/>
              <w:adjustRightInd w:val="0"/>
              <w:spacing w:after="57" w:line="288" w:lineRule="auto"/>
              <w:textAlignment w:val="center"/>
              <w:rPr>
                <w:rFonts w:cs="Calibri Light"/>
                <w:color w:val="414042" w:themeColor="text1"/>
                <w:spacing w:val="-2"/>
                <w:szCs w:val="20"/>
              </w:rPr>
            </w:pPr>
            <w:r w:rsidRPr="00AF0D5C">
              <w:rPr>
                <w:rFonts w:cs="Calibri Light"/>
                <w:noProof/>
                <w:color w:val="414042" w:themeColor="text1"/>
                <w:spacing w:val="-2"/>
                <w:szCs w:val="20"/>
              </w:rPr>
              <w:drawing>
                <wp:anchor distT="0" distB="0" distL="114300" distR="114300" simplePos="0" relativeHeight="252014592" behindDoc="0" locked="0" layoutInCell="1" allowOverlap="1" wp14:anchorId="64DC2BFB" wp14:editId="767825FE">
                  <wp:simplePos x="0" y="0"/>
                  <wp:positionH relativeFrom="column">
                    <wp:posOffset>101600</wp:posOffset>
                  </wp:positionH>
                  <wp:positionV relativeFrom="paragraph">
                    <wp:posOffset>171260</wp:posOffset>
                  </wp:positionV>
                  <wp:extent cx="716089" cy="709459"/>
                  <wp:effectExtent l="0" t="0" r="8255" b="0"/>
                  <wp:wrapSquare wrapText="bothSides"/>
                  <wp:docPr id="74" name="Picture 74" descr="Peop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eople Icon"/>
                          <pic:cNvPicPr/>
                        </pic:nvPicPr>
                        <pic:blipFill>
                          <a:blip r:embed="rId61">
                            <a:grayscl/>
                            <a:extLst>
                              <a:ext uri="{BEBA8EAE-BF5A-486C-A8C5-ECC9F3942E4B}">
                                <a14:imgProps xmlns:a14="http://schemas.microsoft.com/office/drawing/2010/main">
                                  <a14:imgLayer r:embed="rId6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47" w:type="pct"/>
            <w:gridSpan w:val="2"/>
            <w:shd w:val="clear" w:color="auto" w:fill="auto"/>
            <w:vAlign w:val="center"/>
          </w:tcPr>
          <w:p w14:paraId="65CB4B8B" w14:textId="7579C33D" w:rsidR="006D3942" w:rsidRPr="000739A8" w:rsidRDefault="006D3942" w:rsidP="00B02BC4">
            <w:pPr>
              <w:pStyle w:val="5BHeadinglight"/>
            </w:pPr>
            <w:bookmarkStart w:id="118" w:name="_Toc102037816"/>
            <w:bookmarkStart w:id="119" w:name="_Toc102038178"/>
            <w:bookmarkStart w:id="120" w:name="_Toc102038539"/>
            <w:bookmarkStart w:id="121" w:name="_Toc102038899"/>
            <w:bookmarkStart w:id="122" w:name="_Toc102039251"/>
            <w:bookmarkStart w:id="123" w:name="_Toc102039606"/>
            <w:bookmarkStart w:id="124" w:name="_Toc102039963"/>
            <w:bookmarkStart w:id="125" w:name="_Toc102040288"/>
            <w:bookmarkStart w:id="126" w:name="_Toc102040622"/>
            <w:bookmarkStart w:id="127" w:name="_Toc102040950"/>
            <w:bookmarkStart w:id="128" w:name="_Toc102041280"/>
            <w:bookmarkStart w:id="129" w:name="_Toc102041612"/>
            <w:bookmarkStart w:id="130" w:name="_Toc102041939"/>
            <w:bookmarkStart w:id="131" w:name="_Toc102042268"/>
            <w:bookmarkStart w:id="132" w:name="_Toc102045398"/>
            <w:r w:rsidRPr="000739A8">
              <w:t>People</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431DF68D" w14:textId="1278865A" w:rsidR="006D3942" w:rsidRPr="00AF0D5C" w:rsidRDefault="006D3942" w:rsidP="00B02BC4">
            <w:pPr>
              <w:spacing w:after="0"/>
              <w:ind w:left="-110" w:right="-324" w:firstLine="121"/>
              <w:rPr>
                <w:color w:val="414042" w:themeColor="text1"/>
                <w:spacing w:val="-2"/>
              </w:rPr>
            </w:pPr>
            <w:r w:rsidRPr="00AF0D5C">
              <w:rPr>
                <w:color w:val="414042" w:themeColor="text1"/>
                <w:spacing w:val="-2"/>
              </w:rPr>
              <w:t>We value, respect and collaborate with each other.</w:t>
            </w:r>
          </w:p>
          <w:p w14:paraId="6F885E01" w14:textId="77777777" w:rsidR="006D3942" w:rsidRPr="00AF0D5C" w:rsidRDefault="006D3942" w:rsidP="00B02BC4">
            <w:pPr>
              <w:spacing w:after="0"/>
              <w:ind w:left="-110" w:right="-324" w:firstLine="121"/>
              <w:rPr>
                <w:color w:val="414042" w:themeColor="text1"/>
                <w:spacing w:val="-2"/>
              </w:rPr>
            </w:pPr>
            <w:r w:rsidRPr="00AF0D5C">
              <w:rPr>
                <w:color w:val="414042" w:themeColor="text1"/>
                <w:spacing w:val="-2"/>
              </w:rPr>
              <w:t>We develop ourselves and those around us.</w:t>
            </w:r>
          </w:p>
          <w:p w14:paraId="778603A6" w14:textId="02AC22A9" w:rsidR="006D3942" w:rsidRPr="00AF0D5C" w:rsidRDefault="006D3942" w:rsidP="00B02BC4">
            <w:pPr>
              <w:spacing w:after="0"/>
              <w:ind w:left="-110" w:right="-324" w:firstLine="121"/>
              <w:rPr>
                <w:color w:val="414042" w:themeColor="text1"/>
                <w:spacing w:val="-2"/>
              </w:rPr>
            </w:pPr>
            <w:r w:rsidRPr="00AF0D5C">
              <w:rPr>
                <w:color w:val="414042" w:themeColor="text1"/>
                <w:spacing w:val="-2"/>
              </w:rPr>
              <w:t>We act in the interests of the Queensland community.</w:t>
            </w:r>
          </w:p>
        </w:tc>
      </w:tr>
      <w:tr w:rsidR="00AF0D5C" w:rsidRPr="00AF0D5C" w14:paraId="6E319066" w14:textId="77777777" w:rsidTr="00B02BC4">
        <w:trPr>
          <w:trHeight w:val="1531"/>
        </w:trPr>
        <w:tc>
          <w:tcPr>
            <w:tcW w:w="1253" w:type="pct"/>
            <w:shd w:val="clear" w:color="auto" w:fill="auto"/>
          </w:tcPr>
          <w:p w14:paraId="1C89684A" w14:textId="32165E4A" w:rsidR="006D3942" w:rsidRPr="00AF0D5C" w:rsidRDefault="006862B8" w:rsidP="006D3942">
            <w:pPr>
              <w:suppressAutoHyphens/>
              <w:autoSpaceDE w:val="0"/>
              <w:autoSpaceDN w:val="0"/>
              <w:adjustRightInd w:val="0"/>
              <w:spacing w:after="57" w:line="288" w:lineRule="auto"/>
              <w:textAlignment w:val="center"/>
              <w:rPr>
                <w:rFonts w:cs="Calibri Light"/>
                <w:color w:val="414042" w:themeColor="text1"/>
                <w:spacing w:val="-2"/>
                <w:szCs w:val="20"/>
              </w:rPr>
            </w:pPr>
            <w:r w:rsidRPr="00AF0D5C">
              <w:rPr>
                <w:rFonts w:cs="Calibri Light"/>
                <w:noProof/>
                <w:color w:val="414042" w:themeColor="text1"/>
                <w:spacing w:val="-2"/>
                <w:szCs w:val="20"/>
              </w:rPr>
              <w:drawing>
                <wp:anchor distT="0" distB="0" distL="114300" distR="114300" simplePos="0" relativeHeight="252015616" behindDoc="0" locked="0" layoutInCell="1" allowOverlap="1" wp14:anchorId="362D0DB5" wp14:editId="1303564F">
                  <wp:simplePos x="0" y="0"/>
                  <wp:positionH relativeFrom="column">
                    <wp:posOffset>116205</wp:posOffset>
                  </wp:positionH>
                  <wp:positionV relativeFrom="paragraph">
                    <wp:posOffset>162989</wp:posOffset>
                  </wp:positionV>
                  <wp:extent cx="716089" cy="709459"/>
                  <wp:effectExtent l="0" t="0" r="8255" b="0"/>
                  <wp:wrapSquare wrapText="bothSides"/>
                  <wp:docPr id="75" name="Picture 75" descr="Account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ccountability icon"/>
                          <pic:cNvPicPr/>
                        </pic:nvPicPr>
                        <pic:blipFill>
                          <a:blip r:embed="rId63">
                            <a:grayscl/>
                            <a:extLst>
                              <a:ext uri="{BEBA8EAE-BF5A-486C-A8C5-ECC9F3942E4B}">
                                <a14:imgProps xmlns:a14="http://schemas.microsoft.com/office/drawing/2010/main">
                                  <a14:imgLayer r:embed="rId64">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47" w:type="pct"/>
            <w:gridSpan w:val="2"/>
            <w:shd w:val="clear" w:color="auto" w:fill="auto"/>
            <w:vAlign w:val="center"/>
          </w:tcPr>
          <w:p w14:paraId="7CCB3636" w14:textId="77777777" w:rsidR="006D3942" w:rsidRPr="00AF0D5C" w:rsidRDefault="006D3942" w:rsidP="00B02BC4">
            <w:pPr>
              <w:pStyle w:val="5BHeadinglight"/>
            </w:pPr>
            <w:bookmarkStart w:id="133" w:name="_Toc102037817"/>
            <w:bookmarkStart w:id="134" w:name="_Toc102038179"/>
            <w:bookmarkStart w:id="135" w:name="_Toc102038540"/>
            <w:bookmarkStart w:id="136" w:name="_Toc102038900"/>
            <w:bookmarkStart w:id="137" w:name="_Toc102039252"/>
            <w:bookmarkStart w:id="138" w:name="_Toc102039607"/>
            <w:bookmarkStart w:id="139" w:name="_Toc102039964"/>
            <w:bookmarkStart w:id="140" w:name="_Toc102040289"/>
            <w:bookmarkStart w:id="141" w:name="_Toc102040623"/>
            <w:bookmarkStart w:id="142" w:name="_Toc102040951"/>
            <w:bookmarkStart w:id="143" w:name="_Toc102041281"/>
            <w:bookmarkStart w:id="144" w:name="_Toc102041613"/>
            <w:bookmarkStart w:id="145" w:name="_Toc102041940"/>
            <w:bookmarkStart w:id="146" w:name="_Toc102042269"/>
            <w:bookmarkStart w:id="147" w:name="_Toc102045399"/>
            <w:r w:rsidRPr="00AF0D5C">
              <w:t>Accountability</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1AEBA4AA" w14:textId="77777777" w:rsidR="006D3942" w:rsidRPr="00AF0D5C" w:rsidRDefault="006D3942" w:rsidP="00B02BC4">
            <w:pPr>
              <w:spacing w:after="0"/>
              <w:ind w:left="-110" w:right="-324" w:firstLine="121"/>
              <w:rPr>
                <w:color w:val="414042" w:themeColor="text1"/>
                <w:spacing w:val="-2"/>
              </w:rPr>
            </w:pPr>
            <w:r w:rsidRPr="00AF0D5C">
              <w:rPr>
                <w:color w:val="414042" w:themeColor="text1"/>
                <w:spacing w:val="-2"/>
              </w:rPr>
              <w:t>We own our actions and decisions.</w:t>
            </w:r>
          </w:p>
          <w:p w14:paraId="5D18C8BA" w14:textId="77777777" w:rsidR="006D3942" w:rsidRPr="00AF0D5C" w:rsidRDefault="006D3942" w:rsidP="00B02BC4">
            <w:pPr>
              <w:spacing w:after="0"/>
              <w:ind w:left="-110" w:right="-324" w:firstLine="121"/>
              <w:rPr>
                <w:color w:val="414042" w:themeColor="text1"/>
                <w:spacing w:val="-2"/>
              </w:rPr>
            </w:pPr>
            <w:r w:rsidRPr="00AF0D5C">
              <w:rPr>
                <w:color w:val="414042" w:themeColor="text1"/>
                <w:spacing w:val="-2"/>
              </w:rPr>
              <w:t>We are responsible with the resources we are given.</w:t>
            </w:r>
          </w:p>
          <w:p w14:paraId="5E729E58" w14:textId="11A02C33" w:rsidR="006D3942" w:rsidRPr="00AF0D5C" w:rsidRDefault="006D3942" w:rsidP="00B02BC4">
            <w:pPr>
              <w:spacing w:after="0"/>
              <w:ind w:left="-110" w:right="-324" w:firstLine="121"/>
              <w:rPr>
                <w:color w:val="414042" w:themeColor="text1"/>
                <w:spacing w:val="-2"/>
              </w:rPr>
            </w:pPr>
            <w:r w:rsidRPr="00AF0D5C">
              <w:rPr>
                <w:color w:val="414042" w:themeColor="text1"/>
                <w:spacing w:val="-2"/>
              </w:rPr>
              <w:t>We are responsive to our stakeholders.</w:t>
            </w:r>
          </w:p>
        </w:tc>
      </w:tr>
      <w:tr w:rsidR="00AF0D5C" w:rsidRPr="00AF0D5C" w14:paraId="12CA4ACC" w14:textId="77777777" w:rsidTr="00B02BC4">
        <w:trPr>
          <w:trHeight w:val="1531"/>
        </w:trPr>
        <w:tc>
          <w:tcPr>
            <w:tcW w:w="1253" w:type="pct"/>
            <w:shd w:val="clear" w:color="auto" w:fill="auto"/>
          </w:tcPr>
          <w:p w14:paraId="7E7D919C" w14:textId="4737E88C" w:rsidR="006D3942" w:rsidRPr="00AF0D5C" w:rsidRDefault="006862B8" w:rsidP="006D3942">
            <w:pPr>
              <w:suppressAutoHyphens/>
              <w:autoSpaceDE w:val="0"/>
              <w:autoSpaceDN w:val="0"/>
              <w:adjustRightInd w:val="0"/>
              <w:spacing w:after="57" w:line="288" w:lineRule="auto"/>
              <w:textAlignment w:val="center"/>
              <w:rPr>
                <w:rFonts w:cs="Calibri Light"/>
                <w:color w:val="414042" w:themeColor="text1"/>
                <w:spacing w:val="-2"/>
                <w:szCs w:val="20"/>
              </w:rPr>
            </w:pPr>
            <w:r w:rsidRPr="00AF0D5C">
              <w:rPr>
                <w:rFonts w:cs="Calibri Light"/>
                <w:noProof/>
                <w:color w:val="414042" w:themeColor="text1"/>
                <w:spacing w:val="-2"/>
                <w:szCs w:val="20"/>
              </w:rPr>
              <w:drawing>
                <wp:anchor distT="0" distB="0" distL="114300" distR="114300" simplePos="0" relativeHeight="252016640" behindDoc="0" locked="0" layoutInCell="1" allowOverlap="1" wp14:anchorId="221D104E" wp14:editId="7FE6A5A1">
                  <wp:simplePos x="0" y="0"/>
                  <wp:positionH relativeFrom="column">
                    <wp:posOffset>116205</wp:posOffset>
                  </wp:positionH>
                  <wp:positionV relativeFrom="paragraph">
                    <wp:posOffset>181420</wp:posOffset>
                  </wp:positionV>
                  <wp:extent cx="716089" cy="709459"/>
                  <wp:effectExtent l="0" t="0" r="8255" b="0"/>
                  <wp:wrapSquare wrapText="bothSides"/>
                  <wp:docPr id="76" name="Picture 76" descr="Integr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ntegrity icon"/>
                          <pic:cNvPicPr/>
                        </pic:nvPicPr>
                        <pic:blipFill>
                          <a:blip r:embed="rId65">
                            <a:grayscl/>
                            <a:extLst>
                              <a:ext uri="{BEBA8EAE-BF5A-486C-A8C5-ECC9F3942E4B}">
                                <a14:imgProps xmlns:a14="http://schemas.microsoft.com/office/drawing/2010/main">
                                  <a14:imgLayer r:embed="rId6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47" w:type="pct"/>
            <w:gridSpan w:val="2"/>
            <w:shd w:val="clear" w:color="auto" w:fill="auto"/>
            <w:vAlign w:val="center"/>
          </w:tcPr>
          <w:p w14:paraId="7DD3E88D" w14:textId="77777777" w:rsidR="006D3942" w:rsidRPr="00AF0D5C" w:rsidRDefault="006D3942" w:rsidP="00B02BC4">
            <w:pPr>
              <w:pStyle w:val="5BHeadinglight"/>
            </w:pPr>
            <w:bookmarkStart w:id="148" w:name="_Toc102037818"/>
            <w:bookmarkStart w:id="149" w:name="_Toc102038180"/>
            <w:bookmarkStart w:id="150" w:name="_Toc102038541"/>
            <w:bookmarkStart w:id="151" w:name="_Toc102038901"/>
            <w:bookmarkStart w:id="152" w:name="_Toc102039253"/>
            <w:bookmarkStart w:id="153" w:name="_Toc102039608"/>
            <w:bookmarkStart w:id="154" w:name="_Toc102039965"/>
            <w:bookmarkStart w:id="155" w:name="_Toc102040290"/>
            <w:bookmarkStart w:id="156" w:name="_Toc102040624"/>
            <w:bookmarkStart w:id="157" w:name="_Toc102040952"/>
            <w:bookmarkStart w:id="158" w:name="_Toc102041282"/>
            <w:bookmarkStart w:id="159" w:name="_Toc102041614"/>
            <w:bookmarkStart w:id="160" w:name="_Toc102041941"/>
            <w:bookmarkStart w:id="161" w:name="_Toc102042270"/>
            <w:bookmarkStart w:id="162" w:name="_Toc102045400"/>
            <w:r w:rsidRPr="00AF0D5C">
              <w:t>Integrity</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458D7351" w14:textId="77777777" w:rsidR="006D3942" w:rsidRPr="00AF0D5C" w:rsidRDefault="006D3942" w:rsidP="00B02BC4">
            <w:pPr>
              <w:spacing w:after="0"/>
              <w:ind w:left="-110" w:right="-324" w:firstLine="121"/>
              <w:rPr>
                <w:rFonts w:cs="Calibri Light"/>
                <w:color w:val="414042" w:themeColor="text1"/>
                <w:spacing w:val="-2"/>
                <w:szCs w:val="20"/>
              </w:rPr>
            </w:pPr>
            <w:r w:rsidRPr="00AF0D5C">
              <w:rPr>
                <w:rFonts w:cs="Calibri Light"/>
                <w:color w:val="414042" w:themeColor="text1"/>
                <w:spacing w:val="-2"/>
                <w:szCs w:val="20"/>
              </w:rPr>
              <w:t xml:space="preserve">We are honest and </w:t>
            </w:r>
            <w:r w:rsidRPr="00AF0D5C">
              <w:rPr>
                <w:color w:val="414042" w:themeColor="text1"/>
                <w:spacing w:val="-2"/>
              </w:rPr>
              <w:t>transparent</w:t>
            </w:r>
            <w:r w:rsidRPr="00AF0D5C">
              <w:rPr>
                <w:rFonts w:cs="Calibri Light"/>
                <w:color w:val="414042" w:themeColor="text1"/>
                <w:spacing w:val="-2"/>
                <w:szCs w:val="20"/>
              </w:rPr>
              <w:t>.</w:t>
            </w:r>
          </w:p>
          <w:p w14:paraId="5E8DBB46" w14:textId="77777777" w:rsidR="006D3942" w:rsidRPr="00AF0D5C" w:rsidRDefault="006D3942" w:rsidP="00B02BC4">
            <w:pPr>
              <w:spacing w:after="0"/>
              <w:ind w:left="-110" w:right="-324" w:firstLine="121"/>
              <w:rPr>
                <w:rFonts w:cs="Calibri Light"/>
                <w:color w:val="414042" w:themeColor="text1"/>
                <w:spacing w:val="-2"/>
                <w:szCs w:val="20"/>
              </w:rPr>
            </w:pPr>
            <w:r w:rsidRPr="00AF0D5C">
              <w:rPr>
                <w:rFonts w:cs="Calibri Light"/>
                <w:color w:val="414042" w:themeColor="text1"/>
                <w:spacing w:val="-2"/>
                <w:szCs w:val="20"/>
              </w:rPr>
              <w:t xml:space="preserve">We act with </w:t>
            </w:r>
            <w:r w:rsidRPr="00AF0D5C">
              <w:rPr>
                <w:color w:val="414042" w:themeColor="text1"/>
                <w:spacing w:val="-2"/>
              </w:rPr>
              <w:t>impartiality</w:t>
            </w:r>
            <w:r w:rsidRPr="00AF0D5C">
              <w:rPr>
                <w:rFonts w:cs="Calibri Light"/>
                <w:color w:val="414042" w:themeColor="text1"/>
                <w:spacing w:val="-2"/>
                <w:szCs w:val="20"/>
              </w:rPr>
              <w:t>.</w:t>
            </w:r>
          </w:p>
          <w:p w14:paraId="324817EA" w14:textId="4E783B31" w:rsidR="006D3942" w:rsidRPr="00AF0D5C" w:rsidRDefault="006D3942" w:rsidP="00B02BC4">
            <w:pPr>
              <w:spacing w:after="0"/>
              <w:ind w:left="-110" w:right="-324" w:firstLine="121"/>
              <w:rPr>
                <w:rFonts w:cs="Calibri Light"/>
                <w:color w:val="414042" w:themeColor="text1"/>
                <w:spacing w:val="-2"/>
                <w:szCs w:val="20"/>
              </w:rPr>
            </w:pPr>
            <w:r w:rsidRPr="00AF0D5C">
              <w:rPr>
                <w:rFonts w:cs="Calibri Light"/>
                <w:color w:val="414042" w:themeColor="text1"/>
                <w:spacing w:val="-2"/>
                <w:szCs w:val="20"/>
              </w:rPr>
              <w:t xml:space="preserve">We keep our </w:t>
            </w:r>
            <w:r w:rsidRPr="00AF0D5C">
              <w:rPr>
                <w:color w:val="414042" w:themeColor="text1"/>
                <w:spacing w:val="-2"/>
              </w:rPr>
              <w:t>commitments</w:t>
            </w:r>
            <w:r w:rsidRPr="00AF0D5C">
              <w:rPr>
                <w:rFonts w:cs="Calibri Light"/>
                <w:color w:val="414042" w:themeColor="text1"/>
                <w:spacing w:val="-2"/>
                <w:szCs w:val="20"/>
              </w:rPr>
              <w:t>.</w:t>
            </w:r>
          </w:p>
        </w:tc>
      </w:tr>
      <w:tr w:rsidR="00AF0D5C" w:rsidRPr="00AF0D5C" w14:paraId="5239CE4C" w14:textId="77777777" w:rsidTr="00B02BC4">
        <w:trPr>
          <w:trHeight w:val="1531"/>
        </w:trPr>
        <w:tc>
          <w:tcPr>
            <w:tcW w:w="1253" w:type="pct"/>
            <w:shd w:val="clear" w:color="auto" w:fill="auto"/>
          </w:tcPr>
          <w:p w14:paraId="75A41EF7" w14:textId="02149DF4" w:rsidR="006D3942" w:rsidRPr="00AF0D5C" w:rsidRDefault="006862B8" w:rsidP="006D3942">
            <w:pPr>
              <w:suppressAutoHyphens/>
              <w:autoSpaceDE w:val="0"/>
              <w:autoSpaceDN w:val="0"/>
              <w:adjustRightInd w:val="0"/>
              <w:spacing w:after="57" w:line="288" w:lineRule="auto"/>
              <w:textAlignment w:val="center"/>
              <w:rPr>
                <w:rFonts w:cs="Calibri Light"/>
                <w:color w:val="414042" w:themeColor="text1"/>
                <w:spacing w:val="-2"/>
                <w:szCs w:val="20"/>
              </w:rPr>
            </w:pPr>
            <w:r w:rsidRPr="00AF0D5C">
              <w:rPr>
                <w:rFonts w:cs="Calibri Light"/>
                <w:noProof/>
                <w:color w:val="414042" w:themeColor="text1"/>
                <w:spacing w:val="-2"/>
                <w:szCs w:val="20"/>
              </w:rPr>
              <w:drawing>
                <wp:anchor distT="0" distB="0" distL="114300" distR="114300" simplePos="0" relativeHeight="252017664" behindDoc="0" locked="0" layoutInCell="1" allowOverlap="1" wp14:anchorId="139D9FC7" wp14:editId="1CD198D4">
                  <wp:simplePos x="0" y="0"/>
                  <wp:positionH relativeFrom="column">
                    <wp:posOffset>116205</wp:posOffset>
                  </wp:positionH>
                  <wp:positionV relativeFrom="paragraph">
                    <wp:posOffset>189040</wp:posOffset>
                  </wp:positionV>
                  <wp:extent cx="716089" cy="709459"/>
                  <wp:effectExtent l="0" t="0" r="8255" b="0"/>
                  <wp:wrapSquare wrapText="bothSides"/>
                  <wp:docPr id="77" name="Picture 77" descr="Cour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ourage icon"/>
                          <pic:cNvPicPr/>
                        </pic:nvPicPr>
                        <pic:blipFill>
                          <a:blip r:embed="rId67">
                            <a:grayscl/>
                            <a:extLs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47" w:type="pct"/>
            <w:gridSpan w:val="2"/>
            <w:shd w:val="clear" w:color="auto" w:fill="auto"/>
            <w:vAlign w:val="center"/>
          </w:tcPr>
          <w:p w14:paraId="2F906454" w14:textId="77777777" w:rsidR="006D3942" w:rsidRPr="00AF0D5C" w:rsidRDefault="006D3942" w:rsidP="00B02BC4">
            <w:pPr>
              <w:pStyle w:val="5BHeadinglight"/>
            </w:pPr>
            <w:bookmarkStart w:id="163" w:name="_Toc102037819"/>
            <w:bookmarkStart w:id="164" w:name="_Toc102038181"/>
            <w:bookmarkStart w:id="165" w:name="_Toc102038542"/>
            <w:bookmarkStart w:id="166" w:name="_Toc102038902"/>
            <w:bookmarkStart w:id="167" w:name="_Toc102039254"/>
            <w:bookmarkStart w:id="168" w:name="_Toc102039609"/>
            <w:bookmarkStart w:id="169" w:name="_Toc102039966"/>
            <w:bookmarkStart w:id="170" w:name="_Toc102040291"/>
            <w:bookmarkStart w:id="171" w:name="_Toc102040625"/>
            <w:bookmarkStart w:id="172" w:name="_Toc102040953"/>
            <w:bookmarkStart w:id="173" w:name="_Toc102041283"/>
            <w:bookmarkStart w:id="174" w:name="_Toc102041615"/>
            <w:bookmarkStart w:id="175" w:name="_Toc102041942"/>
            <w:bookmarkStart w:id="176" w:name="_Toc102042271"/>
            <w:bookmarkStart w:id="177" w:name="_Toc102045401"/>
            <w:r w:rsidRPr="00AF0D5C">
              <w:t>Courage</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5165C76D" w14:textId="77777777" w:rsidR="006D3942" w:rsidRPr="00AF0D5C" w:rsidRDefault="006D3942" w:rsidP="00B02BC4">
            <w:pPr>
              <w:spacing w:after="0"/>
              <w:ind w:left="-110" w:right="-324" w:firstLine="121"/>
              <w:rPr>
                <w:rFonts w:cs="Calibri Light"/>
                <w:color w:val="414042" w:themeColor="text1"/>
                <w:spacing w:val="-2"/>
                <w:szCs w:val="20"/>
              </w:rPr>
            </w:pPr>
            <w:r w:rsidRPr="00AF0D5C">
              <w:rPr>
                <w:rFonts w:cs="Calibri Light"/>
                <w:color w:val="414042" w:themeColor="text1"/>
                <w:spacing w:val="-2"/>
                <w:szCs w:val="20"/>
              </w:rPr>
              <w:t xml:space="preserve">We question the </w:t>
            </w:r>
            <w:r w:rsidRPr="00AF0D5C">
              <w:rPr>
                <w:color w:val="414042" w:themeColor="text1"/>
                <w:spacing w:val="-2"/>
              </w:rPr>
              <w:t>status</w:t>
            </w:r>
            <w:r w:rsidRPr="00AF0D5C">
              <w:rPr>
                <w:rFonts w:cs="Calibri Light"/>
                <w:color w:val="414042" w:themeColor="text1"/>
                <w:spacing w:val="-2"/>
                <w:szCs w:val="20"/>
              </w:rPr>
              <w:t xml:space="preserve"> quo.</w:t>
            </w:r>
          </w:p>
          <w:p w14:paraId="48A0836E" w14:textId="77777777" w:rsidR="006D3942" w:rsidRPr="00AF0D5C" w:rsidRDefault="006D3942" w:rsidP="00B02BC4">
            <w:pPr>
              <w:spacing w:after="0"/>
              <w:ind w:left="-110" w:right="-324" w:firstLine="121"/>
              <w:rPr>
                <w:rFonts w:cs="Calibri Light"/>
                <w:color w:val="414042" w:themeColor="text1"/>
                <w:spacing w:val="-2"/>
                <w:szCs w:val="20"/>
              </w:rPr>
            </w:pPr>
            <w:r w:rsidRPr="00AF0D5C">
              <w:rPr>
                <w:rFonts w:cs="Calibri Light"/>
                <w:color w:val="414042" w:themeColor="text1"/>
                <w:spacing w:val="-2"/>
                <w:szCs w:val="20"/>
              </w:rPr>
              <w:t xml:space="preserve">We embrace </w:t>
            </w:r>
            <w:r w:rsidRPr="00AF0D5C">
              <w:rPr>
                <w:color w:val="414042" w:themeColor="text1"/>
                <w:spacing w:val="-2"/>
              </w:rPr>
              <w:t>change</w:t>
            </w:r>
            <w:r w:rsidRPr="00AF0D5C">
              <w:rPr>
                <w:rFonts w:cs="Calibri Light"/>
                <w:color w:val="414042" w:themeColor="text1"/>
                <w:spacing w:val="-2"/>
                <w:szCs w:val="20"/>
              </w:rPr>
              <w:t>.</w:t>
            </w:r>
          </w:p>
          <w:p w14:paraId="3444E60A" w14:textId="75C38007" w:rsidR="006D3942" w:rsidRPr="00AF0D5C" w:rsidRDefault="006D3942" w:rsidP="00B02BC4">
            <w:pPr>
              <w:spacing w:after="0"/>
              <w:ind w:left="-110" w:right="-324" w:firstLine="121"/>
              <w:rPr>
                <w:rFonts w:cs="Calibri Light"/>
                <w:color w:val="414042" w:themeColor="text1"/>
                <w:spacing w:val="-2"/>
                <w:szCs w:val="20"/>
              </w:rPr>
            </w:pPr>
            <w:r w:rsidRPr="00AF0D5C">
              <w:rPr>
                <w:rFonts w:cs="Calibri Light"/>
                <w:color w:val="414042" w:themeColor="text1"/>
                <w:spacing w:val="-2"/>
                <w:szCs w:val="20"/>
              </w:rPr>
              <w:t xml:space="preserve">We stand up for </w:t>
            </w:r>
            <w:r w:rsidRPr="00AF0D5C">
              <w:rPr>
                <w:color w:val="414042" w:themeColor="text1"/>
                <w:spacing w:val="-2"/>
              </w:rPr>
              <w:t>what</w:t>
            </w:r>
            <w:r w:rsidRPr="00AF0D5C">
              <w:rPr>
                <w:rFonts w:cs="Calibri Light"/>
                <w:color w:val="414042" w:themeColor="text1"/>
                <w:spacing w:val="-2"/>
                <w:szCs w:val="20"/>
              </w:rPr>
              <w:t xml:space="preserve"> is right.</w:t>
            </w:r>
          </w:p>
        </w:tc>
      </w:tr>
      <w:tr w:rsidR="00AF0D5C" w:rsidRPr="00AF0D5C" w14:paraId="4EB704D5" w14:textId="77777777" w:rsidTr="00B02BC4">
        <w:trPr>
          <w:trHeight w:val="1531"/>
        </w:trPr>
        <w:tc>
          <w:tcPr>
            <w:tcW w:w="1253" w:type="pct"/>
            <w:shd w:val="clear" w:color="auto" w:fill="auto"/>
          </w:tcPr>
          <w:p w14:paraId="0EAC0A16" w14:textId="749FE453" w:rsidR="006D3942" w:rsidRPr="00AF0D5C" w:rsidRDefault="006862B8" w:rsidP="008B0438">
            <w:pPr>
              <w:suppressAutoHyphens/>
              <w:autoSpaceDE w:val="0"/>
              <w:autoSpaceDN w:val="0"/>
              <w:adjustRightInd w:val="0"/>
              <w:spacing w:after="57" w:line="288" w:lineRule="auto"/>
              <w:ind w:left="177"/>
              <w:textAlignment w:val="center"/>
              <w:rPr>
                <w:rFonts w:cs="Calibri Light"/>
                <w:color w:val="414042" w:themeColor="text1"/>
                <w:spacing w:val="-2"/>
                <w:szCs w:val="20"/>
              </w:rPr>
            </w:pPr>
            <w:r w:rsidRPr="00AF0D5C">
              <w:rPr>
                <w:rFonts w:cs="Calibri Light"/>
                <w:noProof/>
                <w:color w:val="414042" w:themeColor="text1"/>
                <w:spacing w:val="-2"/>
                <w:szCs w:val="20"/>
              </w:rPr>
              <w:drawing>
                <wp:anchor distT="0" distB="0" distL="114300" distR="114300" simplePos="0" relativeHeight="252018688" behindDoc="0" locked="0" layoutInCell="1" allowOverlap="1" wp14:anchorId="3507342C" wp14:editId="4E6D0C98">
                  <wp:simplePos x="0" y="0"/>
                  <wp:positionH relativeFrom="column">
                    <wp:posOffset>116205</wp:posOffset>
                  </wp:positionH>
                  <wp:positionV relativeFrom="paragraph">
                    <wp:posOffset>176975</wp:posOffset>
                  </wp:positionV>
                  <wp:extent cx="716089" cy="709459"/>
                  <wp:effectExtent l="0" t="0" r="8255" b="0"/>
                  <wp:wrapSquare wrapText="bothSides"/>
                  <wp:docPr id="78" name="Picture 78" descr="Excell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Excellence icon"/>
                          <pic:cNvPicPr/>
                        </pic:nvPicPr>
                        <pic:blipFill>
                          <a:blip r:embed="rId68">
                            <a:grayscl/>
                            <a:extLst>
                              <a:ext uri="{BEBA8EAE-BF5A-486C-A8C5-ECC9F3942E4B}">
                                <a14:imgProps xmlns:a14="http://schemas.microsoft.com/office/drawing/2010/main">
                                  <a14:imgLayer r:embed="rId6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47" w:type="pct"/>
            <w:gridSpan w:val="2"/>
            <w:shd w:val="clear" w:color="auto" w:fill="auto"/>
            <w:vAlign w:val="center"/>
          </w:tcPr>
          <w:p w14:paraId="4F8611DE" w14:textId="77777777" w:rsidR="006D3942" w:rsidRPr="00AF0D5C" w:rsidRDefault="006D3942" w:rsidP="00B02BC4">
            <w:pPr>
              <w:pStyle w:val="5BHeadinglight"/>
            </w:pPr>
            <w:bookmarkStart w:id="178" w:name="_Toc102037820"/>
            <w:bookmarkStart w:id="179" w:name="_Toc102038182"/>
            <w:bookmarkStart w:id="180" w:name="_Toc102038543"/>
            <w:bookmarkStart w:id="181" w:name="_Toc102038903"/>
            <w:bookmarkStart w:id="182" w:name="_Toc102039255"/>
            <w:bookmarkStart w:id="183" w:name="_Toc102039610"/>
            <w:bookmarkStart w:id="184" w:name="_Toc102039967"/>
            <w:bookmarkStart w:id="185" w:name="_Toc102040292"/>
            <w:bookmarkStart w:id="186" w:name="_Toc102040626"/>
            <w:bookmarkStart w:id="187" w:name="_Toc102040954"/>
            <w:bookmarkStart w:id="188" w:name="_Toc102041284"/>
            <w:bookmarkStart w:id="189" w:name="_Toc102041616"/>
            <w:bookmarkStart w:id="190" w:name="_Toc102041943"/>
            <w:bookmarkStart w:id="191" w:name="_Toc102042272"/>
            <w:bookmarkStart w:id="192" w:name="_Toc102045402"/>
            <w:r w:rsidRPr="00AF0D5C">
              <w:t>Excellence</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6568432B" w14:textId="77777777" w:rsidR="006D3942" w:rsidRPr="00AF0D5C" w:rsidRDefault="006D3942" w:rsidP="00B02BC4">
            <w:pPr>
              <w:spacing w:after="0"/>
              <w:ind w:left="-110" w:right="-324" w:firstLine="121"/>
              <w:rPr>
                <w:rFonts w:cs="Calibri Light"/>
                <w:color w:val="414042" w:themeColor="text1"/>
                <w:spacing w:val="-2"/>
                <w:szCs w:val="20"/>
              </w:rPr>
            </w:pPr>
            <w:r w:rsidRPr="00AF0D5C">
              <w:rPr>
                <w:rFonts w:cs="Calibri Light"/>
                <w:color w:val="414042" w:themeColor="text1"/>
                <w:spacing w:val="-2"/>
                <w:szCs w:val="20"/>
              </w:rPr>
              <w:t>We deliver consistent high performance.</w:t>
            </w:r>
          </w:p>
          <w:p w14:paraId="6BE5BA6F" w14:textId="77777777" w:rsidR="006D3942" w:rsidRPr="00AF0D5C" w:rsidRDefault="006D3942" w:rsidP="00B02BC4">
            <w:pPr>
              <w:spacing w:after="0"/>
              <w:ind w:left="-110" w:right="-324" w:firstLine="121"/>
              <w:rPr>
                <w:rFonts w:cs="Calibri Light"/>
                <w:color w:val="414042" w:themeColor="text1"/>
                <w:spacing w:val="-2"/>
                <w:szCs w:val="20"/>
              </w:rPr>
            </w:pPr>
            <w:r w:rsidRPr="00AF0D5C">
              <w:rPr>
                <w:rFonts w:cs="Calibri Light"/>
                <w:color w:val="414042" w:themeColor="text1"/>
                <w:spacing w:val="-2"/>
                <w:szCs w:val="20"/>
              </w:rPr>
              <w:t xml:space="preserve">We treat our </w:t>
            </w:r>
            <w:r w:rsidRPr="00AF0D5C">
              <w:rPr>
                <w:color w:val="414042" w:themeColor="text1"/>
                <w:spacing w:val="-2"/>
              </w:rPr>
              <w:t>mistakes</w:t>
            </w:r>
            <w:r w:rsidRPr="00AF0D5C">
              <w:rPr>
                <w:rFonts w:cs="Calibri Light"/>
                <w:color w:val="414042" w:themeColor="text1"/>
                <w:spacing w:val="-2"/>
                <w:szCs w:val="20"/>
              </w:rPr>
              <w:t xml:space="preserve"> as opportunities.</w:t>
            </w:r>
          </w:p>
          <w:p w14:paraId="790BA49D" w14:textId="672E3127" w:rsidR="006D3942" w:rsidRPr="00AF0D5C" w:rsidRDefault="006D3942" w:rsidP="00B02BC4">
            <w:pPr>
              <w:spacing w:after="0"/>
              <w:ind w:left="-110" w:right="-324" w:firstLine="121"/>
              <w:rPr>
                <w:rFonts w:cs="Calibri Light"/>
                <w:color w:val="414042" w:themeColor="text1"/>
                <w:spacing w:val="-2"/>
                <w:szCs w:val="20"/>
              </w:rPr>
            </w:pPr>
            <w:r w:rsidRPr="00AF0D5C">
              <w:rPr>
                <w:rFonts w:cs="Calibri Light"/>
                <w:color w:val="414042" w:themeColor="text1"/>
                <w:spacing w:val="-2"/>
                <w:szCs w:val="20"/>
              </w:rPr>
              <w:t xml:space="preserve">We implement </w:t>
            </w:r>
            <w:r w:rsidRPr="00AF0D5C">
              <w:rPr>
                <w:color w:val="414042" w:themeColor="text1"/>
                <w:spacing w:val="-2"/>
              </w:rPr>
              <w:t>ideas</w:t>
            </w:r>
            <w:r w:rsidRPr="00AF0D5C">
              <w:rPr>
                <w:rFonts w:cs="Calibri Light"/>
                <w:color w:val="414042" w:themeColor="text1"/>
                <w:spacing w:val="-2"/>
                <w:szCs w:val="20"/>
              </w:rPr>
              <w:t xml:space="preserve"> that create value.</w:t>
            </w:r>
          </w:p>
        </w:tc>
      </w:tr>
    </w:tbl>
    <w:p w14:paraId="11EC268A" w14:textId="77777777" w:rsidR="008B0438" w:rsidRPr="00AF0D5C" w:rsidRDefault="008B0438" w:rsidP="00CE62F7">
      <w:pPr>
        <w:rPr>
          <w:color w:val="414042" w:themeColor="text1"/>
        </w:rPr>
        <w:sectPr w:rsidR="008B0438" w:rsidRPr="00AF0D5C" w:rsidSect="00C77834">
          <w:type w:val="continuous"/>
          <w:pgSz w:w="11906" w:h="16838" w:code="9"/>
          <w:pgMar w:top="2155" w:right="1134" w:bottom="964" w:left="1134" w:header="720" w:footer="720" w:gutter="0"/>
          <w:cols w:space="567"/>
          <w:noEndnote/>
          <w:docGrid w:linePitch="272"/>
        </w:sectPr>
      </w:pPr>
    </w:p>
    <w:p w14:paraId="0F9E7BC4" w14:textId="02D6032A" w:rsidR="00321BD4" w:rsidRPr="00AF0D5C" w:rsidRDefault="00321BD4" w:rsidP="00C903A2">
      <w:pPr>
        <w:pStyle w:val="Heading3"/>
        <w:sectPr w:rsidR="00321BD4" w:rsidRPr="00AF0D5C" w:rsidSect="00C77834">
          <w:type w:val="continuous"/>
          <w:pgSz w:w="11906" w:h="16838" w:code="9"/>
          <w:pgMar w:top="2155" w:right="1134" w:bottom="964" w:left="1134" w:header="720" w:footer="720" w:gutter="0"/>
          <w:cols w:num="2" w:space="567"/>
          <w:noEndnote/>
          <w:docGrid w:linePitch="272"/>
        </w:sectPr>
      </w:pPr>
      <w:r w:rsidRPr="00AF0D5C">
        <w:br w:type="column"/>
      </w:r>
    </w:p>
    <w:p w14:paraId="415D8A4D" w14:textId="77777777" w:rsidR="005968AA" w:rsidRPr="00AF0D5C" w:rsidRDefault="005968AA" w:rsidP="000739A8">
      <w:pPr>
        <w:pStyle w:val="2Heading"/>
      </w:pPr>
      <w:bookmarkStart w:id="193" w:name="_Toc102037822"/>
      <w:bookmarkStart w:id="194" w:name="_Toc102038184"/>
      <w:bookmarkStart w:id="195" w:name="_Toc102038545"/>
      <w:bookmarkStart w:id="196" w:name="_Toc102038905"/>
      <w:bookmarkStart w:id="197" w:name="_Toc102039257"/>
      <w:bookmarkStart w:id="198" w:name="_Toc102039612"/>
      <w:bookmarkStart w:id="199" w:name="_Toc102039969"/>
      <w:bookmarkStart w:id="200" w:name="_Toc102040294"/>
      <w:bookmarkStart w:id="201" w:name="_Toc102040628"/>
      <w:bookmarkStart w:id="202" w:name="_Toc102040956"/>
      <w:bookmarkStart w:id="203" w:name="_Toc102041286"/>
      <w:bookmarkStart w:id="204" w:name="_Toc102041618"/>
      <w:bookmarkStart w:id="205" w:name="_Toc102041945"/>
      <w:bookmarkStart w:id="206" w:name="_Toc102042274"/>
      <w:bookmarkStart w:id="207" w:name="_Toc102045404"/>
      <w:bookmarkStart w:id="208" w:name="WhoWeAre"/>
      <w:r w:rsidRPr="00AF0D5C">
        <w:t>Who we are</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bookmarkEnd w:id="208"/>
    <w:p w14:paraId="798380F1" w14:textId="4314F727" w:rsidR="00570E90" w:rsidRPr="00AF0D5C" w:rsidRDefault="00570E90" w:rsidP="00B82BCB">
      <w:pPr>
        <w:pStyle w:val="4H-Intro"/>
      </w:pPr>
      <w:r w:rsidRPr="00AF0D5C">
        <w:t xml:space="preserve">The origins of the Crime and Corruption Commission date back to July 1989 when the Queensland Government </w:t>
      </w:r>
      <w:r w:rsidR="00984309" w:rsidRPr="00AF0D5C">
        <w:t xml:space="preserve">was presented </w:t>
      </w:r>
      <w:r w:rsidRPr="00AF0D5C">
        <w:t xml:space="preserve">with the findings of the </w:t>
      </w:r>
      <w:r w:rsidRPr="00AF0D5C">
        <w:rPr>
          <w:i/>
          <w:iCs/>
        </w:rPr>
        <w:t>Commission of Inquiry into Possible Illegal Activities and Associated Police Misconduct</w:t>
      </w:r>
      <w:r w:rsidRPr="00AF0D5C">
        <w:t xml:space="preserve"> (known as the </w:t>
      </w:r>
      <w:r w:rsidRPr="00AF0D5C">
        <w:rPr>
          <w:i/>
          <w:iCs/>
        </w:rPr>
        <w:t>Fitzgerald Inquiry Report</w:t>
      </w:r>
      <w:r w:rsidRPr="00AF0D5C">
        <w:t>).</w:t>
      </w:r>
    </w:p>
    <w:p w14:paraId="689E80EC" w14:textId="77777777" w:rsidR="00E52781" w:rsidRPr="00AF0D5C" w:rsidRDefault="00E52781" w:rsidP="00E52781">
      <w:pPr>
        <w:rPr>
          <w:color w:val="414042" w:themeColor="text1"/>
        </w:rPr>
      </w:pPr>
    </w:p>
    <w:p w14:paraId="3C8F7CE5" w14:textId="6272C939" w:rsidR="00E52781" w:rsidRPr="00AF0D5C" w:rsidRDefault="00E52781" w:rsidP="00E52781">
      <w:pPr>
        <w:rPr>
          <w:color w:val="414042" w:themeColor="text1"/>
        </w:rPr>
        <w:sectPr w:rsidR="00E52781" w:rsidRPr="00AF0D5C" w:rsidSect="00C77834">
          <w:pgSz w:w="11906" w:h="16838" w:code="9"/>
          <w:pgMar w:top="2155" w:right="1134" w:bottom="964" w:left="1134" w:header="720" w:footer="284" w:gutter="0"/>
          <w:cols w:space="720"/>
          <w:noEndnote/>
          <w:docGrid w:linePitch="272"/>
        </w:sectPr>
      </w:pPr>
    </w:p>
    <w:p w14:paraId="01FB8364" w14:textId="77777777" w:rsidR="00570E90" w:rsidRPr="00AF0D5C" w:rsidRDefault="00570E90" w:rsidP="006B1E6A">
      <w:pPr>
        <w:pStyle w:val="newBODYTEXT"/>
        <w:ind w:right="140"/>
      </w:pPr>
      <w:r w:rsidRPr="00AF0D5C">
        <w:t xml:space="preserve">The </w:t>
      </w:r>
      <w:r w:rsidRPr="00AF0D5C">
        <w:rPr>
          <w:i/>
          <w:iCs/>
        </w:rPr>
        <w:t>Fitzgerald Inquiry Report</w:t>
      </w:r>
      <w:r w:rsidRPr="00AF0D5C">
        <w:t xml:space="preserve"> recommended the Queensland Parliament establish an independent agency to fight organised crime and corruption to help restore confidence in our public institutions, and to be responsible for Queensland’s witness protection program. Since that time, the presence of an independent Commission dedicated to fighting organised crime and corruption has been a constant in Queensland public life.</w:t>
      </w:r>
    </w:p>
    <w:p w14:paraId="28EC3738" w14:textId="77777777" w:rsidR="00570E90" w:rsidRPr="00AF0D5C" w:rsidRDefault="00570E90" w:rsidP="006B1E6A">
      <w:pPr>
        <w:pStyle w:val="newBODYTEXT"/>
        <w:ind w:right="140"/>
      </w:pPr>
      <w:r w:rsidRPr="00AF0D5C">
        <w:t>Although there have been several iterations of the Commission since 1989, the core work of the Commission has essentially remained the same.</w:t>
      </w:r>
    </w:p>
    <w:p w14:paraId="090F396A" w14:textId="77777777" w:rsidR="00570E90" w:rsidRPr="00AF0D5C" w:rsidRDefault="00570E90" w:rsidP="006B1E6A">
      <w:pPr>
        <w:pStyle w:val="newBODYTEXT"/>
        <w:ind w:right="140"/>
      </w:pPr>
      <w:r w:rsidRPr="00AF0D5C">
        <w:t>Today’s CCC investigates major crime and corruption, has oversight of both the police and the public sector, recovers the proceeds of crime and is responsible for Queensland’s witness protection program.</w:t>
      </w:r>
    </w:p>
    <w:p w14:paraId="281A485D" w14:textId="77777777" w:rsidR="00570E90" w:rsidRPr="00AF0D5C" w:rsidRDefault="00570E90" w:rsidP="006B1E6A">
      <w:pPr>
        <w:ind w:right="140"/>
        <w:rPr>
          <w:color w:val="414042" w:themeColor="text1"/>
        </w:rPr>
      </w:pPr>
      <w:r w:rsidRPr="00AF0D5C">
        <w:rPr>
          <w:color w:val="414042" w:themeColor="text1"/>
        </w:rPr>
        <w:t>Our work includes:</w:t>
      </w:r>
    </w:p>
    <w:p w14:paraId="1356DBC0" w14:textId="77777777" w:rsidR="00570E90" w:rsidRPr="006900F6" w:rsidRDefault="00570E90" w:rsidP="006B1E6A">
      <w:pPr>
        <w:pStyle w:val="Bulletpoints0"/>
      </w:pPr>
      <w:r w:rsidRPr="006900F6">
        <w:t>investigating serious and organised crime</w:t>
      </w:r>
    </w:p>
    <w:p w14:paraId="0638FE90" w14:textId="4DC5FB4E" w:rsidR="00570E90" w:rsidRPr="006900F6" w:rsidRDefault="00570E90" w:rsidP="006B1E6A">
      <w:pPr>
        <w:pStyle w:val="Bulletpoints0"/>
      </w:pPr>
      <w:r w:rsidRPr="006900F6">
        <w:t>receiving, assessing and investigating complaints of corruption within the Queensland public sector</w:t>
      </w:r>
    </w:p>
    <w:p w14:paraId="538A9B6D" w14:textId="77777777" w:rsidR="00570E90" w:rsidRPr="006900F6" w:rsidRDefault="00570E90" w:rsidP="006B1E6A">
      <w:pPr>
        <w:pStyle w:val="Bulletpoints0"/>
      </w:pPr>
      <w:r w:rsidRPr="006900F6">
        <w:t>developing strategies to prevent major crime and corruption, and</w:t>
      </w:r>
    </w:p>
    <w:p w14:paraId="07797885" w14:textId="77777777" w:rsidR="00570E90" w:rsidRPr="006900F6" w:rsidRDefault="00570E90" w:rsidP="006B1E6A">
      <w:pPr>
        <w:pStyle w:val="Bulletpoints0"/>
      </w:pPr>
      <w:r w:rsidRPr="006900F6">
        <w:t>undertaking intelligence activities and conducting research on crime, corruption, policing and other relevant matters.</w:t>
      </w:r>
    </w:p>
    <w:p w14:paraId="5A114A93" w14:textId="77777777" w:rsidR="00570E90" w:rsidRPr="00AF0D5C" w:rsidRDefault="00570E90" w:rsidP="006B1E6A">
      <w:pPr>
        <w:pStyle w:val="newBODYTEXT"/>
        <w:ind w:right="140"/>
      </w:pPr>
      <w:r w:rsidRPr="00AF0D5C">
        <w:br w:type="column"/>
        <w:t xml:space="preserve">The </w:t>
      </w:r>
      <w:r w:rsidRPr="00AF0D5C">
        <w:rPr>
          <w:i/>
          <w:iCs/>
          <w:spacing w:val="2"/>
        </w:rPr>
        <w:t>Crime and Corruption Act 2001</w:t>
      </w:r>
      <w:r w:rsidRPr="00AF0D5C">
        <w:t xml:space="preserve"> (Qld) sets out our primary functions, powers and governance structure. The following additional legislation supports our functions by enabling us to recover criminal proceeds, protect witnesses, and gather evidence through searches and surveillance:</w:t>
      </w:r>
    </w:p>
    <w:p w14:paraId="6466D572" w14:textId="49D91FE4" w:rsidR="00570E90" w:rsidRPr="009C5DF3" w:rsidRDefault="00570E90" w:rsidP="006B1E6A">
      <w:pPr>
        <w:pStyle w:val="Bulletpoints0"/>
        <w:rPr>
          <w:i/>
          <w:iCs/>
        </w:rPr>
      </w:pPr>
      <w:r w:rsidRPr="009C5DF3">
        <w:rPr>
          <w:i/>
          <w:iCs/>
        </w:rPr>
        <w:t>Criminal Proceeds Confiscation Act 2002</w:t>
      </w:r>
      <w:r w:rsidR="000B6342" w:rsidRPr="009C5DF3">
        <w:rPr>
          <w:i/>
          <w:iCs/>
        </w:rPr>
        <w:t xml:space="preserve"> (Qld)</w:t>
      </w:r>
    </w:p>
    <w:p w14:paraId="581773C5" w14:textId="58A8EBC9" w:rsidR="00570E90" w:rsidRPr="009C5DF3" w:rsidRDefault="00570E90" w:rsidP="006B1E6A">
      <w:pPr>
        <w:pStyle w:val="Bulletpoints0"/>
        <w:rPr>
          <w:i/>
          <w:iCs/>
        </w:rPr>
      </w:pPr>
      <w:r w:rsidRPr="009C5DF3">
        <w:rPr>
          <w:i/>
          <w:iCs/>
        </w:rPr>
        <w:t>Police Powers and Responsibilities Act 2000</w:t>
      </w:r>
      <w:r w:rsidR="000B6342" w:rsidRPr="009C5DF3">
        <w:rPr>
          <w:i/>
          <w:iCs/>
        </w:rPr>
        <w:t xml:space="preserve"> (Qld)</w:t>
      </w:r>
    </w:p>
    <w:p w14:paraId="16C121FD" w14:textId="5F5CB9D8" w:rsidR="00570E90" w:rsidRPr="009C5DF3" w:rsidRDefault="00570E90" w:rsidP="006B1E6A">
      <w:pPr>
        <w:pStyle w:val="Bulletpoints0"/>
        <w:rPr>
          <w:i/>
          <w:iCs/>
        </w:rPr>
      </w:pPr>
      <w:r w:rsidRPr="009C5DF3">
        <w:rPr>
          <w:i/>
          <w:iCs/>
        </w:rPr>
        <w:t>Telecommunications Interception Act 2009</w:t>
      </w:r>
      <w:r w:rsidR="000B6342" w:rsidRPr="009C5DF3">
        <w:rPr>
          <w:i/>
          <w:iCs/>
        </w:rPr>
        <w:t xml:space="preserve"> (Qld) (TI Act)</w:t>
      </w:r>
    </w:p>
    <w:p w14:paraId="0A419D16" w14:textId="7BBE6FF7" w:rsidR="00570E90" w:rsidRPr="009C5DF3" w:rsidRDefault="00570E90" w:rsidP="006B1E6A">
      <w:pPr>
        <w:pStyle w:val="Bulletpoints0"/>
        <w:rPr>
          <w:i/>
          <w:iCs/>
        </w:rPr>
      </w:pPr>
      <w:r w:rsidRPr="009C5DF3">
        <w:rPr>
          <w:i/>
          <w:iCs/>
        </w:rPr>
        <w:t xml:space="preserve">Telecommunications (Interception and Access) </w:t>
      </w:r>
      <w:r w:rsidRPr="009C5DF3">
        <w:rPr>
          <w:i/>
          <w:iCs/>
        </w:rPr>
        <w:br/>
        <w:t>Act 1979 (Cth)</w:t>
      </w:r>
      <w:r w:rsidR="000B6342" w:rsidRPr="009C5DF3">
        <w:rPr>
          <w:i/>
          <w:iCs/>
        </w:rPr>
        <w:t xml:space="preserve"> (TIA Act)</w:t>
      </w:r>
      <w:r w:rsidRPr="009C5DF3">
        <w:rPr>
          <w:i/>
          <w:iCs/>
        </w:rPr>
        <w:t>, and</w:t>
      </w:r>
    </w:p>
    <w:p w14:paraId="3DDDB705" w14:textId="77777777" w:rsidR="006D1DBB" w:rsidRPr="009C5DF3" w:rsidRDefault="00570E90" w:rsidP="006B1E6A">
      <w:pPr>
        <w:pStyle w:val="Bulletpoints0"/>
        <w:rPr>
          <w:i/>
          <w:iCs/>
        </w:rPr>
      </w:pPr>
      <w:r w:rsidRPr="009C5DF3">
        <w:rPr>
          <w:i/>
          <w:iCs/>
        </w:rPr>
        <w:t>Witness Protection Act 2000</w:t>
      </w:r>
      <w:r w:rsidR="000B6342" w:rsidRPr="009C5DF3">
        <w:rPr>
          <w:i/>
          <w:iCs/>
        </w:rPr>
        <w:t xml:space="preserve"> (Qld)</w:t>
      </w:r>
      <w:r w:rsidRPr="009C5DF3">
        <w:rPr>
          <w:i/>
          <w:iCs/>
        </w:rPr>
        <w:t>.</w:t>
      </w:r>
    </w:p>
    <w:p w14:paraId="7315BFAA" w14:textId="1776CC31" w:rsidR="00570E90" w:rsidRPr="00762621" w:rsidRDefault="00570E90" w:rsidP="006B1E6A">
      <w:pPr>
        <w:pStyle w:val="8Crossref"/>
        <w:spacing w:before="240"/>
        <w:ind w:right="140"/>
      </w:pPr>
      <w:r w:rsidRPr="00762621">
        <w:t xml:space="preserve">For more information about our governance and people, see pages </w:t>
      </w:r>
      <w:r w:rsidR="001A7A5B" w:rsidRPr="00762621">
        <w:t>57-</w:t>
      </w:r>
      <w:r w:rsidR="000A732C" w:rsidRPr="00762621">
        <w:t>70.</w:t>
      </w:r>
      <w:r w:rsidR="00A067D5">
        <w:softHyphen/>
      </w:r>
      <w:r w:rsidR="00A067D5">
        <w:softHyphen/>
      </w:r>
    </w:p>
    <w:p w14:paraId="4CBBD05E" w14:textId="77777777" w:rsidR="0011421A" w:rsidRPr="00AF0D5C" w:rsidRDefault="0011421A" w:rsidP="0011421A">
      <w:pPr>
        <w:rPr>
          <w:color w:val="414042" w:themeColor="text1"/>
        </w:rPr>
      </w:pPr>
    </w:p>
    <w:p w14:paraId="35D9F793" w14:textId="5C359185" w:rsidR="0011421A" w:rsidRPr="00AF0D5C" w:rsidRDefault="0011421A" w:rsidP="0011421A">
      <w:pPr>
        <w:rPr>
          <w:color w:val="414042" w:themeColor="text1"/>
        </w:rPr>
        <w:sectPr w:rsidR="0011421A" w:rsidRPr="00AF0D5C" w:rsidSect="00C77834">
          <w:type w:val="continuous"/>
          <w:pgSz w:w="11906" w:h="16838" w:code="9"/>
          <w:pgMar w:top="2155" w:right="1134" w:bottom="964" w:left="1134" w:header="720" w:footer="284" w:gutter="0"/>
          <w:cols w:num="2" w:space="567"/>
          <w:noEndnote/>
          <w:docGrid w:linePitch="272"/>
        </w:sectPr>
      </w:pPr>
    </w:p>
    <w:p w14:paraId="705DCB7E" w14:textId="6C8B6D54" w:rsidR="00BB217E" w:rsidRPr="00AF0D5C" w:rsidRDefault="00BB217E" w:rsidP="000739A8">
      <w:pPr>
        <w:pStyle w:val="2Heading"/>
      </w:pPr>
      <w:bookmarkStart w:id="209" w:name="_Toc102037823"/>
      <w:bookmarkStart w:id="210" w:name="_Toc102038185"/>
      <w:bookmarkStart w:id="211" w:name="_Toc102038546"/>
      <w:bookmarkStart w:id="212" w:name="_Toc102038906"/>
      <w:bookmarkStart w:id="213" w:name="_Toc102039258"/>
      <w:bookmarkStart w:id="214" w:name="_Toc102039613"/>
      <w:bookmarkStart w:id="215" w:name="_Toc102039970"/>
      <w:bookmarkStart w:id="216" w:name="_Toc102040295"/>
      <w:bookmarkStart w:id="217" w:name="_Toc102040629"/>
      <w:bookmarkStart w:id="218" w:name="_Toc102040957"/>
      <w:bookmarkStart w:id="219" w:name="_Toc102041287"/>
      <w:bookmarkStart w:id="220" w:name="_Toc102041619"/>
      <w:bookmarkStart w:id="221" w:name="_Toc102041946"/>
      <w:bookmarkStart w:id="222" w:name="_Toc102042275"/>
      <w:bookmarkStart w:id="223" w:name="_Toc102045405"/>
      <w:bookmarkStart w:id="224" w:name="OrgStructure"/>
      <w:r w:rsidRPr="00AF0D5C">
        <w:t>Our organisational structure</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1972"/>
        <w:gridCol w:w="1748"/>
        <w:gridCol w:w="1974"/>
        <w:gridCol w:w="1972"/>
      </w:tblGrid>
      <w:tr w:rsidR="00AF0D5C" w:rsidRPr="00AF0D5C" w14:paraId="0E6FDD45" w14:textId="77777777" w:rsidTr="00023827">
        <w:trPr>
          <w:trHeight w:val="389"/>
          <w:jc w:val="center"/>
        </w:trPr>
        <w:tc>
          <w:tcPr>
            <w:tcW w:w="5000" w:type="pct"/>
            <w:gridSpan w:val="5"/>
            <w:shd w:val="clear" w:color="auto" w:fill="auto"/>
          </w:tcPr>
          <w:p w14:paraId="148005EC" w14:textId="77777777" w:rsidR="00BB217E" w:rsidRPr="003A3FC7" w:rsidRDefault="00BB217E" w:rsidP="003A3FC7">
            <w:pPr>
              <w:jc w:val="center"/>
              <w:rPr>
                <w:rFonts w:asciiTheme="minorHAnsi" w:hAnsiTheme="minorHAnsi" w:cstheme="minorHAnsi"/>
                <w:b/>
                <w:bCs/>
              </w:rPr>
            </w:pPr>
            <w:bookmarkStart w:id="225" w:name="_Hlk169681189"/>
            <w:bookmarkEnd w:id="224"/>
            <w:r w:rsidRPr="00B02BC4">
              <w:rPr>
                <w:rFonts w:asciiTheme="minorHAnsi" w:hAnsiTheme="minorHAnsi" w:cstheme="minorHAnsi"/>
                <w:b/>
                <w:bCs/>
                <w:color w:val="414042" w:themeColor="text1"/>
                <w:sz w:val="24"/>
                <w:szCs w:val="28"/>
              </w:rPr>
              <w:t>The Commission</w:t>
            </w:r>
          </w:p>
        </w:tc>
      </w:tr>
      <w:tr w:rsidR="00AF0D5C" w:rsidRPr="00AF0D5C" w14:paraId="528CC587" w14:textId="77777777" w:rsidTr="00023827">
        <w:trPr>
          <w:jc w:val="center"/>
        </w:trPr>
        <w:tc>
          <w:tcPr>
            <w:tcW w:w="1023" w:type="pct"/>
            <w:shd w:val="clear" w:color="auto" w:fill="auto"/>
            <w:vAlign w:val="center"/>
          </w:tcPr>
          <w:p w14:paraId="74884BD2" w14:textId="77777777" w:rsidR="00BB217E" w:rsidRPr="00AF0D5C" w:rsidRDefault="00BB217E" w:rsidP="006F6EFE">
            <w:pPr>
              <w:jc w:val="center"/>
              <w:rPr>
                <w:color w:val="414042" w:themeColor="text1"/>
                <w:sz w:val="24"/>
                <w:szCs w:val="24"/>
              </w:rPr>
            </w:pPr>
            <w:r w:rsidRPr="00AF0D5C">
              <w:rPr>
                <w:noProof/>
                <w:color w:val="414042" w:themeColor="text1"/>
                <w:sz w:val="24"/>
                <w:szCs w:val="24"/>
                <w:lang w:eastAsia="en-AU"/>
              </w:rPr>
              <mc:AlternateContent>
                <mc:Choice Requires="wps">
                  <w:drawing>
                    <wp:anchor distT="0" distB="0" distL="114300" distR="114300" simplePos="0" relativeHeight="252268544" behindDoc="0" locked="0" layoutInCell="1" allowOverlap="1" wp14:anchorId="0289D7A8" wp14:editId="628723C2">
                      <wp:simplePos x="0" y="0"/>
                      <wp:positionH relativeFrom="column">
                        <wp:posOffset>739140</wp:posOffset>
                      </wp:positionH>
                      <wp:positionV relativeFrom="paragraph">
                        <wp:posOffset>220980</wp:posOffset>
                      </wp:positionV>
                      <wp:extent cx="850900" cy="1905"/>
                      <wp:effectExtent l="19050" t="19050" r="25400" b="36195"/>
                      <wp:wrapNone/>
                      <wp:docPr id="1756626576" name="Straight Connector 1756626576"/>
                      <wp:cNvGraphicFramePr/>
                      <a:graphic xmlns:a="http://schemas.openxmlformats.org/drawingml/2006/main">
                        <a:graphicData uri="http://schemas.microsoft.com/office/word/2010/wordprocessingShape">
                          <wps:wsp>
                            <wps:cNvCnPr/>
                            <wps:spPr>
                              <a:xfrm flipV="1">
                                <a:off x="0" y="0"/>
                                <a:ext cx="850900" cy="1905"/>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D0BF0" id="Straight Connector 1756626576" o:spid="_x0000_s1026" style="position:absolute;flip:y;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pt,17.4pt" to="125.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" strokecolor="white [3212]" strokeweight="3pt">
                      <v:stroke joinstyle="miter"/>
                    </v:line>
                  </w:pict>
                </mc:Fallback>
              </mc:AlternateContent>
            </w:r>
            <w:r w:rsidRPr="00AF0D5C">
              <w:rPr>
                <w:noProof/>
                <w:color w:val="414042" w:themeColor="text1"/>
                <w:sz w:val="24"/>
                <w:szCs w:val="24"/>
              </w:rPr>
              <mc:AlternateContent>
                <mc:Choice Requires="wpg">
                  <w:drawing>
                    <wp:inline distT="0" distB="0" distL="0" distR="0" wp14:anchorId="43A709ED" wp14:editId="22CE84D8">
                      <wp:extent cx="432000" cy="432000"/>
                      <wp:effectExtent l="0" t="0" r="6350" b="6350"/>
                      <wp:docPr id="1756626577" name="Graphic 20"/>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1756626578" name="Freeform: Shape 1756626578"/>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626583" name="Freeform: Shape 1756626583"/>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626584" name="Freeform: Shape 1756626584"/>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3D972B4" id="Graphic 20"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">
                      <v:shape id="Freeform: Shape 1756626578"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1756626583"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1756626584"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shd w:val="clear" w:color="auto" w:fill="auto"/>
            <w:vAlign w:val="center"/>
          </w:tcPr>
          <w:p w14:paraId="2BD1BA7D" w14:textId="77777777" w:rsidR="00BB217E" w:rsidRPr="00AF0D5C" w:rsidRDefault="00BB217E" w:rsidP="006F6EFE">
            <w:pPr>
              <w:jc w:val="center"/>
              <w:rPr>
                <w:color w:val="414042" w:themeColor="text1"/>
                <w:sz w:val="24"/>
                <w:szCs w:val="24"/>
              </w:rPr>
            </w:pPr>
            <w:r w:rsidRPr="00AF0D5C">
              <w:rPr>
                <w:noProof/>
                <w:color w:val="414042" w:themeColor="text1"/>
                <w:sz w:val="24"/>
                <w:szCs w:val="24"/>
                <w:lang w:eastAsia="en-AU"/>
              </w:rPr>
              <mc:AlternateContent>
                <mc:Choice Requires="wps">
                  <w:drawing>
                    <wp:anchor distT="0" distB="0" distL="114300" distR="114300" simplePos="0" relativeHeight="252272640" behindDoc="0" locked="0" layoutInCell="1" allowOverlap="1" wp14:anchorId="4E61B99F" wp14:editId="1B107C8E">
                      <wp:simplePos x="0" y="0"/>
                      <wp:positionH relativeFrom="column">
                        <wp:posOffset>744220</wp:posOffset>
                      </wp:positionH>
                      <wp:positionV relativeFrom="paragraph">
                        <wp:posOffset>224155</wp:posOffset>
                      </wp:positionV>
                      <wp:extent cx="760095" cy="0"/>
                      <wp:effectExtent l="0" t="19050" r="20955" b="19050"/>
                      <wp:wrapNone/>
                      <wp:docPr id="1756626585" name="Straight Connector 1756626585"/>
                      <wp:cNvGraphicFramePr/>
                      <a:graphic xmlns:a="http://schemas.openxmlformats.org/drawingml/2006/main">
                        <a:graphicData uri="http://schemas.microsoft.com/office/word/2010/wordprocessingShape">
                          <wps:wsp>
                            <wps:cNvCnPr/>
                            <wps:spPr>
                              <a:xfrm flipV="1">
                                <a:off x="0" y="0"/>
                                <a:ext cx="760095" cy="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13458" id="Straight Connector 1756626585" o:spid="_x0000_s1026" style="position:absolute;flip:y;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pt,17.65pt" to="118.4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" strokecolor="white [3212]" strokeweight="3pt">
                      <v:stroke joinstyle="miter"/>
                    </v:line>
                  </w:pict>
                </mc:Fallback>
              </mc:AlternateContent>
            </w:r>
            <w:r w:rsidRPr="00AF0D5C">
              <w:rPr>
                <w:noProof/>
                <w:color w:val="414042" w:themeColor="text1"/>
                <w:sz w:val="24"/>
                <w:szCs w:val="24"/>
              </w:rPr>
              <mc:AlternateContent>
                <mc:Choice Requires="wpg">
                  <w:drawing>
                    <wp:inline distT="0" distB="0" distL="0" distR="0" wp14:anchorId="1FDE8658" wp14:editId="525BB228">
                      <wp:extent cx="432000" cy="432000"/>
                      <wp:effectExtent l="0" t="0" r="6350" b="6350"/>
                      <wp:docPr id="1756626586" name="Graphic 16"/>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1756626587" name="Freeform: Shape 1756626587"/>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626588" name="Freeform: Shape 1756626588"/>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626589" name="Freeform: Shape 1756626589"/>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72410DE" id="Graphic 16"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">
                      <v:shape id="Freeform: Shape 1756626587"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1756626588"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1756626589"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907" w:type="pct"/>
            <w:shd w:val="clear" w:color="auto" w:fill="auto"/>
            <w:vAlign w:val="center"/>
          </w:tcPr>
          <w:p w14:paraId="27EC2959" w14:textId="00EA9100" w:rsidR="00BB217E" w:rsidRPr="00AF0D5C" w:rsidRDefault="00BB217E" w:rsidP="006F6EFE">
            <w:pPr>
              <w:jc w:val="center"/>
              <w:rPr>
                <w:color w:val="414042" w:themeColor="text1"/>
                <w:sz w:val="24"/>
                <w:szCs w:val="24"/>
              </w:rPr>
            </w:pPr>
            <w:r w:rsidRPr="00AF0D5C">
              <w:rPr>
                <w:noProof/>
                <w:color w:val="414042" w:themeColor="text1"/>
                <w:sz w:val="24"/>
                <w:szCs w:val="24"/>
                <w:lang w:eastAsia="en-AU"/>
              </w:rPr>
              <mc:AlternateContent>
                <mc:Choice Requires="wps">
                  <w:drawing>
                    <wp:anchor distT="0" distB="0" distL="114300" distR="114300" simplePos="0" relativeHeight="252269568" behindDoc="0" locked="0" layoutInCell="1" allowOverlap="1" wp14:anchorId="1729AE11" wp14:editId="7573B0F3">
                      <wp:simplePos x="0" y="0"/>
                      <wp:positionH relativeFrom="column">
                        <wp:posOffset>724535</wp:posOffset>
                      </wp:positionH>
                      <wp:positionV relativeFrom="paragraph">
                        <wp:posOffset>269240</wp:posOffset>
                      </wp:positionV>
                      <wp:extent cx="760095" cy="0"/>
                      <wp:effectExtent l="0" t="19050" r="20955" b="19050"/>
                      <wp:wrapNone/>
                      <wp:docPr id="1756626590" name="Straight Connector 1756626590"/>
                      <wp:cNvGraphicFramePr/>
                      <a:graphic xmlns:a="http://schemas.openxmlformats.org/drawingml/2006/main">
                        <a:graphicData uri="http://schemas.microsoft.com/office/word/2010/wordprocessingShape">
                          <wps:wsp>
                            <wps:cNvCnPr/>
                            <wps:spPr>
                              <a:xfrm flipV="1">
                                <a:off x="0" y="0"/>
                                <a:ext cx="760095" cy="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FCEEF" id="Straight Connector 1756626590" o:spid="_x0000_s1026" style="position:absolute;flip:y;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5pt,21.2pt" to="116.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" strokecolor="white [3212]" strokeweight="3pt">
                      <v:stroke joinstyle="miter"/>
                    </v:line>
                  </w:pict>
                </mc:Fallback>
              </mc:AlternateContent>
            </w:r>
            <w:r w:rsidR="0088115B" w:rsidRPr="00AF0D5C">
              <w:rPr>
                <w:noProof/>
                <w:color w:val="414042" w:themeColor="text1"/>
              </w:rPr>
              <w:drawing>
                <wp:inline distT="0" distB="0" distL="0" distR="0" wp14:anchorId="41C95670" wp14:editId="6405CB52">
                  <wp:extent cx="504825" cy="504825"/>
                  <wp:effectExtent l="0" t="0" r="9525" b="9525"/>
                  <wp:docPr id="1756629152" name="Graphic 175662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504825" cy="504825"/>
                          </a:xfrm>
                          <a:prstGeom prst="rect">
                            <a:avLst/>
                          </a:prstGeom>
                        </pic:spPr>
                      </pic:pic>
                    </a:graphicData>
                  </a:graphic>
                </wp:inline>
              </w:drawing>
            </w:r>
          </w:p>
        </w:tc>
        <w:tc>
          <w:tcPr>
            <w:tcW w:w="1024" w:type="pct"/>
            <w:shd w:val="clear" w:color="auto" w:fill="auto"/>
            <w:vAlign w:val="center"/>
          </w:tcPr>
          <w:p w14:paraId="29FB104D" w14:textId="77777777" w:rsidR="00BB217E" w:rsidRPr="00AF0D5C" w:rsidRDefault="00BB217E" w:rsidP="006F6EFE">
            <w:pPr>
              <w:jc w:val="center"/>
              <w:rPr>
                <w:color w:val="414042" w:themeColor="text1"/>
                <w:sz w:val="24"/>
                <w:szCs w:val="24"/>
              </w:rPr>
            </w:pPr>
            <w:r w:rsidRPr="00AF0D5C">
              <w:rPr>
                <w:noProof/>
                <w:color w:val="414042" w:themeColor="text1"/>
                <w:sz w:val="24"/>
                <w:szCs w:val="24"/>
                <w:lang w:eastAsia="en-AU"/>
              </w:rPr>
              <mc:AlternateContent>
                <mc:Choice Requires="wps">
                  <w:drawing>
                    <wp:anchor distT="0" distB="0" distL="114300" distR="114300" simplePos="0" relativeHeight="252270592" behindDoc="0" locked="0" layoutInCell="1" allowOverlap="1" wp14:anchorId="2DE32A1D" wp14:editId="7258548F">
                      <wp:simplePos x="0" y="0"/>
                      <wp:positionH relativeFrom="column">
                        <wp:posOffset>745490</wp:posOffset>
                      </wp:positionH>
                      <wp:positionV relativeFrom="paragraph">
                        <wp:posOffset>213995</wp:posOffset>
                      </wp:positionV>
                      <wp:extent cx="918845" cy="1905"/>
                      <wp:effectExtent l="19050" t="19050" r="33655" b="36195"/>
                      <wp:wrapNone/>
                      <wp:docPr id="2980" name="Straight Connector 2980"/>
                      <wp:cNvGraphicFramePr/>
                      <a:graphic xmlns:a="http://schemas.openxmlformats.org/drawingml/2006/main">
                        <a:graphicData uri="http://schemas.microsoft.com/office/word/2010/wordprocessingShape">
                          <wps:wsp>
                            <wps:cNvCnPr/>
                            <wps:spPr>
                              <a:xfrm flipV="1">
                                <a:off x="0" y="0"/>
                                <a:ext cx="918845" cy="1905"/>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E66F95" id="Straight Connector 2980" o:spid="_x0000_s1026" style="position:absolute;flip:y;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pt,16.85pt" to="131.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" strokecolor="white [3212]" strokeweight="3pt">
                      <v:stroke joinstyle="miter"/>
                    </v:line>
                  </w:pict>
                </mc:Fallback>
              </mc:AlternateContent>
            </w:r>
            <w:r w:rsidRPr="00AF0D5C">
              <w:rPr>
                <w:noProof/>
                <w:color w:val="414042" w:themeColor="text1"/>
                <w:sz w:val="24"/>
                <w:szCs w:val="24"/>
              </w:rPr>
              <mc:AlternateContent>
                <mc:Choice Requires="wpg">
                  <w:drawing>
                    <wp:inline distT="0" distB="0" distL="0" distR="0" wp14:anchorId="0F894B0B" wp14:editId="390AB929">
                      <wp:extent cx="432000" cy="432000"/>
                      <wp:effectExtent l="0" t="0" r="6350" b="6350"/>
                      <wp:docPr id="2981" name="Graphic 18"/>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2982" name="Freeform: Shape 2982"/>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4" name="Freeform: Shape 2984"/>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5" name="Freeform: Shape 2985"/>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5638003" id="Graphic 18"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">
                      <v:shape id="Freeform: Shape 2982"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2984"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2985"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shd w:val="clear" w:color="auto" w:fill="auto"/>
            <w:vAlign w:val="center"/>
          </w:tcPr>
          <w:p w14:paraId="1FAD3311" w14:textId="77777777" w:rsidR="00BB217E" w:rsidRPr="00AF0D5C" w:rsidRDefault="00BB217E" w:rsidP="006F6EF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16BB945A" wp14:editId="41B0DC93">
                      <wp:extent cx="432000" cy="432000"/>
                      <wp:effectExtent l="0" t="0" r="6350" b="6350"/>
                      <wp:docPr id="2986" name="Graphic 22"/>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2987" name="Freeform: Shape 2987"/>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8" name="Freeform: Shape 2988"/>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9" name="Freeform: Shape 2989"/>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83C76E7" id="Graphic 22"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">
                      <v:shape id="Freeform: Shape 2987"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2988"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2989"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r>
      <w:tr w:rsidR="00AF0D5C" w:rsidRPr="00AF0D5C" w14:paraId="361E7CA5" w14:textId="77777777" w:rsidTr="00023827">
        <w:trPr>
          <w:trHeight w:val="1051"/>
          <w:jc w:val="center"/>
        </w:trPr>
        <w:tc>
          <w:tcPr>
            <w:tcW w:w="1023" w:type="pct"/>
            <w:shd w:val="clear" w:color="auto" w:fill="auto"/>
          </w:tcPr>
          <w:p w14:paraId="7D82A847" w14:textId="77777777" w:rsidR="00BB217E" w:rsidRPr="00AF0D5C" w:rsidRDefault="00BB217E" w:rsidP="006F6EFE">
            <w:pPr>
              <w:jc w:val="center"/>
              <w:rPr>
                <w:color w:val="414042" w:themeColor="text1"/>
                <w:szCs w:val="20"/>
              </w:rPr>
            </w:pPr>
            <w:r w:rsidRPr="00AF0D5C">
              <w:rPr>
                <w:color w:val="414042" w:themeColor="text1"/>
                <w:szCs w:val="20"/>
              </w:rPr>
              <w:t>Commissioner</w:t>
            </w:r>
          </w:p>
        </w:tc>
        <w:tc>
          <w:tcPr>
            <w:tcW w:w="1023" w:type="pct"/>
            <w:shd w:val="clear" w:color="auto" w:fill="auto"/>
          </w:tcPr>
          <w:p w14:paraId="187E9CA3" w14:textId="77777777" w:rsidR="00BB217E" w:rsidRPr="00AF0D5C" w:rsidRDefault="00BB217E" w:rsidP="006F6EFE">
            <w:pPr>
              <w:jc w:val="center"/>
              <w:rPr>
                <w:color w:val="414042" w:themeColor="text1"/>
                <w:sz w:val="24"/>
                <w:szCs w:val="24"/>
              </w:rPr>
            </w:pPr>
            <w:r w:rsidRPr="00AF0D5C">
              <w:rPr>
                <w:color w:val="414042" w:themeColor="text1"/>
                <w:szCs w:val="20"/>
              </w:rPr>
              <w:t>Commissioner</w:t>
            </w:r>
          </w:p>
        </w:tc>
        <w:tc>
          <w:tcPr>
            <w:tcW w:w="907" w:type="pct"/>
            <w:shd w:val="clear" w:color="auto" w:fill="auto"/>
          </w:tcPr>
          <w:p w14:paraId="4C4BE1F8" w14:textId="77777777" w:rsidR="00BB217E" w:rsidRPr="00B82BCB" w:rsidRDefault="00BB217E" w:rsidP="003A3FC7">
            <w:pPr>
              <w:jc w:val="center"/>
            </w:pPr>
            <w:r w:rsidRPr="00B02BC4">
              <w:rPr>
                <w:rFonts w:asciiTheme="minorHAnsi" w:hAnsiTheme="minorHAnsi" w:cstheme="minorHAnsi"/>
                <w:b/>
                <w:bCs/>
                <w:noProof/>
                <w:color w:val="414042" w:themeColor="text1"/>
                <w:sz w:val="24"/>
                <w:szCs w:val="28"/>
              </w:rPr>
              <mc:AlternateContent>
                <mc:Choice Requires="wps">
                  <w:drawing>
                    <wp:anchor distT="0" distB="0" distL="114300" distR="114300" simplePos="0" relativeHeight="252275712" behindDoc="0" locked="0" layoutInCell="1" allowOverlap="1" wp14:anchorId="1C022277" wp14:editId="6B6E37DA">
                      <wp:simplePos x="0" y="0"/>
                      <wp:positionH relativeFrom="column">
                        <wp:posOffset>468630</wp:posOffset>
                      </wp:positionH>
                      <wp:positionV relativeFrom="paragraph">
                        <wp:posOffset>306070</wp:posOffset>
                      </wp:positionV>
                      <wp:extent cx="2984" cy="252000"/>
                      <wp:effectExtent l="19050" t="19050" r="35560" b="34290"/>
                      <wp:wrapNone/>
                      <wp:docPr id="2990" name="Straight Connector 2990"/>
                      <wp:cNvGraphicFramePr/>
                      <a:graphic xmlns:a="http://schemas.openxmlformats.org/drawingml/2006/main">
                        <a:graphicData uri="http://schemas.microsoft.com/office/word/2010/wordprocessingShape">
                          <wps:wsp>
                            <wps:cNvCnPr/>
                            <wps:spPr>
                              <a:xfrm>
                                <a:off x="0" y="0"/>
                                <a:ext cx="2984" cy="25200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04DDFF" id="Straight Connector 2990" o:spid="_x0000_s1026" style="position:absolute;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24.1pt" to="37.1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" strokecolor="white [3212]" strokeweight="3pt">
                      <v:stroke joinstyle="miter"/>
                    </v:line>
                  </w:pict>
                </mc:Fallback>
              </mc:AlternateContent>
            </w:r>
            <w:r w:rsidRPr="00B02BC4">
              <w:rPr>
                <w:rFonts w:asciiTheme="minorHAnsi" w:hAnsiTheme="minorHAnsi" w:cstheme="minorHAnsi"/>
                <w:b/>
                <w:bCs/>
                <w:color w:val="414042" w:themeColor="text1"/>
                <w:sz w:val="24"/>
                <w:szCs w:val="28"/>
              </w:rPr>
              <w:t>Chairperson</w:t>
            </w:r>
          </w:p>
        </w:tc>
        <w:tc>
          <w:tcPr>
            <w:tcW w:w="1024" w:type="pct"/>
            <w:shd w:val="clear" w:color="auto" w:fill="auto"/>
          </w:tcPr>
          <w:p w14:paraId="1628CF3F" w14:textId="3413B164" w:rsidR="00BB217E" w:rsidRPr="00AF0D5C" w:rsidRDefault="00BB217E" w:rsidP="006F6EFE">
            <w:pPr>
              <w:jc w:val="center"/>
              <w:rPr>
                <w:color w:val="414042" w:themeColor="text1"/>
                <w:szCs w:val="20"/>
              </w:rPr>
            </w:pPr>
            <w:r w:rsidRPr="00AF0D5C">
              <w:rPr>
                <w:color w:val="414042" w:themeColor="text1"/>
                <w:szCs w:val="20"/>
              </w:rPr>
              <w:t>Deputy Chairperson</w:t>
            </w:r>
          </w:p>
        </w:tc>
        <w:tc>
          <w:tcPr>
            <w:tcW w:w="1023" w:type="pct"/>
            <w:shd w:val="clear" w:color="auto" w:fill="auto"/>
          </w:tcPr>
          <w:p w14:paraId="36A369CC" w14:textId="77777777" w:rsidR="00BB217E" w:rsidRPr="00AF0D5C" w:rsidRDefault="00BB217E" w:rsidP="006F6EFE">
            <w:pPr>
              <w:jc w:val="center"/>
              <w:rPr>
                <w:color w:val="414042" w:themeColor="text1"/>
                <w:szCs w:val="20"/>
              </w:rPr>
            </w:pPr>
            <w:r w:rsidRPr="00AF0D5C">
              <w:rPr>
                <w:color w:val="414042" w:themeColor="text1"/>
                <w:szCs w:val="20"/>
              </w:rPr>
              <w:t>Commissioner</w:t>
            </w:r>
          </w:p>
        </w:tc>
      </w:tr>
      <w:tr w:rsidR="00AF0D5C" w:rsidRPr="00AF0D5C" w14:paraId="7E03C652" w14:textId="77777777" w:rsidTr="00023827">
        <w:trPr>
          <w:jc w:val="center"/>
        </w:trPr>
        <w:tc>
          <w:tcPr>
            <w:tcW w:w="1023" w:type="pct"/>
            <w:shd w:val="clear" w:color="auto" w:fill="auto"/>
            <w:vAlign w:val="center"/>
          </w:tcPr>
          <w:p w14:paraId="4AA08EFF" w14:textId="77777777" w:rsidR="00BB217E" w:rsidRPr="00AF0D5C" w:rsidRDefault="00BB217E" w:rsidP="006F6EFE">
            <w:pPr>
              <w:jc w:val="right"/>
              <w:rPr>
                <w:color w:val="414042" w:themeColor="text1"/>
                <w:szCs w:val="20"/>
              </w:rPr>
            </w:pPr>
            <w:r w:rsidRPr="00AF0D5C">
              <w:rPr>
                <w:color w:val="414042" w:themeColor="text1"/>
                <w:szCs w:val="20"/>
              </w:rPr>
              <w:t>Office of the</w:t>
            </w:r>
            <w:r w:rsidRPr="00AF0D5C">
              <w:rPr>
                <w:color w:val="414042" w:themeColor="text1"/>
                <w:szCs w:val="20"/>
              </w:rPr>
              <w:br/>
              <w:t>Commission</w:t>
            </w:r>
          </w:p>
        </w:tc>
        <w:tc>
          <w:tcPr>
            <w:tcW w:w="1023" w:type="pct"/>
            <w:shd w:val="clear" w:color="auto" w:fill="auto"/>
            <w:vAlign w:val="center"/>
          </w:tcPr>
          <w:p w14:paraId="0C9AAA4D" w14:textId="77777777" w:rsidR="00BB217E" w:rsidRPr="00AF0D5C" w:rsidRDefault="00BB217E" w:rsidP="006F6EFE">
            <w:pPr>
              <w:jc w:val="center"/>
              <w:rPr>
                <w:color w:val="414042" w:themeColor="text1"/>
                <w:sz w:val="24"/>
                <w:szCs w:val="24"/>
              </w:rPr>
            </w:pPr>
            <w:r w:rsidRPr="00AF0D5C">
              <w:rPr>
                <w:noProof/>
                <w:color w:val="414042" w:themeColor="text1"/>
                <w:sz w:val="24"/>
                <w:szCs w:val="24"/>
                <w:lang w:eastAsia="en-AU"/>
              </w:rPr>
              <mc:AlternateContent>
                <mc:Choice Requires="wps">
                  <w:drawing>
                    <wp:anchor distT="0" distB="0" distL="114300" distR="114300" simplePos="0" relativeHeight="252271616" behindDoc="0" locked="0" layoutInCell="1" allowOverlap="1" wp14:anchorId="6CD7042E" wp14:editId="7E619DDA">
                      <wp:simplePos x="0" y="0"/>
                      <wp:positionH relativeFrom="column">
                        <wp:posOffset>713105</wp:posOffset>
                      </wp:positionH>
                      <wp:positionV relativeFrom="paragraph">
                        <wp:posOffset>170815</wp:posOffset>
                      </wp:positionV>
                      <wp:extent cx="850900" cy="1905"/>
                      <wp:effectExtent l="19050" t="19050" r="25400" b="36195"/>
                      <wp:wrapNone/>
                      <wp:docPr id="2991" name="Straight Connector 2991"/>
                      <wp:cNvGraphicFramePr/>
                      <a:graphic xmlns:a="http://schemas.openxmlformats.org/drawingml/2006/main">
                        <a:graphicData uri="http://schemas.microsoft.com/office/word/2010/wordprocessingShape">
                          <wps:wsp>
                            <wps:cNvCnPr/>
                            <wps:spPr>
                              <a:xfrm flipV="1">
                                <a:off x="0" y="0"/>
                                <a:ext cx="850900" cy="1905"/>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9FE19" id="Straight Connector 2991" o:spid="_x0000_s1026" style="position:absolute;flip:y;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5pt,13.45pt" to="123.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" strokecolor="white [3212]" strokeweight="3pt">
                      <v:stroke joinstyle="miter"/>
                    </v:line>
                  </w:pict>
                </mc:Fallback>
              </mc:AlternateContent>
            </w:r>
            <w:r w:rsidRPr="00AF0D5C">
              <w:rPr>
                <w:noProof/>
                <w:color w:val="414042" w:themeColor="text1"/>
                <w:sz w:val="24"/>
                <w:szCs w:val="24"/>
              </w:rPr>
              <mc:AlternateContent>
                <mc:Choice Requires="wpg">
                  <w:drawing>
                    <wp:inline distT="0" distB="0" distL="0" distR="0" wp14:anchorId="13DF9C91" wp14:editId="67CB23EA">
                      <wp:extent cx="432000" cy="432000"/>
                      <wp:effectExtent l="0" t="0" r="6350" b="6350"/>
                      <wp:docPr id="2992" name="Graphic 24"/>
                      <wp:cNvGraphicFramePr/>
                      <a:graphic xmlns:a="http://schemas.openxmlformats.org/drawingml/2006/main">
                        <a:graphicData uri="http://schemas.microsoft.com/office/word/2010/wordprocessingGroup">
                          <wpg:wgp>
                            <wpg:cNvGrpSpPr/>
                            <wpg:grpSpPr>
                              <a:xfrm>
                                <a:off x="0" y="0"/>
                                <a:ext cx="432000" cy="432000"/>
                                <a:chOff x="0" y="0"/>
                                <a:chExt cx="360000" cy="360000"/>
                              </a:xfrm>
                              <a:solidFill>
                                <a:schemeClr val="bg1"/>
                              </a:solidFill>
                            </wpg:grpSpPr>
                            <wps:wsp>
                              <wps:cNvPr id="3000" name="Freeform: Shape 3000"/>
                              <wps:cNvSpPr/>
                              <wps:spPr>
                                <a:xfrm>
                                  <a:off x="0" y="0"/>
                                  <a:ext cx="360271" cy="360271"/>
                                </a:xfrm>
                                <a:custGeom>
                                  <a:avLst/>
                                  <a:gdLst>
                                    <a:gd name="connsiteX0" fmla="*/ 180136 w 360271"/>
                                    <a:gd name="connsiteY0" fmla="*/ 0 h 360271"/>
                                    <a:gd name="connsiteX1" fmla="*/ 360272 w 360271"/>
                                    <a:gd name="connsiteY1" fmla="*/ 180136 h 360271"/>
                                    <a:gd name="connsiteX2" fmla="*/ 180136 w 360271"/>
                                    <a:gd name="connsiteY2" fmla="*/ 360272 h 360271"/>
                                    <a:gd name="connsiteX3" fmla="*/ 0 w 360271"/>
                                    <a:gd name="connsiteY3" fmla="*/ 180136 h 360271"/>
                                    <a:gd name="connsiteX4" fmla="*/ 180136 w 360271"/>
                                    <a:gd name="connsiteY4" fmla="*/ 0 h 3602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0271" h="360271">
                                      <a:moveTo>
                                        <a:pt x="180136" y="0"/>
                                      </a:moveTo>
                                      <a:cubicBezTo>
                                        <a:pt x="279442" y="0"/>
                                        <a:pt x="360272" y="80830"/>
                                        <a:pt x="360272" y="180136"/>
                                      </a:cubicBezTo>
                                      <a:cubicBezTo>
                                        <a:pt x="360272" y="279442"/>
                                        <a:pt x="279442" y="360272"/>
                                        <a:pt x="180136" y="360272"/>
                                      </a:cubicBezTo>
                                      <a:cubicBezTo>
                                        <a:pt x="80830" y="360272"/>
                                        <a:pt x="0" y="279442"/>
                                        <a:pt x="0" y="180136"/>
                                      </a:cubicBezTo>
                                      <a:cubicBezTo>
                                        <a:pt x="0" y="80830"/>
                                        <a:pt x="80830" y="0"/>
                                        <a:pt x="180136" y="0"/>
                                      </a:cubicBezTo>
                                    </a:path>
                                  </a:pathLst>
                                </a:custGeom>
                                <a:grpFill/>
                                <a:ln w="66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1" name="Freeform: Shape 3001"/>
                              <wps:cNvSpPr/>
                              <wps:spPr>
                                <a:xfrm>
                                  <a:off x="93532" y="33283"/>
                                  <a:ext cx="171713" cy="171033"/>
                                </a:xfrm>
                                <a:custGeom>
                                  <a:avLst/>
                                  <a:gdLst>
                                    <a:gd name="connsiteX0" fmla="*/ 171713 w 171713"/>
                                    <a:gd name="connsiteY0" fmla="*/ 85517 h 171033"/>
                                    <a:gd name="connsiteX1" fmla="*/ 85857 w 171713"/>
                                    <a:gd name="connsiteY1" fmla="*/ 171034 h 171033"/>
                                    <a:gd name="connsiteX2" fmla="*/ 0 w 171713"/>
                                    <a:gd name="connsiteY2" fmla="*/ 85517 h 171033"/>
                                    <a:gd name="connsiteX3" fmla="*/ 85857 w 171713"/>
                                    <a:gd name="connsiteY3" fmla="*/ 0 h 171033"/>
                                    <a:gd name="connsiteX4" fmla="*/ 171713 w 171713"/>
                                    <a:gd name="connsiteY4" fmla="*/ 85517 h 1710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713" h="171033">
                                      <a:moveTo>
                                        <a:pt x="171713" y="85517"/>
                                      </a:moveTo>
                                      <a:cubicBezTo>
                                        <a:pt x="171713" y="132725"/>
                                        <a:pt x="133268" y="171034"/>
                                        <a:pt x="85857" y="171034"/>
                                      </a:cubicBezTo>
                                      <a:cubicBezTo>
                                        <a:pt x="38445" y="171034"/>
                                        <a:pt x="0" y="132725"/>
                                        <a:pt x="0" y="85517"/>
                                      </a:cubicBezTo>
                                      <a:cubicBezTo>
                                        <a:pt x="0" y="38309"/>
                                        <a:pt x="38445" y="0"/>
                                        <a:pt x="85857" y="0"/>
                                      </a:cubicBezTo>
                                      <a:cubicBezTo>
                                        <a:pt x="133268" y="0"/>
                                        <a:pt x="171713" y="38309"/>
                                        <a:pt x="171713" y="85517"/>
                                      </a:cubicBezTo>
                                      <a:close/>
                                    </a:path>
                                  </a:pathLst>
                                </a:custGeom>
                                <a:grpFill/>
                                <a:ln w="10214"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2" name="Freeform: Shape 3002"/>
                              <wps:cNvSpPr/>
                              <wps:spPr>
                                <a:xfrm>
                                  <a:off x="48633" y="187335"/>
                                  <a:ext cx="261509" cy="118324"/>
                                </a:xfrm>
                                <a:custGeom>
                                  <a:avLst/>
                                  <a:gdLst>
                                    <a:gd name="connsiteX0" fmla="*/ 261509 w 261509"/>
                                    <a:gd name="connsiteY0" fmla="*/ 118325 h 118324"/>
                                    <a:gd name="connsiteX1" fmla="*/ 186181 w 261509"/>
                                    <a:gd name="connsiteY1" fmla="*/ 0 h 118324"/>
                                    <a:gd name="connsiteX2" fmla="*/ 130755 w 261509"/>
                                    <a:gd name="connsiteY2" fmla="*/ 16302 h 118324"/>
                                    <a:gd name="connsiteX3" fmla="*/ 75328 w 261509"/>
                                    <a:gd name="connsiteY3" fmla="*/ 0 h 118324"/>
                                    <a:gd name="connsiteX4" fmla="*/ 0 w 261509"/>
                                    <a:gd name="connsiteY4" fmla="*/ 118325 h 1183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09" h="118324">
                                      <a:moveTo>
                                        <a:pt x="261509" y="118325"/>
                                      </a:moveTo>
                                      <a:cubicBezTo>
                                        <a:pt x="261509" y="65955"/>
                                        <a:pt x="230672" y="20853"/>
                                        <a:pt x="186181" y="0"/>
                                      </a:cubicBezTo>
                                      <a:cubicBezTo>
                                        <a:pt x="170151" y="10257"/>
                                        <a:pt x="151200" y="16302"/>
                                        <a:pt x="130755" y="16302"/>
                                      </a:cubicBezTo>
                                      <a:cubicBezTo>
                                        <a:pt x="110309" y="16302"/>
                                        <a:pt x="91358" y="10257"/>
                                        <a:pt x="75328" y="0"/>
                                      </a:cubicBezTo>
                                      <a:cubicBezTo>
                                        <a:pt x="30838" y="20853"/>
                                        <a:pt x="0" y="65955"/>
                                        <a:pt x="0" y="118325"/>
                                      </a:cubicBezTo>
                                    </a:path>
                                  </a:pathLst>
                                </a:custGeom>
                                <a:grpFill/>
                                <a:ln w="10214"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F6CBCB3" id="Graphic 24" o:spid="_x0000_s1026" style="width:34pt;height:34pt;mso-position-horizontal-relative:char;mso-position-vertical-relative:lin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">
                      <v:shape id="Freeform: Shape 3000" o:spid="_x0000_s1027" style="position:absolute;width:360271;height:360271;visibility:visible;mso-wrap-style:square;v-text-anchor:middle" coordsize="360271,36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" path="m180136,v99306,,180136,80830,180136,180136c360272,279442,279442,360272,180136,360272,80830,360272,,279442,,180136,,80830,80830,,180136,e" filled="f" stroked="f" strokeweight=".18472mm">
                        <v:stroke joinstyle="miter"/>
                        <v:path arrowok="t" o:connecttype="custom" o:connectlocs="180136,0;360272,180136;180136,360272;0,180136;180136,0" o:connectangles="0,0,0,0,0"/>
                      </v:shape>
                      <v:shape id="Freeform: Shape 3001" o:spid="_x0000_s1028" style="position:absolute;left:93532;top:33283;width:171713;height:171033;visibility:visible;mso-wrap-style:square;v-text-anchor:middle" coordsize="171713,17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" path="m171713,85517v,47208,-38445,85517,-85856,85517c38445,171034,,132725,,85517,,38309,38445,,85857,v47411,,85856,38309,85856,85517xe" filled="f" strokecolor="#414042" strokeweight=".28372mm">
                        <v:stroke joinstyle="miter"/>
                        <v:path arrowok="t" o:connecttype="custom" o:connectlocs="171713,85517;85857,171034;0,85517;85857,0;171713,85517" o:connectangles="0,0,0,0,0"/>
                      </v:shape>
                      <v:shape id="Freeform: Shape 3002" o:spid="_x0000_s1029" style="position:absolute;left:48633;top:187335;width:261509;height:118324;visibility:visible;mso-wrap-style:square;v-text-anchor:middle" coordsize="261509,11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" path="m261509,118325c261509,65955,230672,20853,186181,,170151,10257,151200,16302,130755,16302,110309,16302,91358,10257,75328,,30838,20853,,65955,,118325e" filled="f" strokecolor="#414042" strokeweight=".28372mm">
                        <v:stroke joinstyle="miter"/>
                        <v:path arrowok="t" o:connecttype="custom" o:connectlocs="261509,118325;186181,0;130755,16302;75328,0;0,118325" o:connectangles="0,0,0,0,0"/>
                      </v:shape>
                      <w10:anchorlock/>
                    </v:group>
                  </w:pict>
                </mc:Fallback>
              </mc:AlternateContent>
            </w:r>
          </w:p>
        </w:tc>
        <w:tc>
          <w:tcPr>
            <w:tcW w:w="907" w:type="pct"/>
            <w:shd w:val="clear" w:color="auto" w:fill="auto"/>
          </w:tcPr>
          <w:p w14:paraId="24840166" w14:textId="77777777" w:rsidR="00BB217E" w:rsidRPr="00AF0D5C" w:rsidRDefault="00BB217E" w:rsidP="006F6EFE">
            <w:pPr>
              <w:jc w:val="center"/>
              <w:rPr>
                <w:color w:val="414042" w:themeColor="text1"/>
                <w:sz w:val="24"/>
                <w:szCs w:val="24"/>
              </w:rPr>
            </w:pPr>
            <w:r w:rsidRPr="00AF0D5C">
              <w:rPr>
                <w:noProof/>
                <w:color w:val="414042" w:themeColor="text1"/>
                <w:sz w:val="24"/>
                <w:szCs w:val="24"/>
                <w:lang w:eastAsia="en-AU"/>
              </w:rPr>
              <mc:AlternateContent>
                <mc:Choice Requires="wps">
                  <w:drawing>
                    <wp:anchor distT="0" distB="0" distL="114300" distR="114300" simplePos="0" relativeHeight="252274688" behindDoc="0" locked="0" layoutInCell="1" allowOverlap="1" wp14:anchorId="2B85CF39" wp14:editId="01F1B78C">
                      <wp:simplePos x="0" y="0"/>
                      <wp:positionH relativeFrom="column">
                        <wp:posOffset>489916</wp:posOffset>
                      </wp:positionH>
                      <wp:positionV relativeFrom="paragraph">
                        <wp:posOffset>518160</wp:posOffset>
                      </wp:positionV>
                      <wp:extent cx="0" cy="487680"/>
                      <wp:effectExtent l="19050" t="0" r="19050" b="26670"/>
                      <wp:wrapNone/>
                      <wp:docPr id="3003" name="Straight Connector 3003"/>
                      <wp:cNvGraphicFramePr/>
                      <a:graphic xmlns:a="http://schemas.openxmlformats.org/drawingml/2006/main">
                        <a:graphicData uri="http://schemas.microsoft.com/office/word/2010/wordprocessingShape">
                          <wps:wsp>
                            <wps:cNvCnPr/>
                            <wps:spPr>
                              <a:xfrm>
                                <a:off x="0" y="0"/>
                                <a:ext cx="0" cy="48768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D0C4B" id="Straight Connector 3003" o:spid="_x0000_s1026" style="position:absolute;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pt,40.8pt" to="38.6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" strokecolor="white [3212]" strokeweight="3pt">
                      <v:stroke joinstyle="miter"/>
                    </v:line>
                  </w:pict>
                </mc:Fallback>
              </mc:AlternateContent>
            </w:r>
            <w:r w:rsidRPr="00AF0D5C">
              <w:rPr>
                <w:noProof/>
                <w:color w:val="414042" w:themeColor="text1"/>
                <w:sz w:val="24"/>
                <w:szCs w:val="24"/>
              </w:rPr>
              <mc:AlternateContent>
                <mc:Choice Requires="wpg">
                  <w:drawing>
                    <wp:inline distT="0" distB="0" distL="0" distR="0" wp14:anchorId="05374C52" wp14:editId="772DB2DA">
                      <wp:extent cx="432000" cy="432000"/>
                      <wp:effectExtent l="0" t="0" r="6350" b="6350"/>
                      <wp:docPr id="3004" name="Graphic 23"/>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3005" name="Freeform: Shape 3005"/>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6" name="Freeform: Shape 3006"/>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7" name="Freeform: Shape 3007"/>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1617674" id="Graphic 23"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">
                      <v:shape id="Freeform: Shape 3005"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3006"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3007"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2047" w:type="pct"/>
            <w:gridSpan w:val="2"/>
            <w:shd w:val="clear" w:color="auto" w:fill="auto"/>
            <w:vAlign w:val="center"/>
          </w:tcPr>
          <w:p w14:paraId="77366D15" w14:textId="77777777" w:rsidR="00BB217E" w:rsidRPr="00B82BCB" w:rsidRDefault="00BB217E" w:rsidP="003A3FC7">
            <w:r w:rsidRPr="00B02BC4">
              <w:rPr>
                <w:rFonts w:asciiTheme="minorHAnsi" w:hAnsiTheme="minorHAnsi" w:cstheme="minorHAnsi"/>
                <w:b/>
                <w:bCs/>
                <w:color w:val="414042" w:themeColor="text1"/>
                <w:sz w:val="24"/>
                <w:szCs w:val="28"/>
              </w:rPr>
              <w:t>Chief Executive Officer</w:t>
            </w:r>
          </w:p>
        </w:tc>
      </w:tr>
      <w:tr w:rsidR="00AF0D5C" w:rsidRPr="00AF0D5C" w14:paraId="48B48875" w14:textId="77777777" w:rsidTr="00023827">
        <w:trPr>
          <w:trHeight w:val="710"/>
          <w:jc w:val="center"/>
        </w:trPr>
        <w:tc>
          <w:tcPr>
            <w:tcW w:w="1023" w:type="pct"/>
            <w:shd w:val="clear" w:color="auto" w:fill="auto"/>
          </w:tcPr>
          <w:p w14:paraId="71DC3631" w14:textId="77777777" w:rsidR="00BB217E" w:rsidRPr="00AF0D5C" w:rsidRDefault="00BB217E" w:rsidP="006F6EFE">
            <w:pPr>
              <w:rPr>
                <w:color w:val="414042" w:themeColor="text1"/>
                <w:sz w:val="24"/>
                <w:szCs w:val="24"/>
              </w:rPr>
            </w:pPr>
            <w:r w:rsidRPr="00AF0D5C">
              <w:rPr>
                <w:noProof/>
                <w:color w:val="414042" w:themeColor="text1"/>
                <w:sz w:val="24"/>
                <w:szCs w:val="24"/>
                <w:lang w:eastAsia="en-AU"/>
              </w:rPr>
              <mc:AlternateContent>
                <mc:Choice Requires="wps">
                  <w:drawing>
                    <wp:anchor distT="0" distB="0" distL="114300" distR="114300" simplePos="0" relativeHeight="252279808" behindDoc="0" locked="0" layoutInCell="1" allowOverlap="1" wp14:anchorId="4808F9D5" wp14:editId="7C74BE3D">
                      <wp:simplePos x="0" y="0"/>
                      <wp:positionH relativeFrom="column">
                        <wp:posOffset>566420</wp:posOffset>
                      </wp:positionH>
                      <wp:positionV relativeFrom="paragraph">
                        <wp:posOffset>203200</wp:posOffset>
                      </wp:positionV>
                      <wp:extent cx="0" cy="219710"/>
                      <wp:effectExtent l="19050" t="0" r="19050" b="27940"/>
                      <wp:wrapNone/>
                      <wp:docPr id="291" name="Straight Connector 291"/>
                      <wp:cNvGraphicFramePr/>
                      <a:graphic xmlns:a="http://schemas.openxmlformats.org/drawingml/2006/main">
                        <a:graphicData uri="http://schemas.microsoft.com/office/word/2010/wordprocessingShape">
                          <wps:wsp>
                            <wps:cNvCnPr/>
                            <wps:spPr>
                              <a:xfrm>
                                <a:off x="0" y="0"/>
                                <a:ext cx="0" cy="21971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16D0F" id="Straight Connector 291" o:spid="_x0000_s1026" style="position:absolute;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pt,16pt" to="44.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" strokecolor="white [3212]" strokeweight="3pt">
                      <v:stroke joinstyle="miter"/>
                    </v:line>
                  </w:pict>
                </mc:Fallback>
              </mc:AlternateContent>
            </w:r>
            <w:r w:rsidRPr="00AF0D5C">
              <w:rPr>
                <w:noProof/>
                <w:color w:val="414042" w:themeColor="text1"/>
                <w:sz w:val="24"/>
                <w:szCs w:val="24"/>
                <w:lang w:eastAsia="en-AU"/>
              </w:rPr>
              <mc:AlternateContent>
                <mc:Choice Requires="wps">
                  <w:drawing>
                    <wp:anchor distT="0" distB="0" distL="114300" distR="114300" simplePos="0" relativeHeight="252273664" behindDoc="0" locked="0" layoutInCell="1" allowOverlap="1" wp14:anchorId="15A26614" wp14:editId="3F82E178">
                      <wp:simplePos x="0" y="0"/>
                      <wp:positionH relativeFrom="column">
                        <wp:posOffset>563421</wp:posOffset>
                      </wp:positionH>
                      <wp:positionV relativeFrom="paragraph">
                        <wp:posOffset>198510</wp:posOffset>
                      </wp:positionV>
                      <wp:extent cx="4863847" cy="14001"/>
                      <wp:effectExtent l="19050" t="19050" r="32385" b="24130"/>
                      <wp:wrapNone/>
                      <wp:docPr id="292" name="Straight Connector 292"/>
                      <wp:cNvGraphicFramePr/>
                      <a:graphic xmlns:a="http://schemas.openxmlformats.org/drawingml/2006/main">
                        <a:graphicData uri="http://schemas.microsoft.com/office/word/2010/wordprocessingShape">
                          <wps:wsp>
                            <wps:cNvCnPr/>
                            <wps:spPr>
                              <a:xfrm flipV="1">
                                <a:off x="0" y="0"/>
                                <a:ext cx="4863847" cy="14001"/>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091CD" id="Straight Connector 292" o:spid="_x0000_s1026" style="position:absolute;flip:y;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5pt,15.65pt" to="427.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" strokecolor="white [3212]" strokeweight="3pt">
                      <v:stroke joinstyle="miter"/>
                    </v:line>
                  </w:pict>
                </mc:Fallback>
              </mc:AlternateContent>
            </w:r>
          </w:p>
        </w:tc>
        <w:tc>
          <w:tcPr>
            <w:tcW w:w="2954" w:type="pct"/>
            <w:gridSpan w:val="3"/>
            <w:shd w:val="clear" w:color="auto" w:fill="auto"/>
          </w:tcPr>
          <w:p w14:paraId="2817E020" w14:textId="77777777" w:rsidR="00BB217E" w:rsidRPr="00AF0D5C" w:rsidRDefault="00BB217E" w:rsidP="006F6EFE">
            <w:pPr>
              <w:jc w:val="center"/>
              <w:rPr>
                <w:b/>
                <w:color w:val="414042" w:themeColor="text1"/>
                <w:sz w:val="24"/>
                <w:szCs w:val="24"/>
              </w:rPr>
            </w:pPr>
            <w:r w:rsidRPr="00AF0D5C">
              <w:rPr>
                <w:noProof/>
                <w:color w:val="414042" w:themeColor="text1"/>
                <w:sz w:val="24"/>
                <w:szCs w:val="24"/>
                <w:lang w:eastAsia="en-AU"/>
              </w:rPr>
              <mc:AlternateContent>
                <mc:Choice Requires="wps">
                  <w:drawing>
                    <wp:anchor distT="0" distB="0" distL="114300" distR="114300" simplePos="0" relativeHeight="252277760" behindDoc="0" locked="0" layoutInCell="1" allowOverlap="1" wp14:anchorId="4243D1BC" wp14:editId="25B31B01">
                      <wp:simplePos x="0" y="0"/>
                      <wp:positionH relativeFrom="column">
                        <wp:posOffset>2900680</wp:posOffset>
                      </wp:positionH>
                      <wp:positionV relativeFrom="paragraph">
                        <wp:posOffset>215900</wp:posOffset>
                      </wp:positionV>
                      <wp:extent cx="0" cy="219710"/>
                      <wp:effectExtent l="19050" t="0" r="19050" b="27940"/>
                      <wp:wrapNone/>
                      <wp:docPr id="293" name="Straight Connector 293"/>
                      <wp:cNvGraphicFramePr/>
                      <a:graphic xmlns:a="http://schemas.openxmlformats.org/drawingml/2006/main">
                        <a:graphicData uri="http://schemas.microsoft.com/office/word/2010/wordprocessingShape">
                          <wps:wsp>
                            <wps:cNvCnPr/>
                            <wps:spPr>
                              <a:xfrm>
                                <a:off x="0" y="0"/>
                                <a:ext cx="0" cy="21971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24ABE" id="Straight Connector 293" o:spid="_x0000_s1026" style="position:absolute;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pt,17pt" to="228.4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" strokecolor="white [3212]" strokeweight="3pt">
                      <v:stroke joinstyle="miter"/>
                    </v:line>
                  </w:pict>
                </mc:Fallback>
              </mc:AlternateContent>
            </w:r>
            <w:r w:rsidRPr="00AF0D5C">
              <w:rPr>
                <w:noProof/>
                <w:color w:val="414042" w:themeColor="text1"/>
                <w:sz w:val="24"/>
                <w:szCs w:val="24"/>
                <w:lang w:eastAsia="en-AU"/>
              </w:rPr>
              <mc:AlternateContent>
                <mc:Choice Requires="wps">
                  <w:drawing>
                    <wp:anchor distT="0" distB="0" distL="114300" distR="114300" simplePos="0" relativeHeight="252278784" behindDoc="0" locked="0" layoutInCell="1" allowOverlap="1" wp14:anchorId="18E1E673" wp14:editId="311B395F">
                      <wp:simplePos x="0" y="0"/>
                      <wp:positionH relativeFrom="column">
                        <wp:posOffset>565150</wp:posOffset>
                      </wp:positionH>
                      <wp:positionV relativeFrom="paragraph">
                        <wp:posOffset>216313</wp:posOffset>
                      </wp:positionV>
                      <wp:extent cx="0" cy="219710"/>
                      <wp:effectExtent l="19050" t="0" r="19050" b="27940"/>
                      <wp:wrapNone/>
                      <wp:docPr id="294" name="Straight Connector 294"/>
                      <wp:cNvGraphicFramePr/>
                      <a:graphic xmlns:a="http://schemas.openxmlformats.org/drawingml/2006/main">
                        <a:graphicData uri="http://schemas.microsoft.com/office/word/2010/wordprocessingShape">
                          <wps:wsp>
                            <wps:cNvCnPr/>
                            <wps:spPr>
                              <a:xfrm>
                                <a:off x="0" y="0"/>
                                <a:ext cx="0" cy="21971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44A7A" id="Straight Connector 294" o:spid="_x0000_s1026" style="position:absolute;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7.05pt" to="44.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" strokecolor="white [3212]" strokeweight="3pt">
                      <v:stroke joinstyle="miter"/>
                    </v:line>
                  </w:pict>
                </mc:Fallback>
              </mc:AlternateContent>
            </w:r>
          </w:p>
        </w:tc>
        <w:tc>
          <w:tcPr>
            <w:tcW w:w="1023" w:type="pct"/>
            <w:shd w:val="clear" w:color="auto" w:fill="auto"/>
          </w:tcPr>
          <w:p w14:paraId="36FDFBE0" w14:textId="77777777" w:rsidR="00BB217E" w:rsidRPr="00AF0D5C" w:rsidRDefault="00BB217E" w:rsidP="006F6EFE">
            <w:pPr>
              <w:rPr>
                <w:color w:val="414042" w:themeColor="text1"/>
                <w:sz w:val="24"/>
                <w:szCs w:val="24"/>
              </w:rPr>
            </w:pPr>
            <w:r w:rsidRPr="00AF0D5C">
              <w:rPr>
                <w:noProof/>
                <w:color w:val="414042" w:themeColor="text1"/>
                <w:sz w:val="24"/>
                <w:szCs w:val="24"/>
                <w:lang w:eastAsia="en-AU"/>
              </w:rPr>
              <mc:AlternateContent>
                <mc:Choice Requires="wps">
                  <w:drawing>
                    <wp:anchor distT="0" distB="0" distL="114300" distR="114300" simplePos="0" relativeHeight="252276736" behindDoc="0" locked="0" layoutInCell="1" allowOverlap="1" wp14:anchorId="50205DD8" wp14:editId="631FBE1E">
                      <wp:simplePos x="0" y="0"/>
                      <wp:positionH relativeFrom="column">
                        <wp:posOffset>537845</wp:posOffset>
                      </wp:positionH>
                      <wp:positionV relativeFrom="paragraph">
                        <wp:posOffset>214630</wp:posOffset>
                      </wp:positionV>
                      <wp:extent cx="0" cy="220337"/>
                      <wp:effectExtent l="19050" t="0" r="19050" b="27940"/>
                      <wp:wrapNone/>
                      <wp:docPr id="295" name="Straight Connector 295"/>
                      <wp:cNvGraphicFramePr/>
                      <a:graphic xmlns:a="http://schemas.openxmlformats.org/drawingml/2006/main">
                        <a:graphicData uri="http://schemas.microsoft.com/office/word/2010/wordprocessingShape">
                          <wps:wsp>
                            <wps:cNvCnPr/>
                            <wps:spPr>
                              <a:xfrm>
                                <a:off x="0" y="0"/>
                                <a:ext cx="0" cy="220337"/>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71537" id="Straight Connector 295" o:spid="_x0000_s1026" style="position:absolute;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16.9pt" to="42.3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" strokecolor="white [3212]" strokeweight="3pt">
                      <v:stroke joinstyle="miter"/>
                    </v:line>
                  </w:pict>
                </mc:Fallback>
              </mc:AlternateContent>
            </w:r>
          </w:p>
        </w:tc>
      </w:tr>
      <w:tr w:rsidR="00AF0D5C" w:rsidRPr="00AF0D5C" w14:paraId="0325A2C1" w14:textId="77777777" w:rsidTr="00023827">
        <w:trPr>
          <w:trHeight w:val="768"/>
          <w:jc w:val="center"/>
        </w:trPr>
        <w:tc>
          <w:tcPr>
            <w:tcW w:w="1023" w:type="pct"/>
            <w:shd w:val="clear" w:color="auto" w:fill="auto"/>
          </w:tcPr>
          <w:p w14:paraId="50E3C04D" w14:textId="77777777" w:rsidR="00BB217E" w:rsidRPr="00AF0D5C" w:rsidRDefault="00BB217E" w:rsidP="006F6EF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6565FD26" wp14:editId="4F0BEABD">
                      <wp:extent cx="432000" cy="432000"/>
                      <wp:effectExtent l="0" t="0" r="6350" b="6350"/>
                      <wp:docPr id="296" name="Graphic 28"/>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297" name="Freeform: Shape 297"/>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reeform: Shape 298"/>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reeform: Shape 299"/>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8642DAA" id="Graphic 28"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">
                      <v:shape id="Freeform: Shape 297"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298"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299"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shd w:val="clear" w:color="auto" w:fill="auto"/>
          </w:tcPr>
          <w:p w14:paraId="4C5534F8" w14:textId="77777777" w:rsidR="00BB217E" w:rsidRPr="00AF0D5C" w:rsidRDefault="00BB217E" w:rsidP="006F6EFE">
            <w:pPr>
              <w:jc w:val="center"/>
              <w:rPr>
                <w:noProof/>
                <w:color w:val="414042" w:themeColor="text1"/>
                <w:sz w:val="24"/>
                <w:szCs w:val="24"/>
                <w:lang w:eastAsia="en-AU"/>
              </w:rPr>
            </w:pPr>
            <w:r w:rsidRPr="00AF0D5C">
              <w:rPr>
                <w:noProof/>
                <w:color w:val="414042" w:themeColor="text1"/>
                <w:sz w:val="24"/>
                <w:szCs w:val="24"/>
              </w:rPr>
              <mc:AlternateContent>
                <mc:Choice Requires="wpg">
                  <w:drawing>
                    <wp:inline distT="0" distB="0" distL="0" distR="0" wp14:anchorId="60B66934" wp14:editId="5F7CBA82">
                      <wp:extent cx="432000" cy="432000"/>
                      <wp:effectExtent l="0" t="0" r="6350" b="6350"/>
                      <wp:docPr id="300" name="Graphic 29"/>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301" name="Freeform: Shape 301"/>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reeform: Shape 302"/>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reeform: Shape 305"/>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369456" id="Graphic 29"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">
                      <v:shape id="Freeform: Shape 301"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302"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305"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907" w:type="pct"/>
            <w:shd w:val="clear" w:color="auto" w:fill="auto"/>
          </w:tcPr>
          <w:p w14:paraId="7BDDF69E" w14:textId="77777777" w:rsidR="00BB217E" w:rsidRPr="00AF0D5C" w:rsidRDefault="00BB217E" w:rsidP="006F6EFE">
            <w:pPr>
              <w:jc w:val="center"/>
              <w:rPr>
                <w:noProof/>
                <w:color w:val="414042" w:themeColor="text1"/>
                <w:sz w:val="24"/>
                <w:szCs w:val="24"/>
                <w:lang w:eastAsia="en-AU"/>
              </w:rPr>
            </w:pPr>
            <w:r w:rsidRPr="00AF0D5C">
              <w:rPr>
                <w:noProof/>
                <w:color w:val="414042" w:themeColor="text1"/>
                <w:sz w:val="24"/>
                <w:szCs w:val="24"/>
              </w:rPr>
              <mc:AlternateContent>
                <mc:Choice Requires="wpg">
                  <w:drawing>
                    <wp:inline distT="0" distB="0" distL="0" distR="0" wp14:anchorId="7439770B" wp14:editId="2F335626">
                      <wp:extent cx="432000" cy="432000"/>
                      <wp:effectExtent l="0" t="0" r="6350" b="6350"/>
                      <wp:docPr id="307" name="Graphic 31"/>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308" name="Freeform: Shape 308"/>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reeform: Shape 309"/>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Shape 314"/>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1008FC" id="Graphic 31"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">
                      <v:shape id="Freeform: Shape 308"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309"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314"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4" w:type="pct"/>
            <w:shd w:val="clear" w:color="auto" w:fill="auto"/>
          </w:tcPr>
          <w:p w14:paraId="0D4AF427" w14:textId="77777777" w:rsidR="00BB217E" w:rsidRPr="00AF0D5C" w:rsidRDefault="00BB217E" w:rsidP="006F6EF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0F63BCFA" wp14:editId="17392283">
                      <wp:extent cx="432000" cy="432000"/>
                      <wp:effectExtent l="0" t="0" r="6350" b="6350"/>
                      <wp:docPr id="315" name="Graphic 40"/>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316" name="Freeform: Shape 316"/>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reeform: Shape 317"/>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reeform: Shape 318"/>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B01D60B" id="Graphic 40"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">
                      <v:shape id="Freeform: Shape 316"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317"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318"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shd w:val="clear" w:color="auto" w:fill="auto"/>
          </w:tcPr>
          <w:p w14:paraId="0F852D40" w14:textId="77777777" w:rsidR="00BB217E" w:rsidRPr="00AF0D5C" w:rsidRDefault="00BB217E" w:rsidP="006F6EF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67D9481A" wp14:editId="05EDCADE">
                      <wp:extent cx="432000" cy="432000"/>
                      <wp:effectExtent l="0" t="0" r="6350" b="6350"/>
                      <wp:docPr id="319" name="Graphic 41"/>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480" name="Freeform: Shape 480"/>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1" name="Freeform: Shape 481"/>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2" name="Freeform: Shape 482"/>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7BE568" id="Graphic 41" o:spid="_x0000_s1026"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">
                      <v:shape id="Freeform: Shape 480"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481"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482"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r>
      <w:tr w:rsidR="00AF0D5C" w:rsidRPr="00AF0D5C" w14:paraId="05332DA1" w14:textId="77777777" w:rsidTr="00023827">
        <w:trPr>
          <w:trHeight w:val="682"/>
          <w:jc w:val="center"/>
        </w:trPr>
        <w:tc>
          <w:tcPr>
            <w:tcW w:w="1023" w:type="pct"/>
            <w:shd w:val="clear" w:color="auto" w:fill="auto"/>
          </w:tcPr>
          <w:p w14:paraId="55E189EC" w14:textId="77777777" w:rsidR="00BB217E" w:rsidRPr="00AF0D5C" w:rsidRDefault="00BB217E" w:rsidP="00BB217E">
            <w:pPr>
              <w:spacing w:after="0"/>
              <w:jc w:val="center"/>
              <w:rPr>
                <w:noProof/>
                <w:color w:val="414042" w:themeColor="text1"/>
                <w:szCs w:val="20"/>
                <w:lang w:eastAsia="en-AU"/>
              </w:rPr>
            </w:pPr>
            <w:r w:rsidRPr="00AF0D5C">
              <w:rPr>
                <w:color w:val="414042" w:themeColor="text1"/>
                <w:szCs w:val="20"/>
              </w:rPr>
              <w:t>Operations Support</w:t>
            </w:r>
          </w:p>
        </w:tc>
        <w:tc>
          <w:tcPr>
            <w:tcW w:w="1023" w:type="pct"/>
            <w:shd w:val="clear" w:color="auto" w:fill="auto"/>
          </w:tcPr>
          <w:p w14:paraId="48750B56" w14:textId="6AFB36DB" w:rsidR="00BB217E" w:rsidRPr="00AF0D5C" w:rsidRDefault="00BB217E" w:rsidP="004C151F">
            <w:pPr>
              <w:spacing w:after="0"/>
              <w:jc w:val="center"/>
              <w:rPr>
                <w:noProof/>
                <w:color w:val="414042" w:themeColor="text1"/>
                <w:szCs w:val="20"/>
                <w:lang w:eastAsia="en-AU"/>
              </w:rPr>
            </w:pPr>
            <w:r w:rsidRPr="00AF0D5C">
              <w:rPr>
                <w:color w:val="414042" w:themeColor="text1"/>
                <w:szCs w:val="20"/>
              </w:rPr>
              <w:t>Crime</w:t>
            </w:r>
            <w:r w:rsidR="00BE67D9" w:rsidRPr="00AF0D5C">
              <w:rPr>
                <w:rStyle w:val="FootnoteReference"/>
                <w:color w:val="414042" w:themeColor="text1"/>
                <w:szCs w:val="20"/>
              </w:rPr>
              <w:footnoteReference w:id="1"/>
            </w:r>
          </w:p>
        </w:tc>
        <w:tc>
          <w:tcPr>
            <w:tcW w:w="907" w:type="pct"/>
            <w:shd w:val="clear" w:color="auto" w:fill="auto"/>
          </w:tcPr>
          <w:p w14:paraId="4D40C299" w14:textId="4E84D21B" w:rsidR="00BB217E" w:rsidRPr="00AF0D5C" w:rsidRDefault="00BB217E" w:rsidP="004C151F">
            <w:pPr>
              <w:spacing w:after="0"/>
              <w:jc w:val="center"/>
              <w:rPr>
                <w:noProof/>
                <w:color w:val="414042" w:themeColor="text1"/>
                <w:szCs w:val="20"/>
                <w:lang w:eastAsia="en-AU"/>
              </w:rPr>
            </w:pPr>
            <w:r w:rsidRPr="00AF0D5C">
              <w:rPr>
                <w:color w:val="414042" w:themeColor="text1"/>
                <w:szCs w:val="20"/>
              </w:rPr>
              <w:t>Corruption</w:t>
            </w:r>
            <w:r w:rsidR="007641F7" w:rsidRPr="00AF0D5C">
              <w:rPr>
                <w:color w:val="414042" w:themeColor="text1"/>
                <w:szCs w:val="20"/>
                <w:vertAlign w:val="superscript"/>
              </w:rPr>
              <w:t>1</w:t>
            </w:r>
          </w:p>
        </w:tc>
        <w:tc>
          <w:tcPr>
            <w:tcW w:w="1024" w:type="pct"/>
            <w:shd w:val="clear" w:color="auto" w:fill="auto"/>
          </w:tcPr>
          <w:p w14:paraId="36B4ADC7" w14:textId="69B06191" w:rsidR="00C97552" w:rsidRPr="00AF0D5C" w:rsidRDefault="00C97552" w:rsidP="00C97552">
            <w:pPr>
              <w:spacing w:after="0"/>
              <w:jc w:val="center"/>
              <w:rPr>
                <w:color w:val="414042" w:themeColor="text1"/>
                <w:szCs w:val="20"/>
              </w:rPr>
            </w:pPr>
            <w:r w:rsidRPr="00AF0D5C">
              <w:rPr>
                <w:color w:val="414042" w:themeColor="text1"/>
                <w:szCs w:val="20"/>
              </w:rPr>
              <w:t>Corporate Services;</w:t>
            </w:r>
          </w:p>
          <w:p w14:paraId="4C7B6A28" w14:textId="77777777" w:rsidR="00C97552" w:rsidRPr="00AF0D5C" w:rsidRDefault="00C97552" w:rsidP="00C97552">
            <w:pPr>
              <w:spacing w:after="0"/>
              <w:jc w:val="center"/>
              <w:rPr>
                <w:noProof/>
                <w:color w:val="414042" w:themeColor="text1"/>
                <w:szCs w:val="20"/>
                <w:lang w:eastAsia="en-AU"/>
              </w:rPr>
            </w:pPr>
            <w:r w:rsidRPr="00AF0D5C">
              <w:rPr>
                <w:noProof/>
                <w:color w:val="414042" w:themeColor="text1"/>
                <w:szCs w:val="20"/>
                <w:lang w:eastAsia="en-AU"/>
              </w:rPr>
              <w:t>Legal, Risk and Compliance;</w:t>
            </w:r>
          </w:p>
          <w:p w14:paraId="03A38006" w14:textId="35A46995" w:rsidR="00BB217E" w:rsidRPr="00AF0D5C" w:rsidRDefault="00C97552" w:rsidP="00C97552">
            <w:pPr>
              <w:jc w:val="center"/>
              <w:rPr>
                <w:noProof/>
                <w:color w:val="414042" w:themeColor="text1"/>
                <w:szCs w:val="20"/>
                <w:lang w:eastAsia="en-AU"/>
              </w:rPr>
            </w:pPr>
            <w:r w:rsidRPr="00AF0D5C">
              <w:rPr>
                <w:noProof/>
                <w:color w:val="414042" w:themeColor="text1"/>
                <w:szCs w:val="20"/>
                <w:lang w:eastAsia="en-AU"/>
              </w:rPr>
              <w:t>Information Services</w:t>
            </w:r>
          </w:p>
        </w:tc>
        <w:tc>
          <w:tcPr>
            <w:tcW w:w="1023" w:type="pct"/>
            <w:shd w:val="clear" w:color="auto" w:fill="auto"/>
          </w:tcPr>
          <w:p w14:paraId="32731D2E" w14:textId="4A6FBCBD" w:rsidR="00BB217E" w:rsidRPr="00AF0D5C" w:rsidRDefault="00BB217E" w:rsidP="00BB217E">
            <w:pPr>
              <w:spacing w:after="0"/>
              <w:ind w:left="-95" w:right="-110"/>
              <w:jc w:val="center"/>
              <w:rPr>
                <w:noProof/>
                <w:color w:val="414042" w:themeColor="text1"/>
                <w:szCs w:val="20"/>
                <w:lang w:eastAsia="en-AU"/>
              </w:rPr>
            </w:pPr>
            <w:r w:rsidRPr="00AF0D5C">
              <w:rPr>
                <w:color w:val="414042" w:themeColor="text1"/>
                <w:szCs w:val="20"/>
              </w:rPr>
              <w:t>Strategy and Renewal</w:t>
            </w:r>
          </w:p>
        </w:tc>
      </w:tr>
    </w:tbl>
    <w:bookmarkEnd w:id="225"/>
    <w:p w14:paraId="57218F1D" w14:textId="1A668E51" w:rsidR="00F7597E" w:rsidRPr="00AF0D5C" w:rsidRDefault="00F7597E" w:rsidP="00F7597E">
      <w:pPr>
        <w:rPr>
          <w:color w:val="414042" w:themeColor="text1"/>
        </w:rPr>
      </w:pPr>
      <w:r w:rsidRPr="000739A8">
        <w:rPr>
          <w:rStyle w:val="6Bold11Char"/>
        </w:rPr>
        <w:t>Operations Support</w:t>
      </w:r>
      <w:r w:rsidRPr="000739A8">
        <w:rPr>
          <w:b/>
          <w:bCs/>
          <w:iCs/>
          <w:color w:val="414042" w:themeColor="text1"/>
          <w:sz w:val="22"/>
        </w:rPr>
        <w:t xml:space="preserve"> </w:t>
      </w:r>
      <w:r w:rsidRPr="00762621">
        <w:rPr>
          <w:rStyle w:val="newBODYTEXTChar"/>
        </w:rPr>
        <w:t>division delivers both overt and covert capabilities to support our investigative strategies including witness protection, technical surveillance, physical surveillance, evidence management and forensic computing services.</w:t>
      </w:r>
    </w:p>
    <w:p w14:paraId="3D7C3748" w14:textId="77777777" w:rsidR="00F7597E" w:rsidRPr="00AF0D5C" w:rsidRDefault="00F7597E" w:rsidP="00F7597E">
      <w:pPr>
        <w:rPr>
          <w:color w:val="414042" w:themeColor="text1"/>
        </w:rPr>
      </w:pPr>
      <w:r w:rsidRPr="000739A8">
        <w:rPr>
          <w:rStyle w:val="6Bold11Char"/>
        </w:rPr>
        <w:t xml:space="preserve">Crime </w:t>
      </w:r>
      <w:r w:rsidRPr="00762621">
        <w:rPr>
          <w:rStyle w:val="newBODYTEXTChar"/>
        </w:rPr>
        <w:t>division investigates serious and organised crimes, undertakes intelligence operations into the suspected criminal activities of criminal organisations and their participants, and takes action to confiscate the suspected proceeds of serious crimes.</w:t>
      </w:r>
    </w:p>
    <w:p w14:paraId="6161A6A3" w14:textId="77777777" w:rsidR="00F7597E" w:rsidRPr="00AF0D5C" w:rsidRDefault="00F7597E" w:rsidP="00F7597E">
      <w:pPr>
        <w:rPr>
          <w:color w:val="414042" w:themeColor="text1"/>
        </w:rPr>
      </w:pPr>
      <w:r w:rsidRPr="000739A8">
        <w:rPr>
          <w:rStyle w:val="6Bold11Char"/>
        </w:rPr>
        <w:t>Corruption</w:t>
      </w:r>
      <w:r w:rsidRPr="00AF0D5C">
        <w:rPr>
          <w:b/>
          <w:bCs/>
          <w:iCs/>
          <w:color w:val="414042" w:themeColor="text1"/>
          <w:szCs w:val="20"/>
        </w:rPr>
        <w:t xml:space="preserve"> </w:t>
      </w:r>
      <w:r w:rsidRPr="00762621">
        <w:rPr>
          <w:rStyle w:val="newBODYTEXTChar"/>
        </w:rPr>
        <w:t>division investigates complaints of serious and systemic corruption and undertakes a range of prevention activities to ensure complaints about corruption are dealt with appropriately and raise the standard of conduct in the Queensland public sector.</w:t>
      </w:r>
    </w:p>
    <w:p w14:paraId="7A42A11D" w14:textId="2B2513C9" w:rsidR="00F7597E" w:rsidRPr="00AF0D5C" w:rsidRDefault="00F7597E" w:rsidP="00F7597E">
      <w:pPr>
        <w:rPr>
          <w:color w:val="414042" w:themeColor="text1"/>
        </w:rPr>
      </w:pPr>
      <w:r w:rsidRPr="000739A8">
        <w:rPr>
          <w:rStyle w:val="6Bold11Char"/>
        </w:rPr>
        <w:t>Corporate Services; Legal, Risk and Compliance;</w:t>
      </w:r>
      <w:r w:rsidRPr="00AF0D5C">
        <w:rPr>
          <w:rFonts w:asciiTheme="minorHAnsi" w:hAnsiTheme="minorHAnsi" w:cstheme="minorHAnsi"/>
          <w:b/>
          <w:bCs/>
          <w:iCs/>
          <w:color w:val="414042" w:themeColor="text1"/>
          <w:szCs w:val="20"/>
        </w:rPr>
        <w:t xml:space="preserve"> </w:t>
      </w:r>
      <w:r w:rsidRPr="00AF0D5C">
        <w:rPr>
          <w:rFonts w:asciiTheme="minorHAnsi" w:hAnsiTheme="minorHAnsi" w:cstheme="minorHAnsi"/>
          <w:iCs/>
          <w:color w:val="414042" w:themeColor="text1"/>
          <w:szCs w:val="20"/>
        </w:rPr>
        <w:t>and</w:t>
      </w:r>
      <w:r w:rsidRPr="00AF0D5C">
        <w:rPr>
          <w:rFonts w:asciiTheme="minorHAnsi" w:hAnsiTheme="minorHAnsi" w:cstheme="minorHAnsi"/>
          <w:b/>
          <w:bCs/>
          <w:iCs/>
          <w:color w:val="414042" w:themeColor="text1"/>
          <w:szCs w:val="20"/>
        </w:rPr>
        <w:t xml:space="preserve"> </w:t>
      </w:r>
      <w:r w:rsidRPr="000739A8">
        <w:rPr>
          <w:rStyle w:val="6Bold11Char"/>
        </w:rPr>
        <w:t>Information Services</w:t>
      </w:r>
      <w:r w:rsidRPr="00AF0D5C">
        <w:rPr>
          <w:iCs/>
          <w:color w:val="414042" w:themeColor="text1"/>
          <w:szCs w:val="20"/>
        </w:rPr>
        <w:t xml:space="preserve"> </w:t>
      </w:r>
      <w:r w:rsidRPr="00762621">
        <w:rPr>
          <w:rStyle w:val="newBODYTEXTChar"/>
        </w:rPr>
        <w:t xml:space="preserve">divisions support our operational functions through providing high quality services, including legal services, </w:t>
      </w:r>
      <w:r w:rsidR="003870A1" w:rsidRPr="00762621">
        <w:rPr>
          <w:rStyle w:val="newBODYTEXTChar"/>
        </w:rPr>
        <w:t>research, governance</w:t>
      </w:r>
      <w:r w:rsidRPr="00762621">
        <w:rPr>
          <w:rStyle w:val="newBODYTEXTChar"/>
        </w:rPr>
        <w:t>, financial management, human resource management, corporate communications, business systems support, security, information and communication technologies, facilities and procurement services.</w:t>
      </w:r>
    </w:p>
    <w:p w14:paraId="692BD6EF" w14:textId="10BBDCA8" w:rsidR="00F7597E" w:rsidRPr="00AF0D5C" w:rsidRDefault="00F7597E" w:rsidP="00F7597E">
      <w:pPr>
        <w:rPr>
          <w:color w:val="414042" w:themeColor="text1"/>
        </w:rPr>
      </w:pPr>
      <w:r w:rsidRPr="000739A8">
        <w:rPr>
          <w:rStyle w:val="6Bold11Char"/>
        </w:rPr>
        <w:t>Strategy and Renewal</w:t>
      </w:r>
      <w:r w:rsidRPr="00AF0D5C">
        <w:rPr>
          <w:rFonts w:asciiTheme="minorHAnsi" w:hAnsiTheme="minorHAnsi" w:cstheme="minorHAnsi"/>
          <w:b/>
          <w:bCs/>
          <w:iCs/>
          <w:color w:val="414042" w:themeColor="text1"/>
          <w:szCs w:val="20"/>
        </w:rPr>
        <w:t xml:space="preserve"> </w:t>
      </w:r>
      <w:r w:rsidRPr="00762621">
        <w:rPr>
          <w:rStyle w:val="newBODYTEXTChar"/>
        </w:rPr>
        <w:t>division undertakes data analysis, coordinates the development and implementation of our strategies,</w:t>
      </w:r>
      <w:r w:rsidR="00D901D0" w:rsidRPr="00762621">
        <w:rPr>
          <w:rStyle w:val="newBODYTEXTChar"/>
        </w:rPr>
        <w:t xml:space="preserve"> planning and performance management</w:t>
      </w:r>
      <w:r w:rsidRPr="00762621">
        <w:rPr>
          <w:rStyle w:val="newBODYTEXTChar"/>
        </w:rPr>
        <w:t xml:space="preserve"> and drives innovation by turning insights into action, building critical capabilities, and implementing transformational change.</w:t>
      </w:r>
    </w:p>
    <w:p w14:paraId="6F76A857" w14:textId="77777777" w:rsidR="00F7597E" w:rsidRPr="00AF0D5C" w:rsidRDefault="00F7597E" w:rsidP="00E80667">
      <w:pPr>
        <w:spacing w:after="0"/>
        <w:rPr>
          <w:color w:val="414042" w:themeColor="text1"/>
        </w:rPr>
      </w:pPr>
      <w:r w:rsidRPr="00AF0D5C">
        <w:rPr>
          <w:color w:val="414042" w:themeColor="text1"/>
        </w:rPr>
        <w:t>The</w:t>
      </w:r>
      <w:r w:rsidRPr="00AF0D5C">
        <w:rPr>
          <w:rFonts w:asciiTheme="minorHAnsi" w:hAnsiTheme="minorHAnsi" w:cstheme="minorHAnsi"/>
          <w:iCs/>
          <w:color w:val="414042" w:themeColor="text1"/>
          <w:szCs w:val="20"/>
        </w:rPr>
        <w:t xml:space="preserve"> </w:t>
      </w:r>
      <w:r w:rsidRPr="000739A8">
        <w:rPr>
          <w:rStyle w:val="6Bold11Char"/>
        </w:rPr>
        <w:t>Office of the Commission</w:t>
      </w:r>
      <w:r w:rsidRPr="00AF0D5C">
        <w:rPr>
          <w:rFonts w:asciiTheme="minorHAnsi" w:hAnsiTheme="minorHAnsi" w:cstheme="minorHAnsi"/>
          <w:b/>
          <w:bCs/>
          <w:iCs/>
          <w:color w:val="414042" w:themeColor="text1"/>
          <w:szCs w:val="20"/>
        </w:rPr>
        <w:t xml:space="preserve"> </w:t>
      </w:r>
      <w:r w:rsidRPr="00762621">
        <w:rPr>
          <w:rStyle w:val="newBODYTEXTChar"/>
        </w:rPr>
        <w:t>supports the work of the Commission, Chairperson and CEO. The Internal Audit function also resides within the Office of the Commission.</w:t>
      </w:r>
    </w:p>
    <w:p w14:paraId="6B5E11EA" w14:textId="77777777" w:rsidR="002732BE" w:rsidRPr="00762621" w:rsidRDefault="00D041B1" w:rsidP="00762621">
      <w:pPr>
        <w:pStyle w:val="8Crossref"/>
        <w:sectPr w:rsidR="002732BE" w:rsidRPr="00762621" w:rsidSect="00C77834">
          <w:headerReference w:type="even" r:id="rId72"/>
          <w:headerReference w:type="default" r:id="rId73"/>
          <w:headerReference w:type="first" r:id="rId74"/>
          <w:type w:val="continuous"/>
          <w:pgSz w:w="11906" w:h="16838" w:code="9"/>
          <w:pgMar w:top="2155" w:right="1134" w:bottom="964" w:left="1134" w:header="720" w:footer="284" w:gutter="0"/>
          <w:cols w:space="567"/>
          <w:noEndnote/>
          <w:docGrid w:linePitch="272"/>
        </w:sectPr>
      </w:pPr>
      <w:r w:rsidRPr="00762621">
        <w:t>A</w:t>
      </w:r>
      <w:r w:rsidR="002732BE" w:rsidRPr="00762621">
        <w:t xml:space="preserve"> breakdown of our employees by division is provided on page </w:t>
      </w:r>
      <w:r w:rsidR="00840BE3" w:rsidRPr="00762621">
        <w:t>61</w:t>
      </w:r>
      <w:r w:rsidR="00361D4E" w:rsidRPr="00762621">
        <w:t>.</w:t>
      </w:r>
    </w:p>
    <w:p w14:paraId="732A1714" w14:textId="57FA1192" w:rsidR="002732BE" w:rsidRPr="007A1087" w:rsidRDefault="002732BE" w:rsidP="002732BE">
      <w:pPr>
        <w:rPr>
          <w:color w:val="414042" w:themeColor="text1"/>
        </w:rPr>
        <w:sectPr w:rsidR="002732BE" w:rsidRPr="007A1087" w:rsidSect="00C77834">
          <w:type w:val="continuous"/>
          <w:pgSz w:w="11906" w:h="16838" w:code="9"/>
          <w:pgMar w:top="2155" w:right="1134" w:bottom="964" w:left="1134" w:header="720" w:footer="284" w:gutter="0"/>
          <w:cols w:space="567"/>
          <w:noEndnote/>
          <w:docGrid w:linePitch="272"/>
        </w:sectPr>
      </w:pPr>
    </w:p>
    <w:p w14:paraId="2D3459E4" w14:textId="5D1815EA" w:rsidR="00A4412D" w:rsidRPr="00AF0D5C" w:rsidRDefault="00A4412D" w:rsidP="00B82BCB">
      <w:pPr>
        <w:pStyle w:val="2Heading"/>
      </w:pPr>
      <w:bookmarkStart w:id="226" w:name="_Toc102037824"/>
      <w:bookmarkStart w:id="227" w:name="_Toc102038186"/>
      <w:bookmarkStart w:id="228" w:name="_Toc102038547"/>
      <w:bookmarkStart w:id="229" w:name="_Toc102038907"/>
      <w:bookmarkStart w:id="230" w:name="_Toc102039259"/>
      <w:bookmarkStart w:id="231" w:name="_Toc102039614"/>
      <w:bookmarkStart w:id="232" w:name="_Toc102039971"/>
      <w:bookmarkStart w:id="233" w:name="_Toc102040296"/>
      <w:bookmarkStart w:id="234" w:name="_Toc102040630"/>
      <w:bookmarkStart w:id="235" w:name="_Toc102040958"/>
      <w:bookmarkStart w:id="236" w:name="_Toc102041288"/>
      <w:bookmarkStart w:id="237" w:name="_Toc102041620"/>
      <w:bookmarkStart w:id="238" w:name="_Toc102041947"/>
      <w:bookmarkStart w:id="239" w:name="_Toc102042276"/>
      <w:bookmarkStart w:id="240" w:name="_Toc102045406"/>
      <w:bookmarkStart w:id="241" w:name="StakeholdersandPartners"/>
      <w:r w:rsidRPr="00AF0D5C">
        <w:t>Our stakeholders and partners</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2B581B7E" w14:textId="6EEA5EF2" w:rsidR="001E422F" w:rsidRPr="00762621" w:rsidRDefault="00185BFE" w:rsidP="00762621">
      <w:pPr>
        <w:pStyle w:val="4H-Intro"/>
      </w:pPr>
      <w:bookmarkStart w:id="242" w:name="_Hlk167350548"/>
      <w:bookmarkEnd w:id="241"/>
      <w:r w:rsidRPr="00762621">
        <w:t>In 2023</w:t>
      </w:r>
      <w:r w:rsidR="002F3196" w:rsidRPr="00762621">
        <w:t>–</w:t>
      </w:r>
      <w:r w:rsidRPr="00762621">
        <w:t>24</w:t>
      </w:r>
      <w:r w:rsidR="00E121BE" w:rsidRPr="00762621">
        <w:t xml:space="preserve"> w</w:t>
      </w:r>
      <w:r w:rsidR="0081201E" w:rsidRPr="00762621">
        <w:t xml:space="preserve">e </w:t>
      </w:r>
      <w:r w:rsidR="00E121BE" w:rsidRPr="00762621">
        <w:t xml:space="preserve">continued to </w:t>
      </w:r>
      <w:r w:rsidR="0081201E" w:rsidRPr="00762621">
        <w:t xml:space="preserve">work closely with </w:t>
      </w:r>
      <w:r w:rsidR="00E121BE" w:rsidRPr="00762621">
        <w:t xml:space="preserve">individuals and organisations that affect (or could be affected by) our activities, products, services and performance. This included </w:t>
      </w:r>
      <w:r w:rsidR="003B43F1" w:rsidRPr="00762621">
        <w:t xml:space="preserve">collaborating with </w:t>
      </w:r>
      <w:r w:rsidR="00E121BE" w:rsidRPr="00762621">
        <w:t xml:space="preserve">national and </w:t>
      </w:r>
      <w:r w:rsidR="0081201E" w:rsidRPr="00762621">
        <w:t>state law enforcement and anti-corruption agencies in comba</w:t>
      </w:r>
      <w:r w:rsidR="00AF3176" w:rsidRPr="00762621">
        <w:t>t</w:t>
      </w:r>
      <w:r w:rsidR="0081201E" w:rsidRPr="00762621">
        <w:t xml:space="preserve">ing major crime and corruption </w:t>
      </w:r>
      <w:r w:rsidR="003B43F1" w:rsidRPr="00762621">
        <w:t>by</w:t>
      </w:r>
      <w:r w:rsidR="00BB081B" w:rsidRPr="00762621">
        <w:t xml:space="preserve"> </w:t>
      </w:r>
      <w:r w:rsidR="001E422F" w:rsidRPr="00762621">
        <w:t>participating in joint investigations</w:t>
      </w:r>
      <w:r w:rsidR="00BB081B" w:rsidRPr="00762621">
        <w:t xml:space="preserve">, </w:t>
      </w:r>
      <w:r w:rsidR="001E422F" w:rsidRPr="00762621">
        <w:t>sharing intelligence products and operational resources</w:t>
      </w:r>
      <w:r w:rsidR="0052150B" w:rsidRPr="00762621">
        <w:t>,</w:t>
      </w:r>
      <w:r w:rsidR="001E422F" w:rsidRPr="00762621">
        <w:t xml:space="preserve"> and using our coercive powers in support of other agencies’ investigations</w:t>
      </w:r>
      <w:r w:rsidR="00C412F3" w:rsidRPr="00762621">
        <w:t>.</w:t>
      </w:r>
    </w:p>
    <w:bookmarkEnd w:id="242"/>
    <w:p w14:paraId="775DB809" w14:textId="1C5CF75C" w:rsidR="004120B6" w:rsidRPr="00AF0D5C" w:rsidRDefault="004120B6" w:rsidP="00E82CC8">
      <w:pPr>
        <w:rPr>
          <w:bCs/>
          <w:color w:val="414042" w:themeColor="text1"/>
          <w:u w:color="E6E7E8" w:themeColor="background2"/>
        </w:rPr>
      </w:pPr>
    </w:p>
    <w:p w14:paraId="28811E5F" w14:textId="081060C9" w:rsidR="004120B6" w:rsidRPr="00AF0D5C" w:rsidRDefault="004120B6" w:rsidP="000E1205">
      <w:pPr>
        <w:rPr>
          <w:color w:val="414042" w:themeColor="text1"/>
        </w:rPr>
        <w:sectPr w:rsidR="004120B6" w:rsidRPr="00AF0D5C" w:rsidSect="00C77834">
          <w:headerReference w:type="even" r:id="rId75"/>
          <w:headerReference w:type="default" r:id="rId76"/>
          <w:footerReference w:type="even" r:id="rId77"/>
          <w:headerReference w:type="first" r:id="rId78"/>
          <w:pgSz w:w="11906" w:h="16838" w:code="9"/>
          <w:pgMar w:top="2155" w:right="1134" w:bottom="964" w:left="1134" w:header="720" w:footer="284" w:gutter="0"/>
          <w:cols w:space="567"/>
          <w:noEndnote/>
          <w:docGrid w:linePitch="272"/>
        </w:sectPr>
      </w:pPr>
    </w:p>
    <w:p w14:paraId="6869BC81" w14:textId="0D95721D" w:rsidR="00D23ABF" w:rsidRPr="00AF0D5C" w:rsidRDefault="00275818" w:rsidP="006B1E6A">
      <w:pPr>
        <w:pStyle w:val="3Heading-highlight"/>
        <w:ind w:right="-1"/>
      </w:pPr>
      <w:bookmarkStart w:id="243" w:name="_Toc102037832"/>
      <w:bookmarkStart w:id="244" w:name="_Toc102038194"/>
      <w:bookmarkStart w:id="245" w:name="_Toc102038555"/>
      <w:bookmarkStart w:id="246" w:name="_Toc102038915"/>
      <w:bookmarkStart w:id="247" w:name="_Toc102039267"/>
      <w:bookmarkStart w:id="248" w:name="_Toc102039622"/>
      <w:bookmarkStart w:id="249" w:name="_Toc102039979"/>
      <w:bookmarkStart w:id="250" w:name="_Toc102040304"/>
      <w:bookmarkStart w:id="251" w:name="_Toc102040638"/>
      <w:bookmarkStart w:id="252" w:name="_Toc102040966"/>
      <w:bookmarkStart w:id="253" w:name="_Toc102041296"/>
      <w:bookmarkStart w:id="254" w:name="_Toc102041628"/>
      <w:bookmarkStart w:id="255" w:name="_Toc102041955"/>
      <w:bookmarkStart w:id="256" w:name="_Toc102042284"/>
      <w:bookmarkStart w:id="257" w:name="_Toc102045408"/>
      <w:bookmarkStart w:id="258" w:name="_Toc102037826"/>
      <w:bookmarkStart w:id="259" w:name="_Toc102038188"/>
      <w:bookmarkStart w:id="260" w:name="_Toc102038549"/>
      <w:bookmarkStart w:id="261" w:name="_Toc102038909"/>
      <w:bookmarkStart w:id="262" w:name="_Toc102039261"/>
      <w:bookmarkStart w:id="263" w:name="_Toc102039616"/>
      <w:bookmarkStart w:id="264" w:name="_Toc102039973"/>
      <w:bookmarkStart w:id="265" w:name="_Toc102040298"/>
      <w:bookmarkStart w:id="266" w:name="_Toc102040632"/>
      <w:bookmarkStart w:id="267" w:name="_Toc102040960"/>
      <w:bookmarkStart w:id="268" w:name="_Toc102041290"/>
      <w:bookmarkStart w:id="269" w:name="_Toc102041622"/>
      <w:bookmarkStart w:id="270" w:name="_Toc102041949"/>
      <w:bookmarkStart w:id="271" w:name="_Toc102042278"/>
      <w:r w:rsidRPr="00AF0D5C">
        <w:t xml:space="preserve">Our stakeholders in </w:t>
      </w:r>
      <w:r w:rsidR="001F7A07" w:rsidRPr="00AF0D5C">
        <w:t>Queensland</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6E611962" w14:textId="7AEEF7C9" w:rsidR="00E646C9" w:rsidRPr="00AF0D5C" w:rsidRDefault="00E646C9" w:rsidP="006B1E6A">
      <w:pPr>
        <w:pStyle w:val="Bullets"/>
        <w:spacing w:after="80"/>
        <w:ind w:right="-1"/>
        <w:rPr>
          <w:color w:val="414042" w:themeColor="text1"/>
        </w:rPr>
      </w:pPr>
      <w:r w:rsidRPr="00AF0D5C">
        <w:rPr>
          <w:color w:val="414042" w:themeColor="text1"/>
        </w:rPr>
        <w:t xml:space="preserve">Attorney-General and Minister for Justice </w:t>
      </w:r>
      <w:r w:rsidR="00DC0917" w:rsidRPr="00AF0D5C">
        <w:rPr>
          <w:color w:val="414042" w:themeColor="text1"/>
        </w:rPr>
        <w:t xml:space="preserve">and </w:t>
      </w:r>
      <w:r w:rsidRPr="00AF0D5C">
        <w:rPr>
          <w:color w:val="414042" w:themeColor="text1"/>
        </w:rPr>
        <w:t>Minister for the Prevention of Domestic and Family Violence</w:t>
      </w:r>
    </w:p>
    <w:p w14:paraId="1E17C6E7" w14:textId="77777777" w:rsidR="00E646C9" w:rsidRPr="00AF0D5C" w:rsidRDefault="00E646C9" w:rsidP="006B1E6A">
      <w:pPr>
        <w:pStyle w:val="Bullets"/>
        <w:spacing w:after="80"/>
        <w:ind w:right="-1"/>
        <w:rPr>
          <w:color w:val="414042" w:themeColor="text1"/>
        </w:rPr>
      </w:pPr>
      <w:r w:rsidRPr="00AF0D5C">
        <w:rPr>
          <w:color w:val="414042" w:themeColor="text1"/>
        </w:rPr>
        <w:t>Office of the Director of Public Prosecutions (ODPP)</w:t>
      </w:r>
    </w:p>
    <w:p w14:paraId="113660F7" w14:textId="77777777" w:rsidR="00E646C9" w:rsidRPr="00AF0D5C" w:rsidRDefault="00E646C9" w:rsidP="006B1E6A">
      <w:pPr>
        <w:pStyle w:val="Bullets"/>
        <w:spacing w:after="80"/>
        <w:ind w:right="-1"/>
        <w:rPr>
          <w:color w:val="414042" w:themeColor="text1"/>
        </w:rPr>
      </w:pPr>
      <w:r w:rsidRPr="00AF0D5C">
        <w:rPr>
          <w:color w:val="414042" w:themeColor="text1"/>
        </w:rPr>
        <w:t>Office of the Independent Assessor</w:t>
      </w:r>
    </w:p>
    <w:p w14:paraId="6E329D6C" w14:textId="77777777" w:rsidR="00E646C9" w:rsidRPr="00AF0D5C" w:rsidRDefault="00E646C9" w:rsidP="006B1E6A">
      <w:pPr>
        <w:pStyle w:val="Bullets"/>
        <w:spacing w:after="80"/>
        <w:ind w:right="-1"/>
        <w:rPr>
          <w:color w:val="414042" w:themeColor="text1"/>
        </w:rPr>
      </w:pPr>
      <w:r w:rsidRPr="00AF0D5C">
        <w:rPr>
          <w:color w:val="414042" w:themeColor="text1"/>
        </w:rPr>
        <w:t>Office of the Information Commissioner</w:t>
      </w:r>
    </w:p>
    <w:p w14:paraId="26CE3332" w14:textId="77777777" w:rsidR="00E646C9" w:rsidRPr="00AF0D5C" w:rsidRDefault="00E646C9" w:rsidP="006B1E6A">
      <w:pPr>
        <w:pStyle w:val="Bullets"/>
        <w:spacing w:after="80"/>
        <w:ind w:right="-1"/>
        <w:rPr>
          <w:color w:val="414042" w:themeColor="text1"/>
        </w:rPr>
      </w:pPr>
      <w:r w:rsidRPr="00AF0D5C">
        <w:rPr>
          <w:color w:val="414042" w:themeColor="text1"/>
        </w:rPr>
        <w:t>Parliamentary Crime and Corruption Commissioner</w:t>
      </w:r>
    </w:p>
    <w:p w14:paraId="4F8EBB7D" w14:textId="77777777" w:rsidR="00E646C9" w:rsidRPr="00AF0D5C" w:rsidRDefault="00E646C9" w:rsidP="006B1E6A">
      <w:pPr>
        <w:pStyle w:val="Bullets"/>
        <w:spacing w:after="80"/>
        <w:ind w:right="-1"/>
        <w:rPr>
          <w:color w:val="414042" w:themeColor="text1"/>
        </w:rPr>
      </w:pPr>
      <w:r w:rsidRPr="00AF0D5C">
        <w:rPr>
          <w:color w:val="414042" w:themeColor="text1"/>
        </w:rPr>
        <w:t>Parliamentary Crime and Corruption Committee (PCCC)</w:t>
      </w:r>
    </w:p>
    <w:p w14:paraId="31BB7856" w14:textId="77777777" w:rsidR="00E646C9" w:rsidRPr="00AF0D5C" w:rsidRDefault="00E646C9" w:rsidP="006B1E6A">
      <w:pPr>
        <w:pStyle w:val="Bullets"/>
        <w:spacing w:after="80"/>
        <w:ind w:right="-1"/>
        <w:rPr>
          <w:color w:val="414042" w:themeColor="text1"/>
        </w:rPr>
      </w:pPr>
      <w:r w:rsidRPr="00AF0D5C">
        <w:rPr>
          <w:color w:val="414042" w:themeColor="text1"/>
        </w:rPr>
        <w:t>Public Interest Monitor</w:t>
      </w:r>
    </w:p>
    <w:p w14:paraId="0004517D" w14:textId="77777777" w:rsidR="00E646C9" w:rsidRPr="00AF0D5C" w:rsidRDefault="00E646C9" w:rsidP="006B1E6A">
      <w:pPr>
        <w:pStyle w:val="Bullets"/>
        <w:spacing w:after="80"/>
        <w:ind w:right="-1"/>
        <w:rPr>
          <w:color w:val="414042" w:themeColor="text1"/>
        </w:rPr>
      </w:pPr>
      <w:r w:rsidRPr="00AF0D5C">
        <w:rPr>
          <w:color w:val="414042" w:themeColor="text1"/>
        </w:rPr>
        <w:t>Queensland Audit Office (QAO)</w:t>
      </w:r>
    </w:p>
    <w:p w14:paraId="40B6DE82" w14:textId="77777777" w:rsidR="00E646C9" w:rsidRPr="00AF0D5C" w:rsidRDefault="00E646C9" w:rsidP="006B1E6A">
      <w:pPr>
        <w:pStyle w:val="Bullets"/>
        <w:spacing w:after="80"/>
        <w:ind w:right="-1"/>
        <w:rPr>
          <w:color w:val="414042" w:themeColor="text1"/>
        </w:rPr>
      </w:pPr>
      <w:r w:rsidRPr="00AF0D5C">
        <w:rPr>
          <w:color w:val="414042" w:themeColor="text1"/>
        </w:rPr>
        <w:t>Queensland Family and Child Commission</w:t>
      </w:r>
    </w:p>
    <w:p w14:paraId="4283009D" w14:textId="77777777" w:rsidR="00E646C9" w:rsidRPr="00AF0D5C" w:rsidRDefault="00E646C9" w:rsidP="006B1E6A">
      <w:pPr>
        <w:pStyle w:val="Bullets"/>
        <w:spacing w:after="80"/>
        <w:ind w:right="-1"/>
        <w:rPr>
          <w:color w:val="414042" w:themeColor="text1"/>
        </w:rPr>
      </w:pPr>
      <w:r w:rsidRPr="00AF0D5C">
        <w:rPr>
          <w:color w:val="414042" w:themeColor="text1"/>
        </w:rPr>
        <w:t>Queensland Ombudsman and Inspector of Detention Services</w:t>
      </w:r>
    </w:p>
    <w:p w14:paraId="36BB5124" w14:textId="796EBC03" w:rsidR="00E646C9" w:rsidRPr="00AF0D5C" w:rsidRDefault="00E646C9" w:rsidP="006B1E6A">
      <w:pPr>
        <w:pStyle w:val="Bullets"/>
        <w:spacing w:after="80"/>
        <w:ind w:right="-1"/>
        <w:rPr>
          <w:color w:val="414042" w:themeColor="text1"/>
        </w:rPr>
      </w:pPr>
      <w:r w:rsidRPr="00AF0D5C">
        <w:rPr>
          <w:color w:val="414042" w:themeColor="text1"/>
        </w:rPr>
        <w:t>Queensland Police Service</w:t>
      </w:r>
      <w:r w:rsidR="003F3187" w:rsidRPr="00AF0D5C">
        <w:rPr>
          <w:color w:val="414042" w:themeColor="text1"/>
        </w:rPr>
        <w:t xml:space="preserve"> (QPS)</w:t>
      </w:r>
    </w:p>
    <w:p w14:paraId="4B249E34" w14:textId="2865CCDA" w:rsidR="00E646C9" w:rsidRPr="00AF0D5C" w:rsidRDefault="00E646C9" w:rsidP="006B1E6A">
      <w:pPr>
        <w:pStyle w:val="Bullets"/>
        <w:spacing w:after="80"/>
        <w:ind w:right="-1"/>
        <w:rPr>
          <w:color w:val="414042" w:themeColor="text1"/>
        </w:rPr>
      </w:pPr>
      <w:r w:rsidRPr="00AF0D5C">
        <w:rPr>
          <w:color w:val="414042" w:themeColor="text1"/>
        </w:rPr>
        <w:t>Queensland public</w:t>
      </w:r>
    </w:p>
    <w:p w14:paraId="724D8D76" w14:textId="2917D11B" w:rsidR="004120B6" w:rsidRPr="00AF0D5C" w:rsidRDefault="00E646C9" w:rsidP="006B1E6A">
      <w:pPr>
        <w:pStyle w:val="Bullets"/>
        <w:spacing w:after="80"/>
        <w:ind w:right="-1"/>
        <w:rPr>
          <w:color w:val="414042" w:themeColor="text1"/>
        </w:rPr>
      </w:pPr>
      <w:r w:rsidRPr="00AF0D5C">
        <w:rPr>
          <w:color w:val="414042" w:themeColor="text1"/>
        </w:rPr>
        <w:t>Queensland units of public administration (UPA</w:t>
      </w:r>
      <w:r w:rsidR="00150080" w:rsidRPr="00AF0D5C">
        <w:rPr>
          <w:color w:val="414042" w:themeColor="text1"/>
        </w:rPr>
        <w:t>s</w:t>
      </w:r>
      <w:r w:rsidRPr="00AF0D5C">
        <w:rPr>
          <w:color w:val="414042" w:themeColor="text1"/>
        </w:rPr>
        <w:t>)</w:t>
      </w:r>
    </w:p>
    <w:p w14:paraId="0D2CE38D" w14:textId="659D38F4" w:rsidR="00EE28F1" w:rsidRPr="00AF0D5C" w:rsidRDefault="00EE28F1" w:rsidP="006B1E6A">
      <w:pPr>
        <w:pStyle w:val="3Heading-highlight"/>
        <w:ind w:right="-1"/>
      </w:pPr>
      <w:r w:rsidRPr="00AF0D5C">
        <w:t xml:space="preserve">Other </w:t>
      </w:r>
      <w:r w:rsidR="00117A8C" w:rsidRPr="00AF0D5C">
        <w:t xml:space="preserve">national and </w:t>
      </w:r>
      <w:r w:rsidR="007A5174" w:rsidRPr="00AF0D5C">
        <w:t xml:space="preserve">state </w:t>
      </w:r>
      <w:r w:rsidRPr="00AF0D5C">
        <w:t>stakeholders</w:t>
      </w:r>
    </w:p>
    <w:p w14:paraId="5BA6AFB5" w14:textId="77777777" w:rsidR="00324017" w:rsidRPr="00B82BCB" w:rsidRDefault="00324017" w:rsidP="006B1E6A">
      <w:pPr>
        <w:pStyle w:val="4H-Intro"/>
        <w:ind w:right="-1"/>
      </w:pPr>
      <w:bookmarkStart w:id="272" w:name="_Toc102037833"/>
      <w:bookmarkStart w:id="273" w:name="_Toc102038195"/>
      <w:bookmarkStart w:id="274" w:name="_Toc102038556"/>
      <w:bookmarkStart w:id="275" w:name="_Toc102038916"/>
      <w:bookmarkStart w:id="276" w:name="_Toc102039268"/>
      <w:bookmarkStart w:id="277" w:name="_Toc102039623"/>
      <w:bookmarkStart w:id="278" w:name="_Toc102039980"/>
      <w:bookmarkStart w:id="279" w:name="_Toc102040305"/>
      <w:bookmarkStart w:id="280" w:name="_Toc102040639"/>
      <w:bookmarkStart w:id="281" w:name="_Toc102040967"/>
      <w:bookmarkStart w:id="282" w:name="_Toc102041297"/>
      <w:bookmarkStart w:id="283" w:name="_Toc102041629"/>
      <w:bookmarkStart w:id="284" w:name="_Toc102041956"/>
      <w:bookmarkStart w:id="285" w:name="_Toc102042285"/>
      <w:bookmarkStart w:id="286" w:name="_Toc102045415"/>
      <w:bookmarkStart w:id="287" w:name="_Toc102045409"/>
      <w:r w:rsidRPr="00B82BCB">
        <w:t>Commonwealth</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24AF8FF7" w14:textId="77777777" w:rsidR="00324017" w:rsidRPr="00AF0D5C" w:rsidRDefault="00324017" w:rsidP="006B1E6A">
      <w:pPr>
        <w:pStyle w:val="Bullets"/>
        <w:spacing w:after="80"/>
        <w:ind w:right="-1"/>
        <w:rPr>
          <w:color w:val="414042" w:themeColor="text1"/>
        </w:rPr>
      </w:pPr>
      <w:r w:rsidRPr="00AF0D5C">
        <w:rPr>
          <w:color w:val="414042" w:themeColor="text1"/>
        </w:rPr>
        <w:t>Australian Criminal Intelligence Commission (ACIC)</w:t>
      </w:r>
    </w:p>
    <w:p w14:paraId="7E32CF11" w14:textId="77777777" w:rsidR="00324017" w:rsidRPr="00AF0D5C" w:rsidRDefault="00324017" w:rsidP="006B1E6A">
      <w:pPr>
        <w:pStyle w:val="Bullets"/>
        <w:spacing w:after="80"/>
        <w:ind w:right="-1"/>
        <w:rPr>
          <w:color w:val="414042" w:themeColor="text1"/>
        </w:rPr>
      </w:pPr>
      <w:r w:rsidRPr="00AF0D5C">
        <w:rPr>
          <w:color w:val="414042" w:themeColor="text1"/>
        </w:rPr>
        <w:t>Australian Federal Police (AFP)</w:t>
      </w:r>
    </w:p>
    <w:p w14:paraId="7E3EC54B" w14:textId="77777777" w:rsidR="00324017" w:rsidRPr="00AF0D5C" w:rsidRDefault="00324017" w:rsidP="006B1E6A">
      <w:pPr>
        <w:pStyle w:val="Bullets"/>
        <w:spacing w:after="80"/>
        <w:ind w:right="-1"/>
        <w:rPr>
          <w:color w:val="414042" w:themeColor="text1"/>
        </w:rPr>
      </w:pPr>
      <w:r w:rsidRPr="00AF0D5C">
        <w:rPr>
          <w:color w:val="414042" w:themeColor="text1"/>
        </w:rPr>
        <w:t>Australian Taxation Office (ATO)</w:t>
      </w:r>
    </w:p>
    <w:p w14:paraId="4923D3D8" w14:textId="77777777" w:rsidR="00324017" w:rsidRPr="00AF0D5C" w:rsidRDefault="00324017" w:rsidP="006B1E6A">
      <w:pPr>
        <w:pStyle w:val="Bullets"/>
        <w:spacing w:after="80"/>
        <w:ind w:right="-1"/>
        <w:rPr>
          <w:color w:val="414042" w:themeColor="text1"/>
        </w:rPr>
      </w:pPr>
      <w:r w:rsidRPr="00AF0D5C">
        <w:rPr>
          <w:color w:val="414042" w:themeColor="text1"/>
        </w:rPr>
        <w:t>Australian Transaction Reports and Analysis Centre (AUSTRAC)</w:t>
      </w:r>
    </w:p>
    <w:p w14:paraId="7E82DA36" w14:textId="77777777" w:rsidR="00324017" w:rsidRPr="00AF0D5C" w:rsidRDefault="00324017" w:rsidP="006B1E6A">
      <w:pPr>
        <w:pStyle w:val="Bullets"/>
        <w:spacing w:after="80"/>
        <w:ind w:right="-1"/>
        <w:rPr>
          <w:color w:val="414042" w:themeColor="text1"/>
        </w:rPr>
      </w:pPr>
      <w:r w:rsidRPr="00AF0D5C">
        <w:rPr>
          <w:color w:val="414042" w:themeColor="text1"/>
        </w:rPr>
        <w:t>Home Affairs (including Australian Border Force)</w:t>
      </w:r>
    </w:p>
    <w:p w14:paraId="7CFA3429" w14:textId="77777777" w:rsidR="00324017" w:rsidRPr="00AF0D5C" w:rsidRDefault="00324017" w:rsidP="006B1E6A">
      <w:pPr>
        <w:pStyle w:val="Bullets"/>
        <w:spacing w:after="80"/>
        <w:ind w:right="-1"/>
        <w:rPr>
          <w:color w:val="414042" w:themeColor="text1"/>
        </w:rPr>
      </w:pPr>
      <w:r w:rsidRPr="00AF0D5C">
        <w:rPr>
          <w:color w:val="414042" w:themeColor="text1"/>
        </w:rPr>
        <w:t>National Anti-Corruption Commission (NACC)</w:t>
      </w:r>
    </w:p>
    <w:p w14:paraId="69EAEC57" w14:textId="11BDD01A" w:rsidR="00156C0D" w:rsidRPr="00AF0D5C" w:rsidRDefault="00324017" w:rsidP="006B1E6A">
      <w:pPr>
        <w:pStyle w:val="4H-Intro"/>
        <w:spacing w:before="260"/>
        <w:ind w:right="140"/>
      </w:pPr>
      <w:r w:rsidRPr="00AF0D5C">
        <w:br w:type="column"/>
      </w:r>
      <w:r w:rsidR="00156C0D" w:rsidRPr="00AF0D5C">
        <w:t>Australian Capital Territory</w:t>
      </w:r>
    </w:p>
    <w:p w14:paraId="7479BAF1" w14:textId="51B23A56" w:rsidR="00156C0D" w:rsidRPr="00AF0D5C" w:rsidRDefault="00156C0D" w:rsidP="006B1E6A">
      <w:pPr>
        <w:pStyle w:val="Bullets"/>
        <w:ind w:right="140"/>
        <w:rPr>
          <w:color w:val="414042" w:themeColor="text1"/>
        </w:rPr>
      </w:pPr>
      <w:r w:rsidRPr="00AF0D5C">
        <w:rPr>
          <w:color w:val="414042" w:themeColor="text1"/>
        </w:rPr>
        <w:t>Australian Capital Territory Integrity Commission</w:t>
      </w:r>
    </w:p>
    <w:p w14:paraId="414C70DB" w14:textId="067F1F17" w:rsidR="001E422F" w:rsidRPr="00AF0D5C" w:rsidRDefault="001E422F" w:rsidP="006B1E6A">
      <w:pPr>
        <w:pStyle w:val="4H-Intro"/>
        <w:ind w:right="140"/>
      </w:pPr>
      <w:r w:rsidRPr="00AF0D5C">
        <w:t>New South Wales</w:t>
      </w:r>
      <w:bookmarkStart w:id="288" w:name="_Hlk74220970"/>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87"/>
    </w:p>
    <w:p w14:paraId="6A091745" w14:textId="106562B1" w:rsidR="00E646C9" w:rsidRPr="00AF0D5C" w:rsidRDefault="00E646C9" w:rsidP="006B1E6A">
      <w:pPr>
        <w:pStyle w:val="Bullets"/>
        <w:spacing w:after="80"/>
        <w:ind w:right="140"/>
        <w:rPr>
          <w:color w:val="414042" w:themeColor="text1"/>
        </w:rPr>
      </w:pPr>
      <w:r w:rsidRPr="00AF0D5C">
        <w:rPr>
          <w:color w:val="414042" w:themeColor="text1"/>
        </w:rPr>
        <w:t xml:space="preserve">Independent Commission Against Corruption </w:t>
      </w:r>
      <w:r w:rsidR="00C81201">
        <w:rPr>
          <w:color w:val="414042" w:themeColor="text1"/>
        </w:rPr>
        <w:br/>
      </w:r>
      <w:r w:rsidRPr="00AF0D5C">
        <w:rPr>
          <w:color w:val="414042" w:themeColor="text1"/>
        </w:rPr>
        <w:t>(N</w:t>
      </w:r>
      <w:r w:rsidR="00EA2C0F" w:rsidRPr="00AF0D5C">
        <w:rPr>
          <w:color w:val="414042" w:themeColor="text1"/>
        </w:rPr>
        <w:t>ew South Wales</w:t>
      </w:r>
      <w:r w:rsidRPr="00AF0D5C">
        <w:rPr>
          <w:color w:val="414042" w:themeColor="text1"/>
        </w:rPr>
        <w:t xml:space="preserve"> ICAC)</w:t>
      </w:r>
    </w:p>
    <w:p w14:paraId="79CE8F20" w14:textId="77777777" w:rsidR="00E646C9" w:rsidRPr="00AF0D5C" w:rsidRDefault="00E646C9" w:rsidP="006B1E6A">
      <w:pPr>
        <w:pStyle w:val="Bullets"/>
        <w:spacing w:after="80"/>
        <w:ind w:right="140"/>
        <w:rPr>
          <w:color w:val="414042" w:themeColor="text1"/>
        </w:rPr>
      </w:pPr>
      <w:r w:rsidRPr="00AF0D5C">
        <w:rPr>
          <w:color w:val="414042" w:themeColor="text1"/>
        </w:rPr>
        <w:t>Law Enforcement Conduct Commission</w:t>
      </w:r>
    </w:p>
    <w:p w14:paraId="0455AF65" w14:textId="77777777" w:rsidR="00E646C9" w:rsidRPr="00AF0D5C" w:rsidRDefault="00E646C9" w:rsidP="006B1E6A">
      <w:pPr>
        <w:pStyle w:val="Bullets"/>
        <w:spacing w:after="80"/>
        <w:ind w:right="140"/>
        <w:rPr>
          <w:color w:val="414042" w:themeColor="text1"/>
        </w:rPr>
      </w:pPr>
      <w:r w:rsidRPr="00AF0D5C">
        <w:rPr>
          <w:color w:val="414042" w:themeColor="text1"/>
        </w:rPr>
        <w:t>New South Wales Crime Commission</w:t>
      </w:r>
    </w:p>
    <w:p w14:paraId="66367767" w14:textId="25B0147D" w:rsidR="00E646C9" w:rsidRPr="00AF0D5C" w:rsidRDefault="00E646C9" w:rsidP="006B1E6A">
      <w:pPr>
        <w:pStyle w:val="Bullets"/>
        <w:ind w:right="140"/>
        <w:rPr>
          <w:color w:val="414042" w:themeColor="text1"/>
        </w:rPr>
      </w:pPr>
      <w:r w:rsidRPr="00AF0D5C">
        <w:rPr>
          <w:color w:val="414042" w:themeColor="text1"/>
        </w:rPr>
        <w:t>New South Wales Police Force</w:t>
      </w:r>
    </w:p>
    <w:p w14:paraId="0DCFD38F" w14:textId="04141107" w:rsidR="006A4EC5" w:rsidRPr="00AF0D5C" w:rsidRDefault="006A4EC5" w:rsidP="006B1E6A">
      <w:pPr>
        <w:pStyle w:val="4H-Intro"/>
        <w:ind w:right="140"/>
      </w:pPr>
      <w:bookmarkStart w:id="289" w:name="_Toc102037831"/>
      <w:bookmarkStart w:id="290" w:name="_Toc102038193"/>
      <w:bookmarkStart w:id="291" w:name="_Toc102038554"/>
      <w:bookmarkStart w:id="292" w:name="_Toc102038914"/>
      <w:bookmarkStart w:id="293" w:name="_Toc102039266"/>
      <w:bookmarkStart w:id="294" w:name="_Toc102039621"/>
      <w:bookmarkStart w:id="295" w:name="_Toc102039978"/>
      <w:bookmarkStart w:id="296" w:name="_Toc102040303"/>
      <w:bookmarkStart w:id="297" w:name="_Toc102040637"/>
      <w:bookmarkStart w:id="298" w:name="_Toc102040965"/>
      <w:bookmarkStart w:id="299" w:name="_Toc102041295"/>
      <w:bookmarkStart w:id="300" w:name="_Toc102041627"/>
      <w:bookmarkStart w:id="301" w:name="_Toc102041954"/>
      <w:bookmarkStart w:id="302" w:name="_Toc102042283"/>
      <w:bookmarkStart w:id="303" w:name="_Toc102045410"/>
      <w:r w:rsidRPr="00AF0D5C">
        <w:t>Northern Territory</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19833B2E" w14:textId="77777777" w:rsidR="00E646C9" w:rsidRPr="00AF0D5C" w:rsidRDefault="00E646C9" w:rsidP="006B1E6A">
      <w:pPr>
        <w:pStyle w:val="Bullets"/>
        <w:spacing w:after="80"/>
        <w:ind w:right="140"/>
        <w:rPr>
          <w:color w:val="414042" w:themeColor="text1"/>
        </w:rPr>
      </w:pPr>
      <w:r w:rsidRPr="00AF0D5C">
        <w:rPr>
          <w:color w:val="414042" w:themeColor="text1"/>
        </w:rPr>
        <w:t>Northern Territory Police Force</w:t>
      </w:r>
    </w:p>
    <w:p w14:paraId="5A8200BE" w14:textId="6D76BD81" w:rsidR="00E646C9" w:rsidRPr="00AF0D5C" w:rsidRDefault="00E646C9" w:rsidP="006B1E6A">
      <w:pPr>
        <w:pStyle w:val="Bullets"/>
        <w:ind w:right="140"/>
        <w:rPr>
          <w:color w:val="414042" w:themeColor="text1"/>
        </w:rPr>
      </w:pPr>
      <w:r w:rsidRPr="00AF0D5C">
        <w:rPr>
          <w:color w:val="414042" w:themeColor="text1"/>
        </w:rPr>
        <w:t>Office of the Independent Commissioner Against Corruption</w:t>
      </w:r>
      <w:r w:rsidR="007C57D9" w:rsidRPr="00AF0D5C">
        <w:rPr>
          <w:color w:val="414042" w:themeColor="text1"/>
        </w:rPr>
        <w:t xml:space="preserve"> (NT ICAC)</w:t>
      </w:r>
    </w:p>
    <w:p w14:paraId="5FA20E64" w14:textId="4C26CE39" w:rsidR="006A4EC5" w:rsidRPr="00AF0D5C" w:rsidRDefault="006A4EC5" w:rsidP="006B1E6A">
      <w:pPr>
        <w:pStyle w:val="4H-Intro"/>
        <w:ind w:right="140"/>
      </w:pPr>
      <w:bookmarkStart w:id="304" w:name="_Toc102037828"/>
      <w:bookmarkStart w:id="305" w:name="_Toc102038190"/>
      <w:bookmarkStart w:id="306" w:name="_Toc102038551"/>
      <w:bookmarkStart w:id="307" w:name="_Toc102038911"/>
      <w:bookmarkStart w:id="308" w:name="_Toc102039263"/>
      <w:bookmarkStart w:id="309" w:name="_Toc102039618"/>
      <w:bookmarkStart w:id="310" w:name="_Toc102039975"/>
      <w:bookmarkStart w:id="311" w:name="_Toc102040300"/>
      <w:bookmarkStart w:id="312" w:name="_Toc102040634"/>
      <w:bookmarkStart w:id="313" w:name="_Toc102040962"/>
      <w:bookmarkStart w:id="314" w:name="_Toc102041292"/>
      <w:bookmarkStart w:id="315" w:name="_Toc102041624"/>
      <w:bookmarkStart w:id="316" w:name="_Toc102041951"/>
      <w:bookmarkStart w:id="317" w:name="_Toc102042280"/>
      <w:bookmarkStart w:id="318" w:name="_Toc102045411"/>
      <w:bookmarkStart w:id="319" w:name="_Toc102037827"/>
      <w:bookmarkStart w:id="320" w:name="_Toc102038189"/>
      <w:bookmarkStart w:id="321" w:name="_Toc102038550"/>
      <w:bookmarkStart w:id="322" w:name="_Toc102038910"/>
      <w:bookmarkStart w:id="323" w:name="_Toc102039262"/>
      <w:bookmarkStart w:id="324" w:name="_Toc102039617"/>
      <w:bookmarkStart w:id="325" w:name="_Toc102039974"/>
      <w:bookmarkStart w:id="326" w:name="_Toc102040299"/>
      <w:bookmarkStart w:id="327" w:name="_Toc102040633"/>
      <w:bookmarkStart w:id="328" w:name="_Toc102040961"/>
      <w:bookmarkStart w:id="329" w:name="_Toc102041291"/>
      <w:bookmarkStart w:id="330" w:name="_Toc102041623"/>
      <w:bookmarkStart w:id="331" w:name="_Toc102041950"/>
      <w:bookmarkStart w:id="332" w:name="_Toc102042279"/>
      <w:r w:rsidRPr="00AF0D5C">
        <w:t>South Australia</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670EF0A9" w14:textId="4297D16B" w:rsidR="006A4EC5" w:rsidRPr="00AF0D5C" w:rsidRDefault="006A4EC5" w:rsidP="006B1E6A">
      <w:pPr>
        <w:pStyle w:val="Bullets"/>
        <w:spacing w:after="80"/>
        <w:ind w:right="140"/>
        <w:rPr>
          <w:color w:val="414042" w:themeColor="text1"/>
        </w:rPr>
      </w:pPr>
      <w:r w:rsidRPr="00AF0D5C">
        <w:rPr>
          <w:color w:val="414042" w:themeColor="text1"/>
        </w:rPr>
        <w:t>Independent Commission</w:t>
      </w:r>
      <w:r w:rsidR="00F50C60" w:rsidRPr="00AF0D5C">
        <w:rPr>
          <w:color w:val="414042" w:themeColor="text1"/>
        </w:rPr>
        <w:t>er</w:t>
      </w:r>
      <w:r w:rsidRPr="00AF0D5C">
        <w:rPr>
          <w:color w:val="414042" w:themeColor="text1"/>
        </w:rPr>
        <w:t xml:space="preserve"> Against Corruption</w:t>
      </w:r>
      <w:r w:rsidR="00003B0D" w:rsidRPr="00AF0D5C">
        <w:rPr>
          <w:color w:val="414042" w:themeColor="text1"/>
        </w:rPr>
        <w:t xml:space="preserve"> </w:t>
      </w:r>
      <w:r w:rsidR="0088115B" w:rsidRPr="00AF0D5C">
        <w:rPr>
          <w:color w:val="414042" w:themeColor="text1"/>
        </w:rPr>
        <w:br/>
      </w:r>
      <w:r w:rsidR="00003B0D" w:rsidRPr="00AF0D5C">
        <w:rPr>
          <w:color w:val="414042" w:themeColor="text1"/>
        </w:rPr>
        <w:t>(SA ICAC)</w:t>
      </w:r>
    </w:p>
    <w:p w14:paraId="3B7362A6" w14:textId="3150D3D2" w:rsidR="00EF17AA" w:rsidRPr="00AF0D5C" w:rsidRDefault="006A4EC5" w:rsidP="006B1E6A">
      <w:pPr>
        <w:pStyle w:val="Bullets"/>
        <w:spacing w:after="80"/>
        <w:ind w:right="140"/>
        <w:rPr>
          <w:color w:val="414042" w:themeColor="text1"/>
        </w:rPr>
      </w:pPr>
      <w:r w:rsidRPr="00AF0D5C">
        <w:rPr>
          <w:color w:val="414042" w:themeColor="text1"/>
        </w:rPr>
        <w:t>Office for Public Integrity</w:t>
      </w:r>
    </w:p>
    <w:p w14:paraId="0983B1F9" w14:textId="490854F7" w:rsidR="00D766CF" w:rsidRPr="00AF0D5C" w:rsidRDefault="006A4EC5" w:rsidP="006B1E6A">
      <w:pPr>
        <w:pStyle w:val="Bullets"/>
        <w:ind w:right="140"/>
        <w:rPr>
          <w:color w:val="414042" w:themeColor="text1"/>
        </w:rPr>
      </w:pPr>
      <w:r w:rsidRPr="00AF0D5C">
        <w:rPr>
          <w:color w:val="414042" w:themeColor="text1"/>
        </w:rPr>
        <w:t>South Australia Police</w:t>
      </w:r>
      <w:bookmarkStart w:id="333" w:name="_Toc102037830"/>
      <w:bookmarkStart w:id="334" w:name="_Toc102038192"/>
      <w:bookmarkStart w:id="335" w:name="_Toc102038553"/>
      <w:bookmarkStart w:id="336" w:name="_Toc102038913"/>
      <w:bookmarkStart w:id="337" w:name="_Toc102039265"/>
      <w:bookmarkStart w:id="338" w:name="_Toc102039620"/>
      <w:bookmarkStart w:id="339" w:name="_Toc102039977"/>
      <w:bookmarkStart w:id="340" w:name="_Toc102040302"/>
      <w:bookmarkStart w:id="341" w:name="_Toc102040636"/>
      <w:bookmarkStart w:id="342" w:name="_Toc102040964"/>
      <w:bookmarkStart w:id="343" w:name="_Toc102041294"/>
      <w:bookmarkStart w:id="344" w:name="_Toc102041626"/>
      <w:bookmarkStart w:id="345" w:name="_Toc102041953"/>
      <w:bookmarkStart w:id="346" w:name="_Toc102042282"/>
      <w:bookmarkStart w:id="347" w:name="_Toc102045412"/>
      <w:bookmarkStart w:id="348" w:name="_Hlk74221005"/>
      <w:bookmarkEnd w:id="28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14:paraId="1C8D1234" w14:textId="37D830BA" w:rsidR="00A96169" w:rsidRPr="00AF0D5C" w:rsidRDefault="00A96169" w:rsidP="006B1E6A">
      <w:pPr>
        <w:pStyle w:val="4H-Intro"/>
        <w:ind w:right="140"/>
      </w:pPr>
      <w:r w:rsidRPr="00AF0D5C">
        <w:t>Tasmania</w:t>
      </w:r>
    </w:p>
    <w:p w14:paraId="2306837C" w14:textId="6020C1C6" w:rsidR="009A05F8" w:rsidRPr="00AF0D5C" w:rsidRDefault="009A05F8" w:rsidP="006B1E6A">
      <w:pPr>
        <w:pStyle w:val="Bullets"/>
        <w:spacing w:after="80"/>
        <w:ind w:right="140"/>
        <w:rPr>
          <w:color w:val="414042" w:themeColor="text1"/>
        </w:rPr>
      </w:pPr>
      <w:r w:rsidRPr="00AF0D5C">
        <w:rPr>
          <w:color w:val="414042" w:themeColor="text1"/>
        </w:rPr>
        <w:t>Integrity Commission</w:t>
      </w:r>
    </w:p>
    <w:p w14:paraId="790D4D1F" w14:textId="7B6596D9" w:rsidR="00A6165D" w:rsidRPr="00AF0D5C" w:rsidRDefault="009A05F8" w:rsidP="006B1E6A">
      <w:pPr>
        <w:pStyle w:val="Bullets"/>
        <w:ind w:right="140"/>
        <w:rPr>
          <w:color w:val="414042" w:themeColor="text1"/>
        </w:rPr>
      </w:pPr>
      <w:r w:rsidRPr="00AF0D5C">
        <w:rPr>
          <w:color w:val="414042" w:themeColor="text1"/>
        </w:rPr>
        <w:t>Tasmania Police</w:t>
      </w:r>
    </w:p>
    <w:p w14:paraId="747D0FBC" w14:textId="067CB3E0" w:rsidR="00EF17AA" w:rsidRPr="00AF0D5C" w:rsidRDefault="00EF17AA" w:rsidP="006B1E6A">
      <w:pPr>
        <w:pStyle w:val="4H-Intro"/>
        <w:ind w:right="140"/>
      </w:pPr>
      <w:r w:rsidRPr="00AF0D5C">
        <w:t>Victoria</w:t>
      </w:r>
    </w:p>
    <w:p w14:paraId="7CD1A830" w14:textId="2ADA5520" w:rsidR="00EF17AA" w:rsidRPr="00AF0D5C" w:rsidRDefault="00EF17AA" w:rsidP="006B1E6A">
      <w:pPr>
        <w:pStyle w:val="Bullets"/>
        <w:spacing w:after="80"/>
        <w:ind w:right="140"/>
        <w:rPr>
          <w:color w:val="414042" w:themeColor="text1"/>
        </w:rPr>
      </w:pPr>
      <w:r w:rsidRPr="00AF0D5C">
        <w:rPr>
          <w:color w:val="414042" w:themeColor="text1"/>
        </w:rPr>
        <w:t>Independent Broad-based Anti-</w:t>
      </w:r>
      <w:r w:rsidR="004D4F68" w:rsidRPr="00AF0D5C">
        <w:rPr>
          <w:color w:val="414042" w:themeColor="text1"/>
        </w:rPr>
        <w:t>c</w:t>
      </w:r>
      <w:r w:rsidRPr="00AF0D5C">
        <w:rPr>
          <w:color w:val="414042" w:themeColor="text1"/>
        </w:rPr>
        <w:t>orruption Commission</w:t>
      </w:r>
      <w:r w:rsidR="0088115B" w:rsidRPr="00AF0D5C">
        <w:rPr>
          <w:color w:val="414042" w:themeColor="text1"/>
        </w:rPr>
        <w:t xml:space="preserve"> (IBAC)</w:t>
      </w:r>
    </w:p>
    <w:p w14:paraId="35A77D17" w14:textId="3C74210B" w:rsidR="00227D54" w:rsidRPr="00AF0D5C" w:rsidRDefault="00EF17AA" w:rsidP="006B1E6A">
      <w:pPr>
        <w:pStyle w:val="Bullets"/>
        <w:ind w:right="140"/>
        <w:rPr>
          <w:color w:val="414042" w:themeColor="text1"/>
        </w:rPr>
      </w:pPr>
      <w:r w:rsidRPr="00AF0D5C">
        <w:rPr>
          <w:color w:val="414042" w:themeColor="text1"/>
        </w:rPr>
        <w:t>Victoria Police</w:t>
      </w:r>
    </w:p>
    <w:p w14:paraId="6E3EFA61" w14:textId="77777777" w:rsidR="00EF17AA" w:rsidRPr="00AF0D5C" w:rsidRDefault="00EF17AA" w:rsidP="006B1E6A">
      <w:pPr>
        <w:pStyle w:val="4H-Intro"/>
        <w:ind w:right="140"/>
      </w:pPr>
      <w:r w:rsidRPr="00AF0D5C">
        <w:t>Western Australia</w:t>
      </w:r>
    </w:p>
    <w:p w14:paraId="01185719" w14:textId="3747416B" w:rsidR="00EF17AA" w:rsidRPr="00AF0D5C" w:rsidRDefault="00EF17AA" w:rsidP="006B1E6A">
      <w:pPr>
        <w:pStyle w:val="Bullets"/>
        <w:spacing w:after="80"/>
        <w:ind w:right="140"/>
        <w:rPr>
          <w:color w:val="414042" w:themeColor="text1"/>
        </w:rPr>
      </w:pPr>
      <w:r w:rsidRPr="00AF0D5C">
        <w:rPr>
          <w:color w:val="414042" w:themeColor="text1"/>
        </w:rPr>
        <w:t>Corruption and Crime Commission</w:t>
      </w:r>
      <w:r w:rsidR="0088115B" w:rsidRPr="00AF0D5C">
        <w:rPr>
          <w:color w:val="414042" w:themeColor="text1"/>
        </w:rPr>
        <w:t xml:space="preserve"> (WA CCC)</w:t>
      </w:r>
    </w:p>
    <w:p w14:paraId="11CB09AA" w14:textId="573E4457" w:rsidR="002532BF" w:rsidRPr="00AF0D5C" w:rsidRDefault="00B00C70" w:rsidP="006B1E6A">
      <w:pPr>
        <w:pStyle w:val="Bullets"/>
        <w:spacing w:after="240"/>
        <w:ind w:right="140"/>
        <w:rPr>
          <w:color w:val="414042" w:themeColor="text1"/>
        </w:rPr>
      </w:pPr>
      <w:r w:rsidRPr="00AF0D5C">
        <w:rPr>
          <w:color w:val="414042" w:themeColor="text1"/>
        </w:rPr>
        <w:t>Western Australian Police Force</w:t>
      </w:r>
    </w:p>
    <w:bookmarkEnd w:id="348"/>
    <w:p w14:paraId="11AA5773" w14:textId="1AC8BE44" w:rsidR="001630D1" w:rsidRPr="009D0EE5" w:rsidRDefault="001630D1" w:rsidP="006B1E6A">
      <w:pPr>
        <w:pStyle w:val="8Crossref"/>
        <w:ind w:right="140"/>
      </w:pPr>
      <w:r w:rsidRPr="00AF0D5C">
        <w:t xml:space="preserve">For more information on our internal and external oversight bodies, see pages </w:t>
      </w:r>
      <w:r w:rsidR="00531691" w:rsidRPr="00AF0D5C">
        <w:t>64</w:t>
      </w:r>
      <w:r w:rsidRPr="00AF0D5C">
        <w:t>–</w:t>
      </w:r>
      <w:r w:rsidR="00531691" w:rsidRPr="00AF0D5C">
        <w:t>6</w:t>
      </w:r>
      <w:r w:rsidR="004946B6">
        <w:t>9</w:t>
      </w:r>
      <w:r w:rsidRPr="00AF0D5C">
        <w:t>.</w:t>
      </w:r>
    </w:p>
    <w:p w14:paraId="0C9CA66C" w14:textId="6A81D3E1" w:rsidR="001630D1" w:rsidRPr="00AF0D5C" w:rsidRDefault="001630D1" w:rsidP="00F91569">
      <w:pPr>
        <w:rPr>
          <w:color w:val="414042" w:themeColor="text1"/>
        </w:rPr>
        <w:sectPr w:rsidR="001630D1" w:rsidRPr="00AF0D5C" w:rsidSect="00C77834">
          <w:headerReference w:type="even" r:id="rId79"/>
          <w:headerReference w:type="default" r:id="rId80"/>
          <w:footerReference w:type="default" r:id="rId81"/>
          <w:headerReference w:type="first" r:id="rId82"/>
          <w:type w:val="continuous"/>
          <w:pgSz w:w="11906" w:h="16838" w:code="9"/>
          <w:pgMar w:top="2155" w:right="1134" w:bottom="964" w:left="1134" w:header="720" w:footer="284" w:gutter="0"/>
          <w:cols w:num="2" w:space="567"/>
          <w:noEndnote/>
          <w:docGrid w:linePitch="272"/>
        </w:sectPr>
      </w:pPr>
    </w:p>
    <w:p w14:paraId="5BAB5F6E" w14:textId="5C824732" w:rsidR="00703F5F" w:rsidRPr="00AF0D5C" w:rsidRDefault="00703F5F" w:rsidP="00B82BCB">
      <w:pPr>
        <w:pStyle w:val="2Heading"/>
        <w:sectPr w:rsidR="00703F5F" w:rsidRPr="00AF0D5C" w:rsidSect="00F015F5">
          <w:headerReference w:type="even" r:id="rId83"/>
          <w:headerReference w:type="default" r:id="rId84"/>
          <w:footerReference w:type="default" r:id="rId85"/>
          <w:headerReference w:type="first" r:id="rId86"/>
          <w:type w:val="continuous"/>
          <w:pgSz w:w="11906" w:h="16838" w:code="9"/>
          <w:pgMar w:top="2155" w:right="1134" w:bottom="964" w:left="1134" w:header="720" w:footer="284" w:gutter="0"/>
          <w:cols w:space="567"/>
          <w:noEndnote/>
          <w:docGrid w:linePitch="272"/>
        </w:sectPr>
      </w:pPr>
      <w:bookmarkStart w:id="349" w:name="_Toc102037834"/>
      <w:bookmarkStart w:id="350" w:name="_Toc102038196"/>
      <w:bookmarkStart w:id="351" w:name="_Toc102038557"/>
      <w:bookmarkStart w:id="352" w:name="_Toc102038917"/>
      <w:bookmarkStart w:id="353" w:name="_Toc102039269"/>
      <w:bookmarkStart w:id="354" w:name="_Toc102039624"/>
      <w:bookmarkStart w:id="355" w:name="_Toc102039981"/>
      <w:bookmarkStart w:id="356" w:name="_Toc102040306"/>
      <w:bookmarkStart w:id="357" w:name="_Toc102040640"/>
      <w:bookmarkStart w:id="358" w:name="_Toc102040968"/>
      <w:bookmarkStart w:id="359" w:name="_Toc102041298"/>
      <w:bookmarkStart w:id="360" w:name="_Toc102041630"/>
      <w:bookmarkStart w:id="361" w:name="_Toc102041957"/>
      <w:bookmarkStart w:id="362" w:name="_Toc102042286"/>
      <w:bookmarkStart w:id="363" w:name="_Toc102045416"/>
      <w:bookmarkStart w:id="364" w:name="HowWeWork"/>
      <w:bookmarkStart w:id="365" w:name="_Hlk74221138"/>
      <w:r w:rsidRPr="00AF0D5C">
        <w:t xml:space="preserve">How we work </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5FB91925" w14:textId="64AB80CC" w:rsidR="00703F5F" w:rsidRPr="00AF0D5C" w:rsidRDefault="003F3187" w:rsidP="006B1E6A">
      <w:pPr>
        <w:pStyle w:val="3Heading-highlight"/>
        <w:ind w:right="140"/>
      </w:pPr>
      <w:bookmarkStart w:id="366" w:name="_Toc102037835"/>
      <w:bookmarkStart w:id="367" w:name="_Toc102038197"/>
      <w:bookmarkStart w:id="368" w:name="_Toc102038558"/>
      <w:bookmarkStart w:id="369" w:name="_Toc102038918"/>
      <w:bookmarkStart w:id="370" w:name="_Toc102039270"/>
      <w:bookmarkStart w:id="371" w:name="_Toc102039625"/>
      <w:bookmarkStart w:id="372" w:name="_Toc102039982"/>
      <w:bookmarkStart w:id="373" w:name="_Toc102040307"/>
      <w:bookmarkStart w:id="374" w:name="_Toc102040641"/>
      <w:bookmarkStart w:id="375" w:name="_Toc102040969"/>
      <w:bookmarkStart w:id="376" w:name="_Toc102041299"/>
      <w:bookmarkStart w:id="377" w:name="_Toc102041631"/>
      <w:bookmarkStart w:id="378" w:name="_Toc102041958"/>
      <w:bookmarkStart w:id="379" w:name="_Toc102042287"/>
      <w:bookmarkStart w:id="380" w:name="_Toc102045417"/>
      <w:bookmarkEnd w:id="364"/>
      <w:r w:rsidRPr="00AF0D5C">
        <w:t>Combating</w:t>
      </w:r>
      <w:r w:rsidR="00703F5F" w:rsidRPr="00AF0D5C">
        <w:t xml:space="preserve"> major crime</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7A43A923" w14:textId="77777777" w:rsidR="00F50C60" w:rsidRPr="00AF0D5C" w:rsidRDefault="00F50C60" w:rsidP="006B1E6A">
      <w:pPr>
        <w:ind w:right="140"/>
        <w:rPr>
          <w:color w:val="414042" w:themeColor="text1"/>
        </w:rPr>
      </w:pPr>
      <w:bookmarkStart w:id="381" w:name="_Toc102037836"/>
      <w:bookmarkStart w:id="382" w:name="_Toc102038198"/>
      <w:bookmarkStart w:id="383" w:name="_Toc102038559"/>
      <w:bookmarkStart w:id="384" w:name="_Toc102038919"/>
      <w:bookmarkStart w:id="385" w:name="_Toc102039271"/>
      <w:bookmarkStart w:id="386" w:name="_Toc102039626"/>
      <w:bookmarkStart w:id="387" w:name="_Toc102039983"/>
      <w:bookmarkStart w:id="388" w:name="_Toc102040308"/>
      <w:bookmarkStart w:id="389" w:name="_Toc102040642"/>
      <w:bookmarkStart w:id="390" w:name="_Toc102040970"/>
      <w:bookmarkStart w:id="391" w:name="_Toc102041300"/>
      <w:bookmarkStart w:id="392" w:name="_Toc102041632"/>
      <w:bookmarkStart w:id="393" w:name="_Toc102041959"/>
      <w:bookmarkStart w:id="394" w:name="_Toc102042288"/>
      <w:bookmarkStart w:id="395" w:name="_Toc102045418"/>
      <w:bookmarkStart w:id="396" w:name="_Hlk73708825"/>
      <w:bookmarkEnd w:id="365"/>
      <w:r w:rsidRPr="00AF0D5C">
        <w:rPr>
          <w:color w:val="414042" w:themeColor="text1"/>
        </w:rPr>
        <w:t>We focus our efforts on the criminals and criminal organisations who cause the most harm to our community through crimes such as drug trafficking, money laundering, child abuse and sexual exploitation and homicide.</w:t>
      </w:r>
    </w:p>
    <w:p w14:paraId="10A95B09" w14:textId="47C2A916" w:rsidR="00D131E7" w:rsidRPr="00AF0D5C" w:rsidRDefault="00D131E7" w:rsidP="006B1E6A">
      <w:pPr>
        <w:ind w:right="140"/>
        <w:rPr>
          <w:color w:val="414042" w:themeColor="text1"/>
        </w:rPr>
      </w:pPr>
      <w:r w:rsidRPr="00AF0D5C">
        <w:rPr>
          <w:color w:val="414042" w:themeColor="text1"/>
        </w:rPr>
        <w:t>We undertake investigations and intelligence operations into serious and organised crime and can take action to confiscate the suspected proceeds or benefits derived from serious crimes. We may also engage our research, prevention, and intelligence functions to support these activities and, more broadly, our role in reducing the incidence of major crime.</w:t>
      </w:r>
    </w:p>
    <w:p w14:paraId="068C8790" w14:textId="77777777" w:rsidR="00D131E7" w:rsidRPr="00AF0D5C" w:rsidRDefault="00D131E7" w:rsidP="006B1E6A">
      <w:pPr>
        <w:ind w:right="140"/>
        <w:rPr>
          <w:color w:val="414042" w:themeColor="text1"/>
        </w:rPr>
      </w:pPr>
      <w:r w:rsidRPr="00AF0D5C">
        <w:rPr>
          <w:color w:val="414042" w:themeColor="text1"/>
        </w:rPr>
        <w:t>Our interdisciplinary teams and hearing powers provide a powerful capability for investigating crime and gathering critical intelligence. We use these capabilities to support our law enforcement partners by sharing intelligence and by assisting them to advance their investigations by securing otherwise unobtainable evidence and intelligence.</w:t>
      </w:r>
    </w:p>
    <w:p w14:paraId="137AE35D" w14:textId="6B4642B5" w:rsidR="00A55B01" w:rsidRPr="00AF0D5C" w:rsidRDefault="00D131E7" w:rsidP="006B1E6A">
      <w:pPr>
        <w:pStyle w:val="NormalWeb"/>
        <w:spacing w:beforeAutospacing="0" w:afterAutospacing="0"/>
        <w:ind w:right="140"/>
        <w:rPr>
          <w:rFonts w:ascii="Calibri Light" w:eastAsiaTheme="minorHAnsi" w:hAnsi="Calibri Light" w:cstheme="minorBidi"/>
          <w:color w:val="414042" w:themeColor="text1"/>
          <w:sz w:val="20"/>
          <w:szCs w:val="22"/>
          <w:lang w:eastAsia="en-US"/>
        </w:rPr>
      </w:pPr>
      <w:r w:rsidRPr="00AF0D5C">
        <w:rPr>
          <w:rFonts w:ascii="Calibri Light" w:eastAsiaTheme="minorHAnsi" w:hAnsi="Calibri Light" w:cstheme="minorBidi"/>
          <w:color w:val="414042" w:themeColor="text1"/>
          <w:sz w:val="20"/>
          <w:szCs w:val="22"/>
          <w:lang w:eastAsia="en-US"/>
        </w:rPr>
        <w:t xml:space="preserve">We are responsible for administering the civil confiscation and serious drug offender confiscation order schemes under the </w:t>
      </w:r>
      <w:r w:rsidRPr="00AF0D5C">
        <w:rPr>
          <w:rFonts w:ascii="Calibri Light" w:eastAsiaTheme="minorHAnsi" w:hAnsi="Calibri Light" w:cstheme="minorBidi"/>
          <w:i/>
          <w:iCs/>
          <w:color w:val="414042" w:themeColor="text1"/>
          <w:sz w:val="20"/>
          <w:szCs w:val="22"/>
          <w:lang w:eastAsia="en-US"/>
        </w:rPr>
        <w:t>Criminal Proceeds Confiscation Act 2002</w:t>
      </w:r>
      <w:r w:rsidRPr="00AF0D5C">
        <w:rPr>
          <w:color w:val="414042" w:themeColor="text1"/>
        </w:rPr>
        <w:t xml:space="preserve">. </w:t>
      </w:r>
      <w:r w:rsidR="00A55B01" w:rsidRPr="00AF0D5C">
        <w:rPr>
          <w:rFonts w:ascii="Calibri Light" w:eastAsiaTheme="minorHAnsi" w:hAnsi="Calibri Light" w:cstheme="minorBidi"/>
          <w:color w:val="414042" w:themeColor="text1"/>
          <w:sz w:val="20"/>
          <w:szCs w:val="22"/>
          <w:lang w:eastAsia="en-US"/>
        </w:rPr>
        <w:t>These schemes enable the removal of financial benefits from serious drug and other serious crime-related activity, which is a strong deterrent for those motivated by financial gain and who engage in or plan to engage in offending.</w:t>
      </w:r>
    </w:p>
    <w:p w14:paraId="7BBE45B9" w14:textId="51F5AD74" w:rsidR="00DA23C2" w:rsidRPr="00AF0D5C" w:rsidRDefault="00D131E7" w:rsidP="006B1E6A">
      <w:pPr>
        <w:spacing w:before="160"/>
        <w:ind w:right="140"/>
        <w:rPr>
          <w:color w:val="414042" w:themeColor="text1"/>
        </w:rPr>
      </w:pPr>
      <w:r w:rsidRPr="00AF0D5C">
        <w:rPr>
          <w:color w:val="414042" w:themeColor="text1"/>
        </w:rPr>
        <w:t>.</w:t>
      </w:r>
      <w:r w:rsidR="00DA23C2" w:rsidRPr="00AF0D5C">
        <w:rPr>
          <w:color w:val="414042" w:themeColor="text1"/>
        </w:rPr>
        <w:br w:type="column"/>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00DA23C2" w:rsidRPr="006B1E6A">
        <w:rPr>
          <w:rStyle w:val="3Heading-highlightChar"/>
          <w:rFonts w:eastAsiaTheme="minorHAnsi"/>
        </w:rPr>
        <w:t>Investigating corruption</w:t>
      </w:r>
    </w:p>
    <w:p w14:paraId="0E740F82" w14:textId="17DBF8C9" w:rsidR="008C5EC7" w:rsidRPr="00AF0D5C" w:rsidRDefault="008C5EC7" w:rsidP="006B1E6A">
      <w:pPr>
        <w:ind w:right="140"/>
        <w:rPr>
          <w:color w:val="414042" w:themeColor="text1"/>
        </w:rPr>
      </w:pPr>
      <w:r w:rsidRPr="00AF0D5C">
        <w:rPr>
          <w:color w:val="414042" w:themeColor="text1"/>
        </w:rPr>
        <w:t xml:space="preserve">We investigate reports of corrupt conduct affecting Queensland public sector agencies (also referred to as </w:t>
      </w:r>
      <w:r w:rsidR="003F3187" w:rsidRPr="00AF0D5C">
        <w:rPr>
          <w:color w:val="414042" w:themeColor="text1"/>
        </w:rPr>
        <w:t>Units of Public Administration [</w:t>
      </w:r>
      <w:r w:rsidRPr="00AF0D5C">
        <w:rPr>
          <w:color w:val="414042" w:themeColor="text1"/>
        </w:rPr>
        <w:t>UPAs</w:t>
      </w:r>
      <w:r w:rsidR="003F3187" w:rsidRPr="00AF0D5C">
        <w:rPr>
          <w:color w:val="414042" w:themeColor="text1"/>
        </w:rPr>
        <w:t>]</w:t>
      </w:r>
      <w:r w:rsidRPr="00AF0D5C">
        <w:rPr>
          <w:color w:val="414042" w:themeColor="text1"/>
          <w:vertAlign w:val="superscript"/>
        </w:rPr>
        <w:footnoteReference w:id="2"/>
      </w:r>
      <w:r w:rsidRPr="00AF0D5C">
        <w:rPr>
          <w:color w:val="414042" w:themeColor="text1"/>
        </w:rPr>
        <w:t xml:space="preserve">). This corrupt conduct can come in many forms but involves </w:t>
      </w:r>
      <w:r w:rsidR="005028EA" w:rsidRPr="00AF0D5C">
        <w:rPr>
          <w:color w:val="414042" w:themeColor="text1"/>
        </w:rPr>
        <w:t xml:space="preserve">a public sector employee or official </w:t>
      </w:r>
      <w:r w:rsidRPr="00AF0D5C">
        <w:rPr>
          <w:color w:val="414042" w:themeColor="text1"/>
        </w:rPr>
        <w:t xml:space="preserve">using </w:t>
      </w:r>
      <w:r w:rsidR="004357A6" w:rsidRPr="00AF0D5C">
        <w:rPr>
          <w:color w:val="414042" w:themeColor="text1"/>
        </w:rPr>
        <w:t xml:space="preserve">their </w:t>
      </w:r>
      <w:r w:rsidR="006B367E" w:rsidRPr="00AF0D5C">
        <w:rPr>
          <w:color w:val="414042" w:themeColor="text1"/>
        </w:rPr>
        <w:t>position</w:t>
      </w:r>
      <w:r w:rsidRPr="00AF0D5C">
        <w:rPr>
          <w:color w:val="414042" w:themeColor="text1"/>
        </w:rPr>
        <w:t>, information, funds or property for personal gain</w:t>
      </w:r>
      <w:r w:rsidR="00DA1414" w:rsidRPr="00AF0D5C">
        <w:rPr>
          <w:color w:val="414042" w:themeColor="text1"/>
        </w:rPr>
        <w:t>.</w:t>
      </w:r>
      <w:r w:rsidRPr="00AF0D5C">
        <w:rPr>
          <w:color w:val="414042" w:themeColor="text1"/>
        </w:rPr>
        <w:t xml:space="preserve"> </w:t>
      </w:r>
    </w:p>
    <w:p w14:paraId="1583B7CF" w14:textId="6164F961" w:rsidR="008C5EC7" w:rsidRPr="00AF0D5C" w:rsidRDefault="008C5EC7" w:rsidP="006B1E6A">
      <w:pPr>
        <w:ind w:right="140"/>
        <w:rPr>
          <w:color w:val="414042" w:themeColor="text1"/>
        </w:rPr>
      </w:pPr>
      <w:r w:rsidRPr="00AF0D5C">
        <w:rPr>
          <w:color w:val="414042" w:themeColor="text1"/>
        </w:rPr>
        <w:t xml:space="preserve">The complaints that we receive (including notifications from a UPA) are the principal starting point for most of our investigations and they can be a significant indicator of emerging corruption risks and issues across the public sector. During an investigation, we may discover patterns of behaviour, out-of-date policies or ineffective legislation and can undertake prevention activities to </w:t>
      </w:r>
      <w:r w:rsidR="00F12F3A" w:rsidRPr="00AF0D5C">
        <w:rPr>
          <w:color w:val="414042" w:themeColor="text1"/>
        </w:rPr>
        <w:t xml:space="preserve">raise standards of integrity by </w:t>
      </w:r>
      <w:r w:rsidRPr="00AF0D5C">
        <w:rPr>
          <w:color w:val="414042" w:themeColor="text1"/>
        </w:rPr>
        <w:t>implement</w:t>
      </w:r>
      <w:r w:rsidR="00F12F3A" w:rsidRPr="00AF0D5C">
        <w:rPr>
          <w:color w:val="414042" w:themeColor="text1"/>
        </w:rPr>
        <w:t>ing</w:t>
      </w:r>
      <w:r w:rsidRPr="00AF0D5C">
        <w:rPr>
          <w:color w:val="414042" w:themeColor="text1"/>
        </w:rPr>
        <w:t xml:space="preserve"> change and educat</w:t>
      </w:r>
      <w:r w:rsidR="00F12F3A" w:rsidRPr="00AF0D5C">
        <w:rPr>
          <w:color w:val="414042" w:themeColor="text1"/>
        </w:rPr>
        <w:t>ing</w:t>
      </w:r>
      <w:r w:rsidRPr="00AF0D5C">
        <w:rPr>
          <w:color w:val="414042" w:themeColor="text1"/>
        </w:rPr>
        <w:t xml:space="preserve"> the public sector.</w:t>
      </w:r>
    </w:p>
    <w:p w14:paraId="792F41E8" w14:textId="77777777" w:rsidR="008C5EC7" w:rsidRPr="00AF0D5C" w:rsidRDefault="008C5EC7" w:rsidP="006B1E6A">
      <w:pPr>
        <w:ind w:right="140"/>
        <w:rPr>
          <w:color w:val="414042" w:themeColor="text1"/>
        </w:rPr>
      </w:pPr>
      <w:r w:rsidRPr="00AF0D5C">
        <w:rPr>
          <w:color w:val="414042" w:themeColor="text1"/>
        </w:rPr>
        <w:t>We cannot investigate every matter ourselves. Our legislation mandates that we focus on the most serious and systemic issues of corruption and so, in line with our legislation, we refer a significant body of complaints to other agencies for their action, using various mechanisms to monitor and give feedback on their management of complaints. By doing so, we ensure agencies’ accountability for both the integrity of their investigations and their outcomes, to increase public confidence in the workings of the public sector.</w:t>
      </w:r>
    </w:p>
    <w:p w14:paraId="25006CF3" w14:textId="79BFF05A" w:rsidR="008C5EC7" w:rsidRPr="00AF0D5C" w:rsidRDefault="008C5EC7" w:rsidP="006B1E6A">
      <w:pPr>
        <w:ind w:right="140"/>
        <w:rPr>
          <w:color w:val="414042" w:themeColor="text1"/>
        </w:rPr>
      </w:pPr>
      <w:r w:rsidRPr="00AF0D5C">
        <w:rPr>
          <w:color w:val="414042" w:themeColor="text1"/>
        </w:rPr>
        <w:t>Each stage of the complaints process — intake and assessment, referral, monitoring, investigation and outcome — also provides us with valuable insights about conduct, attitudes and corruption risks within Queensland’s public sector. Strategic intelligence, research and data analysis enable us to determine where we need to focus our own resources, expertise and use of special powers, and how we can best support agencies to deal with their own integrity challenges.</w:t>
      </w:r>
    </w:p>
    <w:p w14:paraId="583A571D" w14:textId="77777777" w:rsidR="0051033A" w:rsidRPr="00AF0D5C" w:rsidRDefault="0051033A" w:rsidP="00E222BF">
      <w:pPr>
        <w:rPr>
          <w:color w:val="414042" w:themeColor="text1"/>
        </w:rPr>
      </w:pPr>
    </w:p>
    <w:p w14:paraId="2F196289" w14:textId="3FBD322A" w:rsidR="0051033A" w:rsidRPr="00AF0D5C" w:rsidRDefault="0051033A" w:rsidP="00E222BF">
      <w:pPr>
        <w:rPr>
          <w:color w:val="414042" w:themeColor="text1"/>
        </w:rPr>
        <w:sectPr w:rsidR="0051033A" w:rsidRPr="00AF0D5C" w:rsidSect="00C77834">
          <w:type w:val="continuous"/>
          <w:pgSz w:w="11906" w:h="16838" w:code="9"/>
          <w:pgMar w:top="2155" w:right="1134" w:bottom="964" w:left="1134" w:header="720" w:footer="284" w:gutter="0"/>
          <w:cols w:num="2" w:space="567"/>
          <w:noEndnote/>
          <w:docGrid w:linePitch="272"/>
          <w15:footnoteColumns w:val="1"/>
        </w:sectPr>
      </w:pPr>
    </w:p>
    <w:p w14:paraId="6362AB68" w14:textId="77777777" w:rsidR="00811C7B" w:rsidRPr="00AF0D5C" w:rsidRDefault="00811C7B" w:rsidP="00C903A2">
      <w:pPr>
        <w:pStyle w:val="Heading3"/>
        <w:sectPr w:rsidR="00811C7B" w:rsidRPr="00AF0D5C" w:rsidSect="00C77834">
          <w:headerReference w:type="even" r:id="rId87"/>
          <w:headerReference w:type="default" r:id="rId88"/>
          <w:footerReference w:type="default" r:id="rId89"/>
          <w:headerReference w:type="first" r:id="rId90"/>
          <w:type w:val="continuous"/>
          <w:pgSz w:w="11906" w:h="16838" w:code="9"/>
          <w:pgMar w:top="2155" w:right="1134" w:bottom="964" w:left="1134" w:header="720" w:footer="284" w:gutter="0"/>
          <w:cols w:num="2" w:space="567"/>
          <w:noEndnote/>
          <w:docGrid w:linePitch="272"/>
        </w:sectPr>
      </w:pPr>
    </w:p>
    <w:p w14:paraId="2C508907" w14:textId="6193A3FF" w:rsidR="00703F5F" w:rsidRPr="006B1E6A" w:rsidRDefault="009C5DF3" w:rsidP="006B1E6A">
      <w:pPr>
        <w:pStyle w:val="3Heading-highlight"/>
        <w:ind w:right="91"/>
      </w:pPr>
      <w:r>
        <mc:AlternateContent>
          <mc:Choice Requires="wps">
            <w:drawing>
              <wp:anchor distT="0" distB="0" distL="114300" distR="114300" simplePos="0" relativeHeight="252545024" behindDoc="1" locked="0" layoutInCell="1" allowOverlap="1" wp14:anchorId="780759D4" wp14:editId="63006BAA">
                <wp:simplePos x="0" y="0"/>
                <wp:positionH relativeFrom="column">
                  <wp:posOffset>3267075</wp:posOffset>
                </wp:positionH>
                <wp:positionV relativeFrom="paragraph">
                  <wp:posOffset>151765</wp:posOffset>
                </wp:positionV>
                <wp:extent cx="2785110" cy="0"/>
                <wp:effectExtent l="0" t="0" r="0" b="0"/>
                <wp:wrapTight wrapText="bothSides">
                  <wp:wrapPolygon edited="0">
                    <wp:start x="0" y="0"/>
                    <wp:lineTo x="0" y="21600"/>
                    <wp:lineTo x="21600" y="21600"/>
                    <wp:lineTo x="21600" y="0"/>
                  </wp:wrapPolygon>
                </wp:wrapTight>
                <wp:docPr id="1519119328" name="Straight Connector 2"/>
                <wp:cNvGraphicFramePr/>
                <a:graphic xmlns:a="http://schemas.openxmlformats.org/drawingml/2006/main">
                  <a:graphicData uri="http://schemas.microsoft.com/office/word/2010/wordprocessingShape">
                    <wps:wsp>
                      <wps:cNvCnPr/>
                      <wps:spPr>
                        <a:xfrm>
                          <a:off x="0" y="0"/>
                          <a:ext cx="2785110" cy="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C9FD44" id="Straight Connector 2" o:spid="_x0000_s1026" style="position:absolute;z-index:-25077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25pt,11.95pt" to="476.5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" stroked="f" strokeweight=".5pt">
                <v:stroke joinstyle="miter"/>
                <w10:wrap type="tight"/>
              </v:line>
            </w:pict>
          </mc:Fallback>
        </mc:AlternateContent>
      </w:r>
      <w:r w:rsidR="00703F5F" w:rsidRPr="006B1E6A">
        <w:t>Preventing crime and corruption</w:t>
      </w:r>
    </w:p>
    <w:p w14:paraId="62544D00" w14:textId="792BC0E2" w:rsidR="00B53F17" w:rsidRPr="00AF0D5C" w:rsidRDefault="00E277FC" w:rsidP="006B1E6A">
      <w:pPr>
        <w:spacing w:before="100" w:after="100"/>
        <w:ind w:right="91"/>
        <w:rPr>
          <w:color w:val="414042" w:themeColor="text1"/>
        </w:rPr>
      </w:pPr>
      <w:r w:rsidRPr="00AF0D5C">
        <w:rPr>
          <w:color w:val="414042" w:themeColor="text1"/>
        </w:rPr>
        <w:t xml:space="preserve">The CCC takes a proactive approach to </w:t>
      </w:r>
      <w:r w:rsidR="00B53F17" w:rsidRPr="00AF0D5C">
        <w:rPr>
          <w:color w:val="414042" w:themeColor="text1"/>
        </w:rPr>
        <w:t>reducing the incidence of major crime and corruption within the Queensland community. We work collaboratively with our key stakeholders by sharing information and building capability for identifying and preventing major crime and corruption.</w:t>
      </w:r>
    </w:p>
    <w:p w14:paraId="571ADD07" w14:textId="53749F09" w:rsidR="00B53F17" w:rsidRPr="00AF0D5C" w:rsidRDefault="00B53F17" w:rsidP="006B1E6A">
      <w:pPr>
        <w:spacing w:before="100" w:after="100"/>
        <w:ind w:right="91"/>
        <w:rPr>
          <w:color w:val="414042" w:themeColor="text1"/>
        </w:rPr>
      </w:pPr>
      <w:r w:rsidRPr="00AF0D5C">
        <w:rPr>
          <w:color w:val="414042" w:themeColor="text1"/>
        </w:rPr>
        <w:t>Our considered approach to prevention ensures we respond effectively to emerging crime and corruption risks with the highest potential impact on the Queensland community.</w:t>
      </w:r>
    </w:p>
    <w:p w14:paraId="479C6DBA" w14:textId="6DB699DD" w:rsidR="00194CF3" w:rsidRPr="00AF0D5C" w:rsidRDefault="00194CF3" w:rsidP="006B1E6A">
      <w:pPr>
        <w:pStyle w:val="NormalWeb"/>
        <w:spacing w:beforeAutospacing="0" w:afterAutospacing="0"/>
        <w:ind w:right="91"/>
        <w:rPr>
          <w:rFonts w:ascii="Calibri Light" w:eastAsiaTheme="minorHAnsi" w:hAnsi="Calibri Light" w:cstheme="minorBidi"/>
          <w:color w:val="414042" w:themeColor="text1"/>
          <w:sz w:val="20"/>
          <w:szCs w:val="22"/>
          <w:lang w:eastAsia="en-US"/>
        </w:rPr>
      </w:pPr>
      <w:r w:rsidRPr="00AF0D5C">
        <w:rPr>
          <w:rFonts w:ascii="Calibri Light" w:eastAsiaTheme="minorHAnsi" w:hAnsi="Calibri Light" w:cstheme="minorBidi"/>
          <w:color w:val="414042" w:themeColor="text1"/>
          <w:sz w:val="20"/>
          <w:szCs w:val="22"/>
          <w:lang w:eastAsia="en-US"/>
        </w:rPr>
        <w:t>We work to prevent major crime by gathering critical intelligence and information about the methods and systems that criminal organisations and their participants use. This information increases our capability to respond to threats and opportunities posed by high-risk crime groups and enables resource allocation based on assessed level of threat and harm. We also share this information with our law enforcement partners.</w:t>
      </w:r>
      <w:r w:rsidR="00FF7399" w:rsidRPr="00AF0D5C">
        <w:rPr>
          <w:rFonts w:ascii="Calibri Light" w:eastAsiaTheme="minorHAnsi" w:hAnsi="Calibri Light" w:cstheme="minorBidi"/>
          <w:color w:val="414042" w:themeColor="text1"/>
          <w:sz w:val="20"/>
          <w:szCs w:val="22"/>
          <w:lang w:eastAsia="en-US"/>
        </w:rPr>
        <w:t xml:space="preserve"> We work to remove the financial benefit from criminal activity which also prevents reinvestment of these profits into ongoing criminal activities.</w:t>
      </w:r>
    </w:p>
    <w:p w14:paraId="4B3A350E" w14:textId="668F13C1" w:rsidR="008C5EC7" w:rsidRPr="00AF0D5C" w:rsidRDefault="008C5EC7" w:rsidP="006B1E6A">
      <w:pPr>
        <w:spacing w:before="100" w:after="100"/>
        <w:ind w:right="91"/>
        <w:rPr>
          <w:color w:val="414042" w:themeColor="text1"/>
          <w:spacing w:val="-6"/>
        </w:rPr>
      </w:pPr>
      <w:r w:rsidRPr="00AF0D5C">
        <w:rPr>
          <w:color w:val="414042" w:themeColor="text1"/>
          <w:spacing w:val="-6"/>
        </w:rPr>
        <w:t xml:space="preserve">Prevention is a key tool in reducing corruption, and a fundamental focus of the CCC. </w:t>
      </w:r>
      <w:bookmarkStart w:id="397" w:name="_Hlk169266727"/>
      <w:r w:rsidRPr="00AF0D5C">
        <w:rPr>
          <w:color w:val="414042" w:themeColor="text1"/>
          <w:spacing w:val="-6"/>
        </w:rPr>
        <w:t xml:space="preserve">We take a proactive and data-led approach to preventing corruption and strengthening integrity across the public sector. </w:t>
      </w:r>
      <w:bookmarkEnd w:id="397"/>
      <w:r w:rsidR="00E233D6" w:rsidRPr="00AF0D5C">
        <w:rPr>
          <w:color w:val="414042" w:themeColor="text1"/>
          <w:spacing w:val="-6"/>
        </w:rPr>
        <w:t>As part of the</w:t>
      </w:r>
      <w:r w:rsidRPr="00AF0D5C">
        <w:rPr>
          <w:color w:val="414042" w:themeColor="text1"/>
          <w:spacing w:val="-6"/>
        </w:rPr>
        <w:t xml:space="preserve"> Corruption Strategy, we have </w:t>
      </w:r>
      <w:r w:rsidR="00E233D6" w:rsidRPr="00AF0D5C">
        <w:rPr>
          <w:color w:val="414042" w:themeColor="text1"/>
          <w:spacing w:val="-6"/>
        </w:rPr>
        <w:t>reviewed</w:t>
      </w:r>
      <w:r w:rsidRPr="00AF0D5C">
        <w:rPr>
          <w:color w:val="414042" w:themeColor="text1"/>
          <w:spacing w:val="-6"/>
        </w:rPr>
        <w:t xml:space="preserve"> our corruption prevention and engagement function to ensure our services are informed by data and insights, </w:t>
      </w:r>
      <w:r w:rsidR="00E233D6" w:rsidRPr="00AF0D5C">
        <w:rPr>
          <w:color w:val="414042" w:themeColor="text1"/>
          <w:spacing w:val="-6"/>
        </w:rPr>
        <w:t xml:space="preserve">and </w:t>
      </w:r>
      <w:r w:rsidRPr="00AF0D5C">
        <w:rPr>
          <w:color w:val="414042" w:themeColor="text1"/>
          <w:spacing w:val="-6"/>
        </w:rPr>
        <w:t>are responsive to the needs of our stakeholders</w:t>
      </w:r>
      <w:r w:rsidR="00E233D6" w:rsidRPr="00AF0D5C">
        <w:rPr>
          <w:color w:val="414042" w:themeColor="text1"/>
          <w:spacing w:val="-6"/>
        </w:rPr>
        <w:t>.</w:t>
      </w:r>
    </w:p>
    <w:p w14:paraId="115C7BDC" w14:textId="77777777" w:rsidR="00F17C36" w:rsidRPr="00AF0D5C" w:rsidRDefault="008C5EC7" w:rsidP="006B1E6A">
      <w:pPr>
        <w:spacing w:before="100" w:after="100"/>
        <w:ind w:right="91"/>
        <w:rPr>
          <w:color w:val="414042" w:themeColor="text1"/>
          <w:spacing w:val="-6"/>
        </w:rPr>
      </w:pPr>
      <w:r w:rsidRPr="00AF0D5C">
        <w:rPr>
          <w:color w:val="414042" w:themeColor="text1"/>
          <w:spacing w:val="-6"/>
        </w:rPr>
        <w:t>Our corruption prevention work encourages a commitment to ethical behaviour</w:t>
      </w:r>
      <w:r w:rsidR="00E233D6" w:rsidRPr="00AF0D5C">
        <w:rPr>
          <w:color w:val="414042" w:themeColor="text1"/>
          <w:spacing w:val="-6"/>
        </w:rPr>
        <w:t xml:space="preserve"> raising integrity</w:t>
      </w:r>
      <w:r w:rsidRPr="00AF0D5C">
        <w:rPr>
          <w:color w:val="414042" w:themeColor="text1"/>
          <w:spacing w:val="-6"/>
        </w:rPr>
        <w:t xml:space="preserve"> and transparency across the public sector. The lessons from our assessments, monitoring, investigations and intelligence gathering are shared through advisory materials, campaigns and presentations </w:t>
      </w:r>
      <w:r w:rsidR="00A66448" w:rsidRPr="00AF0D5C">
        <w:rPr>
          <w:color w:val="414042" w:themeColor="text1"/>
          <w:spacing w:val="-6"/>
        </w:rPr>
        <w:t xml:space="preserve">to </w:t>
      </w:r>
      <w:r w:rsidR="00E233D6" w:rsidRPr="00AF0D5C">
        <w:rPr>
          <w:color w:val="414042" w:themeColor="text1"/>
          <w:spacing w:val="-6"/>
        </w:rPr>
        <w:t>UPA’s</w:t>
      </w:r>
      <w:r w:rsidRPr="00AF0D5C">
        <w:rPr>
          <w:color w:val="414042" w:themeColor="text1"/>
          <w:spacing w:val="-6"/>
        </w:rPr>
        <w:t xml:space="preserve"> executives and staff on areas of high corruption risk. Our goal is to empower leaders, managers and supervisors at all levels to identify and correct risk behaviours before they escalate to actual corruption.</w:t>
      </w:r>
      <w:bookmarkStart w:id="398" w:name="_Toc102037838"/>
      <w:bookmarkStart w:id="399" w:name="_Toc102038200"/>
      <w:bookmarkStart w:id="400" w:name="_Toc102038561"/>
      <w:bookmarkStart w:id="401" w:name="_Toc102038921"/>
      <w:bookmarkStart w:id="402" w:name="_Toc102039273"/>
      <w:bookmarkStart w:id="403" w:name="_Toc102039628"/>
      <w:bookmarkStart w:id="404" w:name="_Toc102039985"/>
      <w:bookmarkStart w:id="405" w:name="_Toc102040310"/>
      <w:bookmarkStart w:id="406" w:name="_Toc102040644"/>
      <w:bookmarkStart w:id="407" w:name="_Toc102040972"/>
      <w:bookmarkStart w:id="408" w:name="_Toc102041302"/>
      <w:bookmarkStart w:id="409" w:name="_Toc102041634"/>
      <w:bookmarkStart w:id="410" w:name="_Toc102041961"/>
      <w:bookmarkStart w:id="411" w:name="_Toc102042290"/>
      <w:bookmarkStart w:id="412" w:name="_Toc102045420"/>
      <w:bookmarkStart w:id="413" w:name="_Hlk74221219"/>
    </w:p>
    <w:p w14:paraId="3D968354" w14:textId="656FE978" w:rsidR="002B0561" w:rsidRPr="006B1E6A" w:rsidRDefault="002B0561" w:rsidP="006B1E6A">
      <w:pPr>
        <w:pStyle w:val="3Heading-highlight"/>
        <w:ind w:right="91"/>
      </w:pPr>
      <w:r w:rsidRPr="006B1E6A">
        <w:t>Our powers</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5238FB84" w14:textId="55FEBB4A" w:rsidR="002B0561" w:rsidRPr="00AF0D5C" w:rsidRDefault="002B0561" w:rsidP="006B1E6A">
      <w:pPr>
        <w:pStyle w:val="4H-Intro"/>
        <w:ind w:right="91"/>
      </w:pPr>
      <w:bookmarkStart w:id="414" w:name="_Toc102037839"/>
      <w:bookmarkStart w:id="415" w:name="_Toc102038201"/>
      <w:bookmarkStart w:id="416" w:name="_Toc102038562"/>
      <w:bookmarkStart w:id="417" w:name="_Toc102038922"/>
      <w:bookmarkStart w:id="418" w:name="_Toc102039274"/>
      <w:bookmarkStart w:id="419" w:name="_Toc102039629"/>
      <w:bookmarkStart w:id="420" w:name="_Toc102039986"/>
      <w:bookmarkStart w:id="421" w:name="_Toc102040311"/>
      <w:bookmarkStart w:id="422" w:name="_Toc102040645"/>
      <w:bookmarkStart w:id="423" w:name="_Toc102040973"/>
      <w:bookmarkStart w:id="424" w:name="_Toc102041303"/>
      <w:bookmarkStart w:id="425" w:name="_Toc102041635"/>
      <w:bookmarkStart w:id="426" w:name="_Toc102041962"/>
      <w:bookmarkStart w:id="427" w:name="_Toc102042291"/>
      <w:bookmarkStart w:id="428" w:name="_Toc102045421"/>
      <w:bookmarkEnd w:id="413"/>
      <w:r w:rsidRPr="00AF0D5C">
        <w:t>Coercive powers</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6F15D429" w14:textId="39EAA4C0" w:rsidR="002B0561" w:rsidRPr="00AF0D5C" w:rsidRDefault="00201BCF" w:rsidP="006B1E6A">
      <w:pPr>
        <w:spacing w:before="60" w:after="240"/>
        <w:ind w:right="91"/>
        <w:rPr>
          <w:color w:val="414042" w:themeColor="text1"/>
        </w:rPr>
      </w:pPr>
      <w:r w:rsidRPr="00AF0D5C">
        <w:rPr>
          <w:color w:val="414042" w:themeColor="text1"/>
        </w:rPr>
        <w:t>Under</w:t>
      </w:r>
      <w:r w:rsidR="00407CC2" w:rsidRPr="00AF0D5C">
        <w:rPr>
          <w:color w:val="414042" w:themeColor="text1"/>
        </w:rPr>
        <w:t xml:space="preserve"> the </w:t>
      </w:r>
      <w:r w:rsidR="00407CC2" w:rsidRPr="00AF0D5C">
        <w:rPr>
          <w:i/>
          <w:iCs/>
          <w:color w:val="414042" w:themeColor="text1"/>
        </w:rPr>
        <w:t>Crime and Corruption Act 2001</w:t>
      </w:r>
      <w:r w:rsidR="00407CC2" w:rsidRPr="00AF0D5C">
        <w:rPr>
          <w:color w:val="414042" w:themeColor="text1"/>
        </w:rPr>
        <w:t>, the</w:t>
      </w:r>
      <w:r w:rsidR="002B0561" w:rsidRPr="00AF0D5C">
        <w:rPr>
          <w:color w:val="414042" w:themeColor="text1"/>
        </w:rPr>
        <w:t xml:space="preserve"> CCC can hold hearings </w:t>
      </w:r>
      <w:r w:rsidR="00160931" w:rsidRPr="00AF0D5C">
        <w:rPr>
          <w:color w:val="414042" w:themeColor="text1"/>
        </w:rPr>
        <w:t>to</w:t>
      </w:r>
      <w:r w:rsidR="002B0561" w:rsidRPr="00AF0D5C">
        <w:rPr>
          <w:color w:val="414042" w:themeColor="text1"/>
        </w:rPr>
        <w:t xml:space="preserve"> aid our investigations. </w:t>
      </w:r>
      <w:r w:rsidR="00160931" w:rsidRPr="00AF0D5C">
        <w:rPr>
          <w:color w:val="414042" w:themeColor="text1"/>
        </w:rPr>
        <w:t xml:space="preserve">Our legislation enables us to compel </w:t>
      </w:r>
      <w:r w:rsidR="00E24F9D" w:rsidRPr="00AF0D5C">
        <w:rPr>
          <w:color w:val="414042" w:themeColor="text1"/>
        </w:rPr>
        <w:t>w</w:t>
      </w:r>
      <w:r w:rsidR="002B0561" w:rsidRPr="00AF0D5C">
        <w:rPr>
          <w:color w:val="414042" w:themeColor="text1"/>
        </w:rPr>
        <w:t xml:space="preserve">itnesses </w:t>
      </w:r>
      <w:r w:rsidR="00160931" w:rsidRPr="00AF0D5C">
        <w:rPr>
          <w:color w:val="414042" w:themeColor="text1"/>
        </w:rPr>
        <w:t>to</w:t>
      </w:r>
      <w:r w:rsidR="002B0561" w:rsidRPr="00AF0D5C">
        <w:rPr>
          <w:color w:val="414042" w:themeColor="text1"/>
        </w:rPr>
        <w:t xml:space="preserve"> attend and answer questions, even if the answer is self-incriminating.</w:t>
      </w:r>
      <w:r w:rsidR="007649E5" w:rsidRPr="00AF0D5C">
        <w:rPr>
          <w:color w:val="414042" w:themeColor="text1"/>
        </w:rPr>
        <w:br w:type="column"/>
      </w:r>
      <w:r w:rsidR="002B0561" w:rsidRPr="00AF0D5C">
        <w:rPr>
          <w:color w:val="414042" w:themeColor="text1"/>
        </w:rPr>
        <w:t xml:space="preserve">We </w:t>
      </w:r>
      <w:r w:rsidR="00160931" w:rsidRPr="00AF0D5C">
        <w:rPr>
          <w:color w:val="414042" w:themeColor="text1"/>
        </w:rPr>
        <w:t>use</w:t>
      </w:r>
      <w:r w:rsidR="002B0561" w:rsidRPr="00AF0D5C">
        <w:rPr>
          <w:color w:val="414042" w:themeColor="text1"/>
        </w:rPr>
        <w:t xml:space="preserve"> </w:t>
      </w:r>
      <w:r w:rsidR="00160931" w:rsidRPr="00AF0D5C">
        <w:rPr>
          <w:color w:val="414042" w:themeColor="text1"/>
        </w:rPr>
        <w:t xml:space="preserve">our coercive hearing powers to </w:t>
      </w:r>
      <w:r w:rsidR="002B0561" w:rsidRPr="00AF0D5C">
        <w:rPr>
          <w:color w:val="414042" w:themeColor="text1"/>
        </w:rPr>
        <w:t>compel people or agencies to produce records or other items.</w:t>
      </w:r>
    </w:p>
    <w:p w14:paraId="49F0F86A" w14:textId="0F5836F3" w:rsidR="002B0561" w:rsidRPr="00AF0D5C" w:rsidRDefault="00160931" w:rsidP="006B1E6A">
      <w:pPr>
        <w:spacing w:before="100" w:after="100"/>
        <w:rPr>
          <w:color w:val="414042" w:themeColor="text1"/>
          <w:spacing w:val="-4"/>
        </w:rPr>
      </w:pPr>
      <w:r w:rsidRPr="00AF0D5C">
        <w:rPr>
          <w:color w:val="414042" w:themeColor="text1"/>
        </w:rPr>
        <w:t>These</w:t>
      </w:r>
      <w:r w:rsidR="002B0561" w:rsidRPr="00AF0D5C">
        <w:rPr>
          <w:color w:val="414042" w:themeColor="text1"/>
        </w:rPr>
        <w:t xml:space="preserve"> powers</w:t>
      </w:r>
      <w:r w:rsidRPr="00AF0D5C">
        <w:rPr>
          <w:color w:val="414042" w:themeColor="text1"/>
        </w:rPr>
        <w:t xml:space="preserve"> also</w:t>
      </w:r>
      <w:r w:rsidR="002B0561" w:rsidRPr="00AF0D5C">
        <w:rPr>
          <w:color w:val="414042" w:themeColor="text1"/>
        </w:rPr>
        <w:t xml:space="preserve"> allow us to obtain new information and evidence that can advance complex crime and corruption investigations, as well as improve our understanding of organised crime involvement in criminal activity.</w:t>
      </w:r>
      <w:r w:rsidR="00A06716" w:rsidRPr="00AF0D5C">
        <w:rPr>
          <w:color w:val="414042" w:themeColor="text1"/>
          <w:spacing w:val="-4"/>
        </w:rPr>
        <w:t xml:space="preserve"> </w:t>
      </w:r>
      <w:r w:rsidR="002B0561" w:rsidRPr="00AF0D5C">
        <w:rPr>
          <w:color w:val="414042" w:themeColor="text1"/>
          <w:spacing w:val="-4"/>
        </w:rPr>
        <w:t xml:space="preserve">These powers are used both in corruption investigations and major crime investigations, including those investigating organised crime and money laundering. </w:t>
      </w:r>
      <w:r w:rsidR="002B0561" w:rsidRPr="00AF0D5C" w:rsidDel="00A06716">
        <w:rPr>
          <w:color w:val="414042" w:themeColor="text1"/>
          <w:spacing w:val="-4"/>
        </w:rPr>
        <w:t>Our ability to compel the production of documents may also be used for our confiscation investigations.</w:t>
      </w:r>
    </w:p>
    <w:p w14:paraId="3C76E090" w14:textId="77777777" w:rsidR="002B0561" w:rsidRPr="00AF0D5C" w:rsidRDefault="002B0561" w:rsidP="006B1E6A">
      <w:pPr>
        <w:spacing w:before="100" w:after="100"/>
        <w:rPr>
          <w:color w:val="414042" w:themeColor="text1"/>
          <w:spacing w:val="-4"/>
        </w:rPr>
      </w:pPr>
      <w:r w:rsidRPr="00AF0D5C">
        <w:rPr>
          <w:color w:val="414042" w:themeColor="text1"/>
          <w:spacing w:val="-4"/>
        </w:rPr>
        <w:t>We use coercive hearing powers not only for our own investigations, but also in joint investigations when police request assistance with serious crime investigations that cannot be advanced using traditional policing powers.</w:t>
      </w:r>
    </w:p>
    <w:p w14:paraId="3791B6ED" w14:textId="77777777" w:rsidR="002B0561" w:rsidRPr="00AF0D5C" w:rsidRDefault="002B0561" w:rsidP="006B1E6A">
      <w:pPr>
        <w:pStyle w:val="4H-Intro"/>
        <w:spacing w:before="240"/>
      </w:pPr>
      <w:bookmarkStart w:id="429" w:name="_Toc102037840"/>
      <w:bookmarkStart w:id="430" w:name="_Toc102038202"/>
      <w:bookmarkStart w:id="431" w:name="_Toc102038563"/>
      <w:bookmarkStart w:id="432" w:name="_Toc102038923"/>
      <w:bookmarkStart w:id="433" w:name="_Toc102039275"/>
      <w:bookmarkStart w:id="434" w:name="_Toc102039630"/>
      <w:bookmarkStart w:id="435" w:name="_Toc102039987"/>
      <w:bookmarkStart w:id="436" w:name="_Toc102040312"/>
      <w:bookmarkStart w:id="437" w:name="_Toc102040646"/>
      <w:bookmarkStart w:id="438" w:name="_Toc102040974"/>
      <w:bookmarkStart w:id="439" w:name="_Toc102041304"/>
      <w:bookmarkStart w:id="440" w:name="_Toc102041636"/>
      <w:bookmarkStart w:id="441" w:name="_Toc102041963"/>
      <w:bookmarkStart w:id="442" w:name="_Toc102042292"/>
      <w:bookmarkStart w:id="443" w:name="_Toc102045422"/>
      <w:bookmarkStart w:id="444" w:name="_Hlk137197859"/>
      <w:r w:rsidRPr="00AF0D5C">
        <w:t>Power to conduct a public inquiry</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6C2367EE" w14:textId="218087ED" w:rsidR="002B0561" w:rsidRPr="00AF0D5C" w:rsidRDefault="002B0561" w:rsidP="006B1E6A">
      <w:pPr>
        <w:spacing w:before="100" w:after="100"/>
        <w:rPr>
          <w:b/>
          <w:bCs/>
          <w:color w:val="414042" w:themeColor="text1"/>
          <w:spacing w:val="-4"/>
        </w:rPr>
      </w:pPr>
      <w:r w:rsidRPr="00AF0D5C">
        <w:rPr>
          <w:color w:val="414042" w:themeColor="text1"/>
          <w:spacing w:val="-4"/>
        </w:rPr>
        <w:t xml:space="preserve">When we identify </w:t>
      </w:r>
      <w:r w:rsidR="00A615E4" w:rsidRPr="00AF0D5C">
        <w:rPr>
          <w:color w:val="414042" w:themeColor="text1"/>
          <w:spacing w:val="-4"/>
        </w:rPr>
        <w:t xml:space="preserve">serious or </w:t>
      </w:r>
      <w:r w:rsidRPr="00AF0D5C">
        <w:rPr>
          <w:color w:val="414042" w:themeColor="text1"/>
          <w:spacing w:val="-4"/>
        </w:rPr>
        <w:t>systemic corruption with the potential to reduce public confidence in fundamental systems of public administration and government, we have the power to conduct a public inquiry. Public exposure of systemic issues allows for wider gathering of evidence and information on which to base recommendations than can be achieved in a normal investigation.</w:t>
      </w:r>
    </w:p>
    <w:p w14:paraId="2556FA64" w14:textId="5B94BA62" w:rsidR="002B0561" w:rsidRPr="00AF0D5C" w:rsidRDefault="002B0561" w:rsidP="006B1E6A">
      <w:pPr>
        <w:pStyle w:val="4H-Intro"/>
        <w:spacing w:before="240"/>
      </w:pPr>
      <w:bookmarkStart w:id="445" w:name="_Toc102037841"/>
      <w:bookmarkStart w:id="446" w:name="_Toc102038203"/>
      <w:bookmarkStart w:id="447" w:name="_Toc102038564"/>
      <w:bookmarkStart w:id="448" w:name="_Toc102038924"/>
      <w:bookmarkStart w:id="449" w:name="_Toc102039276"/>
      <w:bookmarkStart w:id="450" w:name="_Toc102039631"/>
      <w:bookmarkStart w:id="451" w:name="_Toc102039988"/>
      <w:bookmarkStart w:id="452" w:name="_Toc102040313"/>
      <w:bookmarkStart w:id="453" w:name="_Toc102040647"/>
      <w:bookmarkStart w:id="454" w:name="_Toc102040975"/>
      <w:bookmarkStart w:id="455" w:name="_Toc102041305"/>
      <w:bookmarkStart w:id="456" w:name="_Toc102041637"/>
      <w:bookmarkStart w:id="457" w:name="_Toc102041964"/>
      <w:bookmarkStart w:id="458" w:name="_Toc102042293"/>
      <w:bookmarkStart w:id="459" w:name="_Toc102045423"/>
      <w:bookmarkStart w:id="460" w:name="_Hlk167184876"/>
      <w:bookmarkEnd w:id="444"/>
      <w:r w:rsidRPr="00AF0D5C">
        <w:t>Limits to our powers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14D09B95" w14:textId="5089250F" w:rsidR="002B0561" w:rsidRPr="00AF0D5C" w:rsidRDefault="002B0561" w:rsidP="006B1E6A">
      <w:pPr>
        <w:spacing w:before="100" w:after="100"/>
        <w:rPr>
          <w:color w:val="414042" w:themeColor="text1"/>
          <w:spacing w:val="-4"/>
        </w:rPr>
      </w:pPr>
      <w:r w:rsidRPr="00AF0D5C">
        <w:rPr>
          <w:color w:val="414042" w:themeColor="text1"/>
          <w:spacing w:val="-4"/>
        </w:rPr>
        <w:t xml:space="preserve">We investigate matters and gather evidence but do not determine guilt or </w:t>
      </w:r>
      <w:r w:rsidR="00A66448" w:rsidRPr="00AF0D5C">
        <w:rPr>
          <w:color w:val="414042" w:themeColor="text1"/>
          <w:spacing w:val="-4"/>
        </w:rPr>
        <w:t>decide</w:t>
      </w:r>
      <w:r w:rsidRPr="00AF0D5C">
        <w:rPr>
          <w:color w:val="414042" w:themeColor="text1"/>
          <w:spacing w:val="-4"/>
        </w:rPr>
        <w:t xml:space="preserve"> disciplinary action. </w:t>
      </w:r>
      <w:r w:rsidR="00846D5C" w:rsidRPr="00AF0D5C">
        <w:rPr>
          <w:color w:val="414042" w:themeColor="text1"/>
          <w:spacing w:val="-4"/>
        </w:rPr>
        <w:t xml:space="preserve">The </w:t>
      </w:r>
      <w:r w:rsidRPr="00AF0D5C">
        <w:rPr>
          <w:color w:val="414042" w:themeColor="text1"/>
          <w:spacing w:val="-4"/>
        </w:rPr>
        <w:t xml:space="preserve">QPS officers seconded to our agency retain their police powers (under the </w:t>
      </w:r>
      <w:r w:rsidRPr="00AF0D5C">
        <w:rPr>
          <w:i/>
          <w:iCs/>
          <w:color w:val="414042" w:themeColor="text1"/>
          <w:spacing w:val="-4"/>
        </w:rPr>
        <w:t>Police Powers and Responsibilities Act 2000</w:t>
      </w:r>
      <w:r w:rsidRPr="00AF0D5C">
        <w:rPr>
          <w:color w:val="414042" w:themeColor="text1"/>
          <w:spacing w:val="-4"/>
        </w:rPr>
        <w:t>). These officers may charge an individual with one or more offences based on sufficient evidence, reasonable prospects of a successful prosecution, and if such action</w:t>
      </w:r>
      <w:r w:rsidR="00A06716" w:rsidRPr="00AF0D5C">
        <w:rPr>
          <w:color w:val="414042" w:themeColor="text1"/>
          <w:spacing w:val="-4"/>
        </w:rPr>
        <w:t xml:space="preserve"> </w:t>
      </w:r>
      <w:r w:rsidRPr="00AF0D5C">
        <w:rPr>
          <w:color w:val="414042" w:themeColor="text1"/>
          <w:spacing w:val="-4"/>
        </w:rPr>
        <w:t>is considered to be in the public interest.</w:t>
      </w:r>
      <w:r w:rsidR="00A66448" w:rsidRPr="00AF0D5C">
        <w:rPr>
          <w:color w:val="414042" w:themeColor="text1"/>
          <w:spacing w:val="-4"/>
        </w:rPr>
        <w:t xml:space="preserve"> The charging of offences arising from a corruption investigation is only done after </w:t>
      </w:r>
      <w:r w:rsidR="00210FD8" w:rsidRPr="00AF0D5C">
        <w:rPr>
          <w:color w:val="414042" w:themeColor="text1"/>
          <w:spacing w:val="-4"/>
        </w:rPr>
        <w:t xml:space="preserve">first receiving advice from the </w:t>
      </w:r>
      <w:r w:rsidR="00D24182" w:rsidRPr="00AF0D5C">
        <w:rPr>
          <w:color w:val="414042" w:themeColor="text1"/>
          <w:spacing w:val="-4"/>
        </w:rPr>
        <w:t>Office of the Director of Public Prosecution (</w:t>
      </w:r>
      <w:r w:rsidR="00210FD8" w:rsidRPr="00AF0D5C">
        <w:rPr>
          <w:color w:val="414042" w:themeColor="text1"/>
          <w:spacing w:val="-4"/>
        </w:rPr>
        <w:t>ODPP</w:t>
      </w:r>
      <w:r w:rsidR="00D24182" w:rsidRPr="00AF0D5C">
        <w:rPr>
          <w:color w:val="414042" w:themeColor="text1"/>
          <w:spacing w:val="-4"/>
        </w:rPr>
        <w:t>)</w:t>
      </w:r>
      <w:r w:rsidR="00210FD8" w:rsidRPr="00AF0D5C">
        <w:rPr>
          <w:color w:val="414042" w:themeColor="text1"/>
          <w:spacing w:val="-4"/>
        </w:rPr>
        <w:t xml:space="preserve"> supporting that action.</w:t>
      </w:r>
    </w:p>
    <w:p w14:paraId="21ED6106" w14:textId="1D9D6A9D" w:rsidR="002B0561" w:rsidRPr="00AF0D5C" w:rsidRDefault="002B0561" w:rsidP="006B1E6A">
      <w:pPr>
        <w:spacing w:before="100" w:after="100"/>
        <w:rPr>
          <w:color w:val="414042" w:themeColor="text1"/>
          <w:spacing w:val="-4"/>
        </w:rPr>
      </w:pPr>
      <w:r w:rsidRPr="00AF0D5C">
        <w:rPr>
          <w:color w:val="414042" w:themeColor="text1"/>
          <w:spacing w:val="-4"/>
        </w:rPr>
        <w:t xml:space="preserve">Where charges are laid, the prosecution will be conducted by a QPS prosecutor or the </w:t>
      </w:r>
      <w:r w:rsidR="00B12B6E" w:rsidRPr="00AF0D5C">
        <w:rPr>
          <w:color w:val="414042" w:themeColor="text1"/>
          <w:spacing w:val="-4"/>
        </w:rPr>
        <w:t>ODPP</w:t>
      </w:r>
      <w:r w:rsidRPr="00AF0D5C">
        <w:rPr>
          <w:color w:val="414042" w:themeColor="text1"/>
          <w:spacing w:val="-4"/>
        </w:rPr>
        <w:t>, depending on the jurisdiction in which proceedings are commenced and the seriousness of the alleged offences.</w:t>
      </w:r>
    </w:p>
    <w:p w14:paraId="558E293E" w14:textId="02E54AB7" w:rsidR="002B0561" w:rsidRPr="00AF0D5C" w:rsidRDefault="00D24182" w:rsidP="006B1E6A">
      <w:pPr>
        <w:spacing w:before="120"/>
        <w:rPr>
          <w:color w:val="414042" w:themeColor="text1"/>
          <w:spacing w:val="-4"/>
        </w:rPr>
        <w:sectPr w:rsidR="002B0561" w:rsidRPr="00AF0D5C" w:rsidSect="00194CF3">
          <w:pgSz w:w="11906" w:h="16838" w:code="9"/>
          <w:pgMar w:top="2155" w:right="1134" w:bottom="964" w:left="1134" w:header="720" w:footer="284" w:gutter="0"/>
          <w:cols w:num="2" w:space="666"/>
          <w:noEndnote/>
          <w:docGrid w:linePitch="272"/>
        </w:sectPr>
      </w:pPr>
      <w:r w:rsidRPr="00AF0D5C">
        <w:rPr>
          <w:color w:val="414042" w:themeColor="text1"/>
          <w:spacing w:val="-4"/>
        </w:rPr>
        <w:t>F</w:t>
      </w:r>
      <w:r w:rsidR="002B0561" w:rsidRPr="00AF0D5C">
        <w:rPr>
          <w:color w:val="414042" w:themeColor="text1"/>
          <w:spacing w:val="-4"/>
        </w:rPr>
        <w:t xml:space="preserve">ollowing a corruption investigation, we may also refer matters to the head of a public sector agency for consideration of disciplinary action, or commence a corrupt conduct prosecution ourselves in the Queensland Civil and Administrative Tribunal. </w:t>
      </w:r>
    </w:p>
    <w:bookmarkEnd w:id="460"/>
    <w:p w14:paraId="7D6A301A" w14:textId="4948B557" w:rsidR="00703F5F" w:rsidRPr="00AF0D5C" w:rsidRDefault="00703F5F" w:rsidP="00703F5F">
      <w:pPr>
        <w:rPr>
          <w:color w:val="414042" w:themeColor="text1"/>
        </w:rPr>
        <w:sectPr w:rsidR="00703F5F" w:rsidRPr="00AF0D5C" w:rsidSect="00C77834">
          <w:type w:val="continuous"/>
          <w:pgSz w:w="11906" w:h="16838" w:code="9"/>
          <w:pgMar w:top="2155" w:right="1134" w:bottom="964" w:left="1134" w:header="720" w:footer="284" w:gutter="0"/>
          <w:cols w:space="567"/>
          <w:noEndnote/>
          <w:docGrid w:linePitch="272"/>
        </w:sectPr>
      </w:pPr>
    </w:p>
    <w:p w14:paraId="3FFFB264" w14:textId="007A85E7" w:rsidR="00D6193C" w:rsidRPr="00AF0D5C" w:rsidRDefault="00D6193C" w:rsidP="006D51E2">
      <w:pPr>
        <w:pStyle w:val="Heading1"/>
      </w:pPr>
      <w:bookmarkStart w:id="461" w:name="_2022–23_at_a"/>
      <w:bookmarkStart w:id="462" w:name="YearAtAGlance"/>
      <w:bookmarkStart w:id="463" w:name="_Toc102037860"/>
      <w:bookmarkStart w:id="464" w:name="_Toc102038222"/>
      <w:bookmarkStart w:id="465" w:name="_Toc102038583"/>
      <w:bookmarkStart w:id="466" w:name="_Toc102038943"/>
      <w:bookmarkStart w:id="467" w:name="_Toc102039295"/>
      <w:bookmarkStart w:id="468" w:name="_Toc102039650"/>
      <w:bookmarkStart w:id="469" w:name="_Toc102040007"/>
      <w:bookmarkStart w:id="470" w:name="_Toc102040332"/>
      <w:bookmarkStart w:id="471" w:name="_Toc102040666"/>
      <w:bookmarkStart w:id="472" w:name="_Toc102040994"/>
      <w:bookmarkStart w:id="473" w:name="_Toc102041324"/>
      <w:bookmarkStart w:id="474" w:name="_Toc102041656"/>
      <w:bookmarkStart w:id="475" w:name="_Toc102041983"/>
      <w:bookmarkStart w:id="476" w:name="_Toc102042312"/>
      <w:bookmarkStart w:id="477" w:name="_Toc102045442"/>
      <w:bookmarkEnd w:id="461"/>
      <w:r w:rsidRPr="00AF0D5C">
        <w:t>202</w:t>
      </w:r>
      <w:r w:rsidR="00686B79" w:rsidRPr="00AF0D5C">
        <w:t>3</w:t>
      </w:r>
      <w:r w:rsidRPr="00AF0D5C">
        <w:t>–2</w:t>
      </w:r>
      <w:r w:rsidR="00686B79" w:rsidRPr="00AF0D5C">
        <w:t>4</w:t>
      </w:r>
      <w:r w:rsidRPr="00AF0D5C">
        <w:t xml:space="preserve"> at a glance</w:t>
      </w:r>
    </w:p>
    <w:tbl>
      <w:tblPr>
        <w:tblW w:w="4846" w:type="pct"/>
        <w:tblBorders>
          <w:insideH w:val="single" w:sz="12" w:space="0" w:color="FFFFFF" w:themeColor="background1"/>
        </w:tblBorders>
        <w:tblLook w:val="04A0" w:firstRow="1" w:lastRow="0" w:firstColumn="1" w:lastColumn="0" w:noHBand="0" w:noVBand="1"/>
      </w:tblPr>
      <w:tblGrid>
        <w:gridCol w:w="7833"/>
        <w:gridCol w:w="1508"/>
      </w:tblGrid>
      <w:tr w:rsidR="002E0B4F" w:rsidRPr="002E0B4F" w14:paraId="797AAF78" w14:textId="77777777" w:rsidTr="00686B79">
        <w:tc>
          <w:tcPr>
            <w:tcW w:w="4193" w:type="pct"/>
            <w:shd w:val="clear" w:color="auto" w:fill="auto"/>
          </w:tcPr>
          <w:bookmarkEnd w:id="462"/>
          <w:p w14:paraId="369201EA" w14:textId="78B6838F" w:rsidR="00686B79" w:rsidRPr="00E6408B" w:rsidRDefault="006F0A5E" w:rsidP="002508BC">
            <w:pPr>
              <w:pStyle w:val="71Sectionnumbering"/>
              <w:framePr w:wrap="around"/>
              <w:rPr>
                <w:rStyle w:val="Hyperlink"/>
                <w:color w:val="auto"/>
                <w:u w:val="none"/>
              </w:rPr>
            </w:pPr>
            <w:r w:rsidRPr="002E0B4F">
              <w:fldChar w:fldCharType="begin"/>
            </w:r>
            <w:r w:rsidRPr="002E0B4F">
              <w:instrText>HYPERLINK  \l "KeyFactsandFigures"</w:instrText>
            </w:r>
            <w:r w:rsidRPr="002E0B4F">
              <w:fldChar w:fldCharType="separate"/>
            </w:r>
            <w:r w:rsidR="00686B79" w:rsidRPr="00E6408B">
              <w:rPr>
                <w:rStyle w:val="Hyperlink"/>
                <w:color w:val="auto"/>
                <w:u w:val="none"/>
              </w:rPr>
              <w:t>Key facts and figures for 2023–24</w:t>
            </w:r>
            <w:r w:rsidRPr="002E0B4F">
              <w:fldChar w:fldCharType="end"/>
            </w:r>
            <w:r w:rsidR="00686B79" w:rsidRPr="00E6408B">
              <w:rPr>
                <w:rStyle w:val="Hyperlink"/>
                <w:color w:val="auto"/>
                <w:u w:val="none"/>
              </w:rPr>
              <w:t xml:space="preserve"> </w:t>
            </w:r>
          </w:p>
        </w:tc>
        <w:tc>
          <w:tcPr>
            <w:tcW w:w="807" w:type="pct"/>
          </w:tcPr>
          <w:p w14:paraId="4DC378D7" w14:textId="2B3898AB" w:rsidR="00686B79" w:rsidRPr="00E6408B" w:rsidRDefault="00507575" w:rsidP="002508BC">
            <w:pPr>
              <w:pStyle w:val="71Sectionnumbering"/>
              <w:framePr w:wrap="around"/>
            </w:pPr>
            <w:hyperlink w:anchor="KeyFactsandFigures" w:history="1">
              <w:r w:rsidR="007649E5" w:rsidRPr="00E6408B">
                <w:rPr>
                  <w:rStyle w:val="Hyperlink"/>
                  <w:color w:val="auto"/>
                  <w:u w:val="none"/>
                </w:rPr>
                <w:t>17</w:t>
              </w:r>
            </w:hyperlink>
          </w:p>
        </w:tc>
      </w:tr>
      <w:tr w:rsidR="002E0B4F" w:rsidRPr="002E0B4F" w14:paraId="606C1625" w14:textId="77777777" w:rsidTr="00686B79">
        <w:tc>
          <w:tcPr>
            <w:tcW w:w="4193" w:type="pct"/>
            <w:shd w:val="clear" w:color="auto" w:fill="auto"/>
          </w:tcPr>
          <w:p w14:paraId="76E61CF0" w14:textId="5E81317F" w:rsidR="007E47C0" w:rsidRPr="00E6408B" w:rsidRDefault="00507575" w:rsidP="002508BC">
            <w:pPr>
              <w:pStyle w:val="71Sectionnumbering"/>
              <w:framePr w:wrap="around"/>
            </w:pPr>
            <w:hyperlink w:anchor="StrategicPlan" w:history="1">
              <w:r w:rsidR="007E47C0" w:rsidRPr="00E6408B">
                <w:rPr>
                  <w:rStyle w:val="Hyperlink"/>
                  <w:color w:val="auto"/>
                  <w:u w:val="none"/>
                </w:rPr>
                <w:t>Strateg</w:t>
              </w:r>
              <w:r w:rsidR="005169C6" w:rsidRPr="00E6408B">
                <w:rPr>
                  <w:rStyle w:val="Hyperlink"/>
                  <w:color w:val="auto"/>
                  <w:u w:val="none"/>
                </w:rPr>
                <w:t>ic</w:t>
              </w:r>
              <w:r w:rsidR="007E47C0" w:rsidRPr="00E6408B">
                <w:rPr>
                  <w:rStyle w:val="Hyperlink"/>
                  <w:color w:val="auto"/>
                  <w:u w:val="none"/>
                </w:rPr>
                <w:t xml:space="preserve"> Plan 2023–27</w:t>
              </w:r>
            </w:hyperlink>
          </w:p>
        </w:tc>
        <w:tc>
          <w:tcPr>
            <w:tcW w:w="807" w:type="pct"/>
          </w:tcPr>
          <w:p w14:paraId="74F1197F" w14:textId="28883922" w:rsidR="007E47C0" w:rsidRPr="00E6408B" w:rsidRDefault="00507575" w:rsidP="002508BC">
            <w:pPr>
              <w:pStyle w:val="71Sectionnumbering"/>
              <w:framePr w:wrap="around"/>
            </w:pPr>
            <w:hyperlink w:anchor="StrategicPlan" w:history="1">
              <w:r w:rsidR="007649E5" w:rsidRPr="00E6408B">
                <w:rPr>
                  <w:rStyle w:val="Hyperlink"/>
                  <w:color w:val="auto"/>
                  <w:u w:val="none"/>
                </w:rPr>
                <w:t>18</w:t>
              </w:r>
            </w:hyperlink>
          </w:p>
        </w:tc>
      </w:tr>
      <w:tr w:rsidR="002E0B4F" w:rsidRPr="002E0B4F" w14:paraId="6AD92738" w14:textId="77777777" w:rsidTr="00686B79">
        <w:tc>
          <w:tcPr>
            <w:tcW w:w="4193" w:type="pct"/>
            <w:shd w:val="clear" w:color="auto" w:fill="auto"/>
          </w:tcPr>
          <w:p w14:paraId="213A22BC" w14:textId="07E4DF75" w:rsidR="00686B79" w:rsidRPr="00E6408B" w:rsidRDefault="00507575" w:rsidP="002508BC">
            <w:pPr>
              <w:pStyle w:val="71Sectionnumbering"/>
              <w:framePr w:wrap="around"/>
              <w:rPr>
                <w:rStyle w:val="Hyperlink"/>
                <w:color w:val="auto"/>
                <w:u w:val="none"/>
              </w:rPr>
            </w:pPr>
            <w:hyperlink w:anchor="PerformanceInformation" w:history="1">
              <w:r w:rsidR="00686B79" w:rsidRPr="00E6408B">
                <w:rPr>
                  <w:rStyle w:val="Hyperlink"/>
                  <w:color w:val="auto"/>
                  <w:u w:val="none"/>
                </w:rPr>
                <w:t>Performance information</w:t>
              </w:r>
            </w:hyperlink>
          </w:p>
        </w:tc>
        <w:tc>
          <w:tcPr>
            <w:tcW w:w="807" w:type="pct"/>
          </w:tcPr>
          <w:p w14:paraId="44718372" w14:textId="698249C5" w:rsidR="00686B79" w:rsidRPr="00E6408B" w:rsidRDefault="00507575" w:rsidP="002508BC">
            <w:pPr>
              <w:pStyle w:val="71Sectionnumbering"/>
              <w:framePr w:wrap="around"/>
            </w:pPr>
            <w:hyperlink w:anchor="PerformanceInformation" w:history="1">
              <w:r w:rsidR="007649E5" w:rsidRPr="00E6408B">
                <w:rPr>
                  <w:rStyle w:val="Hyperlink"/>
                  <w:color w:val="auto"/>
                  <w:u w:val="none"/>
                </w:rPr>
                <w:t>21</w:t>
              </w:r>
            </w:hyperlink>
          </w:p>
        </w:tc>
      </w:tr>
      <w:tr w:rsidR="002E0B4F" w:rsidRPr="002E0B4F" w14:paraId="7CDA48CB" w14:textId="77777777" w:rsidTr="00686B79">
        <w:tc>
          <w:tcPr>
            <w:tcW w:w="4193" w:type="pct"/>
            <w:shd w:val="clear" w:color="auto" w:fill="auto"/>
          </w:tcPr>
          <w:p w14:paraId="6ECF3B48" w14:textId="34D38DEA" w:rsidR="00686B79" w:rsidRPr="00E6408B" w:rsidRDefault="00507575" w:rsidP="002508BC">
            <w:pPr>
              <w:pStyle w:val="71Sectionnumbering"/>
              <w:framePr w:wrap="around"/>
              <w:rPr>
                <w:rStyle w:val="Hyperlink"/>
                <w:color w:val="auto"/>
                <w:u w:val="none"/>
              </w:rPr>
            </w:pPr>
            <w:hyperlink w:anchor="KeyAchievements" w:history="1">
              <w:r w:rsidR="00686B79" w:rsidRPr="00E6408B">
                <w:rPr>
                  <w:rStyle w:val="Hyperlink"/>
                  <w:color w:val="auto"/>
                  <w:u w:val="none"/>
                </w:rPr>
                <w:t>Key achievements</w:t>
              </w:r>
            </w:hyperlink>
          </w:p>
        </w:tc>
        <w:tc>
          <w:tcPr>
            <w:tcW w:w="807" w:type="pct"/>
          </w:tcPr>
          <w:p w14:paraId="306F2475" w14:textId="33D180FF" w:rsidR="00686B79" w:rsidRPr="00E6408B" w:rsidRDefault="00507575" w:rsidP="002508BC">
            <w:pPr>
              <w:pStyle w:val="71Sectionnumbering"/>
              <w:framePr w:wrap="around"/>
            </w:pPr>
            <w:hyperlink w:anchor="KeyAchievements" w:history="1">
              <w:r w:rsidR="00705586" w:rsidRPr="00E6408B">
                <w:rPr>
                  <w:rStyle w:val="Hyperlink"/>
                  <w:color w:val="auto"/>
                  <w:u w:val="none"/>
                </w:rPr>
                <w:t>23</w:t>
              </w:r>
            </w:hyperlink>
          </w:p>
        </w:tc>
      </w:tr>
      <w:tr w:rsidR="002E0B4F" w:rsidRPr="002E0B4F" w14:paraId="6E01F061" w14:textId="77777777" w:rsidTr="00686B79">
        <w:tc>
          <w:tcPr>
            <w:tcW w:w="4193" w:type="pct"/>
            <w:shd w:val="clear" w:color="auto" w:fill="auto"/>
          </w:tcPr>
          <w:p w14:paraId="02F387D5" w14:textId="602CC949" w:rsidR="00686B79" w:rsidRPr="00E6408B" w:rsidRDefault="00507575" w:rsidP="002508BC">
            <w:pPr>
              <w:pStyle w:val="71Sectionnumbering"/>
              <w:framePr w:wrap="around"/>
              <w:rPr>
                <w:rStyle w:val="Hyperlink"/>
                <w:color w:val="auto"/>
                <w:u w:val="none"/>
              </w:rPr>
            </w:pPr>
            <w:hyperlink w:anchor="FinancialSummary" w:history="1">
              <w:r w:rsidR="00686B79" w:rsidRPr="00E6408B">
                <w:rPr>
                  <w:rStyle w:val="Hyperlink"/>
                  <w:color w:val="auto"/>
                  <w:u w:val="none"/>
                </w:rPr>
                <w:t>Financial summary</w:t>
              </w:r>
            </w:hyperlink>
          </w:p>
        </w:tc>
        <w:tc>
          <w:tcPr>
            <w:tcW w:w="807" w:type="pct"/>
          </w:tcPr>
          <w:p w14:paraId="64DDC9CD" w14:textId="2BDD7345" w:rsidR="00686B79" w:rsidRPr="00E6408B" w:rsidRDefault="00507575" w:rsidP="002508BC">
            <w:pPr>
              <w:pStyle w:val="71Sectionnumbering"/>
              <w:framePr w:wrap="around"/>
            </w:pPr>
            <w:hyperlink w:anchor="FinancialSummary" w:history="1">
              <w:r w:rsidR="00705586" w:rsidRPr="00E6408B">
                <w:rPr>
                  <w:rStyle w:val="Hyperlink"/>
                  <w:color w:val="auto"/>
                  <w:u w:val="none"/>
                </w:rPr>
                <w:t>25</w:t>
              </w:r>
            </w:hyperlink>
          </w:p>
        </w:tc>
      </w:tr>
      <w:tr w:rsidR="002E0B4F" w:rsidRPr="002E0B4F" w14:paraId="5D39D656" w14:textId="77777777" w:rsidTr="00686B79">
        <w:tc>
          <w:tcPr>
            <w:tcW w:w="4193" w:type="pct"/>
            <w:shd w:val="clear" w:color="auto" w:fill="auto"/>
          </w:tcPr>
          <w:p w14:paraId="1BDB350D" w14:textId="687550AC" w:rsidR="00686B79" w:rsidRPr="00E6408B" w:rsidRDefault="00507575" w:rsidP="002508BC">
            <w:pPr>
              <w:pStyle w:val="71Sectionnumbering"/>
              <w:framePr w:wrap="around"/>
              <w:rPr>
                <w:rStyle w:val="Hyperlink"/>
                <w:color w:val="auto"/>
                <w:u w:val="none"/>
              </w:rPr>
            </w:pPr>
            <w:hyperlink w:anchor="InquiriesandReviews" w:history="1">
              <w:r w:rsidR="00686B79" w:rsidRPr="00E6408B">
                <w:rPr>
                  <w:rStyle w:val="Hyperlink"/>
                  <w:color w:val="auto"/>
                  <w:u w:val="none"/>
                </w:rPr>
                <w:t>External inquiries and reviews – ensuring accountability and transparency</w:t>
              </w:r>
            </w:hyperlink>
          </w:p>
        </w:tc>
        <w:tc>
          <w:tcPr>
            <w:tcW w:w="807" w:type="pct"/>
          </w:tcPr>
          <w:p w14:paraId="582C2937" w14:textId="1133C4E5" w:rsidR="00686B79" w:rsidRPr="00E6408B" w:rsidRDefault="00507575" w:rsidP="002508BC">
            <w:pPr>
              <w:pStyle w:val="71Sectionnumbering"/>
              <w:framePr w:wrap="around"/>
            </w:pPr>
            <w:hyperlink w:anchor="InquiriesandReviews" w:history="1">
              <w:r w:rsidR="00705586" w:rsidRPr="00E6408B">
                <w:rPr>
                  <w:rStyle w:val="Hyperlink"/>
                  <w:color w:val="auto"/>
                  <w:u w:val="none"/>
                </w:rPr>
                <w:t>27</w:t>
              </w:r>
            </w:hyperlink>
          </w:p>
        </w:tc>
      </w:tr>
    </w:tbl>
    <w:p w14:paraId="3A4629C9" w14:textId="77777777" w:rsidR="00D6193C" w:rsidRPr="00AF0D5C" w:rsidRDefault="00D6193C" w:rsidP="00D6193C">
      <w:pPr>
        <w:rPr>
          <w:color w:val="414042" w:themeColor="text1"/>
        </w:rPr>
        <w:sectPr w:rsidR="00D6193C" w:rsidRPr="00AF0D5C" w:rsidSect="00C77834">
          <w:headerReference w:type="even" r:id="rId91"/>
          <w:headerReference w:type="default" r:id="rId92"/>
          <w:headerReference w:type="first" r:id="rId93"/>
          <w:type w:val="continuous"/>
          <w:pgSz w:w="11906" w:h="16838"/>
          <w:pgMar w:top="2155" w:right="1134" w:bottom="964" w:left="1134" w:header="709" w:footer="283" w:gutter="0"/>
          <w:cols w:space="567"/>
          <w:docGrid w:linePitch="360"/>
        </w:sectPr>
      </w:pPr>
    </w:p>
    <w:p w14:paraId="30BDDB63" w14:textId="77777777" w:rsidR="00D6193C" w:rsidRPr="00AF0D5C" w:rsidRDefault="00D6193C" w:rsidP="00D6193C">
      <w:pPr>
        <w:spacing w:before="120" w:after="0" w:line="260" w:lineRule="exact"/>
        <w:rPr>
          <w:color w:val="414042" w:themeColor="text1"/>
        </w:rPr>
      </w:pPr>
    </w:p>
    <w:p w14:paraId="1D8A5AA4" w14:textId="0EAFE6D5" w:rsidR="00D6193C" w:rsidRPr="00AF0D5C" w:rsidRDefault="00D6193C" w:rsidP="007168C3">
      <w:pPr>
        <w:pStyle w:val="2Heading"/>
        <w:jc w:val="center"/>
      </w:pPr>
      <w:bookmarkStart w:id="478" w:name="_Toc102037821"/>
      <w:bookmarkStart w:id="479" w:name="_Toc102038183"/>
      <w:bookmarkStart w:id="480" w:name="_Toc102038544"/>
      <w:bookmarkStart w:id="481" w:name="_Toc102038904"/>
      <w:bookmarkStart w:id="482" w:name="_Toc102039256"/>
      <w:bookmarkStart w:id="483" w:name="_Toc102039611"/>
      <w:bookmarkStart w:id="484" w:name="_Toc102039968"/>
      <w:bookmarkStart w:id="485" w:name="_Toc102040293"/>
      <w:bookmarkStart w:id="486" w:name="_Toc102040627"/>
      <w:bookmarkStart w:id="487" w:name="_Toc102040955"/>
      <w:bookmarkStart w:id="488" w:name="_Toc102041285"/>
      <w:bookmarkStart w:id="489" w:name="_Toc102041617"/>
      <w:bookmarkStart w:id="490" w:name="_Toc102041944"/>
      <w:bookmarkStart w:id="491" w:name="_Toc102042273"/>
      <w:bookmarkStart w:id="492" w:name="_Toc102045403"/>
      <w:bookmarkStart w:id="493" w:name="KeyFactsandFigures"/>
      <w:r w:rsidRPr="00AF0D5C">
        <w:t>Key facts and figures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00C4473E" w:rsidRPr="00AF0D5C">
        <w:t xml:space="preserve"> </w:t>
      </w:r>
      <w:r w:rsidR="00CD3AF8" w:rsidRPr="00AF0D5C">
        <w:t>for</w:t>
      </w:r>
      <w:r w:rsidR="00C4473E" w:rsidRPr="00AF0D5C">
        <w:t xml:space="preserve"> 202</w:t>
      </w:r>
      <w:r w:rsidR="00686B79" w:rsidRPr="00AF0D5C">
        <w:t>3</w:t>
      </w:r>
      <w:r w:rsidR="00C4473E" w:rsidRPr="00AF0D5C">
        <w:t>–2</w:t>
      </w:r>
      <w:r w:rsidR="00686B79" w:rsidRPr="00AF0D5C">
        <w:t>4</w:t>
      </w:r>
    </w:p>
    <w:bookmarkEnd w:id="493"/>
    <w:p w14:paraId="7B10AEC8" w14:textId="10CD1A19" w:rsidR="00686B79" w:rsidRPr="00565D15" w:rsidRDefault="00686B79" w:rsidP="00686B79">
      <w:pPr>
        <w:suppressAutoHyphens/>
        <w:autoSpaceDE w:val="0"/>
        <w:autoSpaceDN w:val="0"/>
        <w:adjustRightInd w:val="0"/>
        <w:spacing w:before="400" w:after="57" w:line="180" w:lineRule="atLeast"/>
        <w:jc w:val="center"/>
        <w:textAlignment w:val="center"/>
        <w:rPr>
          <w:rFonts w:eastAsia="Calibri" w:cs="Calibri Light"/>
          <w:color w:val="414042" w:themeColor="text1"/>
          <w:sz w:val="32"/>
          <w:szCs w:val="32"/>
        </w:rPr>
      </w:pPr>
      <w:r w:rsidRPr="00565D15">
        <w:rPr>
          <w:rFonts w:ascii="Calibri" w:eastAsia="Calibri" w:hAnsi="Calibri" w:cs="Calibri"/>
          <w:b/>
          <w:bCs/>
          <w:color w:val="414042" w:themeColor="text1"/>
          <w:sz w:val="32"/>
          <w:szCs w:val="32"/>
        </w:rPr>
        <w:t>$</w:t>
      </w:r>
      <w:r w:rsidR="00DA47BF" w:rsidRPr="00565D15">
        <w:rPr>
          <w:rFonts w:ascii="Calibri" w:eastAsia="Calibri" w:hAnsi="Calibri" w:cs="Calibri"/>
          <w:b/>
          <w:bCs/>
          <w:color w:val="414042" w:themeColor="text1"/>
          <w:sz w:val="32"/>
          <w:szCs w:val="32"/>
        </w:rPr>
        <w:t>75.6</w:t>
      </w:r>
      <w:r w:rsidRPr="00565D15">
        <w:rPr>
          <w:rFonts w:ascii="Calibri" w:eastAsia="Calibri" w:hAnsi="Calibri" w:cs="Calibri"/>
          <w:b/>
          <w:bCs/>
          <w:color w:val="414042" w:themeColor="text1"/>
          <w:sz w:val="32"/>
          <w:szCs w:val="32"/>
        </w:rPr>
        <w:t xml:space="preserve"> million</w:t>
      </w:r>
      <w:r w:rsidRPr="00565D15">
        <w:rPr>
          <w:rFonts w:eastAsia="Calibri" w:cs="Calibri Light"/>
          <w:color w:val="414042" w:themeColor="text1"/>
          <w:sz w:val="32"/>
          <w:szCs w:val="32"/>
        </w:rPr>
        <w:t xml:space="preserve"> annual budget</w:t>
      </w:r>
    </w:p>
    <w:p w14:paraId="4A0E2737" w14:textId="4D3269FB" w:rsidR="00686B79" w:rsidRPr="00565D15" w:rsidRDefault="00415019" w:rsidP="00686B79">
      <w:pPr>
        <w:suppressAutoHyphens/>
        <w:autoSpaceDE w:val="0"/>
        <w:autoSpaceDN w:val="0"/>
        <w:adjustRightInd w:val="0"/>
        <w:spacing w:before="400" w:after="57" w:line="180" w:lineRule="atLeast"/>
        <w:jc w:val="center"/>
        <w:textAlignment w:val="center"/>
        <w:rPr>
          <w:rFonts w:ascii="Calibri" w:eastAsia="Calibri" w:hAnsi="Calibri" w:cs="Calibri"/>
          <w:color w:val="414042" w:themeColor="text1"/>
          <w:sz w:val="32"/>
          <w:szCs w:val="32"/>
        </w:rPr>
      </w:pPr>
      <w:bookmarkStart w:id="494" w:name="_Hlk74303590"/>
      <w:r w:rsidRPr="00565D15">
        <w:rPr>
          <w:rFonts w:ascii="Calibri" w:eastAsia="Calibri" w:hAnsi="Calibri" w:cs="Calibri"/>
          <w:b/>
          <w:bCs/>
          <w:color w:val="414042" w:themeColor="text1"/>
          <w:sz w:val="32"/>
          <w:szCs w:val="32"/>
        </w:rPr>
        <w:t>341</w:t>
      </w:r>
      <w:r w:rsidR="00686B79" w:rsidRPr="00565D15">
        <w:rPr>
          <w:rFonts w:ascii="Calibri" w:eastAsia="Calibri" w:hAnsi="Calibri" w:cs="Calibri"/>
          <w:b/>
          <w:bCs/>
          <w:color w:val="414042" w:themeColor="text1"/>
          <w:sz w:val="32"/>
          <w:szCs w:val="32"/>
        </w:rPr>
        <w:t xml:space="preserve"> </w:t>
      </w:r>
      <w:r w:rsidR="00686B79" w:rsidRPr="00565D15">
        <w:rPr>
          <w:rFonts w:eastAsia="Calibri" w:cs="Calibri Light"/>
          <w:color w:val="414042" w:themeColor="text1"/>
          <w:sz w:val="32"/>
          <w:szCs w:val="32"/>
        </w:rPr>
        <w:t>full-time equivalent employees /</w:t>
      </w:r>
      <w:r w:rsidR="002C2D30" w:rsidRPr="00565D15">
        <w:rPr>
          <w:rFonts w:eastAsia="Calibri" w:cs="Calibri Light"/>
          <w:color w:val="414042" w:themeColor="text1"/>
          <w:sz w:val="32"/>
          <w:szCs w:val="32"/>
        </w:rPr>
        <w:t xml:space="preserve"> </w:t>
      </w:r>
      <w:r w:rsidR="00DA47BF" w:rsidRPr="00565D15">
        <w:rPr>
          <w:rFonts w:ascii="Calibri" w:eastAsia="Calibri" w:hAnsi="Calibri" w:cs="Calibri"/>
          <w:b/>
          <w:bCs/>
          <w:color w:val="414042" w:themeColor="text1"/>
          <w:sz w:val="32"/>
          <w:szCs w:val="32"/>
        </w:rPr>
        <w:t>366</w:t>
      </w:r>
      <w:r w:rsidR="00686B79" w:rsidRPr="00565D15">
        <w:rPr>
          <w:rFonts w:eastAsia="Calibri" w:cs="Calibri Light"/>
          <w:color w:val="414042" w:themeColor="text1"/>
          <w:sz w:val="32"/>
          <w:szCs w:val="32"/>
        </w:rPr>
        <w:t xml:space="preserve"> people employed</w:t>
      </w:r>
      <w:bookmarkEnd w:id="494"/>
    </w:p>
    <w:p w14:paraId="1C034CDD" w14:textId="6B0136B3" w:rsidR="00686B79" w:rsidRPr="00565D15" w:rsidRDefault="005252DF" w:rsidP="00686B79">
      <w:pPr>
        <w:suppressAutoHyphens/>
        <w:autoSpaceDE w:val="0"/>
        <w:autoSpaceDN w:val="0"/>
        <w:adjustRightInd w:val="0"/>
        <w:spacing w:before="400" w:after="57" w:line="180" w:lineRule="atLeast"/>
        <w:jc w:val="center"/>
        <w:textAlignment w:val="center"/>
        <w:rPr>
          <w:rFonts w:eastAsia="Calibri" w:cs="Calibri Light"/>
          <w:color w:val="414042" w:themeColor="text1"/>
          <w:sz w:val="32"/>
          <w:szCs w:val="32"/>
        </w:rPr>
      </w:pPr>
      <w:r w:rsidRPr="00565D15">
        <w:rPr>
          <w:rFonts w:ascii="Calibri" w:eastAsia="Calibri" w:hAnsi="Calibri" w:cs="Calibri"/>
          <w:b/>
          <w:bCs/>
          <w:color w:val="414042" w:themeColor="text1"/>
          <w:sz w:val="32"/>
          <w:szCs w:val="32"/>
        </w:rPr>
        <w:t>136</w:t>
      </w:r>
      <w:r w:rsidR="00686B79" w:rsidRPr="00565D15">
        <w:rPr>
          <w:rFonts w:ascii="Calibri" w:eastAsia="Calibri" w:hAnsi="Calibri" w:cs="Calibri"/>
          <w:b/>
          <w:bCs/>
          <w:color w:val="414042" w:themeColor="text1"/>
          <w:sz w:val="32"/>
          <w:szCs w:val="32"/>
        </w:rPr>
        <w:t xml:space="preserve"> </w:t>
      </w:r>
      <w:r w:rsidR="00686B79" w:rsidRPr="00565D15">
        <w:rPr>
          <w:rFonts w:eastAsia="Calibri" w:cs="Calibri Light"/>
          <w:color w:val="414042" w:themeColor="text1"/>
          <w:sz w:val="32"/>
          <w:szCs w:val="32"/>
        </w:rPr>
        <w:t xml:space="preserve">days of hearings with </w:t>
      </w:r>
      <w:r w:rsidRPr="00565D15">
        <w:rPr>
          <w:rFonts w:ascii="Calibri" w:eastAsia="Calibri" w:hAnsi="Calibri" w:cs="Calibri"/>
          <w:b/>
          <w:bCs/>
          <w:color w:val="414042" w:themeColor="text1"/>
          <w:sz w:val="32"/>
          <w:szCs w:val="32"/>
        </w:rPr>
        <w:t>113</w:t>
      </w:r>
      <w:r w:rsidR="00686B79" w:rsidRPr="00565D15">
        <w:rPr>
          <w:rFonts w:ascii="Calibri" w:eastAsia="Calibri" w:hAnsi="Calibri" w:cs="Calibri"/>
          <w:b/>
          <w:bCs/>
          <w:color w:val="414042" w:themeColor="text1"/>
          <w:sz w:val="32"/>
          <w:szCs w:val="32"/>
        </w:rPr>
        <w:t xml:space="preserve"> </w:t>
      </w:r>
      <w:r w:rsidR="00686B79" w:rsidRPr="00565D15">
        <w:rPr>
          <w:rFonts w:eastAsia="Calibri" w:cs="Calibri Light"/>
          <w:color w:val="414042" w:themeColor="text1"/>
          <w:sz w:val="32"/>
          <w:szCs w:val="32"/>
        </w:rPr>
        <w:t xml:space="preserve">witnesses examined </w:t>
      </w:r>
      <w:r w:rsidR="00686B79" w:rsidRPr="00565D15">
        <w:rPr>
          <w:rFonts w:eastAsia="Calibri" w:cs="Calibri Light"/>
          <w:color w:val="414042" w:themeColor="text1"/>
          <w:sz w:val="32"/>
          <w:szCs w:val="32"/>
        </w:rPr>
        <w:br/>
        <w:t>relating to major crime and intelligence investigations</w:t>
      </w:r>
    </w:p>
    <w:p w14:paraId="45A872A2" w14:textId="60E95946" w:rsidR="00686B79" w:rsidRPr="00565D15" w:rsidRDefault="005252DF" w:rsidP="00686B79">
      <w:pPr>
        <w:suppressAutoHyphens/>
        <w:autoSpaceDE w:val="0"/>
        <w:autoSpaceDN w:val="0"/>
        <w:adjustRightInd w:val="0"/>
        <w:spacing w:before="400" w:after="57" w:line="180" w:lineRule="atLeast"/>
        <w:jc w:val="center"/>
        <w:textAlignment w:val="center"/>
        <w:rPr>
          <w:rFonts w:ascii="Calibri" w:eastAsia="Calibri" w:hAnsi="Calibri" w:cs="Calibri"/>
          <w:b/>
          <w:bCs/>
          <w:color w:val="414042" w:themeColor="text1"/>
          <w:spacing w:val="-4"/>
          <w:sz w:val="32"/>
          <w:szCs w:val="32"/>
        </w:rPr>
      </w:pPr>
      <w:bookmarkStart w:id="495" w:name="_Hlk74300692"/>
      <w:r w:rsidRPr="00565D15">
        <w:rPr>
          <w:rFonts w:ascii="Calibri" w:eastAsia="Calibri" w:hAnsi="Calibri" w:cs="Calibri"/>
          <w:b/>
          <w:bCs/>
          <w:color w:val="414042" w:themeColor="text1"/>
          <w:sz w:val="32"/>
          <w:szCs w:val="32"/>
        </w:rPr>
        <w:t>199</w:t>
      </w:r>
      <w:r w:rsidR="00686B79" w:rsidRPr="00565D15">
        <w:rPr>
          <w:rFonts w:ascii="Calibri" w:eastAsia="Calibri" w:hAnsi="Calibri" w:cs="Calibri"/>
          <w:b/>
          <w:bCs/>
          <w:color w:val="414042" w:themeColor="text1"/>
          <w:sz w:val="32"/>
          <w:szCs w:val="32"/>
        </w:rPr>
        <w:t xml:space="preserve"> </w:t>
      </w:r>
      <w:r w:rsidR="00686B79" w:rsidRPr="00565D15">
        <w:rPr>
          <w:rFonts w:eastAsia="Calibri" w:cs="Calibri Light"/>
          <w:color w:val="414042" w:themeColor="text1"/>
          <w:sz w:val="32"/>
          <w:szCs w:val="32"/>
        </w:rPr>
        <w:t>law enforcement crime intelligence disclosures</w:t>
      </w:r>
    </w:p>
    <w:p w14:paraId="6A427B1A" w14:textId="6DA41F58" w:rsidR="00686B79" w:rsidRPr="00565D15" w:rsidRDefault="005252DF" w:rsidP="00686B79">
      <w:pPr>
        <w:suppressAutoHyphens/>
        <w:autoSpaceDE w:val="0"/>
        <w:autoSpaceDN w:val="0"/>
        <w:adjustRightInd w:val="0"/>
        <w:spacing w:before="400" w:after="0" w:line="180" w:lineRule="atLeast"/>
        <w:jc w:val="center"/>
        <w:textAlignment w:val="center"/>
        <w:rPr>
          <w:rFonts w:ascii="Calibri" w:eastAsia="Calibri" w:hAnsi="Calibri" w:cs="Calibri"/>
          <w:color w:val="414042" w:themeColor="text1"/>
          <w:spacing w:val="-4"/>
          <w:sz w:val="32"/>
          <w:szCs w:val="32"/>
        </w:rPr>
      </w:pPr>
      <w:r w:rsidRPr="00565D15">
        <w:rPr>
          <w:rFonts w:ascii="Calibri" w:eastAsia="Calibri" w:hAnsi="Calibri" w:cs="Calibri"/>
          <w:b/>
          <w:bCs/>
          <w:color w:val="414042" w:themeColor="text1"/>
          <w:sz w:val="32"/>
          <w:szCs w:val="32"/>
        </w:rPr>
        <w:t>19</w:t>
      </w:r>
      <w:r w:rsidR="00686B79" w:rsidRPr="00565D15">
        <w:rPr>
          <w:rFonts w:ascii="Calibri" w:eastAsia="Calibri" w:hAnsi="Calibri" w:cs="Calibri"/>
          <w:b/>
          <w:bCs/>
          <w:color w:val="414042" w:themeColor="text1"/>
          <w:sz w:val="32"/>
          <w:szCs w:val="32"/>
        </w:rPr>
        <w:t xml:space="preserve"> </w:t>
      </w:r>
      <w:r w:rsidR="00686B79" w:rsidRPr="00565D15">
        <w:rPr>
          <w:rFonts w:eastAsia="Calibri" w:cs="Calibri Light"/>
          <w:color w:val="414042" w:themeColor="text1"/>
          <w:sz w:val="32"/>
          <w:szCs w:val="32"/>
        </w:rPr>
        <w:t>confiscation matters concluded with</w:t>
      </w:r>
    </w:p>
    <w:p w14:paraId="137994E0" w14:textId="7C938B1E" w:rsidR="00686B79" w:rsidRPr="00565D15" w:rsidRDefault="00686B79" w:rsidP="00686B79">
      <w:pPr>
        <w:suppressAutoHyphens/>
        <w:autoSpaceDE w:val="0"/>
        <w:autoSpaceDN w:val="0"/>
        <w:adjustRightInd w:val="0"/>
        <w:spacing w:after="57" w:line="180" w:lineRule="atLeast"/>
        <w:jc w:val="center"/>
        <w:textAlignment w:val="center"/>
        <w:rPr>
          <w:rFonts w:eastAsia="Calibri" w:cs="Calibri Light"/>
          <w:color w:val="414042" w:themeColor="text1"/>
          <w:spacing w:val="-4"/>
          <w:sz w:val="32"/>
          <w:szCs w:val="32"/>
        </w:rPr>
      </w:pPr>
      <w:r w:rsidRPr="00565D15">
        <w:rPr>
          <w:rFonts w:ascii="Calibri" w:eastAsia="Calibri" w:hAnsi="Calibri" w:cs="Calibri"/>
          <w:b/>
          <w:bCs/>
          <w:color w:val="414042" w:themeColor="text1"/>
          <w:sz w:val="32"/>
          <w:szCs w:val="32"/>
        </w:rPr>
        <w:t>$</w:t>
      </w:r>
      <w:r w:rsidR="005252DF" w:rsidRPr="00565D15">
        <w:rPr>
          <w:rFonts w:ascii="Calibri" w:eastAsia="Calibri" w:hAnsi="Calibri" w:cs="Calibri"/>
          <w:b/>
          <w:bCs/>
          <w:color w:val="414042" w:themeColor="text1"/>
          <w:sz w:val="32"/>
          <w:szCs w:val="32"/>
        </w:rPr>
        <w:t>10.514</w:t>
      </w:r>
      <w:r w:rsidRPr="00565D15">
        <w:rPr>
          <w:rFonts w:eastAsia="Calibri" w:cs="Calibri Light"/>
          <w:color w:val="414042" w:themeColor="text1"/>
          <w:spacing w:val="-4"/>
          <w:szCs w:val="20"/>
          <w:lang w:val="en-GB"/>
        </w:rPr>
        <w:t xml:space="preserve"> </w:t>
      </w:r>
      <w:r w:rsidRPr="00565D15">
        <w:rPr>
          <w:rFonts w:ascii="Calibri" w:eastAsia="Calibri" w:hAnsi="Calibri" w:cs="Calibri"/>
          <w:b/>
          <w:bCs/>
          <w:color w:val="414042" w:themeColor="text1"/>
          <w:spacing w:val="-4"/>
          <w:sz w:val="32"/>
          <w:szCs w:val="32"/>
        </w:rPr>
        <w:t>million</w:t>
      </w:r>
      <w:r w:rsidRPr="00565D15">
        <w:rPr>
          <w:rFonts w:ascii="Calibri" w:eastAsia="Calibri" w:hAnsi="Calibri" w:cs="Calibri"/>
          <w:color w:val="414042" w:themeColor="text1"/>
          <w:spacing w:val="-4"/>
          <w:sz w:val="32"/>
          <w:szCs w:val="32"/>
        </w:rPr>
        <w:t xml:space="preserve"> </w:t>
      </w:r>
      <w:r w:rsidRPr="00565D15">
        <w:rPr>
          <w:rFonts w:eastAsia="Calibri" w:cs="Calibri Light"/>
          <w:color w:val="414042" w:themeColor="text1"/>
          <w:spacing w:val="-4"/>
          <w:sz w:val="32"/>
          <w:szCs w:val="32"/>
        </w:rPr>
        <w:t xml:space="preserve">proceeds </w:t>
      </w:r>
      <w:r w:rsidRPr="00565D15">
        <w:rPr>
          <w:rFonts w:eastAsia="Calibri" w:cs="Calibri Light"/>
          <w:color w:val="414042" w:themeColor="text1"/>
          <w:sz w:val="32"/>
          <w:szCs w:val="32"/>
        </w:rPr>
        <w:t>of</w:t>
      </w:r>
      <w:r w:rsidRPr="00565D15">
        <w:rPr>
          <w:rFonts w:eastAsia="Calibri" w:cs="Calibri Light"/>
          <w:color w:val="414042" w:themeColor="text1"/>
          <w:spacing w:val="-4"/>
          <w:sz w:val="32"/>
          <w:szCs w:val="32"/>
        </w:rPr>
        <w:t xml:space="preserve"> </w:t>
      </w:r>
      <w:r w:rsidRPr="00565D15">
        <w:rPr>
          <w:rFonts w:eastAsia="Calibri" w:cs="Calibri Light"/>
          <w:color w:val="414042" w:themeColor="text1"/>
          <w:sz w:val="32"/>
          <w:szCs w:val="32"/>
        </w:rPr>
        <w:t xml:space="preserve">crime </w:t>
      </w:r>
      <w:r w:rsidRPr="00565D15">
        <w:rPr>
          <w:rFonts w:eastAsia="Calibri" w:cs="Calibri Light"/>
          <w:color w:val="414042" w:themeColor="text1"/>
          <w:spacing w:val="-4"/>
          <w:sz w:val="32"/>
          <w:szCs w:val="32"/>
        </w:rPr>
        <w:t>forfeited to the State of Queensland</w:t>
      </w:r>
    </w:p>
    <w:bookmarkEnd w:id="495"/>
    <w:p w14:paraId="3A511597" w14:textId="63343AC0" w:rsidR="00686B79" w:rsidRPr="00565D15" w:rsidRDefault="00C37F47" w:rsidP="00686B79">
      <w:pPr>
        <w:suppressAutoHyphens/>
        <w:autoSpaceDE w:val="0"/>
        <w:autoSpaceDN w:val="0"/>
        <w:adjustRightInd w:val="0"/>
        <w:spacing w:before="400" w:after="57" w:line="180" w:lineRule="atLeast"/>
        <w:jc w:val="center"/>
        <w:textAlignment w:val="center"/>
        <w:rPr>
          <w:rFonts w:eastAsia="Calibri" w:cs="Calibri Light"/>
          <w:color w:val="414042" w:themeColor="text1"/>
          <w:sz w:val="32"/>
          <w:szCs w:val="32"/>
        </w:rPr>
      </w:pPr>
      <w:r w:rsidRPr="00565D15">
        <w:rPr>
          <w:rFonts w:ascii="Calibri" w:eastAsia="Calibri" w:hAnsi="Calibri" w:cs="Calibri"/>
          <w:b/>
          <w:bCs/>
          <w:color w:val="414042" w:themeColor="text1"/>
          <w:sz w:val="32"/>
          <w:szCs w:val="32"/>
        </w:rPr>
        <w:t>5,139</w:t>
      </w:r>
      <w:r w:rsidR="00686B79" w:rsidRPr="00565D15">
        <w:rPr>
          <w:rFonts w:ascii="Calibri" w:eastAsia="Calibri" w:hAnsi="Calibri" w:cs="Calibri"/>
          <w:b/>
          <w:bCs/>
          <w:color w:val="414042" w:themeColor="text1"/>
          <w:sz w:val="32"/>
          <w:szCs w:val="32"/>
        </w:rPr>
        <w:t xml:space="preserve"> </w:t>
      </w:r>
      <w:r w:rsidR="00686B79" w:rsidRPr="00565D15">
        <w:rPr>
          <w:rFonts w:eastAsia="Calibri" w:cs="Calibri Light"/>
          <w:color w:val="414042" w:themeColor="text1"/>
          <w:sz w:val="32"/>
          <w:szCs w:val="32"/>
        </w:rPr>
        <w:t>complaints of suspected corruption assessed</w:t>
      </w:r>
    </w:p>
    <w:p w14:paraId="53B60EE2" w14:textId="088928A1" w:rsidR="00686B79" w:rsidRPr="00565D15" w:rsidRDefault="00C37F47" w:rsidP="00686B79">
      <w:pPr>
        <w:suppressAutoHyphens/>
        <w:autoSpaceDE w:val="0"/>
        <w:autoSpaceDN w:val="0"/>
        <w:adjustRightInd w:val="0"/>
        <w:spacing w:before="400" w:after="57" w:line="180" w:lineRule="atLeast"/>
        <w:jc w:val="center"/>
        <w:textAlignment w:val="center"/>
        <w:rPr>
          <w:rFonts w:eastAsia="Calibri" w:cs="Calibri Light"/>
          <w:color w:val="414042" w:themeColor="text1"/>
          <w:sz w:val="32"/>
          <w:szCs w:val="32"/>
        </w:rPr>
      </w:pPr>
      <w:r w:rsidRPr="00565D15">
        <w:rPr>
          <w:rFonts w:ascii="Calibri" w:eastAsia="Calibri" w:hAnsi="Calibri" w:cs="Calibri"/>
          <w:b/>
          <w:bCs/>
          <w:color w:val="414042" w:themeColor="text1"/>
          <w:sz w:val="32"/>
          <w:szCs w:val="32"/>
        </w:rPr>
        <w:t>1</w:t>
      </w:r>
      <w:r w:rsidR="00750D4A" w:rsidRPr="00565D15">
        <w:rPr>
          <w:rFonts w:ascii="Calibri" w:eastAsia="Calibri" w:hAnsi="Calibri" w:cs="Calibri"/>
          <w:b/>
          <w:bCs/>
          <w:color w:val="414042" w:themeColor="text1"/>
          <w:sz w:val="32"/>
          <w:szCs w:val="32"/>
        </w:rPr>
        <w:t xml:space="preserve"> </w:t>
      </w:r>
      <w:r w:rsidR="0006114E" w:rsidRPr="00565D15">
        <w:rPr>
          <w:rFonts w:eastAsia="Calibri" w:cs="Calibri Light"/>
          <w:color w:val="414042" w:themeColor="text1"/>
          <w:sz w:val="32"/>
          <w:szCs w:val="32"/>
        </w:rPr>
        <w:t>pe</w:t>
      </w:r>
      <w:r w:rsidRPr="00565D15">
        <w:rPr>
          <w:rFonts w:eastAsia="Calibri" w:cs="Calibri Light"/>
          <w:color w:val="414042" w:themeColor="text1"/>
          <w:sz w:val="32"/>
          <w:szCs w:val="32"/>
        </w:rPr>
        <w:t>rson</w:t>
      </w:r>
      <w:r w:rsidR="00686B79" w:rsidRPr="00565D15">
        <w:rPr>
          <w:rFonts w:eastAsia="Calibri" w:cs="Calibri Light"/>
          <w:color w:val="414042" w:themeColor="text1"/>
          <w:sz w:val="32"/>
          <w:szCs w:val="32"/>
        </w:rPr>
        <w:t xml:space="preserve"> charged with </w:t>
      </w:r>
      <w:r w:rsidRPr="00565D15">
        <w:rPr>
          <w:rFonts w:ascii="Calibri" w:eastAsia="Calibri" w:hAnsi="Calibri" w:cs="Calibri"/>
          <w:b/>
          <w:bCs/>
          <w:color w:val="414042" w:themeColor="text1"/>
          <w:sz w:val="32"/>
          <w:szCs w:val="32"/>
        </w:rPr>
        <w:t>9</w:t>
      </w:r>
      <w:r w:rsidR="00686B79" w:rsidRPr="00565D15">
        <w:rPr>
          <w:rFonts w:ascii="Calibri" w:eastAsia="Calibri" w:hAnsi="Calibri" w:cs="Calibri"/>
          <w:b/>
          <w:bCs/>
          <w:color w:val="414042" w:themeColor="text1"/>
          <w:sz w:val="32"/>
          <w:szCs w:val="32"/>
        </w:rPr>
        <w:t xml:space="preserve"> </w:t>
      </w:r>
      <w:r w:rsidR="00686B79" w:rsidRPr="00565D15">
        <w:rPr>
          <w:rFonts w:eastAsia="Calibri" w:cs="Calibri Light"/>
          <w:color w:val="414042" w:themeColor="text1"/>
          <w:sz w:val="32"/>
          <w:szCs w:val="32"/>
        </w:rPr>
        <w:t xml:space="preserve">criminal offences </w:t>
      </w:r>
      <w:r w:rsidR="00686B79" w:rsidRPr="00565D15">
        <w:rPr>
          <w:rFonts w:eastAsia="Calibri" w:cs="Calibri Light"/>
          <w:color w:val="414042" w:themeColor="text1"/>
          <w:sz w:val="32"/>
          <w:szCs w:val="32"/>
        </w:rPr>
        <w:br/>
        <w:t>relating to corruption investigations</w:t>
      </w:r>
    </w:p>
    <w:p w14:paraId="7D07FA53" w14:textId="7701C550" w:rsidR="00686B79" w:rsidRPr="00565D15" w:rsidRDefault="00C37F47" w:rsidP="00686B79">
      <w:pPr>
        <w:suppressAutoHyphens/>
        <w:autoSpaceDE w:val="0"/>
        <w:autoSpaceDN w:val="0"/>
        <w:adjustRightInd w:val="0"/>
        <w:spacing w:before="400" w:after="0" w:line="180" w:lineRule="atLeast"/>
        <w:jc w:val="center"/>
        <w:textAlignment w:val="center"/>
        <w:rPr>
          <w:rFonts w:eastAsia="Calibri" w:cs="Calibri Light"/>
          <w:color w:val="414042" w:themeColor="text1"/>
          <w:sz w:val="32"/>
          <w:szCs w:val="32"/>
        </w:rPr>
      </w:pPr>
      <w:r w:rsidRPr="00565D15">
        <w:rPr>
          <w:rFonts w:ascii="Calibri" w:eastAsia="Calibri" w:hAnsi="Calibri" w:cs="Calibri"/>
          <w:b/>
          <w:bCs/>
          <w:color w:val="414042" w:themeColor="text1"/>
          <w:sz w:val="32"/>
          <w:szCs w:val="32"/>
        </w:rPr>
        <w:t>2</w:t>
      </w:r>
      <w:r w:rsidR="00686B79" w:rsidRPr="00565D15">
        <w:rPr>
          <w:rFonts w:ascii="Calibri" w:eastAsia="Calibri" w:hAnsi="Calibri" w:cs="Calibri"/>
          <w:b/>
          <w:bCs/>
          <w:color w:val="414042" w:themeColor="text1"/>
          <w:sz w:val="32"/>
          <w:szCs w:val="32"/>
        </w:rPr>
        <w:t xml:space="preserve"> </w:t>
      </w:r>
      <w:r w:rsidR="00686B79" w:rsidRPr="00565D15">
        <w:rPr>
          <w:rFonts w:eastAsia="Calibri" w:cs="Calibri Light"/>
          <w:color w:val="414042" w:themeColor="text1"/>
          <w:sz w:val="32"/>
          <w:szCs w:val="32"/>
        </w:rPr>
        <w:t>recommendations for disciplinary action relating to</w:t>
      </w:r>
    </w:p>
    <w:p w14:paraId="361B4368" w14:textId="04BDBE5A" w:rsidR="00686B79" w:rsidRPr="00565D15" w:rsidRDefault="00C37F47" w:rsidP="00686B79">
      <w:pPr>
        <w:suppressAutoHyphens/>
        <w:autoSpaceDE w:val="0"/>
        <w:autoSpaceDN w:val="0"/>
        <w:adjustRightInd w:val="0"/>
        <w:spacing w:after="240" w:line="180" w:lineRule="atLeast"/>
        <w:jc w:val="center"/>
        <w:textAlignment w:val="center"/>
        <w:rPr>
          <w:rFonts w:eastAsia="Calibri" w:cs="Calibri Light"/>
          <w:color w:val="414042" w:themeColor="text1"/>
          <w:sz w:val="32"/>
          <w:szCs w:val="32"/>
        </w:rPr>
      </w:pPr>
      <w:r w:rsidRPr="00565D15">
        <w:rPr>
          <w:rFonts w:ascii="Calibri" w:eastAsia="Calibri" w:hAnsi="Calibri" w:cs="Calibri"/>
          <w:b/>
          <w:bCs/>
          <w:color w:val="414042" w:themeColor="text1"/>
          <w:sz w:val="32"/>
          <w:szCs w:val="32"/>
        </w:rPr>
        <w:t>1</w:t>
      </w:r>
      <w:r w:rsidR="00686B79" w:rsidRPr="00565D15">
        <w:rPr>
          <w:rFonts w:ascii="Calibri" w:eastAsia="Calibri" w:hAnsi="Calibri" w:cs="Calibri"/>
          <w:b/>
          <w:bCs/>
          <w:color w:val="414042" w:themeColor="text1"/>
          <w:sz w:val="32"/>
          <w:szCs w:val="32"/>
        </w:rPr>
        <w:t xml:space="preserve"> </w:t>
      </w:r>
      <w:r w:rsidR="00686B79" w:rsidRPr="00565D15">
        <w:rPr>
          <w:rFonts w:eastAsia="Calibri" w:cs="Calibri Light"/>
          <w:color w:val="414042" w:themeColor="text1"/>
          <w:sz w:val="32"/>
          <w:szCs w:val="32"/>
        </w:rPr>
        <w:t>p</w:t>
      </w:r>
      <w:r w:rsidRPr="00565D15">
        <w:rPr>
          <w:rFonts w:eastAsia="Calibri" w:cs="Calibri Light"/>
          <w:color w:val="414042" w:themeColor="text1"/>
          <w:sz w:val="32"/>
          <w:szCs w:val="32"/>
        </w:rPr>
        <w:t>erson</w:t>
      </w:r>
      <w:r w:rsidR="00686B79" w:rsidRPr="00565D15">
        <w:rPr>
          <w:rFonts w:eastAsia="Calibri" w:cs="Calibri Light"/>
          <w:color w:val="414042" w:themeColor="text1"/>
          <w:sz w:val="32"/>
          <w:szCs w:val="32"/>
        </w:rPr>
        <w:t xml:space="preserve"> following corruption investigations</w:t>
      </w:r>
    </w:p>
    <w:p w14:paraId="4EF5ACFF" w14:textId="44C5F524" w:rsidR="00686B79" w:rsidRPr="00565D15" w:rsidRDefault="00C37F47" w:rsidP="00686B79">
      <w:pPr>
        <w:suppressAutoHyphens/>
        <w:autoSpaceDE w:val="0"/>
        <w:autoSpaceDN w:val="0"/>
        <w:adjustRightInd w:val="0"/>
        <w:spacing w:before="360" w:after="0" w:line="180" w:lineRule="atLeast"/>
        <w:jc w:val="center"/>
        <w:textAlignment w:val="center"/>
        <w:rPr>
          <w:rFonts w:eastAsia="Calibri" w:cs="Calibri Light"/>
          <w:color w:val="414042" w:themeColor="text1"/>
          <w:sz w:val="32"/>
          <w:szCs w:val="32"/>
        </w:rPr>
      </w:pPr>
      <w:r w:rsidRPr="00565D15">
        <w:rPr>
          <w:rFonts w:ascii="Calibri" w:eastAsia="Calibri" w:hAnsi="Calibri" w:cs="Calibri"/>
          <w:b/>
          <w:bCs/>
          <w:color w:val="414042" w:themeColor="text1"/>
          <w:sz w:val="32"/>
          <w:szCs w:val="32"/>
        </w:rPr>
        <w:t>47</w:t>
      </w:r>
      <w:r w:rsidR="00686B79" w:rsidRPr="00565D15">
        <w:rPr>
          <w:rFonts w:ascii="Calibri" w:eastAsia="Calibri" w:hAnsi="Calibri" w:cs="Calibri"/>
          <w:b/>
          <w:bCs/>
          <w:color w:val="414042" w:themeColor="text1"/>
          <w:sz w:val="32"/>
          <w:szCs w:val="32"/>
        </w:rPr>
        <w:t xml:space="preserve"> </w:t>
      </w:r>
      <w:r w:rsidR="00686B79" w:rsidRPr="00565D15">
        <w:rPr>
          <w:rFonts w:eastAsia="Calibri" w:cs="Calibri Light"/>
          <w:color w:val="414042" w:themeColor="text1"/>
          <w:sz w:val="32"/>
          <w:szCs w:val="32"/>
        </w:rPr>
        <w:t>corruption</w:t>
      </w:r>
      <w:r w:rsidR="00686B79" w:rsidRPr="00565D15">
        <w:rPr>
          <w:rFonts w:ascii="Calibri" w:eastAsia="Calibri" w:hAnsi="Calibri" w:cs="Calibri"/>
          <w:b/>
          <w:bCs/>
          <w:color w:val="414042" w:themeColor="text1"/>
          <w:sz w:val="32"/>
          <w:szCs w:val="32"/>
        </w:rPr>
        <w:t xml:space="preserve"> </w:t>
      </w:r>
      <w:r w:rsidR="00686B79" w:rsidRPr="00565D15">
        <w:rPr>
          <w:rFonts w:eastAsia="Calibri" w:cs="Calibri Light"/>
          <w:color w:val="414042" w:themeColor="text1"/>
          <w:sz w:val="32"/>
          <w:szCs w:val="32"/>
        </w:rPr>
        <w:t>prevention recommendations made</w:t>
      </w:r>
    </w:p>
    <w:p w14:paraId="1FFF43A4" w14:textId="77777777" w:rsidR="002E7528" w:rsidRPr="00AF0D5C" w:rsidRDefault="002E7528" w:rsidP="002E7528">
      <w:pPr>
        <w:pStyle w:val="Figuretext9ptAnnualreport2018-19"/>
        <w:suppressAutoHyphens/>
        <w:spacing w:before="400" w:after="57"/>
        <w:rPr>
          <w:color w:val="414042" w:themeColor="text1"/>
          <w:sz w:val="32"/>
          <w:szCs w:val="32"/>
          <w:lang w:val="en-AU"/>
        </w:rPr>
      </w:pPr>
    </w:p>
    <w:p w14:paraId="05D130AE" w14:textId="7B4BA4D4" w:rsidR="002E7528" w:rsidRPr="00AF0D5C" w:rsidRDefault="002E7528" w:rsidP="002E7528">
      <w:pPr>
        <w:pStyle w:val="Figuretext9ptAnnualreport2018-19"/>
        <w:suppressAutoHyphens/>
        <w:spacing w:before="400" w:after="57"/>
        <w:rPr>
          <w:color w:val="414042" w:themeColor="text1"/>
          <w:sz w:val="32"/>
          <w:szCs w:val="32"/>
          <w:lang w:val="en-AU"/>
        </w:rPr>
        <w:sectPr w:rsidR="002E7528" w:rsidRPr="00AF0D5C" w:rsidSect="00C77834">
          <w:headerReference w:type="even" r:id="rId94"/>
          <w:headerReference w:type="default" r:id="rId95"/>
          <w:headerReference w:type="first" r:id="rId96"/>
          <w:type w:val="continuous"/>
          <w:pgSz w:w="11906" w:h="16838" w:code="9"/>
          <w:pgMar w:top="2155" w:right="1134" w:bottom="964" w:left="1134" w:header="720" w:footer="284" w:gutter="0"/>
          <w:cols w:space="720"/>
          <w:noEndnote/>
          <w:docGrid w:linePitch="272"/>
        </w:sectPr>
      </w:pPr>
    </w:p>
    <w:p w14:paraId="2A4E751F" w14:textId="481D9840" w:rsidR="00C74751" w:rsidRPr="003A0EBF" w:rsidRDefault="00C74751" w:rsidP="007168C3">
      <w:pPr>
        <w:pStyle w:val="2Heading"/>
      </w:pPr>
      <w:bookmarkStart w:id="496" w:name="_Strategic_objectives"/>
      <w:bookmarkStart w:id="497" w:name="StrategicPlan"/>
      <w:bookmarkStart w:id="498" w:name="_Toc102037864"/>
      <w:bookmarkStart w:id="499" w:name="_Toc102038226"/>
      <w:bookmarkStart w:id="500" w:name="_Toc102038587"/>
      <w:bookmarkStart w:id="501" w:name="_Toc102038947"/>
      <w:bookmarkStart w:id="502" w:name="_Toc102039299"/>
      <w:bookmarkStart w:id="503" w:name="_Toc102039654"/>
      <w:bookmarkStart w:id="504" w:name="_Toc102040011"/>
      <w:bookmarkStart w:id="505" w:name="_Toc102040336"/>
      <w:bookmarkStart w:id="506" w:name="_Toc102040670"/>
      <w:bookmarkStart w:id="507" w:name="_Toc102040998"/>
      <w:bookmarkStart w:id="508" w:name="_Toc102041328"/>
      <w:bookmarkStart w:id="509" w:name="_Toc102041660"/>
      <w:bookmarkStart w:id="510" w:name="_Toc102041987"/>
      <w:bookmarkStart w:id="511" w:name="_Toc102042316"/>
      <w:bookmarkStart w:id="512" w:name="_Toc102045446"/>
      <w:bookmarkStart w:id="513" w:name="_Hlk161913348"/>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96"/>
      <w:r w:rsidRPr="003A0EBF">
        <w:t xml:space="preserve">Strategic </w:t>
      </w:r>
      <w:r w:rsidR="00DA6715" w:rsidRPr="003A0EBF">
        <w:t>Plan 2023–27</w:t>
      </w:r>
    </w:p>
    <w:p w14:paraId="50A22BFE" w14:textId="03799BDD" w:rsidR="00C74751" w:rsidRPr="002E0FB4" w:rsidRDefault="00C74751" w:rsidP="002E0FB4">
      <w:pPr>
        <w:pStyle w:val="4H-Intro"/>
      </w:pPr>
      <w:bookmarkStart w:id="514" w:name="_Hlk171419490"/>
      <w:bookmarkEnd w:id="497"/>
      <w:r w:rsidRPr="002E0FB4">
        <w:t xml:space="preserve">The CCC Strategic Plan is the cornerstone document that guides the strategic direction of the CCC </w:t>
      </w:r>
      <w:r w:rsidR="004A7995" w:rsidRPr="002E0FB4">
        <w:t xml:space="preserve">alongside </w:t>
      </w:r>
      <w:r w:rsidRPr="002E0FB4">
        <w:t xml:space="preserve">our functional and enabling strategies. These </w:t>
      </w:r>
      <w:r w:rsidR="00210FD8" w:rsidRPr="002E0FB4">
        <w:t xml:space="preserve">strategies </w:t>
      </w:r>
      <w:r w:rsidRPr="002E0FB4">
        <w:t>are reviewed annually with a comprehensive review undertaken every four years</w:t>
      </w:r>
      <w:r w:rsidR="00DF0331" w:rsidRPr="002E0FB4">
        <w:t xml:space="preserve">. </w:t>
      </w:r>
      <w:r w:rsidR="00210FD8" w:rsidRPr="002E0FB4">
        <w:t>Operational and Divisional business plans identify the initiatives which will be delivered in the fiscal year.</w:t>
      </w:r>
      <w:r w:rsidR="007168C3" w:rsidRPr="002E0FB4">
        <w:br/>
      </w:r>
    </w:p>
    <w:bookmarkEnd w:id="514"/>
    <w:p w14:paraId="6C3CB191" w14:textId="3E5ADFEF" w:rsidR="00C418E1" w:rsidRPr="00C418E1" w:rsidRDefault="00C418E1" w:rsidP="00F64880">
      <w:pPr>
        <w:shd w:val="clear" w:color="auto" w:fill="F1F1F2" w:themeFill="accent5" w:themeFillTint="33"/>
        <w:spacing w:before="60" w:after="0" w:line="276" w:lineRule="auto"/>
        <w:ind w:left="-1"/>
        <w:jc w:val="both"/>
        <w:rPr>
          <w:rFonts w:asciiTheme="minorHAnsi" w:hAnsiTheme="minorHAnsi" w:cstheme="minorHAnsi"/>
          <w:b/>
          <w:bCs/>
          <w:color w:val="414042" w:themeColor="text1"/>
          <w:sz w:val="24"/>
          <w:szCs w:val="24"/>
          <w:lang w:eastAsia="en-AU"/>
        </w:rPr>
      </w:pPr>
      <w:r w:rsidRPr="00A31E1B">
        <w:rPr>
          <w:rFonts w:asciiTheme="majorHAnsi" w:hAnsiTheme="majorHAnsi" w:cstheme="majorHAnsi"/>
          <w:color w:val="414042" w:themeColor="text1"/>
          <w:sz w:val="28"/>
          <w:szCs w:val="28"/>
          <w:lang w:eastAsia="en-AU"/>
        </w:rPr>
        <w:t>OBJECTIVE:</w:t>
      </w:r>
      <w:r w:rsidRPr="00A31E1B">
        <w:rPr>
          <w:rFonts w:asciiTheme="minorHAnsi" w:hAnsiTheme="minorHAnsi" w:cstheme="minorHAnsi"/>
          <w:b/>
          <w:bCs/>
          <w:color w:val="414042" w:themeColor="text1"/>
          <w:sz w:val="28"/>
          <w:szCs w:val="28"/>
          <w:lang w:eastAsia="en-AU"/>
        </w:rPr>
        <w:t xml:space="preserve"> </w:t>
      </w:r>
      <w:r w:rsidRPr="00A31E1B">
        <w:rPr>
          <w:rStyle w:val="3Heading-highlightChar"/>
          <w:rFonts w:eastAsiaTheme="minorHAnsi"/>
          <w:i/>
          <w:iCs/>
        </w:rPr>
        <w:t>Efficient and Effective</w:t>
      </w:r>
    </w:p>
    <w:p w14:paraId="6F74F538" w14:textId="4DF1FA27" w:rsidR="00C418E1" w:rsidRPr="00C418E1" w:rsidRDefault="00C418E1" w:rsidP="00B02BC4">
      <w:pPr>
        <w:pStyle w:val="5BHeadinglight"/>
        <w:sectPr w:rsidR="00C418E1" w:rsidRPr="00C418E1" w:rsidSect="00C418E1">
          <w:headerReference w:type="even" r:id="rId97"/>
          <w:headerReference w:type="default" r:id="rId98"/>
          <w:headerReference w:type="first" r:id="rId99"/>
          <w:type w:val="continuous"/>
          <w:pgSz w:w="11906" w:h="16838" w:code="9"/>
          <w:pgMar w:top="2155" w:right="1134" w:bottom="964" w:left="1134" w:header="720" w:footer="284" w:gutter="0"/>
          <w:cols w:space="567"/>
          <w:noEndnote/>
          <w:docGrid w:linePitch="272"/>
        </w:sectPr>
      </w:pPr>
      <w:r w:rsidRPr="00C418E1">
        <w:t>Delivering efficient and effective outcomes to reduce the incidence of major crime and corruption, and improve the integrity of the public sector in Queensland</w:t>
      </w:r>
      <w:r w:rsidR="007168C3">
        <w:t>.</w:t>
      </w:r>
    </w:p>
    <w:p w14:paraId="74F06026" w14:textId="77777777" w:rsidR="00C418E1" w:rsidRPr="00C418E1" w:rsidRDefault="00C418E1" w:rsidP="00C418E1">
      <w:pPr>
        <w:spacing w:before="80"/>
        <w:rPr>
          <w:color w:val="414042" w:themeColor="text1"/>
        </w:rPr>
      </w:pPr>
      <w:r w:rsidRPr="00C418E1">
        <w:rPr>
          <w:color w:val="414042" w:themeColor="text1"/>
        </w:rPr>
        <w:br/>
        <w:t>Our key strategies are to:</w:t>
      </w:r>
    </w:p>
    <w:p w14:paraId="44A586EB" w14:textId="77777777" w:rsidR="00C418E1" w:rsidRPr="00292DCD" w:rsidRDefault="00C418E1" w:rsidP="006900F6">
      <w:pPr>
        <w:pStyle w:val="Bulletpoints0"/>
      </w:pPr>
      <w:r w:rsidRPr="00292DCD">
        <w:t>Improve productivity and outcomes to maximise impact.</w:t>
      </w:r>
    </w:p>
    <w:p w14:paraId="1D35BB9E" w14:textId="77777777" w:rsidR="00C418E1" w:rsidRPr="00292DCD" w:rsidRDefault="00C418E1" w:rsidP="006900F6">
      <w:pPr>
        <w:pStyle w:val="Bulletpoints0"/>
      </w:pPr>
      <w:r w:rsidRPr="00292DCD">
        <w:t>Enhance governance, risk and compliance processes and culture to mitigate risk.</w:t>
      </w:r>
    </w:p>
    <w:p w14:paraId="316B527F" w14:textId="77777777" w:rsidR="00C418E1" w:rsidRPr="00C418E1" w:rsidRDefault="00C418E1" w:rsidP="006900F6">
      <w:pPr>
        <w:pStyle w:val="Bulletpoints0"/>
      </w:pPr>
      <w:r w:rsidRPr="00292DCD">
        <w:t>Advocate for legislative reform to improve our ability to anticipate and respond to the changing nature of our operating environment.</w:t>
      </w:r>
      <w:r w:rsidRPr="00C418E1">
        <w:br w:type="column"/>
      </w:r>
    </w:p>
    <w:p w14:paraId="7D48B184" w14:textId="77777777" w:rsidR="00C418E1" w:rsidRPr="00C418E1" w:rsidRDefault="00C418E1" w:rsidP="006900F6">
      <w:pPr>
        <w:pStyle w:val="Bulletpoints0"/>
      </w:pPr>
      <w:r w:rsidRPr="00C418E1">
        <w:t>Innovate, digitalise and automate service delivery to maximise operational efficiency and effectiveness.</w:t>
      </w:r>
    </w:p>
    <w:p w14:paraId="68CF1DEB" w14:textId="77777777" w:rsidR="00C418E1" w:rsidRPr="00C418E1" w:rsidRDefault="00C418E1" w:rsidP="006900F6">
      <w:pPr>
        <w:pStyle w:val="Bulletpoints0"/>
      </w:pPr>
      <w:r w:rsidRPr="00C418E1">
        <w:t>Build and use data to inform effective decision making.</w:t>
      </w:r>
    </w:p>
    <w:p w14:paraId="6CBBC212" w14:textId="77777777" w:rsidR="00C418E1" w:rsidRPr="00C418E1" w:rsidRDefault="00C418E1" w:rsidP="006900F6">
      <w:pPr>
        <w:pStyle w:val="Bulletpoints0"/>
      </w:pPr>
      <w:r w:rsidRPr="00C418E1">
        <w:t>Enable a person-centred approach that reflects the perspectives of our diverse community, including First Nations peoples.</w:t>
      </w:r>
    </w:p>
    <w:p w14:paraId="4B15DA0B" w14:textId="77777777" w:rsidR="00313AE2" w:rsidRPr="00AF0D5C" w:rsidRDefault="00313AE2" w:rsidP="00313AE2">
      <w:pPr>
        <w:rPr>
          <w:color w:val="414042" w:themeColor="text1"/>
        </w:rPr>
      </w:pPr>
    </w:p>
    <w:p w14:paraId="205AA673" w14:textId="77777777" w:rsidR="00313AE2" w:rsidRPr="00AF0D5C" w:rsidRDefault="00313AE2" w:rsidP="00B02BC4">
      <w:pPr>
        <w:pStyle w:val="Bulletpoints"/>
        <w:sectPr w:rsidR="00313AE2" w:rsidRPr="00AF0D5C" w:rsidSect="00C77834">
          <w:headerReference w:type="even" r:id="rId100"/>
          <w:headerReference w:type="default" r:id="rId101"/>
          <w:headerReference w:type="first" r:id="rId102"/>
          <w:type w:val="continuous"/>
          <w:pgSz w:w="11906" w:h="16838" w:code="9"/>
          <w:pgMar w:top="2155" w:right="1134" w:bottom="964" w:left="1134" w:header="720" w:footer="284" w:gutter="0"/>
          <w:cols w:num="2" w:space="567"/>
          <w:noEndnote/>
          <w:docGrid w:linePitch="272"/>
        </w:sectPr>
      </w:pPr>
    </w:p>
    <w:p w14:paraId="50B04412" w14:textId="77777777" w:rsidR="00313AE2" w:rsidRPr="00AF0D5C" w:rsidRDefault="00313AE2" w:rsidP="00313AE2">
      <w:pPr>
        <w:rPr>
          <w:color w:val="414042" w:themeColor="text1"/>
        </w:rPr>
      </w:pPr>
      <w:r w:rsidRPr="00AF0D5C">
        <w:rPr>
          <w:noProof/>
          <w:color w:val="414042" w:themeColor="text1"/>
        </w:rPr>
        <mc:AlternateContent>
          <mc:Choice Requires="wps">
            <w:drawing>
              <wp:anchor distT="0" distB="0" distL="114300" distR="114300" simplePos="0" relativeHeight="252431360" behindDoc="0" locked="0" layoutInCell="1" allowOverlap="1" wp14:anchorId="5A98FD39" wp14:editId="2123BDD8">
                <wp:simplePos x="0" y="0"/>
                <wp:positionH relativeFrom="column">
                  <wp:posOffset>0</wp:posOffset>
                </wp:positionH>
                <wp:positionV relativeFrom="paragraph">
                  <wp:posOffset>0</wp:posOffset>
                </wp:positionV>
                <wp:extent cx="6172200" cy="0"/>
                <wp:effectExtent l="0" t="0" r="0" b="0"/>
                <wp:wrapNone/>
                <wp:docPr id="1756631125" name="Straight Connector 1756631125"/>
                <wp:cNvGraphicFramePr/>
                <a:graphic xmlns:a="http://schemas.openxmlformats.org/drawingml/2006/main">
                  <a:graphicData uri="http://schemas.microsoft.com/office/word/2010/wordprocessingShape">
                    <wps:wsp>
                      <wps:cNvCnPr/>
                      <wps:spPr>
                        <a:xfrm>
                          <a:off x="0" y="0"/>
                          <a:ext cx="617220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6AD51" id="Straight Connector 1756631125" o:spid="_x0000_s1026" style="position:absolute;z-index:252431360;visibility:visible;mso-wrap-style:square;mso-wrap-distance-left:9pt;mso-wrap-distance-top:0;mso-wrap-distance-right:9pt;mso-wrap-distance-bottom:0;mso-position-horizontal:absolute;mso-position-horizontal-relative:text;mso-position-vertical:absolute;mso-position-vertical-relative:text" from="0,0" to="48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" strokecolor="#bcbec0 [3208]" strokeweight=".5pt">
                <v:stroke joinstyle="miter"/>
              </v:line>
            </w:pict>
          </mc:Fallback>
        </mc:AlternateContent>
      </w:r>
    </w:p>
    <w:p w14:paraId="70A731DF" w14:textId="77777777" w:rsidR="00C418E1" w:rsidRPr="00AF0D5C" w:rsidRDefault="00C418E1" w:rsidP="00F64880">
      <w:pPr>
        <w:pStyle w:val="Bluebulletpoint"/>
        <w:shd w:val="clear" w:color="auto" w:fill="F1F1F2" w:themeFill="accent5" w:themeFillTint="33"/>
        <w:spacing w:after="120"/>
        <w:ind w:left="0" w:firstLine="0"/>
        <w:jc w:val="left"/>
        <w:rPr>
          <w:rFonts w:asciiTheme="minorHAnsi" w:hAnsiTheme="minorHAnsi" w:cstheme="minorHAnsi"/>
          <w:b/>
          <w:bCs/>
          <w:i/>
          <w:iCs/>
          <w:color w:val="414042" w:themeColor="text1"/>
          <w:sz w:val="24"/>
          <w:szCs w:val="24"/>
        </w:rPr>
      </w:pPr>
      <w:r w:rsidRPr="00A31E1B">
        <w:rPr>
          <w:rFonts w:asciiTheme="majorHAnsi" w:hAnsiTheme="majorHAnsi" w:cstheme="majorHAnsi"/>
          <w:color w:val="414042" w:themeColor="text1"/>
          <w:sz w:val="28"/>
          <w:szCs w:val="28"/>
        </w:rPr>
        <w:t>OBJECTIVE:</w:t>
      </w:r>
      <w:r w:rsidRPr="00A31E1B">
        <w:rPr>
          <w:rFonts w:asciiTheme="minorHAnsi" w:hAnsiTheme="minorHAnsi" w:cstheme="minorHAnsi"/>
          <w:b/>
          <w:bCs/>
          <w:i/>
          <w:iCs/>
          <w:color w:val="414042" w:themeColor="text1"/>
          <w:sz w:val="28"/>
          <w:szCs w:val="28"/>
        </w:rPr>
        <w:t xml:space="preserve"> </w:t>
      </w:r>
      <w:r w:rsidRPr="00A31E1B">
        <w:rPr>
          <w:rStyle w:val="3Heading-highlightChar"/>
          <w:rFonts w:eastAsiaTheme="minorHAnsi"/>
          <w:i/>
          <w:iCs/>
        </w:rPr>
        <w:t>Safe and Capable</w:t>
      </w:r>
    </w:p>
    <w:p w14:paraId="59313C69" w14:textId="57168132" w:rsidR="00C418E1" w:rsidRPr="00AF0D5C" w:rsidRDefault="00C418E1" w:rsidP="00B02BC4">
      <w:pPr>
        <w:pStyle w:val="5BHeadinglight"/>
        <w:rPr>
          <w:sz w:val="24"/>
          <w:szCs w:val="24"/>
        </w:rPr>
        <w:sectPr w:rsidR="00C418E1" w:rsidRPr="00AF0D5C" w:rsidSect="00C418E1">
          <w:type w:val="continuous"/>
          <w:pgSz w:w="11906" w:h="16838" w:code="9"/>
          <w:pgMar w:top="2155" w:right="1134" w:bottom="964" w:left="1134" w:header="720" w:footer="284" w:gutter="0"/>
          <w:cols w:space="567"/>
          <w:noEndnote/>
          <w:docGrid w:linePitch="272"/>
        </w:sectPr>
      </w:pPr>
      <w:r w:rsidRPr="00AF0D5C">
        <w:t>Developing the capability and managing the wellbeing of our people and enabling their performance through access to high-quality information and fit-for-purpose systems</w:t>
      </w:r>
      <w:r w:rsidR="007168C3">
        <w:t>.</w:t>
      </w:r>
    </w:p>
    <w:p w14:paraId="340DEBA7" w14:textId="77777777" w:rsidR="0006123B" w:rsidRDefault="00C418E1" w:rsidP="00695AF1">
      <w:pPr>
        <w:spacing w:before="80"/>
        <w:rPr>
          <w:color w:val="414042" w:themeColor="text1"/>
        </w:rPr>
        <w:sectPr w:rsidR="0006123B" w:rsidSect="00C418E1">
          <w:headerReference w:type="even" r:id="rId103"/>
          <w:headerReference w:type="default" r:id="rId104"/>
          <w:headerReference w:type="first" r:id="rId105"/>
          <w:type w:val="continuous"/>
          <w:pgSz w:w="11906" w:h="16838" w:code="9"/>
          <w:pgMar w:top="2155" w:right="1134" w:bottom="964" w:left="1134" w:header="720" w:footer="284" w:gutter="0"/>
          <w:cols w:space="567"/>
          <w:noEndnote/>
          <w:docGrid w:linePitch="272"/>
        </w:sectPr>
      </w:pPr>
      <w:r w:rsidRPr="00AF0D5C">
        <w:rPr>
          <w:color w:val="414042" w:themeColor="text1"/>
        </w:rPr>
        <w:br/>
      </w:r>
    </w:p>
    <w:p w14:paraId="50E7607C" w14:textId="77777777" w:rsidR="00C418E1" w:rsidRPr="00AF0D5C" w:rsidRDefault="00C418E1" w:rsidP="00695AF1">
      <w:pPr>
        <w:spacing w:before="80"/>
        <w:rPr>
          <w:color w:val="414042" w:themeColor="text1"/>
        </w:rPr>
      </w:pPr>
      <w:r w:rsidRPr="00AF0D5C">
        <w:rPr>
          <w:color w:val="414042" w:themeColor="text1"/>
        </w:rPr>
        <w:t>Our key strategies are to:</w:t>
      </w:r>
    </w:p>
    <w:p w14:paraId="576D54CE" w14:textId="77777777" w:rsidR="00C418E1" w:rsidRPr="00695AF1" w:rsidRDefault="00C418E1" w:rsidP="006900F6">
      <w:pPr>
        <w:pStyle w:val="Bulletpoints0"/>
      </w:pPr>
      <w:r w:rsidRPr="00695AF1">
        <w:t>Develop leadership and management capability to lead change, achieve high performance, and influence connection to agency purpose.</w:t>
      </w:r>
    </w:p>
    <w:p w14:paraId="185B41EC" w14:textId="77777777" w:rsidR="00C418E1" w:rsidRPr="00695AF1" w:rsidRDefault="00C418E1" w:rsidP="006900F6">
      <w:pPr>
        <w:pStyle w:val="Bulletpoints0"/>
      </w:pPr>
      <w:r w:rsidRPr="00695AF1">
        <w:t>Nurture a safe and healthy workplace embedding a shared responsibility for the physical, psychological and cultural wellbeing of our workforce.</w:t>
      </w:r>
    </w:p>
    <w:p w14:paraId="7FFCC177" w14:textId="7636169A" w:rsidR="00C418E1" w:rsidRPr="00AF0D5C" w:rsidRDefault="00C418E1" w:rsidP="006900F6">
      <w:pPr>
        <w:pStyle w:val="Bulletpoints0"/>
      </w:pPr>
      <w:r w:rsidRPr="00695AF1">
        <w:t>Continue to enhance diversity and inclusion initiatives to harness different perspectives and build on our collective strengths.</w:t>
      </w:r>
    </w:p>
    <w:p w14:paraId="1CD18140" w14:textId="4F641477" w:rsidR="00C418E1" w:rsidRPr="00695AF1" w:rsidRDefault="00C418E1" w:rsidP="006900F6">
      <w:pPr>
        <w:pStyle w:val="Bulletpoints0"/>
      </w:pPr>
      <w:r w:rsidRPr="00695AF1">
        <w:t>Deliver talent attraction and retention initiatives that reflect the changing needs of the workforce and societal expectations.</w:t>
      </w:r>
    </w:p>
    <w:p w14:paraId="2C5836A3" w14:textId="77777777" w:rsidR="00C418E1" w:rsidRPr="00695AF1" w:rsidRDefault="00C418E1" w:rsidP="006900F6">
      <w:pPr>
        <w:pStyle w:val="Bulletpoints0"/>
      </w:pPr>
      <w:r w:rsidRPr="00695AF1">
        <w:t>Develop workforce capability to meet the operating needs within a complex and evolving working environment.</w:t>
      </w:r>
    </w:p>
    <w:p w14:paraId="4F34E281" w14:textId="77777777" w:rsidR="00C418E1" w:rsidRPr="00695AF1" w:rsidRDefault="00C418E1" w:rsidP="006900F6">
      <w:pPr>
        <w:pStyle w:val="Bulletpoints0"/>
      </w:pPr>
      <w:r w:rsidRPr="00695AF1">
        <w:t>Leverage and invest in technology to enhance digital capability and improve system cross-functionality.</w:t>
      </w:r>
    </w:p>
    <w:p w14:paraId="3AE26028" w14:textId="77777777" w:rsidR="00C418E1" w:rsidRPr="00AF0D5C" w:rsidRDefault="00C418E1" w:rsidP="006900F6">
      <w:pPr>
        <w:pStyle w:val="Bulletpoints0"/>
      </w:pPr>
      <w:r w:rsidRPr="00695AF1">
        <w:t>Invest wisely in robust information security measures</w:t>
      </w:r>
      <w:r w:rsidRPr="00AF0D5C">
        <w:t xml:space="preserve"> to stay ahead of potential threats.</w:t>
      </w:r>
    </w:p>
    <w:p w14:paraId="151640EF" w14:textId="77121BA4" w:rsidR="0006123B" w:rsidRDefault="0006123B" w:rsidP="002E0B4F">
      <w:r>
        <w:br w:type="page"/>
      </w:r>
    </w:p>
    <w:p w14:paraId="0CBB5E97" w14:textId="77777777" w:rsidR="0006123B" w:rsidRDefault="0006123B" w:rsidP="002E0B4F">
      <w:pPr>
        <w:sectPr w:rsidR="0006123B" w:rsidSect="00E6408B">
          <w:type w:val="continuous"/>
          <w:pgSz w:w="11906" w:h="16838" w:code="9"/>
          <w:pgMar w:top="2155" w:right="1134" w:bottom="964" w:left="1134" w:header="720" w:footer="284" w:gutter="0"/>
          <w:cols w:num="2" w:space="567"/>
          <w:noEndnote/>
          <w:docGrid w:linePitch="272"/>
        </w:sectPr>
      </w:pPr>
    </w:p>
    <w:p w14:paraId="3F9DEB06" w14:textId="32E1CF8E" w:rsidR="0006123B" w:rsidRPr="00C418E1" w:rsidRDefault="0006123B" w:rsidP="0006123B">
      <w:pPr>
        <w:shd w:val="clear" w:color="auto" w:fill="F1F1F2" w:themeFill="accent5" w:themeFillTint="33"/>
        <w:spacing w:before="60" w:after="120" w:line="276" w:lineRule="auto"/>
        <w:rPr>
          <w:rFonts w:asciiTheme="minorHAnsi" w:hAnsiTheme="minorHAnsi" w:cstheme="minorHAnsi"/>
          <w:b/>
          <w:bCs/>
          <w:color w:val="414042" w:themeColor="text1"/>
          <w:sz w:val="24"/>
          <w:szCs w:val="24"/>
          <w:lang w:eastAsia="en-AU"/>
        </w:rPr>
      </w:pPr>
      <w:r w:rsidRPr="00A31E1B">
        <w:rPr>
          <w:rFonts w:asciiTheme="majorHAnsi" w:hAnsiTheme="majorHAnsi" w:cstheme="majorHAnsi"/>
          <w:color w:val="414042" w:themeColor="text1"/>
          <w:sz w:val="28"/>
          <w:szCs w:val="28"/>
          <w:lang w:eastAsia="en-AU"/>
        </w:rPr>
        <w:t>OBJECTIVE:</w:t>
      </w:r>
      <w:r w:rsidRPr="00A31E1B">
        <w:rPr>
          <w:rFonts w:asciiTheme="minorHAnsi" w:hAnsiTheme="minorHAnsi" w:cstheme="minorHAnsi"/>
          <w:b/>
          <w:bCs/>
          <w:color w:val="414042" w:themeColor="text1"/>
          <w:sz w:val="28"/>
          <w:szCs w:val="28"/>
          <w:lang w:eastAsia="en-AU"/>
        </w:rPr>
        <w:t xml:space="preserve"> </w:t>
      </w:r>
      <w:r w:rsidRPr="00A31E1B">
        <w:rPr>
          <w:rStyle w:val="3Heading-highlightChar"/>
          <w:rFonts w:eastAsiaTheme="minorHAnsi"/>
          <w:i/>
          <w:iCs/>
        </w:rPr>
        <w:t>Accessible, Accountable and Collaborative</w:t>
      </w:r>
      <w:r w:rsidRPr="00C418E1">
        <w:rPr>
          <w:rFonts w:asciiTheme="minorHAnsi" w:hAnsiTheme="minorHAnsi" w:cstheme="minorHAnsi"/>
          <w:b/>
          <w:bCs/>
          <w:color w:val="414042" w:themeColor="text1"/>
          <w:sz w:val="24"/>
          <w:szCs w:val="24"/>
          <w:lang w:eastAsia="en-AU"/>
        </w:rPr>
        <w:t xml:space="preserve"> </w:t>
      </w:r>
    </w:p>
    <w:p w14:paraId="7842C2D5" w14:textId="77777777" w:rsidR="00C418E1" w:rsidRPr="00C418E1" w:rsidRDefault="00C418E1" w:rsidP="0006123B">
      <w:pPr>
        <w:pStyle w:val="5BHeadinglight"/>
        <w:sectPr w:rsidR="00C418E1" w:rsidRPr="00C418E1" w:rsidSect="00C418E1">
          <w:type w:val="continuous"/>
          <w:pgSz w:w="11906" w:h="16838" w:code="9"/>
          <w:pgMar w:top="2155" w:right="1134" w:bottom="964" w:left="1134" w:header="720" w:footer="284" w:gutter="0"/>
          <w:cols w:space="567"/>
          <w:noEndnote/>
          <w:docGrid w:linePitch="272"/>
        </w:sectPr>
      </w:pPr>
      <w:r w:rsidRPr="00C418E1">
        <w:t>Being accessible and engaging with our community in a meaningful way that demonstrates our accountability and promotes confidence in our functions and the services we provide.</w:t>
      </w:r>
    </w:p>
    <w:p w14:paraId="34395D7D" w14:textId="77777777" w:rsidR="00C418E1" w:rsidRPr="00C418E1" w:rsidRDefault="00C418E1" w:rsidP="00C418E1">
      <w:pPr>
        <w:spacing w:before="80"/>
        <w:rPr>
          <w:color w:val="414042" w:themeColor="text1"/>
        </w:rPr>
      </w:pPr>
      <w:r w:rsidRPr="00C418E1">
        <w:rPr>
          <w:color w:val="414042" w:themeColor="text1"/>
        </w:rPr>
        <w:br/>
        <w:t>Our key strategies are to:</w:t>
      </w:r>
    </w:p>
    <w:p w14:paraId="17C464D8" w14:textId="77777777" w:rsidR="00C418E1" w:rsidRPr="00C418E1" w:rsidRDefault="00C418E1" w:rsidP="006900F6">
      <w:pPr>
        <w:pStyle w:val="Bulletpoints0"/>
      </w:pPr>
      <w:r w:rsidRPr="00C418E1">
        <w:t>Strengthen partnerships to facilitate coordination and information sharing across agencies and jurisdictions for mutual benefit.</w:t>
      </w:r>
    </w:p>
    <w:p w14:paraId="645D838A" w14:textId="77777777" w:rsidR="00C418E1" w:rsidRPr="00C418E1" w:rsidRDefault="00C418E1" w:rsidP="006900F6">
      <w:pPr>
        <w:pStyle w:val="Bulletpoints0"/>
      </w:pPr>
      <w:r w:rsidRPr="00C418E1">
        <w:t>Ensure effective communication and timely dissemination of information to promote transparency, accountability and confidence.</w:t>
      </w:r>
    </w:p>
    <w:p w14:paraId="728C3380" w14:textId="77777777" w:rsidR="00C418E1" w:rsidRPr="00C418E1" w:rsidRDefault="00C418E1" w:rsidP="006900F6">
      <w:pPr>
        <w:pStyle w:val="Bulletpoints0"/>
        <w:numPr>
          <w:ilvl w:val="0"/>
          <w:numId w:val="0"/>
        </w:numPr>
      </w:pPr>
      <w:r w:rsidRPr="00C418E1">
        <w:br w:type="column"/>
      </w:r>
    </w:p>
    <w:p w14:paraId="07A0A4B3" w14:textId="77777777" w:rsidR="00C418E1" w:rsidRPr="00C418E1" w:rsidRDefault="00C418E1" w:rsidP="006900F6">
      <w:pPr>
        <w:pStyle w:val="Bulletpoints0"/>
      </w:pPr>
      <w:r w:rsidRPr="00C418E1">
        <w:t>Establish greater connection and new operating models with government, non-government organisations, private sector and universities to ensure responsible spending, access to specialist capabilities and enhance information sharing.</w:t>
      </w:r>
    </w:p>
    <w:p w14:paraId="46053605" w14:textId="244DEA51" w:rsidR="00C418E1" w:rsidRPr="00C418E1" w:rsidRDefault="00C418E1" w:rsidP="006900F6">
      <w:pPr>
        <w:pStyle w:val="Bulletpoints0"/>
        <w:sectPr w:rsidR="00C418E1" w:rsidRPr="00C418E1" w:rsidSect="00C418E1">
          <w:type w:val="continuous"/>
          <w:pgSz w:w="11906" w:h="16838" w:code="9"/>
          <w:pgMar w:top="2155" w:right="1134" w:bottom="964" w:left="1134" w:header="720" w:footer="284" w:gutter="0"/>
          <w:cols w:num="2" w:space="567"/>
          <w:noEndnote/>
          <w:docGrid w:linePitch="272"/>
        </w:sectPr>
      </w:pPr>
      <w:r w:rsidRPr="00C418E1">
        <w:t>Maximise opportunities with our partners to collectively use data and insights in a meaningful way.</w:t>
      </w:r>
      <w:r w:rsidR="00B07F0D">
        <w:br/>
      </w:r>
      <w:r w:rsidRPr="00C418E1">
        <w:br/>
      </w:r>
    </w:p>
    <w:p w14:paraId="50F64A16" w14:textId="77777777" w:rsidR="00C418E1" w:rsidRPr="00C418E1" w:rsidRDefault="00C418E1" w:rsidP="00C418E1">
      <w:pPr>
        <w:rPr>
          <w:color w:val="414042" w:themeColor="text1"/>
        </w:rPr>
      </w:pPr>
      <w:r w:rsidRPr="00C418E1">
        <w:rPr>
          <w:noProof/>
          <w:color w:val="414042" w:themeColor="text1"/>
        </w:rPr>
        <mc:AlternateContent>
          <mc:Choice Requires="wps">
            <w:drawing>
              <wp:anchor distT="0" distB="0" distL="114300" distR="114300" simplePos="0" relativeHeight="252514304" behindDoc="0" locked="0" layoutInCell="1" allowOverlap="1" wp14:anchorId="138519E4" wp14:editId="743F08E1">
                <wp:simplePos x="0" y="0"/>
                <wp:positionH relativeFrom="column">
                  <wp:posOffset>80010</wp:posOffset>
                </wp:positionH>
                <wp:positionV relativeFrom="paragraph">
                  <wp:posOffset>29210</wp:posOffset>
                </wp:positionV>
                <wp:extent cx="6172200" cy="0"/>
                <wp:effectExtent l="0" t="0" r="0" b="0"/>
                <wp:wrapNone/>
                <wp:docPr id="1756631124" name="Straight Connector 1756631124"/>
                <wp:cNvGraphicFramePr/>
                <a:graphic xmlns:a="http://schemas.openxmlformats.org/drawingml/2006/main">
                  <a:graphicData uri="http://schemas.microsoft.com/office/word/2010/wordprocessingShape">
                    <wps:wsp>
                      <wps:cNvCnPr/>
                      <wps:spPr>
                        <a:xfrm>
                          <a:off x="0" y="0"/>
                          <a:ext cx="6172200" cy="0"/>
                        </a:xfrm>
                        <a:prstGeom prst="line">
                          <a:avLst/>
                        </a:prstGeom>
                        <a:noFill/>
                        <a:ln w="6350" cap="flat" cmpd="sng" algn="ctr">
                          <a:solidFill>
                            <a:srgbClr val="BCBEC0"/>
                          </a:solidFill>
                          <a:prstDash val="solid"/>
                          <a:miter lim="800000"/>
                        </a:ln>
                        <a:effectLst/>
                      </wps:spPr>
                      <wps:bodyPr/>
                    </wps:wsp>
                  </a:graphicData>
                </a:graphic>
              </wp:anchor>
            </w:drawing>
          </mc:Choice>
          <mc:Fallback>
            <w:pict>
              <v:line w14:anchorId="03F89CC9" id="Straight Connector 1756631124" o:spid="_x0000_s1026" style="position:absolute;z-index:252514304;visibility:visible;mso-wrap-style:square;mso-wrap-distance-left:9pt;mso-wrap-distance-top:0;mso-wrap-distance-right:9pt;mso-wrap-distance-bottom:0;mso-position-horizontal:absolute;mso-position-horizontal-relative:text;mso-position-vertical:absolute;mso-position-vertical-relative:text" from="6.3pt,2.3pt" to="492.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" strokecolor="#bcbec0" strokeweight=".5pt">
                <v:stroke joinstyle="miter"/>
              </v:line>
            </w:pict>
          </mc:Fallback>
        </mc:AlternateContent>
      </w:r>
    </w:p>
    <w:p w14:paraId="648DC456" w14:textId="77777777" w:rsidR="00B45EF0" w:rsidRPr="00AF0D5C" w:rsidRDefault="00B45EF0">
      <w:pPr>
        <w:spacing w:before="120" w:after="0" w:line="260" w:lineRule="exact"/>
        <w:rPr>
          <w:color w:val="414042" w:themeColor="text1"/>
        </w:rPr>
        <w:sectPr w:rsidR="00B45EF0" w:rsidRPr="00AF0D5C" w:rsidSect="00C77834">
          <w:headerReference w:type="even" r:id="rId106"/>
          <w:headerReference w:type="default" r:id="rId107"/>
          <w:headerReference w:type="first" r:id="rId108"/>
          <w:type w:val="continuous"/>
          <w:pgSz w:w="11906" w:h="16838" w:code="9"/>
          <w:pgMar w:top="2155" w:right="1134" w:bottom="964" w:left="1134" w:header="720" w:footer="284" w:gutter="0"/>
          <w:cols w:space="567"/>
          <w:noEndnote/>
          <w:docGrid w:linePitch="272"/>
        </w:sectPr>
      </w:pPr>
    </w:p>
    <w:p w14:paraId="36F09D34" w14:textId="77777777" w:rsidR="00C418E1" w:rsidRPr="00C418E1" w:rsidRDefault="00C418E1" w:rsidP="00F64880">
      <w:pPr>
        <w:shd w:val="clear" w:color="auto" w:fill="F1F1F2" w:themeFill="accent5" w:themeFillTint="33"/>
        <w:spacing w:before="60" w:after="120" w:line="276" w:lineRule="auto"/>
        <w:rPr>
          <w:rFonts w:asciiTheme="minorHAnsi" w:hAnsiTheme="minorHAnsi" w:cstheme="minorHAnsi"/>
          <w:b/>
          <w:bCs/>
          <w:color w:val="414042" w:themeColor="text1"/>
          <w:sz w:val="24"/>
          <w:szCs w:val="24"/>
          <w:lang w:eastAsia="en-AU"/>
        </w:rPr>
      </w:pPr>
      <w:r w:rsidRPr="00A31E1B">
        <w:rPr>
          <w:rFonts w:asciiTheme="majorHAnsi" w:hAnsiTheme="majorHAnsi" w:cstheme="majorHAnsi"/>
          <w:color w:val="414042" w:themeColor="text1"/>
          <w:sz w:val="28"/>
          <w:szCs w:val="28"/>
          <w:lang w:eastAsia="en-AU"/>
        </w:rPr>
        <w:t>OBJECTIVE:</w:t>
      </w:r>
      <w:r w:rsidRPr="00C418E1">
        <w:rPr>
          <w:rFonts w:asciiTheme="minorHAnsi" w:hAnsiTheme="minorHAnsi" w:cstheme="minorHAnsi"/>
          <w:b/>
          <w:bCs/>
          <w:color w:val="414042" w:themeColor="text1"/>
          <w:sz w:val="24"/>
          <w:szCs w:val="24"/>
          <w:lang w:eastAsia="en-AU"/>
        </w:rPr>
        <w:t xml:space="preserve"> </w:t>
      </w:r>
      <w:r w:rsidRPr="00A31E1B">
        <w:rPr>
          <w:rStyle w:val="3Heading-highlightChar"/>
          <w:rFonts w:eastAsiaTheme="minorHAnsi"/>
          <w:i/>
          <w:iCs/>
        </w:rPr>
        <w:t>Continuous Improvement</w:t>
      </w:r>
    </w:p>
    <w:p w14:paraId="47CB947B" w14:textId="77777777" w:rsidR="00C418E1" w:rsidRPr="00C418E1" w:rsidRDefault="00C418E1" w:rsidP="00B02BC4">
      <w:pPr>
        <w:pStyle w:val="5BHeadinglight"/>
        <w:sectPr w:rsidR="00C418E1" w:rsidRPr="00C418E1" w:rsidSect="00C418E1">
          <w:type w:val="continuous"/>
          <w:pgSz w:w="11906" w:h="16838" w:code="9"/>
          <w:pgMar w:top="2155" w:right="1134" w:bottom="964" w:left="1134" w:header="720" w:footer="284" w:gutter="0"/>
          <w:cols w:space="567"/>
          <w:noEndnote/>
          <w:docGrid w:linePitch="272"/>
        </w:sectPr>
      </w:pPr>
      <w:r w:rsidRPr="00C418E1">
        <w:t xml:space="preserve">Anticipating and responding effectively to our dynamic and challenging operating environment.  </w:t>
      </w:r>
    </w:p>
    <w:p w14:paraId="680BFC30" w14:textId="77777777" w:rsidR="00C418E1" w:rsidRPr="00C418E1" w:rsidRDefault="00C418E1" w:rsidP="00C418E1">
      <w:pPr>
        <w:spacing w:before="80"/>
        <w:rPr>
          <w:color w:val="414042" w:themeColor="text1"/>
        </w:rPr>
      </w:pPr>
      <w:r w:rsidRPr="00C418E1">
        <w:rPr>
          <w:color w:val="414042" w:themeColor="text1"/>
        </w:rPr>
        <w:br/>
        <w:t>Our key strategies are to:</w:t>
      </w:r>
    </w:p>
    <w:p w14:paraId="2ED69E8C" w14:textId="77777777" w:rsidR="00C418E1" w:rsidRPr="00C418E1" w:rsidRDefault="00C418E1" w:rsidP="006900F6">
      <w:pPr>
        <w:pStyle w:val="Bulletpoints0"/>
      </w:pPr>
      <w:r w:rsidRPr="00C418E1">
        <w:t>Redesign service delivery models to maximise our ability to respond to our changing environment.</w:t>
      </w:r>
    </w:p>
    <w:p w14:paraId="7A8D23EB" w14:textId="77777777" w:rsidR="00C418E1" w:rsidRPr="00C418E1" w:rsidRDefault="00C418E1" w:rsidP="006900F6">
      <w:pPr>
        <w:pStyle w:val="Bulletpoints0"/>
      </w:pPr>
      <w:r w:rsidRPr="00C418E1">
        <w:t>Embed a culture of continuous improvement and innovation to improve performance and maximise our impact.</w:t>
      </w:r>
      <w:r w:rsidRPr="00C418E1">
        <w:br w:type="column"/>
      </w:r>
    </w:p>
    <w:p w14:paraId="13A7DE04" w14:textId="77777777" w:rsidR="00C418E1" w:rsidRPr="00C418E1" w:rsidRDefault="00C418E1" w:rsidP="006900F6">
      <w:pPr>
        <w:pStyle w:val="Bulletpoints0"/>
      </w:pPr>
      <w:r w:rsidRPr="00C418E1">
        <w:t>Strengthen change management practices to sustain the benefits of change.</w:t>
      </w:r>
    </w:p>
    <w:p w14:paraId="29FD0BCF" w14:textId="77777777" w:rsidR="00C418E1" w:rsidRPr="00C418E1" w:rsidRDefault="00C418E1" w:rsidP="006900F6">
      <w:pPr>
        <w:pStyle w:val="Bulletpoints0"/>
      </w:pPr>
      <w:r w:rsidRPr="00C418E1">
        <w:t>Establish environmental sustainability practices to minimise the impact of our operations on the environment.</w:t>
      </w:r>
    </w:p>
    <w:p w14:paraId="6BBABB32" w14:textId="77777777" w:rsidR="00C418E1" w:rsidRPr="00C418E1" w:rsidRDefault="00C418E1" w:rsidP="006900F6">
      <w:pPr>
        <w:pStyle w:val="Bulletpoints0"/>
        <w:sectPr w:rsidR="00C418E1" w:rsidRPr="00C418E1" w:rsidSect="00C418E1">
          <w:headerReference w:type="even" r:id="rId109"/>
          <w:headerReference w:type="default" r:id="rId110"/>
          <w:headerReference w:type="first" r:id="rId111"/>
          <w:type w:val="continuous"/>
          <w:pgSz w:w="11906" w:h="16838" w:code="9"/>
          <w:pgMar w:top="2155" w:right="1134" w:bottom="964" w:left="1134" w:header="720" w:footer="284" w:gutter="0"/>
          <w:cols w:num="2" w:space="567"/>
          <w:noEndnote/>
          <w:docGrid w:linePitch="272"/>
        </w:sectPr>
      </w:pPr>
      <w:r w:rsidRPr="00C418E1">
        <w:t>Continue to implement initiatives from reviews and inquiries to enhance public confidence.</w:t>
      </w:r>
    </w:p>
    <w:p w14:paraId="75AC5370" w14:textId="77777777" w:rsidR="00C418E1" w:rsidRPr="00C418E1" w:rsidRDefault="00C418E1" w:rsidP="002F23D4">
      <w:pPr>
        <w:framePr w:hSpace="180" w:wrap="around" w:vAnchor="text" w:hAnchor="margin" w:y="196"/>
        <w:widowControl w:val="0"/>
        <w:numPr>
          <w:ilvl w:val="0"/>
          <w:numId w:val="51"/>
        </w:numPr>
        <w:autoSpaceDE w:val="0"/>
        <w:autoSpaceDN w:val="0"/>
        <w:adjustRightInd w:val="0"/>
        <w:spacing w:after="120"/>
        <w:textAlignment w:val="center"/>
        <w:rPr>
          <w:rFonts w:cs="Calibri Light"/>
          <w:bCs/>
          <w:color w:val="414042" w:themeColor="text1"/>
          <w:spacing w:val="-4"/>
          <w:szCs w:val="20"/>
          <w:u w:color="E6E7E8" w:themeColor="background2"/>
          <w:shd w:val="clear" w:color="auto" w:fill="FFFFFF"/>
        </w:rPr>
        <w:sectPr w:rsidR="00C418E1" w:rsidRPr="00C418E1" w:rsidSect="00C418E1">
          <w:type w:val="continuous"/>
          <w:pgSz w:w="11906" w:h="16838" w:code="9"/>
          <w:pgMar w:top="2155" w:right="1134" w:bottom="964" w:left="1134" w:header="720" w:footer="284" w:gutter="0"/>
          <w:cols w:num="2" w:space="567"/>
          <w:noEndnote/>
          <w:docGrid w:linePitch="272"/>
        </w:sectPr>
      </w:pPr>
    </w:p>
    <w:p w14:paraId="6F09EDA4" w14:textId="77777777" w:rsidR="00C418E1" w:rsidRPr="00C418E1" w:rsidRDefault="00C418E1" w:rsidP="00C418E1">
      <w:pPr>
        <w:spacing w:before="120" w:after="0" w:line="260" w:lineRule="exact"/>
        <w:rPr>
          <w:color w:val="414042" w:themeColor="text1"/>
        </w:rPr>
        <w:sectPr w:rsidR="00C418E1" w:rsidRPr="00C418E1" w:rsidSect="00C418E1">
          <w:headerReference w:type="even" r:id="rId112"/>
          <w:headerReference w:type="default" r:id="rId113"/>
          <w:headerReference w:type="first" r:id="rId114"/>
          <w:type w:val="continuous"/>
          <w:pgSz w:w="11906" w:h="16838" w:code="9"/>
          <w:pgMar w:top="2155" w:right="1134" w:bottom="964" w:left="1134" w:header="720" w:footer="284" w:gutter="0"/>
          <w:cols w:space="567"/>
          <w:noEndnote/>
          <w:docGrid w:linePitch="272"/>
        </w:sectPr>
      </w:pPr>
    </w:p>
    <w:p w14:paraId="390CEECF" w14:textId="77777777" w:rsidR="00C418E1" w:rsidRPr="00C418E1" w:rsidRDefault="00C418E1" w:rsidP="00C418E1">
      <w:pPr>
        <w:spacing w:before="120" w:after="0" w:line="260" w:lineRule="exact"/>
        <w:rPr>
          <w:color w:val="414042" w:themeColor="text1"/>
        </w:rPr>
      </w:pPr>
      <w:r w:rsidRPr="00C418E1">
        <w:rPr>
          <w:color w:val="414042" w:themeColor="text1"/>
        </w:rPr>
        <w:br w:type="page"/>
      </w:r>
    </w:p>
    <w:tbl>
      <w:tblPr>
        <w:tblStyle w:val="Annualreport2020-21"/>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4535"/>
      </w:tblGrid>
      <w:tr w:rsidR="00AF0D5C" w:rsidRPr="001842A6" w14:paraId="27FEF6EC" w14:textId="77777777" w:rsidTr="00965915">
        <w:trPr>
          <w:cnfStyle w:val="100000000000" w:firstRow="1" w:lastRow="0" w:firstColumn="0" w:lastColumn="0" w:oddVBand="0" w:evenVBand="0" w:oddHBand="0" w:evenHBand="0" w:firstRowFirstColumn="0" w:firstRowLastColumn="0" w:lastRowFirstColumn="0" w:lastRowLastColumn="0"/>
        </w:trPr>
        <w:tc>
          <w:tcPr>
            <w:tcW w:w="4535" w:type="dxa"/>
            <w:shd w:val="clear" w:color="auto" w:fill="F1F1F2" w:themeFill="accent5" w:themeFillTint="33"/>
          </w:tcPr>
          <w:p w14:paraId="6B18A12D" w14:textId="6CB68D74" w:rsidR="001842A6" w:rsidRPr="001842A6" w:rsidRDefault="001842A6" w:rsidP="007168C3">
            <w:pPr>
              <w:pStyle w:val="5A-Headingintext"/>
              <w:ind w:left="180" w:right="171" w:hanging="180"/>
              <w:jc w:val="left"/>
              <w:rPr>
                <w:noProof/>
                <w:lang w:eastAsia="en-AU"/>
              </w:rPr>
            </w:pPr>
            <w:r w:rsidRPr="001842A6">
              <w:rPr>
                <w:noProof/>
                <w:lang w:eastAsia="en-AU"/>
              </w:rPr>
              <w:br/>
            </w:r>
            <w:r w:rsidRPr="00292DCD">
              <w:rPr>
                <w:b/>
                <w:bCs w:val="0"/>
                <w:noProof/>
                <w:lang w:eastAsia="en-AU"/>
              </w:rPr>
              <w:t>As part of our strategic direction we continue to ensure we meet key deliverables that are the foundation of the work we do.</w:t>
            </w:r>
            <w:r w:rsidRPr="001842A6">
              <w:rPr>
                <w:noProof/>
                <w:lang w:eastAsia="en-AU"/>
              </w:rPr>
              <w:t xml:space="preserve"> </w:t>
            </w:r>
            <w:r w:rsidR="00292DCD">
              <w:rPr>
                <w:noProof/>
                <w:lang w:eastAsia="en-AU"/>
              </w:rPr>
              <w:br/>
            </w:r>
            <w:r w:rsidR="00292DCD">
              <w:rPr>
                <w:noProof/>
                <w:lang w:eastAsia="en-AU"/>
              </w:rPr>
              <w:br/>
            </w:r>
            <w:r w:rsidRPr="003E0209">
              <w:rPr>
                <w:noProof/>
                <w:sz w:val="20"/>
                <w:szCs w:val="20"/>
                <w:lang w:eastAsia="en-AU"/>
              </w:rPr>
              <w:t>The key deliverables in 2023–24 are:</w:t>
            </w:r>
          </w:p>
          <w:p w14:paraId="2AEC2C91" w14:textId="77777777" w:rsidR="001842A6" w:rsidRPr="006900F6" w:rsidRDefault="001842A6" w:rsidP="006900F6">
            <w:pPr>
              <w:pStyle w:val="Bulletbox"/>
              <w:jc w:val="left"/>
              <w:rPr>
                <w:b w:val="0"/>
                <w:bCs/>
              </w:rPr>
            </w:pPr>
            <w:r w:rsidRPr="006900F6">
              <w:rPr>
                <w:b w:val="0"/>
                <w:bCs/>
              </w:rPr>
              <w:t xml:space="preserve">Investigating and shaping effective responses to serious and organised crime through the use of our hearing powers; working with and sharing intelligence with the Queensland Police Service and other law enforcement partners and confiscating criminal profits. </w:t>
            </w:r>
          </w:p>
          <w:p w14:paraId="41767BD6" w14:textId="77777777" w:rsidR="001842A6" w:rsidRPr="006900F6" w:rsidRDefault="001842A6" w:rsidP="006900F6">
            <w:pPr>
              <w:pStyle w:val="Bulletbox"/>
              <w:jc w:val="left"/>
              <w:rPr>
                <w:b w:val="0"/>
                <w:bCs/>
              </w:rPr>
            </w:pPr>
            <w:r w:rsidRPr="006900F6">
              <w:rPr>
                <w:b w:val="0"/>
                <w:bCs/>
              </w:rPr>
              <w:t xml:space="preserve">Investigating complaints which involve conduct which is serious, systemic or of strategic risk to trust and confidence in public institutions in Queensland. </w:t>
            </w:r>
          </w:p>
          <w:p w14:paraId="79798D51" w14:textId="77777777" w:rsidR="001842A6" w:rsidRPr="006900F6" w:rsidRDefault="001842A6" w:rsidP="006900F6">
            <w:pPr>
              <w:pStyle w:val="Bulletbox"/>
              <w:jc w:val="left"/>
              <w:rPr>
                <w:b w:val="0"/>
                <w:bCs/>
              </w:rPr>
            </w:pPr>
            <w:r w:rsidRPr="006900F6">
              <w:rPr>
                <w:b w:val="0"/>
                <w:bCs/>
              </w:rPr>
              <w:t xml:space="preserve">Implementing the recommendations from the Commission of Inquiry relating to the Crime and Corruption Commission Report. </w:t>
            </w:r>
          </w:p>
          <w:p w14:paraId="472F4EB1" w14:textId="77777777" w:rsidR="001842A6" w:rsidRPr="006900F6" w:rsidRDefault="001842A6" w:rsidP="006900F6">
            <w:pPr>
              <w:pStyle w:val="Bulletbox"/>
              <w:jc w:val="left"/>
              <w:rPr>
                <w:b w:val="0"/>
                <w:bCs/>
              </w:rPr>
            </w:pPr>
            <w:r w:rsidRPr="006900F6">
              <w:rPr>
                <w:b w:val="0"/>
                <w:bCs/>
              </w:rPr>
              <w:t xml:space="preserve">Ensuring effective communication and timely dissemination of information to promote a culture of transparency, accountability and confidence. </w:t>
            </w:r>
          </w:p>
          <w:p w14:paraId="7CEAB649" w14:textId="77777777" w:rsidR="001842A6" w:rsidRPr="006900F6" w:rsidRDefault="001842A6" w:rsidP="006900F6">
            <w:pPr>
              <w:pStyle w:val="Bulletbox"/>
              <w:jc w:val="left"/>
              <w:rPr>
                <w:b w:val="0"/>
                <w:bCs/>
              </w:rPr>
            </w:pPr>
            <w:r w:rsidRPr="006900F6">
              <w:rPr>
                <w:b w:val="0"/>
                <w:bCs/>
              </w:rPr>
              <w:t>Developing critical organisational capabilities including digital, analytics, intelligence and workforce.</w:t>
            </w:r>
          </w:p>
          <w:p w14:paraId="5360147E" w14:textId="77777777" w:rsidR="001842A6" w:rsidRPr="001842A6" w:rsidRDefault="001842A6" w:rsidP="001842A6">
            <w:pPr>
              <w:spacing w:before="120" w:after="0" w:line="260" w:lineRule="exact"/>
              <w:rPr>
                <w:rFonts w:asciiTheme="minorHAnsi" w:hAnsiTheme="minorHAnsi" w:cstheme="minorHAnsi"/>
                <w:b w:val="0"/>
                <w:bCs/>
                <w:sz w:val="28"/>
                <w:szCs w:val="28"/>
              </w:rPr>
            </w:pPr>
          </w:p>
        </w:tc>
      </w:tr>
      <w:tr w:rsidR="00AF0D5C" w:rsidRPr="001842A6" w14:paraId="599C71F1" w14:textId="77777777" w:rsidTr="00965915">
        <w:tc>
          <w:tcPr>
            <w:tcW w:w="4535" w:type="dxa"/>
          </w:tcPr>
          <w:p w14:paraId="7B538AB5" w14:textId="77777777" w:rsidR="001842A6" w:rsidRPr="001842A6" w:rsidRDefault="001842A6" w:rsidP="00C903A2">
            <w:pPr>
              <w:pStyle w:val="3Heading-highlight"/>
            </w:pPr>
            <w:r w:rsidRPr="001842A6">
              <w:t>Measuring our performance</w:t>
            </w:r>
          </w:p>
          <w:p w14:paraId="4EFD2CD3" w14:textId="77777777" w:rsidR="001842A6" w:rsidRPr="001842A6" w:rsidRDefault="001842A6" w:rsidP="00165E6A">
            <w:pPr>
              <w:pStyle w:val="newBODYTEXT"/>
              <w:rPr>
                <w:noProof/>
                <w:lang w:eastAsia="en-AU"/>
              </w:rPr>
            </w:pPr>
            <w:r w:rsidRPr="001842A6">
              <w:rPr>
                <w:noProof/>
                <w:lang w:eastAsia="en-AU"/>
              </w:rPr>
              <w:t xml:space="preserve">We evaluate our performance towards the objectives in our </w:t>
            </w:r>
            <w:r w:rsidRPr="001842A6">
              <w:rPr>
                <w:i/>
                <w:iCs/>
                <w:noProof/>
                <w:lang w:eastAsia="en-AU"/>
              </w:rPr>
              <w:t>Strategic Plan 2023–27</w:t>
            </w:r>
            <w:r w:rsidRPr="001842A6">
              <w:rPr>
                <w:noProof/>
                <w:lang w:eastAsia="en-AU"/>
              </w:rPr>
              <w:t xml:space="preserve"> through the achievements of our key deliverables under these objectives.</w:t>
            </w:r>
          </w:p>
          <w:p w14:paraId="61AD8A38" w14:textId="77777777" w:rsidR="001842A6" w:rsidRPr="001842A6" w:rsidRDefault="001842A6" w:rsidP="00165E6A">
            <w:pPr>
              <w:pStyle w:val="8Crossref"/>
              <w:rPr>
                <w:b/>
                <w:bCs/>
                <w:noProof/>
                <w:lang w:eastAsia="en-AU"/>
              </w:rPr>
            </w:pPr>
            <w:r w:rsidRPr="001842A6">
              <w:rPr>
                <w:noProof/>
                <w:lang w:eastAsia="en-AU"/>
              </w:rPr>
              <w:t>A snapshot of our performance towards these measures is provided on pages 21-24.</w:t>
            </w:r>
          </w:p>
        </w:tc>
      </w:tr>
      <w:tr w:rsidR="00AF0D5C" w:rsidRPr="001842A6" w14:paraId="69DFCCDC" w14:textId="77777777" w:rsidTr="00965915">
        <w:tc>
          <w:tcPr>
            <w:tcW w:w="4535" w:type="dxa"/>
          </w:tcPr>
          <w:p w14:paraId="61CBFE18" w14:textId="77777777" w:rsidR="001842A6" w:rsidRPr="001842A6" w:rsidRDefault="001842A6" w:rsidP="001842A6">
            <w:pPr>
              <w:rPr>
                <w:rFonts w:asciiTheme="minorHAnsi" w:eastAsia="Times New Roman" w:hAnsiTheme="minorHAnsi" w:cstheme="minorHAnsi"/>
                <w:bCs/>
                <w:noProof/>
                <w:szCs w:val="20"/>
                <w:lang w:eastAsia="en-AU"/>
              </w:rPr>
            </w:pPr>
          </w:p>
        </w:tc>
      </w:tr>
    </w:tbl>
    <w:p w14:paraId="49C31493" w14:textId="77777777" w:rsidR="001842A6" w:rsidRPr="001842A6" w:rsidRDefault="001842A6" w:rsidP="00C903A2">
      <w:pPr>
        <w:pStyle w:val="3Heading-highlight"/>
      </w:pPr>
      <w:r w:rsidRPr="001842A6">
        <w:br w:type="column"/>
        <w:t>Our strategic risks 2023–24</w:t>
      </w:r>
    </w:p>
    <w:p w14:paraId="5BF92085" w14:textId="77777777" w:rsidR="001842A6" w:rsidRPr="001842A6" w:rsidRDefault="001842A6" w:rsidP="00B02BC4">
      <w:pPr>
        <w:pStyle w:val="5BHeadinglight"/>
      </w:pPr>
      <w:r w:rsidRPr="001842A6">
        <w:t>Cyber, Data and IT Security</w:t>
      </w:r>
    </w:p>
    <w:p w14:paraId="7F617557" w14:textId="77777777" w:rsidR="001842A6" w:rsidRPr="001842A6" w:rsidRDefault="001842A6" w:rsidP="00165E6A">
      <w:pPr>
        <w:pStyle w:val="newBODYTEXT"/>
        <w:rPr>
          <w:noProof/>
          <w:lang w:eastAsia="en-AU"/>
        </w:rPr>
      </w:pPr>
      <w:r w:rsidRPr="001842A6">
        <w:rPr>
          <w:noProof/>
          <w:lang w:eastAsia="en-AU"/>
        </w:rPr>
        <w:t>The rise of technology, reflecting digitisation and the increasing value of data, causes cybersecurity risks that may result in data breaches that disrupt our operations and put people’s safety at risk.</w:t>
      </w:r>
    </w:p>
    <w:p w14:paraId="58DF8171" w14:textId="77777777" w:rsidR="001842A6" w:rsidRPr="001842A6" w:rsidRDefault="001842A6" w:rsidP="00B02BC4">
      <w:pPr>
        <w:pStyle w:val="5BHeadinglight"/>
      </w:pPr>
      <w:r w:rsidRPr="001842A6">
        <w:t>New Digital Technologies</w:t>
      </w:r>
    </w:p>
    <w:p w14:paraId="1175A931" w14:textId="77777777" w:rsidR="001842A6" w:rsidRPr="001842A6" w:rsidRDefault="001842A6" w:rsidP="00165E6A">
      <w:pPr>
        <w:pStyle w:val="newBODYTEXT"/>
        <w:rPr>
          <w:noProof/>
          <w:lang w:eastAsia="en-AU"/>
        </w:rPr>
      </w:pPr>
      <w:r w:rsidRPr="001842A6">
        <w:rPr>
          <w:noProof/>
          <w:lang w:eastAsia="en-AU"/>
        </w:rPr>
        <w:t>New forms of digital technologies may bring into question the reliability of intelligence, establishing proof and evidence of crime.</w:t>
      </w:r>
    </w:p>
    <w:p w14:paraId="69E867CF" w14:textId="77777777" w:rsidR="001842A6" w:rsidRPr="001842A6" w:rsidRDefault="001842A6" w:rsidP="00B02BC4">
      <w:pPr>
        <w:pStyle w:val="5BHeadinglight"/>
      </w:pPr>
      <w:r w:rsidRPr="001842A6">
        <w:t>Talent</w:t>
      </w:r>
    </w:p>
    <w:p w14:paraId="13E35415" w14:textId="77777777" w:rsidR="001842A6" w:rsidRPr="001842A6" w:rsidRDefault="001842A6" w:rsidP="00165E6A">
      <w:pPr>
        <w:pStyle w:val="newBODYTEXT"/>
        <w:rPr>
          <w:noProof/>
          <w:lang w:eastAsia="en-AU"/>
        </w:rPr>
      </w:pPr>
      <w:r w:rsidRPr="001842A6">
        <w:rPr>
          <w:noProof/>
          <w:lang w:eastAsia="en-AU"/>
        </w:rPr>
        <w:t>Talent shortages, a gap in workforce skills, the changing nature of the workforce and challenges associated with a small-scale agency delivering specialist capabilities have the potential to impede our strategy execution.</w:t>
      </w:r>
    </w:p>
    <w:p w14:paraId="131D61FA" w14:textId="77777777" w:rsidR="001842A6" w:rsidRPr="00165E6A" w:rsidRDefault="001842A6" w:rsidP="00B02BC4">
      <w:pPr>
        <w:pStyle w:val="5BHeadinglight"/>
      </w:pPr>
      <w:r w:rsidRPr="00165E6A">
        <w:t>Change</w:t>
      </w:r>
    </w:p>
    <w:p w14:paraId="69447E12" w14:textId="77777777" w:rsidR="001842A6" w:rsidRPr="001842A6" w:rsidRDefault="001842A6" w:rsidP="00165E6A">
      <w:pPr>
        <w:pStyle w:val="newBODYTEXT"/>
        <w:rPr>
          <w:noProof/>
          <w:lang w:eastAsia="en-AU"/>
        </w:rPr>
      </w:pPr>
      <w:r w:rsidRPr="001842A6">
        <w:rPr>
          <w:noProof/>
          <w:lang w:eastAsia="en-AU"/>
        </w:rPr>
        <w:t>The size and complexity of the CCC transformation program and our ability to adapt to change may lead to delivery risks and reduce the benefits delivered.</w:t>
      </w:r>
    </w:p>
    <w:p w14:paraId="03A578F8" w14:textId="77777777" w:rsidR="001842A6" w:rsidRPr="00165E6A" w:rsidRDefault="001842A6" w:rsidP="00B02BC4">
      <w:pPr>
        <w:pStyle w:val="5BHeadinglight"/>
      </w:pPr>
      <w:r w:rsidRPr="00165E6A">
        <w:t>Regulation</w:t>
      </w:r>
    </w:p>
    <w:p w14:paraId="7E1E824E" w14:textId="77777777" w:rsidR="001842A6" w:rsidRPr="001842A6" w:rsidRDefault="001842A6" w:rsidP="00165E6A">
      <w:pPr>
        <w:pStyle w:val="newBODYTEXT"/>
        <w:rPr>
          <w:noProof/>
          <w:lang w:eastAsia="en-AU"/>
        </w:rPr>
      </w:pPr>
      <w:r w:rsidRPr="001842A6">
        <w:rPr>
          <w:noProof/>
          <w:lang w:eastAsia="en-AU"/>
        </w:rPr>
        <w:t>Legislation that fails to keep pace with our dynamic operating environment and changing regulatory scrutiny may require changes to our operating model to maintain effective and efficient service delivery.</w:t>
      </w:r>
    </w:p>
    <w:p w14:paraId="7379DDB9" w14:textId="77777777" w:rsidR="001842A6" w:rsidRPr="00165E6A" w:rsidRDefault="001842A6" w:rsidP="00B02BC4">
      <w:pPr>
        <w:pStyle w:val="5BHeadinglight"/>
      </w:pPr>
      <w:r w:rsidRPr="00165E6A">
        <w:t>Public Confidence</w:t>
      </w:r>
    </w:p>
    <w:p w14:paraId="253BF7EC" w14:textId="77777777" w:rsidR="001842A6" w:rsidRPr="001842A6" w:rsidRDefault="001842A6" w:rsidP="00165E6A">
      <w:pPr>
        <w:pStyle w:val="newBODYTEXT"/>
        <w:rPr>
          <w:noProof/>
          <w:lang w:eastAsia="en-AU"/>
        </w:rPr>
      </w:pPr>
      <w:r w:rsidRPr="001842A6">
        <w:rPr>
          <w:noProof/>
          <w:lang w:eastAsia="en-AU"/>
        </w:rPr>
        <w:t>Accountability and transparency are critical to the performance of the CCC. Failure to communicate effectively may undermine public confidence.</w:t>
      </w:r>
    </w:p>
    <w:p w14:paraId="08A2DA00" w14:textId="77777777" w:rsidR="001842A6" w:rsidRPr="00165E6A" w:rsidRDefault="001842A6" w:rsidP="00B02BC4">
      <w:pPr>
        <w:pStyle w:val="5BHeadinglight"/>
      </w:pPr>
      <w:r w:rsidRPr="00165E6A">
        <w:t>Economy</w:t>
      </w:r>
    </w:p>
    <w:p w14:paraId="6A91ED7E" w14:textId="77777777" w:rsidR="001842A6" w:rsidRPr="001842A6" w:rsidRDefault="001842A6" w:rsidP="00165E6A">
      <w:pPr>
        <w:pStyle w:val="newBODYTEXT"/>
        <w:rPr>
          <w:noProof/>
          <w:lang w:eastAsia="en-AU"/>
        </w:rPr>
      </w:pPr>
      <w:r w:rsidRPr="001842A6">
        <w:rPr>
          <w:noProof/>
          <w:lang w:eastAsia="en-AU"/>
        </w:rPr>
        <w:t>Economic instability, anticipated financial implications of a transformational change program, and increasing digital investiment may constrain performance.</w:t>
      </w:r>
    </w:p>
    <w:p w14:paraId="7B50DD27" w14:textId="77777777" w:rsidR="001842A6" w:rsidRPr="001842A6" w:rsidRDefault="001842A6" w:rsidP="001842A6">
      <w:pPr>
        <w:spacing w:before="120" w:after="0" w:line="260" w:lineRule="exact"/>
        <w:rPr>
          <w:color w:val="414042" w:themeColor="text1"/>
        </w:rPr>
        <w:sectPr w:rsidR="001842A6" w:rsidRPr="001842A6" w:rsidSect="001842A6">
          <w:type w:val="continuous"/>
          <w:pgSz w:w="11906" w:h="16838" w:code="9"/>
          <w:pgMar w:top="2155" w:right="1134" w:bottom="964" w:left="1134" w:header="720" w:footer="284" w:gutter="0"/>
          <w:cols w:num="2" w:space="567"/>
          <w:noEndnote/>
          <w:docGrid w:linePitch="272"/>
        </w:sectPr>
      </w:pPr>
      <w:r w:rsidRPr="001842A6">
        <w:rPr>
          <w:color w:val="414042" w:themeColor="text1"/>
        </w:rPr>
        <w:br w:type="page"/>
      </w:r>
    </w:p>
    <w:p w14:paraId="4AC8F629" w14:textId="0E673A90" w:rsidR="00FA6C71" w:rsidRPr="00AF0D5C" w:rsidRDefault="00FA6C71" w:rsidP="00B02BC4">
      <w:pPr>
        <w:pStyle w:val="2Heading"/>
        <w:spacing w:after="240"/>
      </w:pPr>
      <w:bookmarkStart w:id="515" w:name="_Toc102037874"/>
      <w:bookmarkStart w:id="516" w:name="_Toc102038236"/>
      <w:bookmarkStart w:id="517" w:name="_Toc102038597"/>
      <w:bookmarkStart w:id="518" w:name="_Toc102038957"/>
      <w:bookmarkStart w:id="519" w:name="_Toc102039309"/>
      <w:bookmarkStart w:id="520" w:name="_Toc102039664"/>
      <w:bookmarkStart w:id="521" w:name="_Toc102040021"/>
      <w:bookmarkStart w:id="522" w:name="_Toc102040346"/>
      <w:bookmarkStart w:id="523" w:name="_Toc102040680"/>
      <w:bookmarkStart w:id="524" w:name="_Toc102041008"/>
      <w:bookmarkStart w:id="525" w:name="_Toc102041338"/>
      <w:bookmarkStart w:id="526" w:name="_Toc102041670"/>
      <w:bookmarkStart w:id="527" w:name="_Toc102041997"/>
      <w:bookmarkStart w:id="528" w:name="_Toc102042326"/>
      <w:bookmarkStart w:id="529" w:name="_Toc102045456"/>
      <w:bookmarkStart w:id="530" w:name="PerformanceInformation"/>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AF0D5C">
        <w:t>Performance information</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4A7C76F2" w14:textId="392B150F" w:rsidR="006D5185" w:rsidRPr="00AF0D5C" w:rsidRDefault="003E73D0" w:rsidP="00C903A2">
      <w:pPr>
        <w:pStyle w:val="3Heading-highlight"/>
      </w:pPr>
      <w:bookmarkStart w:id="531" w:name="_Toc102037875"/>
      <w:bookmarkStart w:id="532" w:name="_Toc102038237"/>
      <w:bookmarkStart w:id="533" w:name="_Toc102038598"/>
      <w:bookmarkStart w:id="534" w:name="_Toc102038958"/>
      <w:bookmarkStart w:id="535" w:name="_Toc102039310"/>
      <w:bookmarkStart w:id="536" w:name="_Toc102039665"/>
      <w:bookmarkStart w:id="537" w:name="_Toc102040022"/>
      <w:bookmarkStart w:id="538" w:name="_Toc102040347"/>
      <w:bookmarkStart w:id="539" w:name="_Toc102040681"/>
      <w:bookmarkStart w:id="540" w:name="_Toc102041009"/>
      <w:bookmarkStart w:id="541" w:name="_Toc102041339"/>
      <w:bookmarkStart w:id="542" w:name="_Toc102041671"/>
      <w:bookmarkStart w:id="543" w:name="_Toc102041998"/>
      <w:bookmarkStart w:id="544" w:name="_Toc102042327"/>
      <w:bookmarkStart w:id="545" w:name="_Toc102045457"/>
      <w:bookmarkEnd w:id="530"/>
      <w:r w:rsidRPr="00AF0D5C">
        <w:t>Our S</w:t>
      </w:r>
      <w:r w:rsidR="00307C87" w:rsidRPr="00AF0D5C">
        <w:t xml:space="preserve">ervice </w:t>
      </w:r>
      <w:r w:rsidRPr="00AF0D5C">
        <w:t>D</w:t>
      </w:r>
      <w:r w:rsidR="00307C87" w:rsidRPr="00AF0D5C">
        <w:t>elivery</w:t>
      </w:r>
      <w:r w:rsidR="007F63B2" w:rsidRPr="00AF0D5C">
        <w:t xml:space="preserve"> </w:t>
      </w:r>
      <w:r w:rsidR="006D1876" w:rsidRPr="00AF0D5C">
        <w:t>Standards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sidR="005A2BE5" w:rsidRPr="00AF0D5C">
        <w:t>: Crime Fighting and Anti-Corruption</w:t>
      </w:r>
    </w:p>
    <w:p w14:paraId="7F39C8BD" w14:textId="685A29DD" w:rsidR="003428BB" w:rsidRPr="00AF0D5C" w:rsidRDefault="003428BB" w:rsidP="009C11CE">
      <w:pPr>
        <w:spacing w:after="120"/>
        <w:rPr>
          <w:color w:val="414042" w:themeColor="text1"/>
        </w:rPr>
      </w:pPr>
      <w:r w:rsidRPr="00AF0D5C">
        <w:rPr>
          <w:color w:val="414042" w:themeColor="text1"/>
        </w:rPr>
        <w:t>As part of the Queensland Government’s budget process, the CCC reports its non-financial performance in the Department of Justice and Attorney-General Service Delivery Statement.</w:t>
      </w:r>
    </w:p>
    <w:p w14:paraId="442E0F27" w14:textId="2A279AF8" w:rsidR="00697BCD" w:rsidRPr="00AF0D5C" w:rsidRDefault="00697BCD" w:rsidP="00165E6A">
      <w:pPr>
        <w:pStyle w:val="4H-Intro"/>
        <w:spacing w:after="240"/>
      </w:pPr>
      <w:r w:rsidRPr="00AF0D5C">
        <w:t>Service area objective: Protect Queenslanders from major crime and corruption</w:t>
      </w:r>
    </w:p>
    <w:tbl>
      <w:tblPr>
        <w:tblStyle w:val="TableGrid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4957"/>
        <w:gridCol w:w="4416"/>
        <w:gridCol w:w="266"/>
      </w:tblGrid>
      <w:tr w:rsidR="00AF0D5C" w:rsidRPr="00AF0D5C" w14:paraId="41A86631" w14:textId="77777777" w:rsidTr="003E0209">
        <w:trPr>
          <w:trHeight w:val="20"/>
        </w:trPr>
        <w:tc>
          <w:tcPr>
            <w:tcW w:w="4957" w:type="dxa"/>
          </w:tcPr>
          <w:bookmarkStart w:id="546" w:name="_Toc102037876"/>
          <w:bookmarkStart w:id="547" w:name="_Toc102038238"/>
          <w:bookmarkStart w:id="548" w:name="_Toc102038599"/>
          <w:bookmarkStart w:id="549" w:name="_Toc102038959"/>
          <w:bookmarkStart w:id="550" w:name="_Toc102039311"/>
          <w:bookmarkStart w:id="551" w:name="_Toc102039666"/>
          <w:bookmarkStart w:id="552" w:name="_Toc102040023"/>
          <w:bookmarkStart w:id="553" w:name="_Toc102040348"/>
          <w:bookmarkStart w:id="554" w:name="_Toc102040682"/>
          <w:bookmarkStart w:id="555" w:name="_Toc102041010"/>
          <w:bookmarkStart w:id="556" w:name="_Toc102041340"/>
          <w:bookmarkStart w:id="557" w:name="_Toc102041672"/>
          <w:bookmarkStart w:id="558" w:name="_Toc102041999"/>
          <w:bookmarkStart w:id="559" w:name="_Toc102042328"/>
          <w:bookmarkStart w:id="560" w:name="_Toc102045458"/>
          <w:p w14:paraId="3B1EE011" w14:textId="293622B9" w:rsidR="00D131E7" w:rsidRPr="003E0209" w:rsidRDefault="00BF4CC2" w:rsidP="00E554DA">
            <w:pPr>
              <w:pStyle w:val="Tablefigure"/>
              <w:spacing w:before="0"/>
            </w:pPr>
            <w:r w:rsidRPr="003E0209">
              <mc:AlternateContent>
                <mc:Choice Requires="wps">
                  <w:drawing>
                    <wp:anchor distT="0" distB="0" distL="114300" distR="114300" simplePos="0" relativeHeight="252518400" behindDoc="0" locked="0" layoutInCell="1" allowOverlap="1" wp14:anchorId="75159D10" wp14:editId="275DCA47">
                      <wp:simplePos x="0" y="0"/>
                      <wp:positionH relativeFrom="column">
                        <wp:posOffset>2984936</wp:posOffset>
                      </wp:positionH>
                      <wp:positionV relativeFrom="paragraph">
                        <wp:posOffset>12037</wp:posOffset>
                      </wp:positionV>
                      <wp:extent cx="0" cy="6530340"/>
                      <wp:effectExtent l="0" t="0" r="38100" b="22860"/>
                      <wp:wrapNone/>
                      <wp:docPr id="582168979" name="Straight Connector 14"/>
                      <wp:cNvGraphicFramePr/>
                      <a:graphic xmlns:a="http://schemas.openxmlformats.org/drawingml/2006/main">
                        <a:graphicData uri="http://schemas.microsoft.com/office/word/2010/wordprocessingShape">
                          <wps:wsp>
                            <wps:cNvCnPr/>
                            <wps:spPr>
                              <a:xfrm>
                                <a:off x="0" y="0"/>
                                <a:ext cx="0" cy="6530340"/>
                              </a:xfrm>
                              <a:prstGeom prst="line">
                                <a:avLst/>
                              </a:prstGeom>
                              <a:noFill/>
                              <a:ln w="19050" cap="flat" cmpd="sng" algn="ctr">
                                <a:solidFill>
                                  <a:schemeClr val="bg1"/>
                                </a:solidFill>
                                <a:prstDash val="solid"/>
                                <a:miter lim="800000"/>
                              </a:ln>
                              <a:effectLst/>
                            </wps:spPr>
                            <wps:bodyPr/>
                          </wps:wsp>
                        </a:graphicData>
                      </a:graphic>
                      <wp14:sizeRelV relativeFrom="margin">
                        <wp14:pctHeight>0</wp14:pctHeight>
                      </wp14:sizeRelV>
                    </wp:anchor>
                  </w:drawing>
                </mc:Choice>
                <mc:Fallback>
                  <w:pict>
                    <v:line w14:anchorId="14FF638B" id="Straight Connector 14" o:spid="_x0000_s1026" style="position:absolute;z-index:25251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05pt,.95pt" to="235.05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" strokecolor="white [3212]" strokeweight="1.5pt">
                      <v:stroke joinstyle="miter"/>
                    </v:line>
                  </w:pict>
                </mc:Fallback>
              </mc:AlternateContent>
            </w:r>
            <w:r w:rsidR="003B3B33" w:rsidRPr="003E0209">
              <mc:AlternateContent>
                <mc:Choice Requires="wps">
                  <w:drawing>
                    <wp:anchor distT="0" distB="0" distL="114300" distR="114300" simplePos="0" relativeHeight="252443648" behindDoc="0" locked="0" layoutInCell="1" allowOverlap="1" wp14:anchorId="39048EE9" wp14:editId="2CF1EB2A">
                      <wp:simplePos x="0" y="0"/>
                      <wp:positionH relativeFrom="column">
                        <wp:posOffset>1628775</wp:posOffset>
                      </wp:positionH>
                      <wp:positionV relativeFrom="page">
                        <wp:posOffset>517705</wp:posOffset>
                      </wp:positionV>
                      <wp:extent cx="1231900" cy="234315"/>
                      <wp:effectExtent l="0" t="0" r="0" b="0"/>
                      <wp:wrapNone/>
                      <wp:docPr id="954"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34315"/>
                              </a:xfrm>
                              <a:prstGeom prst="rect">
                                <a:avLst/>
                              </a:prstGeom>
                              <a:noFill/>
                              <a:ln w="9525">
                                <a:noFill/>
                                <a:miter lim="800000"/>
                                <a:headEnd/>
                                <a:tailEnd/>
                              </a:ln>
                            </wps:spPr>
                            <wps:txbx>
                              <w:txbxContent>
                                <w:p w14:paraId="6BCFD369" w14:textId="77777777" w:rsidR="00D131E7" w:rsidRPr="00DE4C63" w:rsidRDefault="00D131E7" w:rsidP="00697BCD">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Pr>
                                      <w:rFonts w:asciiTheme="majorHAnsi" w:hAnsiTheme="majorHAnsi" w:cstheme="majorHAnsi"/>
                                      <w:color w:val="414042" w:themeColor="text1"/>
                                      <w:spacing w:val="4"/>
                                      <w:sz w:val="16"/>
                                      <w:szCs w:val="18"/>
                                    </w:rPr>
                                    <w:t>90</w:t>
                                  </w:r>
                                  <w:r w:rsidRPr="00DE4C63">
                                    <w:rPr>
                                      <w:rFonts w:asciiTheme="majorHAnsi" w:hAnsiTheme="majorHAnsi" w:cstheme="majorHAnsi"/>
                                      <w:color w:val="414042" w:themeColor="text1"/>
                                      <w:spacing w:val="4"/>
                                      <w:sz w:val="16"/>
                                      <w:szCs w:val="18"/>
                                    </w:rPr>
                                    <w:t>%</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39048EE9" id="Text Box 954" o:spid="_x0000_s1033" type="#_x0000_t202" style="position:absolute;left:0;text-align:left;margin-left:128.25pt;margin-top:40.75pt;width:97pt;height:18.4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" filled="f" stroked="f">
                      <v:textbox>
                        <w:txbxContent>
                          <w:p w14:paraId="6BCFD369" w14:textId="77777777" w:rsidR="00D131E7" w:rsidRPr="00DE4C63" w:rsidRDefault="00D131E7" w:rsidP="00697BCD">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Pr>
                                <w:rFonts w:asciiTheme="majorHAnsi" w:hAnsiTheme="majorHAnsi" w:cstheme="majorHAnsi"/>
                                <w:color w:val="414042" w:themeColor="text1"/>
                                <w:spacing w:val="4"/>
                                <w:sz w:val="16"/>
                                <w:szCs w:val="18"/>
                              </w:rPr>
                              <w:t>90</w:t>
                            </w:r>
                            <w:r w:rsidRPr="00DE4C63">
                              <w:rPr>
                                <w:rFonts w:asciiTheme="majorHAnsi" w:hAnsiTheme="majorHAnsi" w:cstheme="majorHAnsi"/>
                                <w:color w:val="414042" w:themeColor="text1"/>
                                <w:spacing w:val="4"/>
                                <w:sz w:val="16"/>
                                <w:szCs w:val="18"/>
                              </w:rPr>
                              <w:t>%</w:t>
                            </w:r>
                          </w:p>
                        </w:txbxContent>
                      </v:textbox>
                      <w10:wrap anchory="page"/>
                    </v:shape>
                  </w:pict>
                </mc:Fallback>
              </mc:AlternateContent>
            </w:r>
            <w:r w:rsidR="00D131E7" w:rsidRPr="003E0209">
              <w:t>Figure 1: Percentage of targeted criminal organisation participants subject to an intelligence outcome as a result of CCC intelligence operations</w:t>
            </w:r>
            <w:r w:rsidR="009C11CE" w:rsidRPr="003E0209">
              <w:rPr>
                <w:vertAlign w:val="superscript"/>
              </w:rPr>
              <w:t>1</w:t>
            </w:r>
          </w:p>
        </w:tc>
        <w:tc>
          <w:tcPr>
            <w:tcW w:w="4682" w:type="dxa"/>
            <w:gridSpan w:val="2"/>
          </w:tcPr>
          <w:p w14:paraId="113BE40C" w14:textId="07A890F4" w:rsidR="00D131E7" w:rsidRPr="00AF0D5C" w:rsidRDefault="00E554DA" w:rsidP="006900F6">
            <w:pPr>
              <w:pStyle w:val="Tablefigure"/>
              <w:spacing w:before="0"/>
              <w:ind w:right="169"/>
            </w:pPr>
            <w:r w:rsidRPr="00AF0D5C">
              <mc:AlternateContent>
                <mc:Choice Requires="wps">
                  <w:drawing>
                    <wp:anchor distT="0" distB="0" distL="114300" distR="114300" simplePos="0" relativeHeight="252445696" behindDoc="0" locked="0" layoutInCell="1" allowOverlap="1" wp14:anchorId="1C31E0CB" wp14:editId="76FE0C38">
                      <wp:simplePos x="0" y="0"/>
                      <wp:positionH relativeFrom="column">
                        <wp:posOffset>1570686</wp:posOffset>
                      </wp:positionH>
                      <wp:positionV relativeFrom="page">
                        <wp:posOffset>532064</wp:posOffset>
                      </wp:positionV>
                      <wp:extent cx="1260389" cy="244144"/>
                      <wp:effectExtent l="0" t="0" r="0" b="3810"/>
                      <wp:wrapNone/>
                      <wp:docPr id="944"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389" cy="244144"/>
                              </a:xfrm>
                              <a:prstGeom prst="rect">
                                <a:avLst/>
                              </a:prstGeom>
                              <a:noFill/>
                              <a:ln w="9525">
                                <a:noFill/>
                                <a:miter lim="800000"/>
                                <a:headEnd/>
                                <a:tailEnd/>
                              </a:ln>
                            </wps:spPr>
                            <wps:txbx>
                              <w:txbxContent>
                                <w:p w14:paraId="7A2037B4" w14:textId="77777777" w:rsidR="00D131E7" w:rsidRPr="00DE4C63" w:rsidRDefault="00D131E7" w:rsidP="00065573">
                                  <w:pPr>
                                    <w:jc w:val="right"/>
                                    <w:rPr>
                                      <w:rFonts w:asciiTheme="majorHAnsi" w:hAnsiTheme="majorHAnsi" w:cstheme="majorHAnsi"/>
                                      <w:spacing w:val="4"/>
                                      <w:sz w:val="14"/>
                                      <w:szCs w:val="16"/>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 xml:space="preserve"> target — </w:t>
                                  </w:r>
                                  <w:r w:rsidRPr="00DE4C63">
                                    <w:rPr>
                                      <w:rFonts w:asciiTheme="majorHAnsi" w:hAnsiTheme="majorHAnsi" w:cstheme="majorHAnsi"/>
                                      <w:color w:val="414042" w:themeColor="text1"/>
                                      <w:spacing w:val="4"/>
                                      <w:sz w:val="16"/>
                                      <w:szCs w:val="18"/>
                                    </w:rPr>
                                    <w:t>95</w:t>
                                  </w:r>
                                  <w:r w:rsidRPr="00DE4C63">
                                    <w:rPr>
                                      <w:rFonts w:asciiTheme="majorHAnsi" w:hAnsiTheme="majorHAnsi" w:cstheme="majorHAnsi"/>
                                      <w:color w:val="414042" w:themeColor="text1"/>
                                      <w:spacing w:val="4"/>
                                      <w:sz w:val="14"/>
                                      <w:szCs w:val="16"/>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C31E0CB" id="Text Box 944" o:spid="_x0000_s1034" type="#_x0000_t202" style="position:absolute;left:0;text-align:left;margin-left:123.7pt;margin-top:41.9pt;width:99.25pt;height:19.2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" filled="f" stroked="f">
                      <v:textbox>
                        <w:txbxContent>
                          <w:p w14:paraId="7A2037B4" w14:textId="77777777" w:rsidR="00D131E7" w:rsidRPr="00DE4C63" w:rsidRDefault="00D131E7" w:rsidP="00065573">
                            <w:pPr>
                              <w:jc w:val="right"/>
                              <w:rPr>
                                <w:rFonts w:asciiTheme="majorHAnsi" w:hAnsiTheme="majorHAnsi" w:cstheme="majorHAnsi"/>
                                <w:spacing w:val="4"/>
                                <w:sz w:val="14"/>
                                <w:szCs w:val="16"/>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 xml:space="preserve"> target — </w:t>
                            </w:r>
                            <w:r w:rsidRPr="00DE4C63">
                              <w:rPr>
                                <w:rFonts w:asciiTheme="majorHAnsi" w:hAnsiTheme="majorHAnsi" w:cstheme="majorHAnsi"/>
                                <w:color w:val="414042" w:themeColor="text1"/>
                                <w:spacing w:val="4"/>
                                <w:sz w:val="16"/>
                                <w:szCs w:val="18"/>
                              </w:rPr>
                              <w:t>95</w:t>
                            </w:r>
                            <w:r w:rsidRPr="00DE4C63">
                              <w:rPr>
                                <w:rFonts w:asciiTheme="majorHAnsi" w:hAnsiTheme="majorHAnsi" w:cstheme="majorHAnsi"/>
                                <w:color w:val="414042" w:themeColor="text1"/>
                                <w:spacing w:val="4"/>
                                <w:sz w:val="14"/>
                                <w:szCs w:val="16"/>
                              </w:rPr>
                              <w:t>%</w:t>
                            </w:r>
                          </w:p>
                        </w:txbxContent>
                      </v:textbox>
                      <w10:wrap anchory="page"/>
                    </v:shape>
                  </w:pict>
                </mc:Fallback>
              </mc:AlternateContent>
            </w:r>
            <w:r w:rsidR="00D131E7" w:rsidRPr="00AF0D5C">
              <w:t>Figure 2: Percentage of hearings that add value to a referred crime investigation</w:t>
            </w:r>
            <w:r w:rsidR="009C11CE" w:rsidRPr="00AF0D5C">
              <w:rPr>
                <w:vertAlign w:val="superscript"/>
              </w:rPr>
              <w:t>2</w:t>
            </w:r>
          </w:p>
        </w:tc>
      </w:t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tr w:rsidR="00AF0D5C" w:rsidRPr="00AF0D5C" w14:paraId="1D706154" w14:textId="77777777" w:rsidTr="003E0209">
        <w:trPr>
          <w:trHeight w:val="20"/>
        </w:trPr>
        <w:tc>
          <w:tcPr>
            <w:tcW w:w="4957" w:type="dxa"/>
          </w:tcPr>
          <w:p w14:paraId="7172300B" w14:textId="0D470529" w:rsidR="00D131E7" w:rsidRPr="00AF0D5C" w:rsidRDefault="00CF3CBE" w:rsidP="003E0209">
            <w:pPr>
              <w:keepNext/>
              <w:suppressAutoHyphens/>
              <w:autoSpaceDE w:val="0"/>
              <w:autoSpaceDN w:val="0"/>
              <w:adjustRightInd w:val="0"/>
              <w:spacing w:before="120" w:after="0"/>
              <w:ind w:left="-113" w:right="172"/>
              <w:textAlignment w:val="center"/>
              <w:rPr>
                <w:rFonts w:ascii="Calibri" w:hAnsi="Calibri" w:cs="Calibri"/>
                <w:color w:val="414042" w:themeColor="text1"/>
              </w:rPr>
            </w:pPr>
            <w:r w:rsidRPr="00AF0D5C">
              <w:rPr>
                <w:rFonts w:ascii="Calibri" w:hAnsi="Calibri" w:cs="Calibri"/>
                <w:noProof/>
                <w:color w:val="414042" w:themeColor="text1"/>
              </w:rPr>
              <mc:AlternateContent>
                <mc:Choice Requires="wps">
                  <w:drawing>
                    <wp:anchor distT="0" distB="0" distL="114300" distR="114300" simplePos="0" relativeHeight="252469248" behindDoc="0" locked="0" layoutInCell="1" allowOverlap="1" wp14:anchorId="27DA8F9E" wp14:editId="39C24A9A">
                      <wp:simplePos x="0" y="0"/>
                      <wp:positionH relativeFrom="column">
                        <wp:posOffset>2279337</wp:posOffset>
                      </wp:positionH>
                      <wp:positionV relativeFrom="paragraph">
                        <wp:posOffset>148590</wp:posOffset>
                      </wp:positionV>
                      <wp:extent cx="0" cy="178597"/>
                      <wp:effectExtent l="0" t="0" r="38100" b="31115"/>
                      <wp:wrapNone/>
                      <wp:docPr id="10" name="Straight Connector 10"/>
                      <wp:cNvGraphicFramePr/>
                      <a:graphic xmlns:a="http://schemas.openxmlformats.org/drawingml/2006/main">
                        <a:graphicData uri="http://schemas.microsoft.com/office/word/2010/wordprocessingShape">
                          <wps:wsp>
                            <wps:cNvCnPr/>
                            <wps:spPr>
                              <a:xfrm>
                                <a:off x="0" y="0"/>
                                <a:ext cx="0" cy="178597"/>
                              </a:xfrm>
                              <a:prstGeom prst="line">
                                <a:avLst/>
                              </a:prstGeom>
                              <a:ln>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DDD78A" id="Straight Connector 10" o:spid="_x0000_s1026" style="position:absolute;z-index:25246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5pt,11.7pt" to="179.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" strokecolor="white [3212]" strokeweight=".5pt">
                      <v:stroke dashstyle="3 1" joinstyle="miter"/>
                    </v:line>
                  </w:pict>
                </mc:Fallback>
              </mc:AlternateContent>
            </w:r>
            <w:r w:rsidR="009B6C22" w:rsidRPr="00AF0D5C">
              <w:rPr>
                <w:rFonts w:ascii="Calibri" w:hAnsi="Calibri" w:cs="Calibri"/>
                <w:noProof/>
                <w:color w:val="414042" w:themeColor="text1"/>
              </w:rPr>
              <w:drawing>
                <wp:inline distT="0" distB="0" distL="0" distR="0" wp14:anchorId="2F793749" wp14:editId="4D0FEB71">
                  <wp:extent cx="2879725" cy="1044000"/>
                  <wp:effectExtent l="0" t="0" r="0" b="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c>
          <w:tcPr>
            <w:tcW w:w="4682" w:type="dxa"/>
            <w:gridSpan w:val="2"/>
          </w:tcPr>
          <w:p w14:paraId="33FA1E7D" w14:textId="01E34A5D" w:rsidR="00D131E7" w:rsidRPr="00AF0D5C" w:rsidRDefault="00335EAC" w:rsidP="003E0209">
            <w:pPr>
              <w:keepNext/>
              <w:suppressAutoHyphens/>
              <w:autoSpaceDE w:val="0"/>
              <w:autoSpaceDN w:val="0"/>
              <w:adjustRightInd w:val="0"/>
              <w:spacing w:before="120" w:after="0"/>
              <w:ind w:left="57" w:right="57"/>
              <w:textAlignment w:val="center"/>
              <w:rPr>
                <w:rFonts w:ascii="Calibri" w:hAnsi="Calibri" w:cs="Calibri"/>
                <w:color w:val="414042" w:themeColor="text1"/>
              </w:rPr>
            </w:pPr>
            <w:r w:rsidRPr="00AF0D5C">
              <w:rPr>
                <w:rFonts w:ascii="Calibri" w:hAnsi="Calibri" w:cs="Calibri"/>
                <w:noProof/>
                <w:color w:val="414042" w:themeColor="text1"/>
              </w:rPr>
              <mc:AlternateContent>
                <mc:Choice Requires="wps">
                  <w:drawing>
                    <wp:anchor distT="0" distB="0" distL="114300" distR="114300" simplePos="0" relativeHeight="252535808" behindDoc="0" locked="0" layoutInCell="1" allowOverlap="1" wp14:anchorId="36CE2401" wp14:editId="085EF303">
                      <wp:simplePos x="0" y="0"/>
                      <wp:positionH relativeFrom="column">
                        <wp:posOffset>2273366</wp:posOffset>
                      </wp:positionH>
                      <wp:positionV relativeFrom="paragraph">
                        <wp:posOffset>186482</wp:posOffset>
                      </wp:positionV>
                      <wp:extent cx="0" cy="205218"/>
                      <wp:effectExtent l="0" t="0" r="38100" b="23495"/>
                      <wp:wrapNone/>
                      <wp:docPr id="578691551" name="Straight Connector 578691551"/>
                      <wp:cNvGraphicFramePr/>
                      <a:graphic xmlns:a="http://schemas.openxmlformats.org/drawingml/2006/main">
                        <a:graphicData uri="http://schemas.microsoft.com/office/word/2010/wordprocessingShape">
                          <wps:wsp>
                            <wps:cNvCnPr/>
                            <wps:spPr>
                              <a:xfrm>
                                <a:off x="0" y="0"/>
                                <a:ext cx="0" cy="205218"/>
                              </a:xfrm>
                              <a:prstGeom prst="line">
                                <a:avLst/>
                              </a:prstGeom>
                              <a:noFill/>
                              <a:ln w="6350" cap="flat" cmpd="sng" algn="ctr">
                                <a:solidFill>
                                  <a:sysClr val="window" lastClr="FFFFFF"/>
                                </a:solidFill>
                                <a:prstDash val="sysDash"/>
                                <a:miter lim="800000"/>
                              </a:ln>
                              <a:effectLst/>
                            </wps:spPr>
                            <wps:bodyPr/>
                          </wps:wsp>
                        </a:graphicData>
                      </a:graphic>
                      <wp14:sizeRelV relativeFrom="margin">
                        <wp14:pctHeight>0</wp14:pctHeight>
                      </wp14:sizeRelV>
                    </wp:anchor>
                  </w:drawing>
                </mc:Choice>
                <mc:Fallback>
                  <w:pict>
                    <v:line w14:anchorId="6997E96B" id="Straight Connector 578691551" o:spid="_x0000_s1026" style="position:absolute;z-index:25253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pt,14.7pt" to="179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" strokecolor="window" strokeweight=".5pt">
                      <v:stroke dashstyle="3 1" joinstyle="miter"/>
                    </v:line>
                  </w:pict>
                </mc:Fallback>
              </mc:AlternateContent>
            </w:r>
            <w:r w:rsidR="003B3B33" w:rsidRPr="00AF0D5C">
              <w:rPr>
                <w:rFonts w:ascii="Calibri" w:hAnsi="Calibri" w:cs="Calibri"/>
                <w:noProof/>
                <w:color w:val="414042" w:themeColor="text1"/>
                <w:spacing w:val="-5"/>
              </w:rPr>
              <w:drawing>
                <wp:anchor distT="0" distB="0" distL="114300" distR="114300" simplePos="0" relativeHeight="252533760" behindDoc="0" locked="0" layoutInCell="1" allowOverlap="1" wp14:anchorId="78918078" wp14:editId="0E32C5CC">
                  <wp:simplePos x="0" y="0"/>
                  <wp:positionH relativeFrom="column">
                    <wp:posOffset>-67310</wp:posOffset>
                  </wp:positionH>
                  <wp:positionV relativeFrom="paragraph">
                    <wp:posOffset>118745</wp:posOffset>
                  </wp:positionV>
                  <wp:extent cx="2908300" cy="1043940"/>
                  <wp:effectExtent l="0" t="0" r="0" b="0"/>
                  <wp:wrapSquare wrapText="bothSides"/>
                  <wp:docPr id="946" name="Chart 9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page">
                    <wp14:pctWidth>0</wp14:pctWidth>
                  </wp14:sizeRelH>
                  <wp14:sizeRelV relativeFrom="page">
                    <wp14:pctHeight>0</wp14:pctHeight>
                  </wp14:sizeRelV>
                </wp:anchor>
              </w:drawing>
            </w:r>
            <w:r w:rsidR="001B1892" w:rsidRPr="00AF0D5C">
              <w:rPr>
                <w:noProof/>
                <w:color w:val="414042" w:themeColor="text1"/>
              </w:rPr>
              <mc:AlternateContent>
                <mc:Choice Requires="wps">
                  <w:drawing>
                    <wp:anchor distT="0" distB="0" distL="114300" distR="114300" simplePos="0" relativeHeight="252471296" behindDoc="0" locked="0" layoutInCell="1" allowOverlap="1" wp14:anchorId="41FC2B61" wp14:editId="08924ED6">
                      <wp:simplePos x="0" y="0"/>
                      <wp:positionH relativeFrom="column">
                        <wp:posOffset>2421255</wp:posOffset>
                      </wp:positionH>
                      <wp:positionV relativeFrom="paragraph">
                        <wp:posOffset>148062</wp:posOffset>
                      </wp:positionV>
                      <wp:extent cx="0" cy="195245"/>
                      <wp:effectExtent l="0" t="0" r="38100" b="33655"/>
                      <wp:wrapNone/>
                      <wp:docPr id="25" name="Straight Connector 25"/>
                      <wp:cNvGraphicFramePr/>
                      <a:graphic xmlns:a="http://schemas.openxmlformats.org/drawingml/2006/main">
                        <a:graphicData uri="http://schemas.microsoft.com/office/word/2010/wordprocessingShape">
                          <wps:wsp>
                            <wps:cNvCnPr/>
                            <wps:spPr>
                              <a:xfrm>
                                <a:off x="0" y="0"/>
                                <a:ext cx="0" cy="195245"/>
                              </a:xfrm>
                              <a:prstGeom prst="line">
                                <a:avLst/>
                              </a:prstGeom>
                              <a:ln>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1F71A" id="Straight Connector 25" o:spid="_x0000_s1026" style="position:absolute;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65pt,11.65pt" to="190.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" strokecolor="white [3212]" strokeweight=".5pt">
                      <v:stroke dashstyle="3 1" joinstyle="miter"/>
                    </v:line>
                  </w:pict>
                </mc:Fallback>
              </mc:AlternateContent>
            </w:r>
            <w:r>
              <w:rPr>
                <w:rFonts w:ascii="Calibri" w:hAnsi="Calibri" w:cs="Calibri"/>
                <w:noProof/>
                <w:color w:val="414042" w:themeColor="text1"/>
              </w:rPr>
              <w:t xml:space="preserve"> </w:t>
            </w:r>
          </w:p>
        </w:tc>
      </w:tr>
      <w:tr w:rsidR="00AF0D5C" w:rsidRPr="00AF0D5C" w14:paraId="19CEA234" w14:textId="77777777" w:rsidTr="003E0209">
        <w:trPr>
          <w:trHeight w:val="20"/>
        </w:trPr>
        <w:tc>
          <w:tcPr>
            <w:tcW w:w="4957" w:type="dxa"/>
          </w:tcPr>
          <w:p w14:paraId="683EEA43" w14:textId="2378F9CD" w:rsidR="00852DBB" w:rsidRPr="00AF0D5C" w:rsidRDefault="00852DBB" w:rsidP="00E554DA">
            <w:pPr>
              <w:pStyle w:val="Tablefigure"/>
              <w:spacing w:before="0"/>
            </w:pPr>
            <w:bookmarkStart w:id="561" w:name="_Toc102037877"/>
            <w:bookmarkStart w:id="562" w:name="_Toc102040349"/>
            <w:bookmarkStart w:id="563" w:name="_Toc102040683"/>
            <w:bookmarkStart w:id="564" w:name="_Toc102041011"/>
            <w:r w:rsidRPr="00AF0D5C">
              <w:t>Figure 3: Percentage of corruption investigations resulting in significant outcomes</w:t>
            </w:r>
          </w:p>
        </w:tc>
        <w:tc>
          <w:tcPr>
            <w:tcW w:w="4682" w:type="dxa"/>
            <w:gridSpan w:val="2"/>
          </w:tcPr>
          <w:p w14:paraId="3BB49541" w14:textId="67271520" w:rsidR="00852DBB" w:rsidRPr="00AF0D5C" w:rsidRDefault="003B3B33" w:rsidP="00E554DA">
            <w:pPr>
              <w:pStyle w:val="Tablefigure"/>
              <w:spacing w:before="0"/>
            </w:pPr>
            <w:r w:rsidRPr="00AF0D5C">
              <mc:AlternateContent>
                <mc:Choice Requires="wps">
                  <w:drawing>
                    <wp:anchor distT="0" distB="0" distL="114300" distR="114300" simplePos="0" relativeHeight="252444671" behindDoc="0" locked="0" layoutInCell="1" allowOverlap="1" wp14:anchorId="1B473295" wp14:editId="5C3B4B10">
                      <wp:simplePos x="0" y="0"/>
                      <wp:positionH relativeFrom="column">
                        <wp:posOffset>1126954</wp:posOffset>
                      </wp:positionH>
                      <wp:positionV relativeFrom="page">
                        <wp:posOffset>336673</wp:posOffset>
                      </wp:positionV>
                      <wp:extent cx="1296538" cy="27178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538" cy="271780"/>
                              </a:xfrm>
                              <a:prstGeom prst="rect">
                                <a:avLst/>
                              </a:prstGeom>
                              <a:noFill/>
                              <a:ln w="9525">
                                <a:noFill/>
                                <a:miter lim="800000"/>
                                <a:headEnd/>
                                <a:tailEnd/>
                              </a:ln>
                            </wps:spPr>
                            <wps:txbx>
                              <w:txbxContent>
                                <w:p w14:paraId="0E0F5543" w14:textId="77777777" w:rsidR="00852DBB" w:rsidRPr="00DE4C63" w:rsidRDefault="00852DBB" w:rsidP="005E0B28">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 xml:space="preserve"> target — </w:t>
                                  </w:r>
                                  <w:r>
                                    <w:rPr>
                                      <w:rFonts w:asciiTheme="majorHAnsi" w:hAnsiTheme="majorHAnsi" w:cstheme="majorHAnsi"/>
                                      <w:color w:val="414042" w:themeColor="text1"/>
                                      <w:spacing w:val="4"/>
                                      <w:sz w:val="16"/>
                                      <w:szCs w:val="18"/>
                                    </w:rPr>
                                    <w:t>80</w:t>
                                  </w:r>
                                  <w:r w:rsidRPr="00DE4C63">
                                    <w:rPr>
                                      <w:rFonts w:asciiTheme="majorHAnsi" w:hAnsiTheme="majorHAnsi" w:cstheme="majorHAnsi"/>
                                      <w:color w:val="414042" w:themeColor="text1"/>
                                      <w:spacing w:val="4"/>
                                      <w:sz w:val="16"/>
                                      <w:szCs w:val="18"/>
                                    </w:rPr>
                                    <w:t>%</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1B473295" id="Text Box 18" o:spid="_x0000_s1035" type="#_x0000_t202" style="position:absolute;left:0;text-align:left;margin-left:88.75pt;margin-top:26.5pt;width:102.1pt;height:21.4pt;z-index:25244467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" filled="f" stroked="f">
                      <v:textbox>
                        <w:txbxContent>
                          <w:p w14:paraId="0E0F5543" w14:textId="77777777" w:rsidR="00852DBB" w:rsidRPr="00DE4C63" w:rsidRDefault="00852DBB" w:rsidP="005E0B28">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 xml:space="preserve"> target — </w:t>
                            </w:r>
                            <w:r>
                              <w:rPr>
                                <w:rFonts w:asciiTheme="majorHAnsi" w:hAnsiTheme="majorHAnsi" w:cstheme="majorHAnsi"/>
                                <w:color w:val="414042" w:themeColor="text1"/>
                                <w:spacing w:val="4"/>
                                <w:sz w:val="16"/>
                                <w:szCs w:val="18"/>
                              </w:rPr>
                              <w:t>80</w:t>
                            </w:r>
                            <w:r w:rsidRPr="00DE4C63">
                              <w:rPr>
                                <w:rFonts w:asciiTheme="majorHAnsi" w:hAnsiTheme="majorHAnsi" w:cstheme="majorHAnsi"/>
                                <w:color w:val="414042" w:themeColor="text1"/>
                                <w:spacing w:val="4"/>
                                <w:sz w:val="16"/>
                                <w:szCs w:val="18"/>
                              </w:rPr>
                              <w:t>%</w:t>
                            </w:r>
                          </w:p>
                        </w:txbxContent>
                      </v:textbox>
                      <w10:wrap anchory="page"/>
                    </v:shape>
                  </w:pict>
                </mc:Fallback>
              </mc:AlternateContent>
            </w:r>
            <w:r w:rsidR="00852DBB" w:rsidRPr="00AF0D5C">
              <w:t>Figure 4: Corruption investigation clearance rate; finalised/commenced</w:t>
            </w:r>
            <w:r w:rsidR="004C35BB" w:rsidRPr="00AF0D5C">
              <w:rPr>
                <w:vertAlign w:val="superscript"/>
              </w:rPr>
              <w:t>3</w:t>
            </w:r>
          </w:p>
        </w:tc>
      </w:tr>
      <w:tr w:rsidR="00AF0D5C" w:rsidRPr="00AF0D5C" w14:paraId="52910B84" w14:textId="77777777" w:rsidTr="003E0209">
        <w:trPr>
          <w:trHeight w:val="20"/>
        </w:trPr>
        <w:tc>
          <w:tcPr>
            <w:tcW w:w="4957" w:type="dxa"/>
          </w:tcPr>
          <w:p w14:paraId="7B5284AA" w14:textId="4848F799" w:rsidR="00852DBB" w:rsidRPr="00AF0D5C" w:rsidRDefault="00E554DA" w:rsidP="003E0209">
            <w:pPr>
              <w:keepNext/>
              <w:suppressAutoHyphens/>
              <w:autoSpaceDE w:val="0"/>
              <w:autoSpaceDN w:val="0"/>
              <w:adjustRightInd w:val="0"/>
              <w:spacing w:before="120" w:after="0"/>
              <w:ind w:left="-113" w:right="320"/>
              <w:textAlignment w:val="center"/>
              <w:rPr>
                <w:rFonts w:ascii="Calibri" w:hAnsi="Calibri" w:cs="Calibri"/>
                <w:noProof/>
                <w:color w:val="414042" w:themeColor="text1"/>
              </w:rPr>
            </w:pPr>
            <w:r w:rsidRPr="00AF0D5C">
              <w:rPr>
                <w:noProof/>
                <w:color w:val="414042" w:themeColor="text1"/>
              </w:rPr>
              <mc:AlternateContent>
                <mc:Choice Requires="wps">
                  <w:drawing>
                    <wp:anchor distT="0" distB="0" distL="114300" distR="114300" simplePos="0" relativeHeight="252470272" behindDoc="0" locked="0" layoutInCell="1" allowOverlap="1" wp14:anchorId="33C60F31" wp14:editId="31C05FA1">
                      <wp:simplePos x="0" y="0"/>
                      <wp:positionH relativeFrom="column">
                        <wp:posOffset>1875326</wp:posOffset>
                      </wp:positionH>
                      <wp:positionV relativeFrom="paragraph">
                        <wp:posOffset>229870</wp:posOffset>
                      </wp:positionV>
                      <wp:extent cx="0" cy="156210"/>
                      <wp:effectExtent l="0" t="0" r="38100" b="34290"/>
                      <wp:wrapNone/>
                      <wp:docPr id="23" name="Straight Connector 23"/>
                      <wp:cNvGraphicFramePr/>
                      <a:graphic xmlns:a="http://schemas.openxmlformats.org/drawingml/2006/main">
                        <a:graphicData uri="http://schemas.microsoft.com/office/word/2010/wordprocessingShape">
                          <wps:wsp>
                            <wps:cNvCnPr/>
                            <wps:spPr>
                              <a:xfrm flipH="1">
                                <a:off x="0" y="0"/>
                                <a:ext cx="0" cy="156210"/>
                              </a:xfrm>
                              <a:prstGeom prst="line">
                                <a:avLst/>
                              </a:prstGeom>
                              <a:ln>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6BDBF" id="Straight Connector 23" o:spid="_x0000_s1026" style="position:absolute;flip:x;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65pt,18.1pt" to="147.6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" strokecolor="white [3212]" strokeweight=".5pt">
                      <v:stroke dashstyle="3 1" joinstyle="miter"/>
                    </v:line>
                  </w:pict>
                </mc:Fallback>
              </mc:AlternateContent>
            </w:r>
            <w:r w:rsidRPr="00AF0D5C">
              <w:rPr>
                <w:noProof/>
              </w:rPr>
              <mc:AlternateContent>
                <mc:Choice Requires="wps">
                  <w:drawing>
                    <wp:anchor distT="0" distB="0" distL="114300" distR="114300" simplePos="0" relativeHeight="252427264" behindDoc="0" locked="0" layoutInCell="1" allowOverlap="1" wp14:anchorId="318CA26F" wp14:editId="2CCB23E0">
                      <wp:simplePos x="0" y="0"/>
                      <wp:positionH relativeFrom="column">
                        <wp:posOffset>1531449</wp:posOffset>
                      </wp:positionH>
                      <wp:positionV relativeFrom="page">
                        <wp:posOffset>-66874</wp:posOffset>
                      </wp:positionV>
                      <wp:extent cx="1319180" cy="275590"/>
                      <wp:effectExtent l="0" t="0" r="0" b="0"/>
                      <wp:wrapNone/>
                      <wp:docPr id="942"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180" cy="275590"/>
                              </a:xfrm>
                              <a:prstGeom prst="rect">
                                <a:avLst/>
                              </a:prstGeom>
                              <a:noFill/>
                              <a:ln w="9525">
                                <a:noFill/>
                                <a:miter lim="800000"/>
                                <a:headEnd/>
                                <a:tailEnd/>
                              </a:ln>
                            </wps:spPr>
                            <wps:txbx>
                              <w:txbxContent>
                                <w:p w14:paraId="25AAD21C" w14:textId="77777777" w:rsidR="00852DBB" w:rsidRPr="00DE4C63" w:rsidRDefault="00852DBB" w:rsidP="00065573">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w:t>
                                  </w:r>
                                  <w:r>
                                    <w:rPr>
                                      <w:rFonts w:asciiTheme="majorHAnsi" w:hAnsiTheme="majorHAnsi" w:cstheme="majorHAnsi"/>
                                      <w:i/>
                                      <w:iCs/>
                                      <w:color w:val="414042" w:themeColor="text1"/>
                                      <w:spacing w:val="4"/>
                                      <w:sz w:val="16"/>
                                      <w:szCs w:val="18"/>
                                    </w:rPr>
                                    <w:t>23</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01E6D">
                                    <w:rPr>
                                      <w:rFonts w:asciiTheme="majorHAnsi" w:hAnsiTheme="majorHAnsi" w:cstheme="majorHAnsi"/>
                                      <w:color w:val="414042" w:themeColor="text1"/>
                                      <w:spacing w:val="4"/>
                                      <w:sz w:val="16"/>
                                      <w:szCs w:val="18"/>
                                    </w:rPr>
                                    <w:t>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CA26F" id="Text Box 942" o:spid="_x0000_s1036" type="#_x0000_t202" style="position:absolute;left:0;text-align:left;margin-left:120.6pt;margin-top:-5.25pt;width:103.85pt;height:21.7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" filled="f" stroked="f">
                      <v:textbox>
                        <w:txbxContent>
                          <w:p w14:paraId="25AAD21C" w14:textId="77777777" w:rsidR="00852DBB" w:rsidRPr="00DE4C63" w:rsidRDefault="00852DBB" w:rsidP="00065573">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w:t>
                            </w:r>
                            <w:r>
                              <w:rPr>
                                <w:rFonts w:asciiTheme="majorHAnsi" w:hAnsiTheme="majorHAnsi" w:cstheme="majorHAnsi"/>
                                <w:i/>
                                <w:iCs/>
                                <w:color w:val="414042" w:themeColor="text1"/>
                                <w:spacing w:val="4"/>
                                <w:sz w:val="16"/>
                                <w:szCs w:val="18"/>
                              </w:rPr>
                              <w:t>23</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01E6D">
                              <w:rPr>
                                <w:rFonts w:asciiTheme="majorHAnsi" w:hAnsiTheme="majorHAnsi" w:cstheme="majorHAnsi"/>
                                <w:color w:val="414042" w:themeColor="text1"/>
                                <w:spacing w:val="4"/>
                                <w:sz w:val="16"/>
                                <w:szCs w:val="18"/>
                              </w:rPr>
                              <w:t>75%</w:t>
                            </w:r>
                          </w:p>
                        </w:txbxContent>
                      </v:textbox>
                      <w10:wrap anchory="page"/>
                    </v:shape>
                  </w:pict>
                </mc:Fallback>
              </mc:AlternateContent>
            </w:r>
            <w:bookmarkEnd w:id="561"/>
            <w:bookmarkEnd w:id="562"/>
            <w:bookmarkEnd w:id="563"/>
            <w:bookmarkEnd w:id="564"/>
            <w:r w:rsidR="00C811C4" w:rsidRPr="00AF0D5C">
              <w:rPr>
                <w:rFonts w:ascii="Calibri" w:hAnsi="Calibri" w:cs="Calibri"/>
                <w:noProof/>
                <w:color w:val="414042" w:themeColor="text1"/>
              </w:rPr>
              <w:drawing>
                <wp:inline distT="0" distB="0" distL="0" distR="0" wp14:anchorId="315A05FF" wp14:editId="5C0F1EF6">
                  <wp:extent cx="2879725" cy="1044000"/>
                  <wp:effectExtent l="0" t="0" r="0" b="3810"/>
                  <wp:docPr id="958" name="Chart 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c>
          <w:tcPr>
            <w:tcW w:w="4682" w:type="dxa"/>
            <w:gridSpan w:val="2"/>
          </w:tcPr>
          <w:p w14:paraId="7D46AC26" w14:textId="045CFEE1" w:rsidR="00852DBB" w:rsidRPr="00AF0D5C" w:rsidRDefault="00392BCC" w:rsidP="003E0209">
            <w:pPr>
              <w:keepNext/>
              <w:suppressAutoHyphens/>
              <w:autoSpaceDE w:val="0"/>
              <w:autoSpaceDN w:val="0"/>
              <w:adjustRightInd w:val="0"/>
              <w:spacing w:before="120" w:after="0"/>
              <w:ind w:right="57"/>
              <w:textAlignment w:val="center"/>
              <w:rPr>
                <w:rFonts w:ascii="Calibri" w:hAnsi="Calibri" w:cs="Calibri"/>
                <w:b/>
                <w:bCs/>
                <w:noProof/>
                <w:color w:val="414042" w:themeColor="text1"/>
                <w:spacing w:val="-5"/>
              </w:rPr>
            </w:pPr>
            <w:bookmarkStart w:id="565" w:name="_Toc102041675"/>
            <w:bookmarkStart w:id="566" w:name="_Toc102042002"/>
            <w:bookmarkStart w:id="567" w:name="_Toc102042331"/>
            <w:bookmarkStart w:id="568" w:name="_Toc102045461"/>
            <w:r w:rsidRPr="00AF0D5C">
              <w:rPr>
                <w:rFonts w:ascii="Calibri" w:hAnsi="Calibri" w:cs="Calibri"/>
                <w:b/>
                <w:bCs/>
                <w:noProof/>
                <w:color w:val="414042" w:themeColor="text1"/>
              </w:rPr>
              <w:drawing>
                <wp:anchor distT="0" distB="0" distL="114300" distR="114300" simplePos="0" relativeHeight="252468224" behindDoc="0" locked="0" layoutInCell="1" allowOverlap="1" wp14:anchorId="37364D8B" wp14:editId="6AAC9E60">
                  <wp:simplePos x="0" y="0"/>
                  <wp:positionH relativeFrom="column">
                    <wp:posOffset>-67310</wp:posOffset>
                  </wp:positionH>
                  <wp:positionV relativeFrom="paragraph">
                    <wp:posOffset>256</wp:posOffset>
                  </wp:positionV>
                  <wp:extent cx="2649855" cy="719455"/>
                  <wp:effectExtent l="0" t="0" r="0" b="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margin">
                    <wp14:pctWidth>0</wp14:pctWidth>
                  </wp14:sizeRelH>
                  <wp14:sizeRelV relativeFrom="margin">
                    <wp14:pctHeight>0</wp14:pctHeight>
                  </wp14:sizeRelV>
                </wp:anchor>
              </w:drawing>
            </w:r>
          </w:p>
          <w:bookmarkEnd w:id="565"/>
          <w:bookmarkEnd w:id="566"/>
          <w:bookmarkEnd w:id="567"/>
          <w:bookmarkEnd w:id="568"/>
          <w:p w14:paraId="7D5F7824" w14:textId="35885DD8" w:rsidR="00852DBB" w:rsidRPr="00AF0D5C" w:rsidRDefault="00852DBB" w:rsidP="003E0209">
            <w:pPr>
              <w:keepNext/>
              <w:suppressAutoHyphens/>
              <w:autoSpaceDE w:val="0"/>
              <w:autoSpaceDN w:val="0"/>
              <w:adjustRightInd w:val="0"/>
              <w:spacing w:before="120" w:after="0"/>
              <w:ind w:left="57" w:right="57"/>
              <w:textAlignment w:val="center"/>
              <w:rPr>
                <w:rFonts w:ascii="Calibri" w:hAnsi="Calibri" w:cs="Calibri"/>
                <w:color w:val="414042" w:themeColor="text1"/>
              </w:rPr>
            </w:pPr>
          </w:p>
        </w:tc>
      </w:tr>
      <w:tr w:rsidR="00AF0D5C" w:rsidRPr="00AF0D5C" w14:paraId="0871C83D" w14:textId="77777777" w:rsidTr="003E0209">
        <w:trPr>
          <w:trHeight w:val="20"/>
        </w:trPr>
        <w:tc>
          <w:tcPr>
            <w:tcW w:w="4957" w:type="dxa"/>
          </w:tcPr>
          <w:p w14:paraId="3B035918" w14:textId="5D4A50B0" w:rsidR="00D131E7" w:rsidRPr="00AF0D5C" w:rsidRDefault="00D131E7" w:rsidP="00E554DA">
            <w:pPr>
              <w:pStyle w:val="Tablefigure"/>
              <w:rPr>
                <w:vertAlign w:val="superscript"/>
              </w:rPr>
            </w:pPr>
            <w:bookmarkStart w:id="569" w:name="_Hlk144309468"/>
            <w:r w:rsidRPr="00AF0D5C">
              <w:t>Figure 5: Average days to finalise a referred crime investigation</w:t>
            </w:r>
            <w:bookmarkEnd w:id="569"/>
            <w:r w:rsidR="004C35BB" w:rsidRPr="00AF0D5C">
              <w:rPr>
                <w:vertAlign w:val="superscript"/>
              </w:rPr>
              <w:t>4</w:t>
            </w:r>
          </w:p>
        </w:tc>
        <w:bookmarkStart w:id="570" w:name="_Hlk144309477"/>
        <w:tc>
          <w:tcPr>
            <w:tcW w:w="4682" w:type="dxa"/>
            <w:gridSpan w:val="2"/>
          </w:tcPr>
          <w:p w14:paraId="1360ED06" w14:textId="32BA7A5C" w:rsidR="00D131E7" w:rsidRPr="00165E6A" w:rsidRDefault="003B3B33" w:rsidP="006900F6">
            <w:pPr>
              <w:pStyle w:val="Tablefigure"/>
              <w:ind w:right="27"/>
              <w:rPr>
                <w:vertAlign w:val="superscript"/>
              </w:rPr>
            </w:pPr>
            <w:r w:rsidRPr="00165E6A">
              <w:rPr>
                <w:rStyle w:val="FiguretableheadingChar"/>
                <w:b/>
                <w:bCs/>
              </w:rPr>
              <mc:AlternateContent>
                <mc:Choice Requires="wps">
                  <w:drawing>
                    <wp:anchor distT="0" distB="0" distL="114300" distR="114300" simplePos="0" relativeHeight="252468735" behindDoc="0" locked="0" layoutInCell="1" allowOverlap="1" wp14:anchorId="4A2FF283" wp14:editId="4C46030A">
                      <wp:simplePos x="0" y="0"/>
                      <wp:positionH relativeFrom="column">
                        <wp:posOffset>553749</wp:posOffset>
                      </wp:positionH>
                      <wp:positionV relativeFrom="page">
                        <wp:posOffset>429431</wp:posOffset>
                      </wp:positionV>
                      <wp:extent cx="2028882" cy="285115"/>
                      <wp:effectExtent l="0" t="0" r="0" b="635"/>
                      <wp:wrapNone/>
                      <wp:docPr id="939"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82" cy="285115"/>
                              </a:xfrm>
                              <a:prstGeom prst="rect">
                                <a:avLst/>
                              </a:prstGeom>
                              <a:noFill/>
                              <a:ln w="9525">
                                <a:noFill/>
                                <a:miter lim="800000"/>
                                <a:headEnd/>
                                <a:tailEnd/>
                              </a:ln>
                            </wps:spPr>
                            <wps:txbx>
                              <w:txbxContent>
                                <w:p w14:paraId="34BDE351" w14:textId="77777777" w:rsidR="00D131E7" w:rsidRPr="00DE4C63" w:rsidRDefault="00D131E7" w:rsidP="00697BCD">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 xml:space="preserve"> target — less than </w:t>
                                  </w:r>
                                  <w:r w:rsidRPr="00DE4C63">
                                    <w:rPr>
                                      <w:rFonts w:asciiTheme="majorHAnsi" w:hAnsiTheme="majorHAnsi" w:cstheme="majorHAnsi"/>
                                      <w:color w:val="414042" w:themeColor="text1"/>
                                      <w:spacing w:val="4"/>
                                      <w:sz w:val="16"/>
                                      <w:szCs w:val="18"/>
                                    </w:rPr>
                                    <w:t>$</w:t>
                                  </w:r>
                                  <w:r>
                                    <w:rPr>
                                      <w:rFonts w:asciiTheme="majorHAnsi" w:hAnsiTheme="majorHAnsi" w:cstheme="majorHAnsi"/>
                                      <w:color w:val="414042" w:themeColor="text1"/>
                                      <w:spacing w:val="4"/>
                                      <w:sz w:val="16"/>
                                      <w:szCs w:val="18"/>
                                    </w:rPr>
                                    <w:t>5,000</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4A2FF283" id="Text Box 939" o:spid="_x0000_s1037" type="#_x0000_t202" style="position:absolute;left:0;text-align:left;margin-left:43.6pt;margin-top:33.8pt;width:159.75pt;height:22.45pt;z-index:2524687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" filled="f" stroked="f">
                      <v:textbox>
                        <w:txbxContent>
                          <w:p w14:paraId="34BDE351" w14:textId="77777777" w:rsidR="00D131E7" w:rsidRPr="00DE4C63" w:rsidRDefault="00D131E7" w:rsidP="00697BCD">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 xml:space="preserve"> target — less than </w:t>
                            </w:r>
                            <w:r w:rsidRPr="00DE4C63">
                              <w:rPr>
                                <w:rFonts w:asciiTheme="majorHAnsi" w:hAnsiTheme="majorHAnsi" w:cstheme="majorHAnsi"/>
                                <w:color w:val="414042" w:themeColor="text1"/>
                                <w:spacing w:val="4"/>
                                <w:sz w:val="16"/>
                                <w:szCs w:val="18"/>
                              </w:rPr>
                              <w:t>$</w:t>
                            </w:r>
                            <w:r>
                              <w:rPr>
                                <w:rFonts w:asciiTheme="majorHAnsi" w:hAnsiTheme="majorHAnsi" w:cstheme="majorHAnsi"/>
                                <w:color w:val="414042" w:themeColor="text1"/>
                                <w:spacing w:val="4"/>
                                <w:sz w:val="16"/>
                                <w:szCs w:val="18"/>
                              </w:rPr>
                              <w:t>5,000</w:t>
                            </w:r>
                          </w:p>
                        </w:txbxContent>
                      </v:textbox>
                      <w10:wrap anchory="page"/>
                    </v:shape>
                  </w:pict>
                </mc:Fallback>
              </mc:AlternateContent>
            </w:r>
            <w:r w:rsidR="00D131E7" w:rsidRPr="00165E6A">
              <w:rPr>
                <w:rStyle w:val="FiguretableheadingChar"/>
                <w:b/>
                <w:bCs/>
              </w:rPr>
              <w:t xml:space="preserve">Figure 6: Average cost per witness appearance for referred crime </w:t>
            </w:r>
            <w:bookmarkEnd w:id="570"/>
            <w:r w:rsidR="009B6C22" w:rsidRPr="00165E6A">
              <w:rPr>
                <w:rStyle w:val="FiguretableheadingChar"/>
                <w:b/>
                <w:bCs/>
              </w:rPr>
              <w:t>investigation</w:t>
            </w:r>
            <w:r w:rsidR="004C35BB" w:rsidRPr="00165E6A">
              <w:rPr>
                <w:vertAlign w:val="superscript"/>
              </w:rPr>
              <w:t>5</w:t>
            </w:r>
          </w:p>
        </w:tc>
      </w:tr>
      <w:bookmarkStart w:id="571" w:name="_Toc102037878"/>
      <w:bookmarkStart w:id="572" w:name="_Toc102038239"/>
      <w:bookmarkStart w:id="573" w:name="_Toc102038600"/>
      <w:bookmarkStart w:id="574" w:name="_Toc102038960"/>
      <w:bookmarkStart w:id="575" w:name="_Toc102039312"/>
      <w:bookmarkStart w:id="576" w:name="_Toc102039667"/>
      <w:bookmarkStart w:id="577" w:name="_Toc102040024"/>
      <w:bookmarkStart w:id="578" w:name="_Toc102040350"/>
      <w:bookmarkStart w:id="579" w:name="_Toc102040684"/>
      <w:bookmarkStart w:id="580" w:name="_Toc102041012"/>
      <w:bookmarkStart w:id="581" w:name="_Toc102041342"/>
      <w:bookmarkStart w:id="582" w:name="_Toc102041676"/>
      <w:bookmarkStart w:id="583" w:name="_Toc102042003"/>
      <w:bookmarkStart w:id="584" w:name="_Toc102042332"/>
      <w:bookmarkStart w:id="585" w:name="_Toc102045462"/>
      <w:tr w:rsidR="00AF0D5C" w:rsidRPr="00AF0D5C" w14:paraId="2F35DFB9" w14:textId="77777777" w:rsidTr="003E0209">
        <w:trPr>
          <w:trHeight w:val="1015"/>
        </w:trPr>
        <w:tc>
          <w:tcPr>
            <w:tcW w:w="4957" w:type="dxa"/>
          </w:tcPr>
          <w:p w14:paraId="17927C89" w14:textId="06393F9E" w:rsidR="00D131E7" w:rsidRPr="00AF0D5C" w:rsidRDefault="003E0209" w:rsidP="003E0209">
            <w:pPr>
              <w:autoSpaceDE w:val="0"/>
              <w:autoSpaceDN w:val="0"/>
              <w:adjustRightInd w:val="0"/>
              <w:spacing w:before="120" w:after="0"/>
              <w:ind w:right="172"/>
              <w:textAlignment w:val="center"/>
              <w:rPr>
                <w:rFonts w:ascii="Calibri" w:hAnsi="Calibri" w:cs="Calibri"/>
                <w:b/>
                <w:bCs/>
                <w:noProof/>
                <w:color w:val="414042" w:themeColor="text1"/>
                <w:spacing w:val="-5"/>
              </w:rPr>
            </w:pPr>
            <w:r w:rsidRPr="00AF0D5C">
              <w:rPr>
                <w:noProof/>
                <w:color w:val="414042" w:themeColor="text1"/>
              </w:rPr>
              <mc:AlternateContent>
                <mc:Choice Requires="wps">
                  <w:drawing>
                    <wp:anchor distT="0" distB="0" distL="114300" distR="114300" simplePos="0" relativeHeight="252497919" behindDoc="0" locked="0" layoutInCell="1" allowOverlap="1" wp14:anchorId="6135636F" wp14:editId="7F188EAA">
                      <wp:simplePos x="0" y="0"/>
                      <wp:positionH relativeFrom="column">
                        <wp:posOffset>2448769</wp:posOffset>
                      </wp:positionH>
                      <wp:positionV relativeFrom="paragraph">
                        <wp:posOffset>125095</wp:posOffset>
                      </wp:positionV>
                      <wp:extent cx="0" cy="165735"/>
                      <wp:effectExtent l="0" t="0" r="38100" b="24765"/>
                      <wp:wrapNone/>
                      <wp:docPr id="1756632403" name="Straight Connector 1756632403"/>
                      <wp:cNvGraphicFramePr/>
                      <a:graphic xmlns:a="http://schemas.openxmlformats.org/drawingml/2006/main">
                        <a:graphicData uri="http://schemas.microsoft.com/office/word/2010/wordprocessingShape">
                          <wps:wsp>
                            <wps:cNvCnPr/>
                            <wps:spPr>
                              <a:xfrm>
                                <a:off x="0" y="0"/>
                                <a:ext cx="0" cy="16573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66308" id="Straight Connector 1756632403" o:spid="_x0000_s1026" style="position:absolute;z-index:252497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8pt,9.85pt" to="192.8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" strokecolor="black [3204]" strokeweight=".5pt">
                      <v:stroke dashstyle="3 1" joinstyle="miter"/>
                    </v:line>
                  </w:pict>
                </mc:Fallback>
              </mc:AlternateContent>
            </w:r>
            <w:r w:rsidRPr="00AF0D5C">
              <w:rPr>
                <w:rFonts w:ascii="Calibri" w:hAnsi="Calibri" w:cs="Calibri"/>
                <w:b/>
                <w:bCs/>
                <w:noProof/>
                <w:color w:val="414042" w:themeColor="text1"/>
              </w:rPr>
              <w:drawing>
                <wp:anchor distT="0" distB="0" distL="114300" distR="114300" simplePos="0" relativeHeight="252531712" behindDoc="0" locked="0" layoutInCell="1" allowOverlap="1" wp14:anchorId="22AC2692" wp14:editId="34A3593E">
                  <wp:simplePos x="0" y="0"/>
                  <wp:positionH relativeFrom="column">
                    <wp:posOffset>-68258</wp:posOffset>
                  </wp:positionH>
                  <wp:positionV relativeFrom="paragraph">
                    <wp:posOffset>2199</wp:posOffset>
                  </wp:positionV>
                  <wp:extent cx="2965450" cy="719455"/>
                  <wp:effectExtent l="0" t="0" r="0" b="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page">
                    <wp14:pctWidth>0</wp14:pctWidth>
                  </wp14:sizeRelH>
                  <wp14:sizeRelV relativeFrom="page">
                    <wp14:pctHeight>0</wp14:pctHeight>
                  </wp14:sizeRelV>
                </wp:anchor>
              </w:drawing>
            </w:r>
            <w:r w:rsidR="003B3B33" w:rsidRPr="00AF0D5C">
              <w:rPr>
                <w:noProof/>
              </w:rPr>
              <mc:AlternateContent>
                <mc:Choice Requires="wps">
                  <w:drawing>
                    <wp:anchor distT="0" distB="0" distL="114300" distR="114300" simplePos="0" relativeHeight="252468991" behindDoc="0" locked="0" layoutInCell="1" allowOverlap="1" wp14:anchorId="31A8F637" wp14:editId="18905048">
                      <wp:simplePos x="0" y="0"/>
                      <wp:positionH relativeFrom="column">
                        <wp:posOffset>1441038</wp:posOffset>
                      </wp:positionH>
                      <wp:positionV relativeFrom="paragraph">
                        <wp:posOffset>-69747</wp:posOffset>
                      </wp:positionV>
                      <wp:extent cx="1416050" cy="253365"/>
                      <wp:effectExtent l="0" t="0" r="0" b="0"/>
                      <wp:wrapNone/>
                      <wp:docPr id="945"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253365"/>
                              </a:xfrm>
                              <a:prstGeom prst="rect">
                                <a:avLst/>
                              </a:prstGeom>
                              <a:noFill/>
                              <a:ln w="9525">
                                <a:noFill/>
                                <a:miter lim="800000"/>
                                <a:headEnd/>
                                <a:tailEnd/>
                              </a:ln>
                            </wps:spPr>
                            <wps:txbx>
                              <w:txbxContent>
                                <w:p w14:paraId="0C657517" w14:textId="77777777" w:rsidR="00D131E7" w:rsidRPr="00DE4C63" w:rsidRDefault="00D131E7" w:rsidP="00697BCD">
                                  <w:pPr>
                                    <w:jc w:val="right"/>
                                    <w:rPr>
                                      <w:rFonts w:asciiTheme="majorHAnsi" w:hAnsiTheme="majorHAnsi" w:cstheme="majorHAnsi"/>
                                      <w:spacing w:val="4"/>
                                      <w:sz w:val="14"/>
                                      <w:szCs w:val="16"/>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 xml:space="preserve"> target — </w:t>
                                  </w:r>
                                  <w:r>
                                    <w:rPr>
                                      <w:rFonts w:asciiTheme="majorHAnsi" w:hAnsiTheme="majorHAnsi" w:cstheme="majorHAnsi"/>
                                      <w:i/>
                                      <w:iCs/>
                                      <w:color w:val="414042" w:themeColor="text1"/>
                                      <w:spacing w:val="4"/>
                                      <w:sz w:val="16"/>
                                      <w:szCs w:val="18"/>
                                    </w:rPr>
                                    <w:t>180 days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1A8F637" id="Text Box 945" o:spid="_x0000_s1038" type="#_x0000_t202" style="position:absolute;margin-left:113.45pt;margin-top:-5.5pt;width:111.5pt;height:19.95pt;z-index:252468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" filled="f" stroked="f">
                      <v:textbox>
                        <w:txbxContent>
                          <w:p w14:paraId="0C657517" w14:textId="77777777" w:rsidR="00D131E7" w:rsidRPr="00DE4C63" w:rsidRDefault="00D131E7" w:rsidP="00697BCD">
                            <w:pPr>
                              <w:jc w:val="right"/>
                              <w:rPr>
                                <w:rFonts w:asciiTheme="majorHAnsi" w:hAnsiTheme="majorHAnsi" w:cstheme="majorHAnsi"/>
                                <w:spacing w:val="4"/>
                                <w:sz w:val="14"/>
                                <w:szCs w:val="16"/>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 xml:space="preserve"> target — </w:t>
                            </w:r>
                            <w:r>
                              <w:rPr>
                                <w:rFonts w:asciiTheme="majorHAnsi" w:hAnsiTheme="majorHAnsi" w:cstheme="majorHAnsi"/>
                                <w:i/>
                                <w:iCs/>
                                <w:color w:val="414042" w:themeColor="text1"/>
                                <w:spacing w:val="4"/>
                                <w:sz w:val="16"/>
                                <w:szCs w:val="18"/>
                              </w:rPr>
                              <w:t>180 days</w:t>
                            </w:r>
                          </w:p>
                        </w:txbxContent>
                      </v:textbox>
                    </v:shape>
                  </w:pict>
                </mc:Fallback>
              </mc:AlternateConten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tc>
        <w:tc>
          <w:tcPr>
            <w:tcW w:w="4682" w:type="dxa"/>
            <w:gridSpan w:val="2"/>
          </w:tcPr>
          <w:p w14:paraId="122EF9E7" w14:textId="600A80B3" w:rsidR="00D131E7" w:rsidRPr="00E96C42" w:rsidRDefault="003B3B33" w:rsidP="003E0209">
            <w:pPr>
              <w:autoSpaceDE w:val="0"/>
              <w:autoSpaceDN w:val="0"/>
              <w:adjustRightInd w:val="0"/>
              <w:spacing w:before="120" w:after="0"/>
              <w:ind w:left="-113" w:right="172"/>
              <w:textAlignment w:val="center"/>
            </w:pPr>
            <w:bookmarkStart w:id="586" w:name="_Toc102037881"/>
            <w:bookmarkStart w:id="587" w:name="_Toc102038242"/>
            <w:bookmarkStart w:id="588" w:name="_Toc102038603"/>
            <w:bookmarkStart w:id="589" w:name="_Toc102038963"/>
            <w:bookmarkStart w:id="590" w:name="_Toc102039315"/>
            <w:bookmarkStart w:id="591" w:name="_Toc102039670"/>
            <w:bookmarkStart w:id="592" w:name="_Toc102040027"/>
            <w:bookmarkStart w:id="593" w:name="_Toc102040354"/>
            <w:bookmarkStart w:id="594" w:name="_Toc102040688"/>
            <w:bookmarkStart w:id="595" w:name="_Toc102041016"/>
            <w:bookmarkStart w:id="596" w:name="_Toc102041346"/>
            <w:bookmarkStart w:id="597" w:name="_Toc102041677"/>
            <w:bookmarkStart w:id="598" w:name="_Toc102042004"/>
            <w:bookmarkStart w:id="599" w:name="_Toc102042333"/>
            <w:bookmarkStart w:id="600" w:name="_Toc102045463"/>
            <w:r w:rsidRPr="00E96C42">
              <w:rPr>
                <w:noProof/>
              </w:rPr>
              <w:drawing>
                <wp:anchor distT="0" distB="0" distL="114300" distR="114300" simplePos="0" relativeHeight="252466176" behindDoc="0" locked="0" layoutInCell="1" allowOverlap="1" wp14:anchorId="5BAC6996" wp14:editId="7588C21E">
                  <wp:simplePos x="0" y="0"/>
                  <wp:positionH relativeFrom="column">
                    <wp:posOffset>-68240</wp:posOffset>
                  </wp:positionH>
                  <wp:positionV relativeFrom="paragraph">
                    <wp:posOffset>635</wp:posOffset>
                  </wp:positionV>
                  <wp:extent cx="2649855" cy="719455"/>
                  <wp:effectExtent l="0" t="0" r="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margin">
                    <wp14:pctWidth>0</wp14:pctWidth>
                  </wp14:sizeRelH>
                  <wp14:sizeRelV relativeFrom="margin">
                    <wp14:pctHeight>0</wp14:pctHeight>
                  </wp14:sizeRelV>
                </wp:anchor>
              </w:drawing>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tc>
      </w:tr>
      <w:bookmarkStart w:id="601" w:name="_Hlk166571640"/>
      <w:tr w:rsidR="00E96C42" w:rsidRPr="00AF0D5C" w14:paraId="0D3DA5BC" w14:textId="77777777" w:rsidTr="003E0209">
        <w:trPr>
          <w:gridAfter w:val="1"/>
          <w:wAfter w:w="266" w:type="dxa"/>
          <w:trHeight w:val="277"/>
        </w:trPr>
        <w:tc>
          <w:tcPr>
            <w:tcW w:w="4957" w:type="dxa"/>
          </w:tcPr>
          <w:p w14:paraId="59D0F14D" w14:textId="74BA196F" w:rsidR="00E96C42" w:rsidRPr="00AF0D5C" w:rsidRDefault="00E96C42" w:rsidP="00E554DA">
            <w:pPr>
              <w:pStyle w:val="Tablefigure"/>
              <w:spacing w:before="0"/>
              <w:rPr>
                <w:vertAlign w:val="superscript"/>
              </w:rPr>
            </w:pPr>
            <w:r w:rsidRPr="00AF0D5C">
              <mc:AlternateContent>
                <mc:Choice Requires="wps">
                  <w:drawing>
                    <wp:anchor distT="0" distB="0" distL="114300" distR="114300" simplePos="0" relativeHeight="252529664" behindDoc="0" locked="0" layoutInCell="1" allowOverlap="1" wp14:anchorId="6337D5EF" wp14:editId="009FCEE8">
                      <wp:simplePos x="0" y="0"/>
                      <wp:positionH relativeFrom="column">
                        <wp:posOffset>1169385</wp:posOffset>
                      </wp:positionH>
                      <wp:positionV relativeFrom="page">
                        <wp:posOffset>368518</wp:posOffset>
                      </wp:positionV>
                      <wp:extent cx="1680845" cy="227993"/>
                      <wp:effectExtent l="0" t="0" r="0"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227993"/>
                              </a:xfrm>
                              <a:prstGeom prst="rect">
                                <a:avLst/>
                              </a:prstGeom>
                              <a:noFill/>
                              <a:ln w="9525">
                                <a:noFill/>
                                <a:miter lim="800000"/>
                                <a:headEnd/>
                                <a:tailEnd/>
                              </a:ln>
                            </wps:spPr>
                            <wps:txbx>
                              <w:txbxContent>
                                <w:p w14:paraId="1E2F85B4" w14:textId="77777777" w:rsidR="00E96C42" w:rsidRPr="00DE4C63" w:rsidRDefault="00E96C42" w:rsidP="00065573">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 xml:space="preserve"> target — less than </w:t>
                                  </w:r>
                                  <w:r w:rsidRPr="00DE4C63">
                                    <w:rPr>
                                      <w:rFonts w:asciiTheme="majorHAnsi" w:hAnsiTheme="majorHAnsi" w:cstheme="majorHAnsi"/>
                                      <w:color w:val="414042" w:themeColor="text1"/>
                                      <w:spacing w:val="4"/>
                                      <w:sz w:val="16"/>
                                      <w:szCs w:val="18"/>
                                    </w:rPr>
                                    <w:t>$900</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6337D5EF" id="Text Box 14" o:spid="_x0000_s1039" type="#_x0000_t202" style="position:absolute;left:0;text-align:left;margin-left:92.1pt;margin-top:29pt;width:132.35pt;height:17.9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" filled="f" stroked="f">
                      <v:textbox>
                        <w:txbxContent>
                          <w:p w14:paraId="1E2F85B4" w14:textId="77777777" w:rsidR="00E96C42" w:rsidRPr="00DE4C63" w:rsidRDefault="00E96C42" w:rsidP="00065573">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3</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 xml:space="preserve"> target — less than </w:t>
                            </w:r>
                            <w:r w:rsidRPr="00DE4C63">
                              <w:rPr>
                                <w:rFonts w:asciiTheme="majorHAnsi" w:hAnsiTheme="majorHAnsi" w:cstheme="majorHAnsi"/>
                                <w:color w:val="414042" w:themeColor="text1"/>
                                <w:spacing w:val="4"/>
                                <w:sz w:val="16"/>
                                <w:szCs w:val="18"/>
                              </w:rPr>
                              <w:t>$900</w:t>
                            </w:r>
                          </w:p>
                        </w:txbxContent>
                      </v:textbox>
                      <w10:wrap anchory="page"/>
                    </v:shape>
                  </w:pict>
                </mc:Fallback>
              </mc:AlternateContent>
            </w:r>
            <w:r w:rsidRPr="00AF0D5C">
              <w:t>Figure 7: Average cost per assessment of corrupt conduct/police misconduct complaints</w:t>
            </w:r>
          </w:p>
        </w:tc>
        <w:tc>
          <w:tcPr>
            <w:tcW w:w="4416" w:type="dxa"/>
            <w:vMerge w:val="restart"/>
          </w:tcPr>
          <w:p w14:paraId="26EDD629" w14:textId="50D17B52" w:rsidR="00E96C42" w:rsidRPr="00AF0D5C" w:rsidRDefault="00E96C42" w:rsidP="003E0209"/>
        </w:tc>
      </w:tr>
      <w:tr w:rsidR="00E96C42" w:rsidRPr="00AF0D5C" w14:paraId="52CCFE56" w14:textId="77777777" w:rsidTr="003E0209">
        <w:trPr>
          <w:gridAfter w:val="1"/>
          <w:wAfter w:w="266" w:type="dxa"/>
          <w:trHeight w:val="1516"/>
        </w:trPr>
        <w:tc>
          <w:tcPr>
            <w:tcW w:w="4957" w:type="dxa"/>
          </w:tcPr>
          <w:p w14:paraId="5D9CC074" w14:textId="10A7C0C9" w:rsidR="00E96C42" w:rsidRPr="00AF0D5C" w:rsidRDefault="00E96C42" w:rsidP="003E0209">
            <w:pPr>
              <w:keepNext/>
              <w:suppressAutoHyphens/>
              <w:autoSpaceDE w:val="0"/>
              <w:autoSpaceDN w:val="0"/>
              <w:adjustRightInd w:val="0"/>
              <w:spacing w:before="80" w:after="0"/>
              <w:ind w:left="-113" w:right="172"/>
              <w:textAlignment w:val="center"/>
              <w:rPr>
                <w:rFonts w:ascii="Calibri" w:hAnsi="Calibri" w:cs="Calibri"/>
                <w:b/>
                <w:bCs/>
                <w:noProof/>
                <w:color w:val="414042" w:themeColor="text1"/>
                <w:vertAlign w:val="superscript"/>
              </w:rPr>
            </w:pPr>
            <w:r w:rsidRPr="00AF0D5C">
              <w:rPr>
                <w:noProof/>
                <w:color w:val="414042" w:themeColor="text1"/>
              </w:rPr>
              <mc:AlternateContent>
                <mc:Choice Requires="wps">
                  <w:drawing>
                    <wp:anchor distT="0" distB="0" distL="114300" distR="114300" simplePos="0" relativeHeight="252530688" behindDoc="0" locked="0" layoutInCell="1" allowOverlap="1" wp14:anchorId="208C374B" wp14:editId="21AC17F8">
                      <wp:simplePos x="0" y="0"/>
                      <wp:positionH relativeFrom="column">
                        <wp:posOffset>2217420</wp:posOffset>
                      </wp:positionH>
                      <wp:positionV relativeFrom="paragraph">
                        <wp:posOffset>179468</wp:posOffset>
                      </wp:positionV>
                      <wp:extent cx="0" cy="165959"/>
                      <wp:effectExtent l="0" t="0" r="38100" b="24765"/>
                      <wp:wrapNone/>
                      <wp:docPr id="28" name="Straight Connector 28"/>
                      <wp:cNvGraphicFramePr/>
                      <a:graphic xmlns:a="http://schemas.openxmlformats.org/drawingml/2006/main">
                        <a:graphicData uri="http://schemas.microsoft.com/office/word/2010/wordprocessingShape">
                          <wps:wsp>
                            <wps:cNvCnPr/>
                            <wps:spPr>
                              <a:xfrm>
                                <a:off x="0" y="0"/>
                                <a:ext cx="0" cy="165959"/>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AB4F89" id="Straight Connector 28" o:spid="_x0000_s1026" style="position:absolute;z-index:25253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4.6pt,14.15pt" to="174.6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" strokecolor="black [3204]" strokeweight=".5pt">
                      <v:stroke dashstyle="3 1" joinstyle="miter"/>
                    </v:line>
                  </w:pict>
                </mc:Fallback>
              </mc:AlternateContent>
            </w:r>
            <w:r w:rsidRPr="00AF0D5C">
              <w:rPr>
                <w:rFonts w:ascii="Calibri" w:hAnsi="Calibri" w:cs="Calibri"/>
                <w:noProof/>
                <w:color w:val="414042" w:themeColor="text1"/>
              </w:rPr>
              <w:drawing>
                <wp:inline distT="0" distB="0" distL="0" distR="0" wp14:anchorId="285C29A2" wp14:editId="4B001311">
                  <wp:extent cx="2879725" cy="1044000"/>
                  <wp:effectExtent l="0" t="0" r="0" b="3810"/>
                  <wp:docPr id="937" name="Chart 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c>
          <w:tcPr>
            <w:tcW w:w="4416" w:type="dxa"/>
            <w:vMerge/>
          </w:tcPr>
          <w:p w14:paraId="6F9F715D" w14:textId="77777777" w:rsidR="00E96C42" w:rsidRPr="00AF0D5C" w:rsidRDefault="00E96C42" w:rsidP="003E0209">
            <w:pPr>
              <w:spacing w:before="80" w:after="0"/>
              <w:ind w:left="57" w:right="57"/>
              <w:rPr>
                <w:rFonts w:ascii="Calibri" w:hAnsi="Calibri" w:cs="Calibri"/>
                <w:color w:val="414042" w:themeColor="text1"/>
              </w:rPr>
            </w:pPr>
          </w:p>
        </w:tc>
      </w:tr>
    </w:tbl>
    <w:bookmarkEnd w:id="601"/>
    <w:p w14:paraId="1800B055" w14:textId="396B0FDA" w:rsidR="002A5C96" w:rsidRPr="00AF0D5C" w:rsidRDefault="00BF4CC2" w:rsidP="002A5C96">
      <w:pPr>
        <w:suppressAutoHyphens/>
        <w:autoSpaceDE w:val="0"/>
        <w:autoSpaceDN w:val="0"/>
        <w:adjustRightInd w:val="0"/>
        <w:spacing w:after="0"/>
        <w:ind w:right="284"/>
        <w:textAlignment w:val="center"/>
        <w:rPr>
          <w:rFonts w:cs="Calibri"/>
          <w:color w:val="414042" w:themeColor="text1"/>
          <w:sz w:val="16"/>
          <w:szCs w:val="16"/>
          <w:lang w:val="en-US"/>
        </w:rPr>
      </w:pPr>
      <w:r>
        <w:rPr>
          <w:rFonts w:cs="Calibri"/>
          <w:noProof/>
          <w:color w:val="414042" w:themeColor="text1"/>
          <w:sz w:val="16"/>
          <w:szCs w:val="16"/>
          <w:lang w:val="en-US"/>
        </w:rPr>
        <mc:AlternateContent>
          <mc:Choice Requires="wps">
            <w:drawing>
              <wp:anchor distT="0" distB="0" distL="114300" distR="114300" simplePos="0" relativeHeight="252536832" behindDoc="0" locked="0" layoutInCell="1" allowOverlap="1" wp14:anchorId="638F58B5" wp14:editId="4CB8B9B8">
                <wp:simplePos x="0" y="0"/>
                <wp:positionH relativeFrom="column">
                  <wp:posOffset>-1772</wp:posOffset>
                </wp:positionH>
                <wp:positionV relativeFrom="paragraph">
                  <wp:posOffset>165100</wp:posOffset>
                </wp:positionV>
                <wp:extent cx="6282690" cy="0"/>
                <wp:effectExtent l="0" t="0" r="0" b="0"/>
                <wp:wrapNone/>
                <wp:docPr id="234500689" name="Straight Connector 13"/>
                <wp:cNvGraphicFramePr/>
                <a:graphic xmlns:a="http://schemas.openxmlformats.org/drawingml/2006/main">
                  <a:graphicData uri="http://schemas.microsoft.com/office/word/2010/wordprocessingShape">
                    <wps:wsp>
                      <wps:cNvCnPr/>
                      <wps:spPr>
                        <a:xfrm>
                          <a:off x="0" y="0"/>
                          <a:ext cx="62826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1734A8" id="Straight Connector 13" o:spid="_x0000_s1026" style="position:absolute;z-index:25253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3pt" to="494.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" strokecolor="black [3204]" strokeweight=".5pt">
                <v:stroke joinstyle="miter"/>
              </v:line>
            </w:pict>
          </mc:Fallback>
        </mc:AlternateContent>
      </w:r>
      <w:r w:rsidRPr="00AF0D5C">
        <w:rPr>
          <w:rFonts w:cs="Calibri"/>
          <w:noProof/>
          <w:color w:val="414042" w:themeColor="text1"/>
          <w:sz w:val="16"/>
          <w:szCs w:val="16"/>
          <w:lang w:val="en-US"/>
        </w:rPr>
        <mc:AlternateContent>
          <mc:Choice Requires="wps">
            <w:drawing>
              <wp:anchor distT="0" distB="0" distL="114300" distR="114300" simplePos="0" relativeHeight="252488704" behindDoc="0" locked="0" layoutInCell="1" allowOverlap="1" wp14:anchorId="7CD45E04" wp14:editId="5B4BF02A">
                <wp:simplePos x="0" y="0"/>
                <wp:positionH relativeFrom="column">
                  <wp:posOffset>-78427</wp:posOffset>
                </wp:positionH>
                <wp:positionV relativeFrom="paragraph">
                  <wp:posOffset>163129</wp:posOffset>
                </wp:positionV>
                <wp:extent cx="6557319" cy="1380556"/>
                <wp:effectExtent l="0" t="0" r="0" b="0"/>
                <wp:wrapNone/>
                <wp:docPr id="1756632819" name="Text Box 1756632819"/>
                <wp:cNvGraphicFramePr/>
                <a:graphic xmlns:a="http://schemas.openxmlformats.org/drawingml/2006/main">
                  <a:graphicData uri="http://schemas.microsoft.com/office/word/2010/wordprocessingShape">
                    <wps:wsp>
                      <wps:cNvSpPr txBox="1"/>
                      <wps:spPr>
                        <a:xfrm>
                          <a:off x="0" y="0"/>
                          <a:ext cx="6557319" cy="1380556"/>
                        </a:xfrm>
                        <a:prstGeom prst="rect">
                          <a:avLst/>
                        </a:prstGeom>
                        <a:noFill/>
                        <a:ln w="6350">
                          <a:noFill/>
                        </a:ln>
                      </wps:spPr>
                      <wps:txbx>
                        <w:txbxContent>
                          <w:p w14:paraId="38C62BDE" w14:textId="77777777" w:rsidR="00212AD0" w:rsidRPr="00777BD6" w:rsidRDefault="00212AD0" w:rsidP="006900F6">
                            <w:pPr>
                              <w:pStyle w:val="Notes1"/>
                            </w:pPr>
                            <w:r w:rsidRPr="00777BD6">
                              <w:t xml:space="preserve">Notes: </w:t>
                            </w:r>
                          </w:p>
                          <w:p w14:paraId="258DADE8" w14:textId="5D3943D2" w:rsidR="00212AD0" w:rsidRPr="00777BD6" w:rsidRDefault="00212AD0" w:rsidP="002F23D4">
                            <w:pPr>
                              <w:pStyle w:val="Notes1"/>
                              <w:numPr>
                                <w:ilvl w:val="0"/>
                                <w:numId w:val="67"/>
                              </w:numPr>
                            </w:pPr>
                            <w:r w:rsidRPr="00777BD6">
                              <w:t>The wording of this measure has changed for 2023–24 and was previously worded ‘Percentage of targeted criminal organisation participants disrupted as a result of CCC intelligence operations’. The wording has been amended to reflect law enforcement interventions that prevent, deter or obstruct criminal activity.</w:t>
                            </w:r>
                          </w:p>
                          <w:p w14:paraId="475550FB" w14:textId="77777777" w:rsidR="00212AD0" w:rsidRPr="00777BD6" w:rsidRDefault="00212AD0" w:rsidP="002F23D4">
                            <w:pPr>
                              <w:pStyle w:val="NOTES0"/>
                              <w:numPr>
                                <w:ilvl w:val="0"/>
                                <w:numId w:val="67"/>
                              </w:numPr>
                              <w:ind w:right="126"/>
                            </w:pPr>
                            <w:r w:rsidRPr="00777BD6">
                              <w:t xml:space="preserve">The wording of this measure has been changed for the 2023–24 Service Delivery Statement and was previously worded ‘Percentage of coercive hearings that add value to referred crime investigations’. The word ‘coercive’ was removed to ensure consistency within the CCC legislative framework. </w:t>
                            </w:r>
                          </w:p>
                          <w:p w14:paraId="2F1093C3" w14:textId="77777777" w:rsidR="00212AD0" w:rsidRPr="00777BD6" w:rsidRDefault="00212AD0" w:rsidP="002F23D4">
                            <w:pPr>
                              <w:pStyle w:val="NOTES0"/>
                              <w:numPr>
                                <w:ilvl w:val="0"/>
                                <w:numId w:val="67"/>
                              </w:numPr>
                              <w:ind w:right="126"/>
                            </w:pPr>
                            <w:r w:rsidRPr="00777BD6">
                              <w:t>First year of reporting for this new measure. This measure positively exceeded the 2023–24 target due to an unusually high number of investigations concerning serious or systemic corruption which commenced in quarter 1 2023-24 and were then finalised within the 12-month period.</w:t>
                            </w:r>
                          </w:p>
                          <w:p w14:paraId="2A016CDE" w14:textId="697BF93C" w:rsidR="00212AD0" w:rsidRPr="00777BD6" w:rsidRDefault="00212AD0" w:rsidP="002F23D4">
                            <w:pPr>
                              <w:pStyle w:val="NOTES0"/>
                              <w:numPr>
                                <w:ilvl w:val="0"/>
                                <w:numId w:val="67"/>
                              </w:numPr>
                              <w:ind w:right="126"/>
                            </w:pPr>
                            <w:r w:rsidRPr="00777BD6">
                              <w:t>First year of reporting for this new measure</w:t>
                            </w:r>
                            <w:r w:rsidR="00D24182" w:rsidRPr="00777BD6">
                              <w:t xml:space="preserve">. </w:t>
                            </w:r>
                          </w:p>
                          <w:p w14:paraId="13BA5000" w14:textId="793B5B77" w:rsidR="00212AD0" w:rsidRPr="00777BD6" w:rsidRDefault="00212AD0" w:rsidP="002F23D4">
                            <w:pPr>
                              <w:pStyle w:val="NOTES0"/>
                              <w:numPr>
                                <w:ilvl w:val="0"/>
                                <w:numId w:val="67"/>
                              </w:numPr>
                              <w:ind w:right="126"/>
                            </w:pPr>
                            <w:r w:rsidRPr="00777BD6">
                              <w:t>First year of reporting for this new measure</w:t>
                            </w:r>
                            <w:r w:rsidR="00D24182" w:rsidRPr="00777BD6">
                              <w:t xml:space="preserve">, </w:t>
                            </w:r>
                            <w:r w:rsidR="002F018B" w:rsidRPr="00777BD6">
                              <w:t>the</w:t>
                            </w:r>
                            <w:r w:rsidRPr="00777BD6">
                              <w:t xml:space="preserve"> measure was not met due to the higher than anticipated intrastate travel and accommodation expenses, and </w:t>
                            </w:r>
                            <w:r w:rsidR="00D24182" w:rsidRPr="00777BD6">
                              <w:t>fewer</w:t>
                            </w:r>
                            <w:r w:rsidRPr="00777BD6">
                              <w:t xml:space="preserve"> than expected witness appearances as a result of a decrease in referrals received from the QPS. The service standard captures the average cost associated with finalised referred investigations only.</w:t>
                            </w:r>
                          </w:p>
                          <w:p w14:paraId="5EBA46C4" w14:textId="77777777" w:rsidR="00212AD0" w:rsidRDefault="00212A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5E04" id="Text Box 1756632819" o:spid="_x0000_s1040" type="#_x0000_t202" style="position:absolute;margin-left:-6.2pt;margin-top:12.85pt;width:516.3pt;height:108.7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" filled="f" stroked="f" strokeweight=".5pt">
                <v:textbox>
                  <w:txbxContent>
                    <w:p w14:paraId="38C62BDE" w14:textId="77777777" w:rsidR="00212AD0" w:rsidRPr="00777BD6" w:rsidRDefault="00212AD0" w:rsidP="006900F6">
                      <w:pPr>
                        <w:pStyle w:val="Notes1"/>
                      </w:pPr>
                      <w:r w:rsidRPr="00777BD6">
                        <w:t xml:space="preserve">Notes: </w:t>
                      </w:r>
                    </w:p>
                    <w:p w14:paraId="258DADE8" w14:textId="5D3943D2" w:rsidR="00212AD0" w:rsidRPr="00777BD6" w:rsidRDefault="00212AD0" w:rsidP="002F23D4">
                      <w:pPr>
                        <w:pStyle w:val="Notes1"/>
                        <w:numPr>
                          <w:ilvl w:val="0"/>
                          <w:numId w:val="67"/>
                        </w:numPr>
                      </w:pPr>
                      <w:r w:rsidRPr="00777BD6">
                        <w:t>The wording of this measure has changed for 2023–24 and was previously worded ‘Percentage of targeted criminal organisation participants disrupted as a result of CCC intelligence operations’. The wording has been amended to reflect law enforcement interventions that prevent, deter or obstruct criminal activity.</w:t>
                      </w:r>
                    </w:p>
                    <w:p w14:paraId="475550FB" w14:textId="77777777" w:rsidR="00212AD0" w:rsidRPr="00777BD6" w:rsidRDefault="00212AD0" w:rsidP="002F23D4">
                      <w:pPr>
                        <w:pStyle w:val="NOTES0"/>
                        <w:numPr>
                          <w:ilvl w:val="0"/>
                          <w:numId w:val="67"/>
                        </w:numPr>
                        <w:ind w:right="126"/>
                      </w:pPr>
                      <w:r w:rsidRPr="00777BD6">
                        <w:t xml:space="preserve">The wording of this measure has been changed for the 2023–24 Service Delivery Statement and was previously worded ‘Percentage of coercive hearings that add value to referred crime investigations’. The word ‘coercive’ was removed to ensure consistency within the CCC legislative framework. </w:t>
                      </w:r>
                    </w:p>
                    <w:p w14:paraId="2F1093C3" w14:textId="77777777" w:rsidR="00212AD0" w:rsidRPr="00777BD6" w:rsidRDefault="00212AD0" w:rsidP="002F23D4">
                      <w:pPr>
                        <w:pStyle w:val="NOTES0"/>
                        <w:numPr>
                          <w:ilvl w:val="0"/>
                          <w:numId w:val="67"/>
                        </w:numPr>
                        <w:ind w:right="126"/>
                      </w:pPr>
                      <w:r w:rsidRPr="00777BD6">
                        <w:t>First year of reporting for this new measure. This measure positively exceeded the 2023–24 target due to an unusually high number of investigations concerning serious or systemic corruption which commenced in quarter 1 2023-24 and were then finalised within the 12-month period.</w:t>
                      </w:r>
                    </w:p>
                    <w:p w14:paraId="2A016CDE" w14:textId="697BF93C" w:rsidR="00212AD0" w:rsidRPr="00777BD6" w:rsidRDefault="00212AD0" w:rsidP="002F23D4">
                      <w:pPr>
                        <w:pStyle w:val="NOTES0"/>
                        <w:numPr>
                          <w:ilvl w:val="0"/>
                          <w:numId w:val="67"/>
                        </w:numPr>
                        <w:ind w:right="126"/>
                      </w:pPr>
                      <w:r w:rsidRPr="00777BD6">
                        <w:t>First year of reporting for this new measure</w:t>
                      </w:r>
                      <w:r w:rsidR="00D24182" w:rsidRPr="00777BD6">
                        <w:t xml:space="preserve">. </w:t>
                      </w:r>
                    </w:p>
                    <w:p w14:paraId="13BA5000" w14:textId="793B5B77" w:rsidR="00212AD0" w:rsidRPr="00777BD6" w:rsidRDefault="00212AD0" w:rsidP="002F23D4">
                      <w:pPr>
                        <w:pStyle w:val="NOTES0"/>
                        <w:numPr>
                          <w:ilvl w:val="0"/>
                          <w:numId w:val="67"/>
                        </w:numPr>
                        <w:ind w:right="126"/>
                      </w:pPr>
                      <w:r w:rsidRPr="00777BD6">
                        <w:t>First year of reporting for this new measure</w:t>
                      </w:r>
                      <w:r w:rsidR="00D24182" w:rsidRPr="00777BD6">
                        <w:t xml:space="preserve">, </w:t>
                      </w:r>
                      <w:r w:rsidR="002F018B" w:rsidRPr="00777BD6">
                        <w:t>the</w:t>
                      </w:r>
                      <w:r w:rsidRPr="00777BD6">
                        <w:t xml:space="preserve"> measure was not met due to the higher than anticipated intrastate travel and accommodation expenses, and </w:t>
                      </w:r>
                      <w:r w:rsidR="00D24182" w:rsidRPr="00777BD6">
                        <w:t>fewer</w:t>
                      </w:r>
                      <w:r w:rsidRPr="00777BD6">
                        <w:t xml:space="preserve"> than expected witness appearances as a result of a decrease in referrals received from the QPS. The service standard captures the average cost associated with finalised referred investigations only.</w:t>
                      </w:r>
                    </w:p>
                    <w:p w14:paraId="5EBA46C4" w14:textId="77777777" w:rsidR="00212AD0" w:rsidRDefault="00212AD0"/>
                  </w:txbxContent>
                </v:textbox>
              </v:shape>
            </w:pict>
          </mc:Fallback>
        </mc:AlternateContent>
      </w:r>
    </w:p>
    <w:p w14:paraId="14C30C79" w14:textId="015F911A" w:rsidR="00C16E5A" w:rsidRPr="00AF0D5C" w:rsidRDefault="00C16E5A" w:rsidP="009C11CE">
      <w:pPr>
        <w:pStyle w:val="Notes"/>
        <w:spacing w:before="80"/>
        <w:ind w:left="360" w:hanging="360"/>
        <w:sectPr w:rsidR="00C16E5A" w:rsidRPr="00AF0D5C" w:rsidSect="000D5F39">
          <w:headerReference w:type="even" r:id="rId122"/>
          <w:headerReference w:type="default" r:id="rId123"/>
          <w:headerReference w:type="first" r:id="rId124"/>
          <w:pgSz w:w="11906" w:h="16838" w:code="9"/>
          <w:pgMar w:top="1135" w:right="1134" w:bottom="964" w:left="1134" w:header="720" w:footer="284" w:gutter="0"/>
          <w:cols w:space="567"/>
          <w:noEndnote/>
          <w:docGrid w:linePitch="272"/>
        </w:sectPr>
      </w:pPr>
    </w:p>
    <w:p w14:paraId="0DB43D56" w14:textId="08731224" w:rsidR="00C00910" w:rsidRPr="00165E6A" w:rsidRDefault="00C00910" w:rsidP="00C903A2">
      <w:pPr>
        <w:pStyle w:val="3Heading-highlight"/>
      </w:pPr>
      <w:bookmarkStart w:id="602" w:name="_Toc102037883"/>
      <w:bookmarkStart w:id="603" w:name="_Toc102038244"/>
      <w:bookmarkStart w:id="604" w:name="_Toc102038605"/>
      <w:bookmarkStart w:id="605" w:name="_Toc102039672"/>
      <w:bookmarkStart w:id="606" w:name="_Toc102040029"/>
      <w:bookmarkStart w:id="607" w:name="_Toc102040356"/>
      <w:bookmarkStart w:id="608" w:name="_Toc102040690"/>
      <w:bookmarkStart w:id="609" w:name="_Toc102041018"/>
      <w:bookmarkStart w:id="610" w:name="_Toc102041348"/>
      <w:bookmarkStart w:id="611" w:name="_Toc102041680"/>
      <w:bookmarkStart w:id="612" w:name="_Toc102042007"/>
      <w:bookmarkStart w:id="613" w:name="_Toc102042336"/>
      <w:bookmarkStart w:id="614" w:name="_Toc102045466"/>
      <w:r w:rsidRPr="00165E6A">
        <w:t>Other operational outcomes</w:t>
      </w:r>
    </w:p>
    <w:p w14:paraId="0539F36A" w14:textId="5FB6C274" w:rsidR="00165E6A" w:rsidRPr="00AF0D5C" w:rsidRDefault="003428BB" w:rsidP="00165E6A">
      <w:pPr>
        <w:pStyle w:val="newBODYTEXT"/>
      </w:pPr>
      <w:r w:rsidRPr="00AF0D5C">
        <w:t xml:space="preserve">Aspects of our work involve referrals from external agencies, primarily the QPS (crime investigations, hearings, proceeds of crime recovery) and public sector agencies (allegations of corruption). As it is important to remain responsive to our external stakeholders, we do not develop annual targets for all our performance indicators. Instead, we maintain a flexible resourcing model </w:t>
      </w:r>
      <w:r w:rsidR="00BA33D1" w:rsidRPr="00AF0D5C">
        <w:t>to</w:t>
      </w:r>
      <w:r w:rsidRPr="00AF0D5C">
        <w:t xml:space="preserve"> focus our effort on areas of highest need.</w:t>
      </w:r>
      <w:r w:rsidR="00BA33D1" w:rsidRPr="00AF0D5C">
        <w:t xml:space="preserve"> </w:t>
      </w:r>
      <w:r w:rsidRPr="00AF0D5C">
        <w:t xml:space="preserve">Provided </w:t>
      </w:r>
      <w:r w:rsidR="004001A3" w:rsidRPr="00AF0D5C">
        <w:t>here</w:t>
      </w:r>
      <w:r w:rsidRPr="00AF0D5C">
        <w:t xml:space="preserve"> is five-year comparative data for our operational work.</w:t>
      </w:r>
      <w:r w:rsidR="00165E6A">
        <w:br/>
      </w:r>
    </w:p>
    <w:tbl>
      <w:tblPr>
        <w:tblStyle w:val="TableGrid2"/>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857"/>
        <w:gridCol w:w="4913"/>
      </w:tblGrid>
      <w:tr w:rsidR="00AF0D5C" w:rsidRPr="00AF0D5C" w14:paraId="3CFCABA7" w14:textId="77777777" w:rsidTr="005D1E29">
        <w:trPr>
          <w:trHeight w:val="20"/>
        </w:trPr>
        <w:tc>
          <w:tcPr>
            <w:tcW w:w="4802" w:type="dxa"/>
          </w:tcPr>
          <w:bookmarkStart w:id="615" w:name="_Hlk144309509"/>
          <w:p w14:paraId="3CF4A310" w14:textId="01D5CDA5" w:rsidR="00D131E7" w:rsidRPr="00AF0D5C" w:rsidRDefault="006900F6" w:rsidP="00BF4CC2">
            <w:pPr>
              <w:pStyle w:val="Tablefigure"/>
            </w:pPr>
            <w:r w:rsidRPr="003E0209">
              <mc:AlternateContent>
                <mc:Choice Requires="wps">
                  <w:drawing>
                    <wp:anchor distT="0" distB="0" distL="114300" distR="114300" simplePos="0" relativeHeight="252539904" behindDoc="0" locked="0" layoutInCell="1" allowOverlap="1" wp14:anchorId="2A2E1FB2" wp14:editId="272A39E7">
                      <wp:simplePos x="0" y="0"/>
                      <wp:positionH relativeFrom="column">
                        <wp:posOffset>2992755</wp:posOffset>
                      </wp:positionH>
                      <wp:positionV relativeFrom="paragraph">
                        <wp:posOffset>116205</wp:posOffset>
                      </wp:positionV>
                      <wp:extent cx="0" cy="7429500"/>
                      <wp:effectExtent l="0" t="0" r="38100" b="19050"/>
                      <wp:wrapNone/>
                      <wp:docPr id="300109541" name="Straight Connector 14"/>
                      <wp:cNvGraphicFramePr/>
                      <a:graphic xmlns:a="http://schemas.openxmlformats.org/drawingml/2006/main">
                        <a:graphicData uri="http://schemas.microsoft.com/office/word/2010/wordprocessingShape">
                          <wps:wsp>
                            <wps:cNvCnPr/>
                            <wps:spPr>
                              <a:xfrm>
                                <a:off x="0" y="0"/>
                                <a:ext cx="0" cy="7429500"/>
                              </a:xfrm>
                              <a:prstGeom prst="line">
                                <a:avLst/>
                              </a:prstGeom>
                              <a:noFill/>
                              <a:ln w="19050" cap="flat" cmpd="sng" algn="ctr">
                                <a:solidFill>
                                  <a:sysClr val="window" lastClr="FFFFFF"/>
                                </a:solidFill>
                                <a:prstDash val="solid"/>
                                <a:miter lim="800000"/>
                              </a:ln>
                              <a:effectLst/>
                            </wps:spPr>
                            <wps:bodyPr/>
                          </wps:wsp>
                        </a:graphicData>
                      </a:graphic>
                      <wp14:sizeRelV relativeFrom="margin">
                        <wp14:pctHeight>0</wp14:pctHeight>
                      </wp14:sizeRelV>
                    </wp:anchor>
                  </w:drawing>
                </mc:Choice>
                <mc:Fallback>
                  <w:pict>
                    <v:line w14:anchorId="489B2BA0" id="Straight Connector 14" o:spid="_x0000_s1026" style="position:absolute;z-index:25253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65pt,9.15pt" to="235.65pt,5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" strokecolor="window" strokeweight="1.5pt">
                      <v:stroke joinstyle="miter"/>
                    </v:line>
                  </w:pict>
                </mc:Fallback>
              </mc:AlternateContent>
            </w:r>
            <w:r w:rsidR="00D131E7" w:rsidRPr="00AF0D5C">
              <w:t>Figure 8: Crime investigations finalised</w:t>
            </w:r>
          </w:p>
          <w:bookmarkEnd w:id="615"/>
          <w:p w14:paraId="636D0738" w14:textId="4F5EC5C4" w:rsidR="00D131E7" w:rsidRPr="00AF0D5C" w:rsidRDefault="00B41C4B" w:rsidP="00BF4CC2">
            <w:pPr>
              <w:spacing w:after="0"/>
              <w:ind w:left="-113" w:right="218"/>
              <w:rPr>
                <w:rFonts w:ascii="Calibri" w:hAnsi="Calibri" w:cs="Calibri"/>
                <w:color w:val="414042" w:themeColor="text1"/>
              </w:rPr>
            </w:pPr>
            <w:r w:rsidRPr="00AF0D5C">
              <w:rPr>
                <w:rFonts w:ascii="Calibri" w:hAnsi="Calibri" w:cs="Calibri"/>
                <w:noProof/>
                <w:color w:val="414042" w:themeColor="text1"/>
              </w:rPr>
              <w:drawing>
                <wp:inline distT="0" distB="0" distL="0" distR="0" wp14:anchorId="4E6AFCA2" wp14:editId="4F565046">
                  <wp:extent cx="2880000" cy="1052195"/>
                  <wp:effectExtent l="0" t="0" r="635" b="0"/>
                  <wp:docPr id="490" name="Chart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c>
        <w:tc>
          <w:tcPr>
            <w:tcW w:w="4836" w:type="dxa"/>
          </w:tcPr>
          <w:p w14:paraId="3F2CD255" w14:textId="651F39FC" w:rsidR="00D131E7" w:rsidRPr="00AF0D5C" w:rsidRDefault="00D131E7" w:rsidP="00BF4CC2">
            <w:pPr>
              <w:pStyle w:val="Heading4"/>
              <w:ind w:left="76"/>
            </w:pPr>
            <w:bookmarkStart w:id="616" w:name="_Hlk144309525"/>
            <w:r w:rsidRPr="00AF0D5C">
              <w:t>Figure</w:t>
            </w:r>
            <w:r w:rsidRPr="00AF0D5C">
              <w:rPr>
                <w:rStyle w:val="Heading4Char"/>
                <w:b/>
                <w:bCs/>
              </w:rPr>
              <w:t xml:space="preserve"> 9: </w:t>
            </w:r>
            <w:r w:rsidRPr="00AF0D5C">
              <w:t>Corruption investigations finalised</w:t>
            </w:r>
          </w:p>
          <w:bookmarkEnd w:id="616"/>
          <w:p w14:paraId="13DA690C" w14:textId="7C8462A2" w:rsidR="00D131E7" w:rsidRPr="00AF0D5C" w:rsidRDefault="006D792A" w:rsidP="00BF4CC2">
            <w:pPr>
              <w:spacing w:after="0"/>
              <w:ind w:left="76"/>
              <w:rPr>
                <w:rFonts w:ascii="Calibri" w:hAnsi="Calibri" w:cs="Calibri"/>
                <w:color w:val="414042" w:themeColor="text1"/>
              </w:rPr>
            </w:pPr>
            <w:r w:rsidRPr="00AF0D5C">
              <w:rPr>
                <w:rFonts w:ascii="Calibri" w:hAnsi="Calibri" w:cs="Calibri"/>
                <w:noProof/>
                <w:color w:val="414042" w:themeColor="text1"/>
              </w:rPr>
              <w:drawing>
                <wp:inline distT="0" distB="0" distL="0" distR="0" wp14:anchorId="2D680680" wp14:editId="372600CB">
                  <wp:extent cx="2879725" cy="1052195"/>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c>
      </w:tr>
      <w:tr w:rsidR="00AF0D5C" w:rsidRPr="00AF0D5C" w14:paraId="7866263A" w14:textId="77777777" w:rsidTr="005D1E29">
        <w:trPr>
          <w:trHeight w:val="20"/>
        </w:trPr>
        <w:tc>
          <w:tcPr>
            <w:tcW w:w="4802" w:type="dxa"/>
          </w:tcPr>
          <w:p w14:paraId="15F5C40E" w14:textId="0E04D02E" w:rsidR="00D131E7" w:rsidRPr="00AF0D5C" w:rsidRDefault="00165E6A" w:rsidP="00BF4CC2">
            <w:pPr>
              <w:pStyle w:val="Tablefigure"/>
            </w:pPr>
            <w:bookmarkStart w:id="617" w:name="_Toc102039673"/>
            <w:bookmarkStart w:id="618" w:name="_Toc102040030"/>
            <w:bookmarkStart w:id="619" w:name="_Toc102040357"/>
            <w:bookmarkStart w:id="620" w:name="_Toc102040691"/>
            <w:bookmarkStart w:id="621" w:name="_Toc102041019"/>
            <w:bookmarkStart w:id="622" w:name="_Toc102041349"/>
            <w:bookmarkStart w:id="623" w:name="_Toc102041681"/>
            <w:bookmarkStart w:id="624" w:name="_Toc102042008"/>
            <w:bookmarkStart w:id="625" w:name="_Toc102042337"/>
            <w:bookmarkStart w:id="626" w:name="_Toc102045467"/>
            <w:bookmarkStart w:id="627" w:name="_Toc102037884"/>
            <w:bookmarkStart w:id="628" w:name="_Toc102038245"/>
            <w:bookmarkStart w:id="629" w:name="_Toc102038606"/>
            <w:bookmarkStart w:id="630" w:name="_Hlk144309535"/>
            <w:r>
              <w:br/>
            </w:r>
            <w:r w:rsidR="00D131E7" w:rsidRPr="00AF0D5C">
              <w:t>Figure 10: Crime hearing days</w:t>
            </w:r>
            <w:bookmarkEnd w:id="617"/>
            <w:bookmarkEnd w:id="618"/>
            <w:bookmarkEnd w:id="619"/>
            <w:bookmarkEnd w:id="620"/>
            <w:bookmarkEnd w:id="621"/>
            <w:bookmarkEnd w:id="622"/>
            <w:bookmarkEnd w:id="623"/>
            <w:bookmarkEnd w:id="624"/>
            <w:bookmarkEnd w:id="625"/>
            <w:bookmarkEnd w:id="626"/>
            <w:bookmarkEnd w:id="627"/>
            <w:bookmarkEnd w:id="628"/>
            <w:bookmarkEnd w:id="629"/>
          </w:p>
          <w:bookmarkEnd w:id="630"/>
          <w:p w14:paraId="664E01FD" w14:textId="5BA8BE71" w:rsidR="00D131E7" w:rsidRPr="00AF0D5C" w:rsidRDefault="00B41C4B" w:rsidP="00BF4CC2">
            <w:pPr>
              <w:spacing w:after="0"/>
              <w:ind w:left="-113" w:right="218"/>
              <w:rPr>
                <w:rFonts w:ascii="Calibri" w:hAnsi="Calibri" w:cs="Calibri"/>
                <w:noProof/>
                <w:color w:val="414042" w:themeColor="text1"/>
              </w:rPr>
            </w:pPr>
            <w:r w:rsidRPr="00AF0D5C">
              <w:rPr>
                <w:rFonts w:ascii="Calibri" w:hAnsi="Calibri" w:cs="Calibri"/>
                <w:noProof/>
                <w:color w:val="414042" w:themeColor="text1"/>
              </w:rPr>
              <w:drawing>
                <wp:inline distT="0" distB="0" distL="0" distR="0" wp14:anchorId="739ECCF0" wp14:editId="2E2915DD">
                  <wp:extent cx="2879725" cy="1023620"/>
                  <wp:effectExtent l="0" t="0" r="0" b="6985"/>
                  <wp:docPr id="675" name="Chart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c>
          <w:tcPr>
            <w:tcW w:w="4836" w:type="dxa"/>
          </w:tcPr>
          <w:p w14:paraId="17A23508" w14:textId="47665A00" w:rsidR="00D131E7" w:rsidRPr="00AF0D5C" w:rsidRDefault="00165E6A" w:rsidP="00BF4CC2">
            <w:pPr>
              <w:pStyle w:val="Heading4"/>
              <w:ind w:left="76"/>
            </w:pPr>
            <w:bookmarkStart w:id="631" w:name="_Toc102037888"/>
            <w:bookmarkStart w:id="632" w:name="_Toc102038249"/>
            <w:bookmarkStart w:id="633" w:name="_Toc102038610"/>
            <w:bookmarkStart w:id="634" w:name="_Toc102039676"/>
            <w:bookmarkStart w:id="635" w:name="_Toc102040033"/>
            <w:bookmarkStart w:id="636" w:name="_Toc102040361"/>
            <w:bookmarkStart w:id="637" w:name="_Toc102040695"/>
            <w:bookmarkStart w:id="638" w:name="_Toc102041023"/>
            <w:bookmarkStart w:id="639" w:name="_Toc102041352"/>
            <w:bookmarkStart w:id="640" w:name="_Toc102041684"/>
            <w:bookmarkStart w:id="641" w:name="_Toc102042011"/>
            <w:bookmarkStart w:id="642" w:name="_Toc102042340"/>
            <w:bookmarkStart w:id="643" w:name="_Toc102045470"/>
            <w:r>
              <w:br/>
            </w:r>
            <w:r w:rsidR="00D131E7" w:rsidRPr="00AF0D5C">
              <w:t>Figure 11: Corruption hearing days</w:t>
            </w:r>
            <w:bookmarkEnd w:id="631"/>
            <w:bookmarkEnd w:id="632"/>
            <w:bookmarkEnd w:id="633"/>
            <w:bookmarkEnd w:id="634"/>
            <w:bookmarkEnd w:id="635"/>
            <w:bookmarkEnd w:id="636"/>
            <w:bookmarkEnd w:id="637"/>
            <w:bookmarkEnd w:id="638"/>
            <w:bookmarkEnd w:id="639"/>
            <w:bookmarkEnd w:id="640"/>
            <w:bookmarkEnd w:id="641"/>
            <w:bookmarkEnd w:id="642"/>
            <w:bookmarkEnd w:id="643"/>
          </w:p>
          <w:p w14:paraId="1A959AF3" w14:textId="4D5E00F9" w:rsidR="00D131E7" w:rsidRPr="00AF0D5C" w:rsidRDefault="006D792A" w:rsidP="00BF4CC2">
            <w:pPr>
              <w:spacing w:after="0"/>
              <w:ind w:left="76"/>
              <w:rPr>
                <w:rFonts w:ascii="Calibri" w:hAnsi="Calibri" w:cs="Calibri"/>
                <w:color w:val="414042" w:themeColor="text1"/>
              </w:rPr>
            </w:pPr>
            <w:r w:rsidRPr="00AF0D5C">
              <w:rPr>
                <w:rFonts w:ascii="Calibri" w:hAnsi="Calibri" w:cs="Calibri"/>
                <w:noProof/>
                <w:color w:val="414042" w:themeColor="text1"/>
              </w:rPr>
              <w:drawing>
                <wp:inline distT="0" distB="0" distL="0" distR="0" wp14:anchorId="2A5830D1" wp14:editId="47F9424A">
                  <wp:extent cx="2933700" cy="1023620"/>
                  <wp:effectExtent l="0" t="0" r="0" b="508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r>
      <w:tr w:rsidR="00AF0D5C" w:rsidRPr="00AF0D5C" w14:paraId="52010EF1" w14:textId="77777777" w:rsidTr="005D1E29">
        <w:trPr>
          <w:trHeight w:val="20"/>
        </w:trPr>
        <w:tc>
          <w:tcPr>
            <w:tcW w:w="4802" w:type="dxa"/>
          </w:tcPr>
          <w:p w14:paraId="1778BE6A" w14:textId="18DFA61A" w:rsidR="00D131E7" w:rsidRPr="00AF0D5C" w:rsidRDefault="00165E6A" w:rsidP="00BF4CC2">
            <w:pPr>
              <w:pStyle w:val="Heading4"/>
              <w:ind w:left="-113" w:firstLine="0"/>
            </w:pPr>
            <w:bookmarkStart w:id="644" w:name="_Toc102037885"/>
            <w:bookmarkStart w:id="645" w:name="_Toc102038246"/>
            <w:bookmarkStart w:id="646" w:name="_Toc102038607"/>
            <w:bookmarkStart w:id="647" w:name="_Toc102039674"/>
            <w:bookmarkStart w:id="648" w:name="_Toc102040031"/>
            <w:bookmarkStart w:id="649" w:name="_Toc102040358"/>
            <w:bookmarkStart w:id="650" w:name="_Toc102040692"/>
            <w:bookmarkStart w:id="651" w:name="_Toc102041020"/>
            <w:bookmarkStart w:id="652" w:name="_Toc102041350"/>
            <w:bookmarkStart w:id="653" w:name="_Toc102041682"/>
            <w:bookmarkStart w:id="654" w:name="_Toc102042009"/>
            <w:bookmarkStart w:id="655" w:name="_Toc102042338"/>
            <w:bookmarkStart w:id="656" w:name="_Toc102045468"/>
            <w:bookmarkStart w:id="657" w:name="_Hlk144309554"/>
            <w:r>
              <w:br/>
            </w:r>
            <w:r w:rsidR="00D131E7" w:rsidRPr="00AF0D5C">
              <w:t>Figure 12: Value of assets restrained ($ million)</w:t>
            </w:r>
            <w:bookmarkEnd w:id="644"/>
            <w:bookmarkEnd w:id="645"/>
            <w:bookmarkEnd w:id="646"/>
            <w:bookmarkEnd w:id="647"/>
            <w:bookmarkEnd w:id="648"/>
            <w:bookmarkEnd w:id="649"/>
            <w:bookmarkEnd w:id="650"/>
            <w:bookmarkEnd w:id="651"/>
            <w:bookmarkEnd w:id="652"/>
            <w:bookmarkEnd w:id="653"/>
            <w:bookmarkEnd w:id="654"/>
            <w:bookmarkEnd w:id="655"/>
            <w:bookmarkEnd w:id="656"/>
          </w:p>
          <w:bookmarkEnd w:id="657"/>
          <w:p w14:paraId="2EB3557C" w14:textId="0C3B5EAA" w:rsidR="00D131E7" w:rsidRPr="00AF0D5C" w:rsidRDefault="00B41C4B" w:rsidP="00BF4CC2">
            <w:pPr>
              <w:spacing w:after="0"/>
              <w:ind w:left="-113" w:right="218"/>
              <w:jc w:val="right"/>
              <w:rPr>
                <w:rFonts w:ascii="Calibri" w:hAnsi="Calibri" w:cs="Calibri"/>
                <w:color w:val="414042" w:themeColor="text1"/>
              </w:rPr>
            </w:pPr>
            <w:r w:rsidRPr="00AF0D5C">
              <w:rPr>
                <w:rFonts w:ascii="Calibri" w:hAnsi="Calibri" w:cs="Calibri"/>
                <w:noProof/>
                <w:color w:val="414042" w:themeColor="text1"/>
              </w:rPr>
              <w:drawing>
                <wp:inline distT="0" distB="0" distL="0" distR="0" wp14:anchorId="5CAB66F0" wp14:editId="3698F475">
                  <wp:extent cx="2879725" cy="1038225"/>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c>
          <w:tcPr>
            <w:tcW w:w="4836" w:type="dxa"/>
          </w:tcPr>
          <w:p w14:paraId="0E653D7A" w14:textId="6F33B1BC" w:rsidR="00D131E7" w:rsidRPr="00AF0D5C" w:rsidRDefault="00165E6A" w:rsidP="00BF4CC2">
            <w:pPr>
              <w:pStyle w:val="Heading4"/>
              <w:ind w:left="76"/>
            </w:pPr>
            <w:bookmarkStart w:id="658" w:name="_Toc102037889"/>
            <w:bookmarkStart w:id="659" w:name="_Toc102038250"/>
            <w:bookmarkStart w:id="660" w:name="_Toc102038611"/>
            <w:bookmarkStart w:id="661" w:name="_Toc102039677"/>
            <w:bookmarkStart w:id="662" w:name="_Toc102040034"/>
            <w:bookmarkStart w:id="663" w:name="_Toc102040362"/>
            <w:bookmarkStart w:id="664" w:name="_Toc102040696"/>
            <w:bookmarkStart w:id="665" w:name="_Toc102041024"/>
            <w:bookmarkStart w:id="666" w:name="_Toc102041353"/>
            <w:bookmarkStart w:id="667" w:name="_Toc102041685"/>
            <w:bookmarkStart w:id="668" w:name="_Toc102042012"/>
            <w:bookmarkStart w:id="669" w:name="_Toc102042341"/>
            <w:bookmarkStart w:id="670" w:name="_Toc102045471"/>
            <w:bookmarkStart w:id="671" w:name="_Hlk144309568"/>
            <w:r>
              <w:br/>
            </w:r>
            <w:r w:rsidR="00D131E7" w:rsidRPr="00AF0D5C">
              <w:t>Figure 13: Corruption complaints received</w:t>
            </w:r>
            <w:bookmarkEnd w:id="658"/>
            <w:bookmarkEnd w:id="659"/>
            <w:bookmarkEnd w:id="660"/>
            <w:bookmarkEnd w:id="661"/>
            <w:bookmarkEnd w:id="662"/>
            <w:bookmarkEnd w:id="663"/>
            <w:bookmarkEnd w:id="664"/>
            <w:bookmarkEnd w:id="665"/>
            <w:bookmarkEnd w:id="666"/>
            <w:bookmarkEnd w:id="667"/>
            <w:bookmarkEnd w:id="668"/>
            <w:bookmarkEnd w:id="669"/>
            <w:bookmarkEnd w:id="670"/>
          </w:p>
          <w:bookmarkEnd w:id="671"/>
          <w:p w14:paraId="781B7FC1" w14:textId="5E4EBB71" w:rsidR="00D131E7" w:rsidRPr="00AF0D5C" w:rsidRDefault="006D792A" w:rsidP="00BF4CC2">
            <w:pPr>
              <w:spacing w:after="0"/>
              <w:ind w:left="76"/>
              <w:rPr>
                <w:rFonts w:ascii="Calibri" w:hAnsi="Calibri" w:cs="Calibri"/>
                <w:color w:val="414042" w:themeColor="text1"/>
              </w:rPr>
            </w:pPr>
            <w:r w:rsidRPr="00AF0D5C">
              <w:rPr>
                <w:rFonts w:ascii="Calibri" w:hAnsi="Calibri" w:cs="Calibri"/>
                <w:noProof/>
                <w:color w:val="414042" w:themeColor="text1"/>
              </w:rPr>
              <w:drawing>
                <wp:inline distT="0" distB="0" distL="0" distR="0" wp14:anchorId="0D79C767" wp14:editId="4070E2DB">
                  <wp:extent cx="2879725" cy="1038225"/>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r>
      <w:tr w:rsidR="00AF0D5C" w:rsidRPr="00AF0D5C" w14:paraId="4C26A57E" w14:textId="77777777" w:rsidTr="005D1E29">
        <w:trPr>
          <w:trHeight w:val="20"/>
        </w:trPr>
        <w:tc>
          <w:tcPr>
            <w:tcW w:w="4802" w:type="dxa"/>
          </w:tcPr>
          <w:p w14:paraId="4C37A938" w14:textId="56F3F0CF" w:rsidR="00D131E7" w:rsidRPr="00AF0D5C" w:rsidRDefault="00165E6A" w:rsidP="00BF4CC2">
            <w:pPr>
              <w:pStyle w:val="Heading4"/>
              <w:ind w:left="-113" w:firstLine="0"/>
            </w:pPr>
            <w:bookmarkStart w:id="672" w:name="_Toc102037886"/>
            <w:bookmarkStart w:id="673" w:name="_Toc102038247"/>
            <w:bookmarkStart w:id="674" w:name="_Toc102038608"/>
            <w:bookmarkStart w:id="675" w:name="_Toc102039675"/>
            <w:bookmarkStart w:id="676" w:name="_Toc102040032"/>
            <w:bookmarkStart w:id="677" w:name="_Toc102040359"/>
            <w:bookmarkStart w:id="678" w:name="_Toc102040693"/>
            <w:bookmarkStart w:id="679" w:name="_Toc102041021"/>
            <w:bookmarkStart w:id="680" w:name="_Toc102041351"/>
            <w:bookmarkStart w:id="681" w:name="_Toc102041683"/>
            <w:bookmarkStart w:id="682" w:name="_Toc102042010"/>
            <w:bookmarkStart w:id="683" w:name="_Toc102042339"/>
            <w:bookmarkStart w:id="684" w:name="_Toc102045469"/>
            <w:r>
              <w:br/>
            </w:r>
            <w:r w:rsidR="00D131E7" w:rsidRPr="00AF0D5C">
              <w:t>Figure 14: Value of assets forfeited ($ million)</w:t>
            </w:r>
            <w:bookmarkEnd w:id="672"/>
            <w:bookmarkEnd w:id="673"/>
            <w:bookmarkEnd w:id="674"/>
            <w:bookmarkEnd w:id="675"/>
            <w:bookmarkEnd w:id="676"/>
            <w:bookmarkEnd w:id="677"/>
            <w:bookmarkEnd w:id="678"/>
            <w:bookmarkEnd w:id="679"/>
            <w:bookmarkEnd w:id="680"/>
            <w:bookmarkEnd w:id="681"/>
            <w:bookmarkEnd w:id="682"/>
            <w:bookmarkEnd w:id="683"/>
            <w:bookmarkEnd w:id="684"/>
          </w:p>
          <w:p w14:paraId="17E79265" w14:textId="30C4603D" w:rsidR="00D131E7" w:rsidRPr="00AF0D5C" w:rsidRDefault="00B41C4B" w:rsidP="00BF4CC2">
            <w:pPr>
              <w:spacing w:after="0"/>
              <w:ind w:left="-113" w:right="218"/>
              <w:rPr>
                <w:rFonts w:ascii="Calibri" w:hAnsi="Calibri" w:cs="Calibri"/>
                <w:color w:val="414042" w:themeColor="text1"/>
              </w:rPr>
            </w:pPr>
            <w:bookmarkStart w:id="685" w:name="_Toc102037887"/>
            <w:bookmarkStart w:id="686" w:name="_Toc102038248"/>
            <w:bookmarkStart w:id="687" w:name="_Toc102038609"/>
            <w:bookmarkStart w:id="688" w:name="_Toc102040360"/>
            <w:bookmarkStart w:id="689" w:name="_Toc102040694"/>
            <w:bookmarkStart w:id="690" w:name="_Toc102041022"/>
            <w:r w:rsidRPr="00AF0D5C">
              <w:rPr>
                <w:rFonts w:ascii="Calibri" w:hAnsi="Calibri" w:cs="Calibri"/>
                <w:noProof/>
                <w:color w:val="414042" w:themeColor="text1"/>
              </w:rPr>
              <w:drawing>
                <wp:inline distT="0" distB="0" distL="0" distR="0" wp14:anchorId="78ACCFE9" wp14:editId="18B10FFD">
                  <wp:extent cx="2879725" cy="11049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sidR="00D131E7" w:rsidRPr="00AF0D5C">
              <w:rPr>
                <w:rFonts w:ascii="Calibri" w:hAnsi="Calibri" w:cs="Calibri"/>
                <w:color w:val="414042" w:themeColor="text1"/>
              </w:rPr>
              <w:br w:type="column"/>
            </w:r>
            <w:bookmarkEnd w:id="685"/>
            <w:bookmarkEnd w:id="686"/>
            <w:bookmarkEnd w:id="687"/>
            <w:bookmarkEnd w:id="688"/>
            <w:bookmarkEnd w:id="689"/>
            <w:bookmarkEnd w:id="690"/>
          </w:p>
        </w:tc>
        <w:tc>
          <w:tcPr>
            <w:tcW w:w="4836" w:type="dxa"/>
          </w:tcPr>
          <w:p w14:paraId="2F70EE40" w14:textId="2D3678FA" w:rsidR="00D131E7" w:rsidRPr="00AF0D5C" w:rsidRDefault="00165E6A" w:rsidP="00BF4CC2">
            <w:pPr>
              <w:pStyle w:val="Heading4"/>
              <w:ind w:left="76"/>
            </w:pPr>
            <w:bookmarkStart w:id="691" w:name="_Toc102037890"/>
            <w:bookmarkStart w:id="692" w:name="_Toc102038251"/>
            <w:bookmarkStart w:id="693" w:name="_Toc102038612"/>
            <w:bookmarkStart w:id="694" w:name="_Toc102039678"/>
            <w:bookmarkStart w:id="695" w:name="_Toc102040035"/>
            <w:bookmarkStart w:id="696" w:name="_Toc102040363"/>
            <w:bookmarkStart w:id="697" w:name="_Toc102040697"/>
            <w:bookmarkStart w:id="698" w:name="_Toc102041025"/>
            <w:bookmarkStart w:id="699" w:name="_Toc102041354"/>
            <w:bookmarkStart w:id="700" w:name="_Toc102041686"/>
            <w:bookmarkStart w:id="701" w:name="_Toc102042013"/>
            <w:bookmarkStart w:id="702" w:name="_Toc102042342"/>
            <w:bookmarkStart w:id="703" w:name="_Toc102045472"/>
            <w:r>
              <w:br/>
            </w:r>
            <w:r w:rsidR="00D131E7" w:rsidRPr="00AF0D5C">
              <w:t>Figure 15: Corruption allegations received</w:t>
            </w:r>
            <w:bookmarkEnd w:id="691"/>
            <w:bookmarkEnd w:id="692"/>
            <w:bookmarkEnd w:id="693"/>
            <w:bookmarkEnd w:id="694"/>
            <w:bookmarkEnd w:id="695"/>
            <w:bookmarkEnd w:id="696"/>
            <w:bookmarkEnd w:id="697"/>
            <w:bookmarkEnd w:id="698"/>
            <w:bookmarkEnd w:id="699"/>
            <w:bookmarkEnd w:id="700"/>
            <w:bookmarkEnd w:id="701"/>
            <w:bookmarkEnd w:id="702"/>
            <w:bookmarkEnd w:id="703"/>
          </w:p>
          <w:p w14:paraId="5F7CA72F" w14:textId="5F942AA6" w:rsidR="00D131E7" w:rsidRPr="00AF0D5C" w:rsidRDefault="006D792A" w:rsidP="00BF4CC2">
            <w:pPr>
              <w:spacing w:after="0"/>
              <w:ind w:left="76"/>
              <w:rPr>
                <w:rFonts w:ascii="Calibri" w:hAnsi="Calibri" w:cs="Calibri"/>
                <w:color w:val="414042" w:themeColor="text1"/>
                <w:szCs w:val="22"/>
              </w:rPr>
            </w:pPr>
            <w:r w:rsidRPr="00AF0D5C">
              <w:rPr>
                <w:rFonts w:ascii="Calibri" w:hAnsi="Calibri" w:cs="Calibri"/>
                <w:noProof/>
                <w:color w:val="414042" w:themeColor="text1"/>
                <w:spacing w:val="-5"/>
              </w:rPr>
              <w:drawing>
                <wp:inline distT="0" distB="0" distL="0" distR="0" wp14:anchorId="52350090" wp14:editId="45BBBA75">
                  <wp:extent cx="2905603" cy="11049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r>
      <w:tr w:rsidR="00AF0D5C" w:rsidRPr="00AF0D5C" w14:paraId="1BE2E562" w14:textId="77777777" w:rsidTr="005D1E29">
        <w:trPr>
          <w:trHeight w:val="20"/>
        </w:trPr>
        <w:tc>
          <w:tcPr>
            <w:tcW w:w="4802" w:type="dxa"/>
          </w:tcPr>
          <w:p w14:paraId="34068954" w14:textId="77777777" w:rsidR="000242E9" w:rsidRPr="00AF0D5C" w:rsidRDefault="000242E9" w:rsidP="00BF4CC2">
            <w:pPr>
              <w:pStyle w:val="Heading4"/>
              <w:ind w:left="-113" w:firstLine="0"/>
            </w:pPr>
          </w:p>
        </w:tc>
        <w:tc>
          <w:tcPr>
            <w:tcW w:w="4836" w:type="dxa"/>
          </w:tcPr>
          <w:p w14:paraId="4D765435" w14:textId="1DCBD614" w:rsidR="000242E9" w:rsidRPr="00AF0D5C" w:rsidRDefault="00165E6A" w:rsidP="00BF4CC2">
            <w:pPr>
              <w:pStyle w:val="Heading4"/>
              <w:ind w:left="76"/>
            </w:pPr>
            <w:r>
              <w:br/>
            </w:r>
            <w:r w:rsidR="000242E9" w:rsidRPr="00AF0D5C">
              <w:t>Figure 16: Corruption complaints assessed</w:t>
            </w:r>
          </w:p>
          <w:p w14:paraId="79CF2C49" w14:textId="66046DF1" w:rsidR="000242E9" w:rsidRPr="00AF0D5C" w:rsidRDefault="000242E9" w:rsidP="00BF4CC2">
            <w:pPr>
              <w:pStyle w:val="Heading4"/>
              <w:ind w:left="76"/>
            </w:pPr>
            <w:r w:rsidRPr="00AF0D5C">
              <w:drawing>
                <wp:inline distT="0" distB="0" distL="0" distR="0" wp14:anchorId="612AC335" wp14:editId="4DECFE9C">
                  <wp:extent cx="2905603" cy="1104900"/>
                  <wp:effectExtent l="0" t="0" r="0" b="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r>
      <w:bookmarkEnd w:id="602"/>
      <w:bookmarkEnd w:id="603"/>
      <w:bookmarkEnd w:id="604"/>
      <w:bookmarkEnd w:id="605"/>
      <w:bookmarkEnd w:id="606"/>
      <w:bookmarkEnd w:id="607"/>
      <w:bookmarkEnd w:id="608"/>
      <w:bookmarkEnd w:id="609"/>
      <w:bookmarkEnd w:id="610"/>
      <w:bookmarkEnd w:id="611"/>
      <w:bookmarkEnd w:id="612"/>
      <w:bookmarkEnd w:id="613"/>
      <w:bookmarkEnd w:id="614"/>
    </w:tbl>
    <w:p w14:paraId="18BA8963" w14:textId="77777777" w:rsidR="000242E9" w:rsidRPr="00AF0D5C" w:rsidRDefault="000242E9" w:rsidP="009D31AA">
      <w:pPr>
        <w:pStyle w:val="Notes"/>
        <w:ind w:right="284"/>
        <w:rPr>
          <w:spacing w:val="0"/>
        </w:rPr>
      </w:pPr>
    </w:p>
    <w:p w14:paraId="447F50F3" w14:textId="58F9ACDE" w:rsidR="009D31AA" w:rsidRPr="00AF0D5C" w:rsidRDefault="009D31AA" w:rsidP="009D31AA">
      <w:pPr>
        <w:pStyle w:val="Notes"/>
        <w:ind w:right="284"/>
        <w:rPr>
          <w:spacing w:val="0"/>
        </w:rPr>
        <w:sectPr w:rsidR="009D31AA" w:rsidRPr="00AF0D5C" w:rsidSect="006D3271">
          <w:headerReference w:type="even" r:id="rId134"/>
          <w:headerReference w:type="default" r:id="rId135"/>
          <w:footerReference w:type="default" r:id="rId136"/>
          <w:headerReference w:type="first" r:id="rId137"/>
          <w:pgSz w:w="11906" w:h="16838" w:code="9"/>
          <w:pgMar w:top="709" w:right="707" w:bottom="964" w:left="1134" w:header="720" w:footer="284" w:gutter="0"/>
          <w:cols w:space="567"/>
          <w:noEndnote/>
          <w:docGrid w:linePitch="272"/>
        </w:sectPr>
      </w:pPr>
    </w:p>
    <w:p w14:paraId="500A1F2E" w14:textId="690D6261" w:rsidR="00A24AC5" w:rsidRPr="00AF0D5C" w:rsidRDefault="00A24AC5" w:rsidP="00EA7AA8">
      <w:pPr>
        <w:pStyle w:val="2Heading"/>
        <w:spacing w:after="0"/>
      </w:pPr>
      <w:bookmarkStart w:id="704" w:name="_Key_achievements"/>
      <w:bookmarkStart w:id="705" w:name="_Toc102037867"/>
      <w:bookmarkStart w:id="706" w:name="_Toc102038229"/>
      <w:bookmarkStart w:id="707" w:name="_Toc102038590"/>
      <w:bookmarkStart w:id="708" w:name="_Toc102038950"/>
      <w:bookmarkStart w:id="709" w:name="_Toc102039302"/>
      <w:bookmarkStart w:id="710" w:name="_Toc102039657"/>
      <w:bookmarkStart w:id="711" w:name="_Toc102040014"/>
      <w:bookmarkStart w:id="712" w:name="_Toc102040339"/>
      <w:bookmarkStart w:id="713" w:name="_Toc102040673"/>
      <w:bookmarkStart w:id="714" w:name="_Toc102041001"/>
      <w:bookmarkStart w:id="715" w:name="_Toc102041331"/>
      <w:bookmarkStart w:id="716" w:name="_Toc102041663"/>
      <w:bookmarkStart w:id="717" w:name="_Toc102041990"/>
      <w:bookmarkStart w:id="718" w:name="_Toc102042319"/>
      <w:bookmarkStart w:id="719" w:name="_Toc102045449"/>
      <w:bookmarkStart w:id="720" w:name="KeyAchievements"/>
      <w:bookmarkStart w:id="721" w:name="_Hlk74555048"/>
      <w:bookmarkStart w:id="722" w:name="_Hlk171941381"/>
      <w:bookmarkEnd w:id="704"/>
      <w:r w:rsidRPr="00AF0D5C">
        <w:t>Key achievements</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rsidR="004C787C" w:rsidRPr="00AF0D5C">
        <w:t xml:space="preserve"> </w:t>
      </w:r>
    </w:p>
    <w:p w14:paraId="14A8492B" w14:textId="77777777" w:rsidR="005D1E29" w:rsidRPr="00AF0D5C" w:rsidRDefault="005D1E29" w:rsidP="006900F6">
      <w:pPr>
        <w:pStyle w:val="AnnualReportsecondlevelbulletpoint"/>
        <w:numPr>
          <w:ilvl w:val="0"/>
          <w:numId w:val="0"/>
        </w:numPr>
        <w:ind w:left="567"/>
      </w:pPr>
      <w:bookmarkStart w:id="723" w:name="_Hlk75431354"/>
      <w:bookmarkStart w:id="724" w:name="_Toc102037868"/>
      <w:bookmarkStart w:id="725" w:name="_Toc102038230"/>
      <w:bookmarkStart w:id="726" w:name="_Toc102038591"/>
      <w:bookmarkStart w:id="727" w:name="_Toc102038951"/>
      <w:bookmarkStart w:id="728" w:name="_Toc102039303"/>
      <w:bookmarkStart w:id="729" w:name="_Toc102039658"/>
      <w:bookmarkStart w:id="730" w:name="_Toc102040015"/>
      <w:bookmarkStart w:id="731" w:name="_Toc102040340"/>
      <w:bookmarkStart w:id="732" w:name="_Toc102040674"/>
      <w:bookmarkStart w:id="733" w:name="_Toc102041002"/>
      <w:bookmarkStart w:id="734" w:name="_Toc102041332"/>
      <w:bookmarkStart w:id="735" w:name="_Toc102041664"/>
      <w:bookmarkStart w:id="736" w:name="_Toc102041991"/>
      <w:bookmarkStart w:id="737" w:name="_Toc102042320"/>
      <w:bookmarkStart w:id="738" w:name="_Toc102045450"/>
      <w:bookmarkEnd w:id="720"/>
    </w:p>
    <w:tbl>
      <w:tblPr>
        <w:tblStyle w:val="Sectiontable"/>
        <w:tblW w:w="0" w:type="auto"/>
        <w:tblLook w:val="04A0" w:firstRow="1" w:lastRow="0" w:firstColumn="1" w:lastColumn="0" w:noHBand="0" w:noVBand="1"/>
      </w:tblPr>
      <w:tblGrid>
        <w:gridCol w:w="4489"/>
      </w:tblGrid>
      <w:tr w:rsidR="00AF0D5C" w:rsidRPr="00AF0D5C" w14:paraId="26137DE8" w14:textId="77777777" w:rsidTr="004C0754">
        <w:trPr>
          <w:cnfStyle w:val="000000100000" w:firstRow="0" w:lastRow="0" w:firstColumn="0" w:lastColumn="0" w:oddVBand="0" w:evenVBand="0" w:oddHBand="1" w:evenHBand="0" w:firstRowFirstColumn="0" w:firstRowLastColumn="0" w:lastRowFirstColumn="0" w:lastRowLastColumn="0"/>
          <w:trHeight w:val="10886"/>
        </w:trPr>
        <w:tc>
          <w:tcPr>
            <w:tcW w:w="4489" w:type="dxa"/>
            <w:shd w:val="clear" w:color="auto" w:fill="F2F2F2" w:themeFill="background1" w:themeFillShade="F2"/>
          </w:tcPr>
          <w:p w14:paraId="00960C77" w14:textId="77777777" w:rsidR="005D1E29" w:rsidRPr="00284C4A" w:rsidRDefault="005D1E29" w:rsidP="006B1E6A">
            <w:pPr>
              <w:pStyle w:val="3Heading-highlight"/>
              <w:ind w:firstLine="175"/>
            </w:pPr>
            <w:r w:rsidRPr="00284C4A">
              <w:t>OBJECTIVE: Efficient and Effective</w:t>
            </w:r>
          </w:p>
          <w:p w14:paraId="1768E48F" w14:textId="08AEB14F" w:rsidR="005D1E29" w:rsidRPr="00AF0D5C" w:rsidRDefault="005D1E29" w:rsidP="006900F6">
            <w:pPr>
              <w:pStyle w:val="Bulletbox"/>
              <w:ind w:right="269"/>
            </w:pPr>
            <w:r w:rsidRPr="00AF0D5C">
              <w:t xml:space="preserve">Held </w:t>
            </w:r>
            <w:r w:rsidRPr="00AF0D5C">
              <w:rPr>
                <w:b/>
              </w:rPr>
              <w:t>136 days of crime and intelligence hearings</w:t>
            </w:r>
            <w:r w:rsidRPr="00AF0D5C">
              <w:t xml:space="preserve">, examining 113 witnesses, in relation to 13 homicide investigations, </w:t>
            </w:r>
            <w:r w:rsidR="005A0A8E">
              <w:br/>
            </w:r>
            <w:r w:rsidRPr="00AF0D5C">
              <w:t>six child deaths, serious injury or child exploitation related investigations, 9 investigations into organised crime offending, and support intelligence operations (see pages 32</w:t>
            </w:r>
            <w:r w:rsidR="00C00910" w:rsidRPr="00C00910">
              <w:t>–</w:t>
            </w:r>
            <w:r w:rsidRPr="00AF0D5C">
              <w:t>37).</w:t>
            </w:r>
          </w:p>
          <w:p w14:paraId="2E1505B0" w14:textId="77777777" w:rsidR="005D1E29" w:rsidRPr="00AF0D5C" w:rsidRDefault="005D1E29" w:rsidP="006900F6">
            <w:pPr>
              <w:pStyle w:val="Bulletbox"/>
              <w:ind w:right="269"/>
            </w:pPr>
            <w:r w:rsidRPr="00AF0D5C">
              <w:t xml:space="preserve">Progressed an organised crime investigation into </w:t>
            </w:r>
            <w:r w:rsidRPr="00AF0D5C">
              <w:rPr>
                <w:b/>
              </w:rPr>
              <w:t>money laundering</w:t>
            </w:r>
            <w:r w:rsidRPr="00AF0D5C">
              <w:t xml:space="preserve"> and </w:t>
            </w:r>
            <w:r w:rsidRPr="00AF0D5C">
              <w:rPr>
                <w:b/>
              </w:rPr>
              <w:t>drug trafficking</w:t>
            </w:r>
            <w:r w:rsidRPr="00AF0D5C">
              <w:t xml:space="preserve"> in South-East Queensland (see page 32).</w:t>
            </w:r>
          </w:p>
          <w:p w14:paraId="7787F7B4" w14:textId="77777777" w:rsidR="005D1E29" w:rsidRPr="00AF0D5C" w:rsidRDefault="005D1E29" w:rsidP="006900F6">
            <w:pPr>
              <w:pStyle w:val="Bulletbox"/>
              <w:ind w:right="269"/>
            </w:pPr>
            <w:r w:rsidRPr="00AF0D5C">
              <w:t xml:space="preserve">Concluded an intelligence operation which focused on a </w:t>
            </w:r>
            <w:r w:rsidRPr="00AF0D5C">
              <w:rPr>
                <w:b/>
              </w:rPr>
              <w:t>money laundering</w:t>
            </w:r>
            <w:r w:rsidRPr="00AF0D5C">
              <w:t xml:space="preserve"> activity conducted by a criminal organisation which was involved in the sale of </w:t>
            </w:r>
            <w:r w:rsidRPr="00AF0D5C">
              <w:rPr>
                <w:b/>
              </w:rPr>
              <w:t>illicit tobacco</w:t>
            </w:r>
            <w:r w:rsidRPr="00AF0D5C">
              <w:t xml:space="preserve"> and </w:t>
            </w:r>
            <w:r w:rsidRPr="00AF0D5C">
              <w:rPr>
                <w:b/>
              </w:rPr>
              <w:t>vape products</w:t>
            </w:r>
            <w:r w:rsidRPr="00AF0D5C">
              <w:t xml:space="preserve"> (see page 33).</w:t>
            </w:r>
          </w:p>
          <w:p w14:paraId="3636B6E1" w14:textId="77777777" w:rsidR="005D1E29" w:rsidRPr="00AF0D5C" w:rsidRDefault="005D1E29" w:rsidP="006900F6">
            <w:pPr>
              <w:pStyle w:val="Bulletbox"/>
              <w:ind w:right="269"/>
            </w:pPr>
            <w:r w:rsidRPr="00AF0D5C">
              <w:t xml:space="preserve">Restrained </w:t>
            </w:r>
            <w:r w:rsidRPr="00AF0D5C">
              <w:rPr>
                <w:b/>
              </w:rPr>
              <w:t>$8.461 million</w:t>
            </w:r>
            <w:r w:rsidRPr="00AF0D5C">
              <w:t xml:space="preserve"> and secured court orders forfeiting </w:t>
            </w:r>
            <w:r w:rsidRPr="00AF0D5C">
              <w:rPr>
                <w:b/>
              </w:rPr>
              <w:t>$10.514 million</w:t>
            </w:r>
            <w:r w:rsidRPr="00AF0D5C">
              <w:t xml:space="preserve"> in proceeds of crime (see page 34). </w:t>
            </w:r>
          </w:p>
          <w:p w14:paraId="6C12A8FB" w14:textId="77777777" w:rsidR="005D1E29" w:rsidRPr="00AF0D5C" w:rsidRDefault="005D1E29" w:rsidP="006900F6">
            <w:pPr>
              <w:pStyle w:val="Bulletbox"/>
              <w:ind w:right="269"/>
            </w:pPr>
            <w:r w:rsidRPr="00AF0D5C">
              <w:t>Responded to emerging and strategic crime-related risks by:</w:t>
            </w:r>
          </w:p>
          <w:p w14:paraId="22E99DD2" w14:textId="77777777" w:rsidR="005D1E29" w:rsidRPr="00AF0D5C" w:rsidRDefault="005D1E29" w:rsidP="002F23D4">
            <w:pPr>
              <w:pStyle w:val="Bulletbox"/>
              <w:numPr>
                <w:ilvl w:val="0"/>
                <w:numId w:val="61"/>
              </w:numPr>
              <w:ind w:left="1176" w:right="269"/>
            </w:pPr>
            <w:r w:rsidRPr="00AF0D5C">
              <w:t xml:space="preserve">enhancing our capabilities for investigating </w:t>
            </w:r>
            <w:r w:rsidRPr="00AF0D5C">
              <w:rPr>
                <w:b/>
              </w:rPr>
              <w:t>cryptocurrency-enabled crime</w:t>
            </w:r>
            <w:r w:rsidRPr="00AF0D5C">
              <w:t xml:space="preserve"> (see page 35)</w:t>
            </w:r>
          </w:p>
          <w:p w14:paraId="775845D8" w14:textId="5D26F32A" w:rsidR="005D1E29" w:rsidRPr="00AF0D5C" w:rsidRDefault="005D1E29" w:rsidP="002F23D4">
            <w:pPr>
              <w:pStyle w:val="Bulletbox"/>
              <w:numPr>
                <w:ilvl w:val="0"/>
                <w:numId w:val="61"/>
              </w:numPr>
              <w:ind w:left="1176" w:right="269"/>
            </w:pPr>
            <w:r w:rsidRPr="00AF0D5C">
              <w:t xml:space="preserve">advocating for policy and legislative reforms to improve the strength of Queensland’s proceeds of crime schemes by reviewing </w:t>
            </w:r>
            <w:r w:rsidRPr="00AF0D5C">
              <w:rPr>
                <w:i/>
                <w:iCs/>
              </w:rPr>
              <w:t>Criminal Proceeds Confiscation Act 2002</w:t>
            </w:r>
            <w:r w:rsidRPr="00AF0D5C">
              <w:t xml:space="preserve"> (CPCA) (see page 35)</w:t>
            </w:r>
            <w:r w:rsidR="00565D15">
              <w:t>.</w:t>
            </w:r>
          </w:p>
          <w:p w14:paraId="107C7764" w14:textId="77777777" w:rsidR="005D1E29" w:rsidRPr="00AF0D5C" w:rsidRDefault="005D1E29" w:rsidP="006900F6">
            <w:pPr>
              <w:pStyle w:val="Bulletbox"/>
              <w:ind w:right="269"/>
            </w:pPr>
            <w:r w:rsidRPr="00AF0D5C">
              <w:t xml:space="preserve">Finalised 46 corruption investigations (see page 39). </w:t>
            </w:r>
          </w:p>
          <w:p w14:paraId="43E04157" w14:textId="5F7B9957" w:rsidR="005D1E29" w:rsidRPr="00AF0D5C" w:rsidRDefault="005D1E29" w:rsidP="006900F6">
            <w:pPr>
              <w:pStyle w:val="Bulletbox"/>
              <w:ind w:right="269"/>
              <w:rPr>
                <w:lang w:eastAsia="en-AU"/>
              </w:rPr>
            </w:pPr>
            <w:bookmarkStart w:id="739" w:name="_Hlk171692876"/>
            <w:r w:rsidRPr="00AF0D5C">
              <w:t xml:space="preserve">Finalised </w:t>
            </w:r>
            <w:r w:rsidRPr="0032633A">
              <w:rPr>
                <w:b/>
              </w:rPr>
              <w:t>seven corruption matters</w:t>
            </w:r>
            <w:r w:rsidRPr="00AF0D5C">
              <w:t xml:space="preserve"> in court, of which six resulted in successful outcomes including custodial sentences and fines</w:t>
            </w:r>
            <w:bookmarkEnd w:id="739"/>
            <w:r w:rsidR="0032633A">
              <w:t>.</w:t>
            </w:r>
          </w:p>
          <w:p w14:paraId="0D3785C5" w14:textId="0F43B6E2" w:rsidR="00332217" w:rsidRPr="00AF0D5C" w:rsidRDefault="005A0A8E" w:rsidP="006900F6">
            <w:pPr>
              <w:pStyle w:val="Bulletpoints0"/>
              <w:numPr>
                <w:ilvl w:val="0"/>
                <w:numId w:val="0"/>
              </w:numPr>
              <w:ind w:left="142"/>
              <w:rPr>
                <w:lang w:eastAsia="en-AU"/>
              </w:rPr>
            </w:pPr>
            <w:r>
              <w:rPr>
                <w:lang w:eastAsia="en-AU"/>
              </w:rPr>
              <w:br/>
            </w:r>
            <w:r w:rsidR="006900F6">
              <w:rPr>
                <w:lang w:eastAsia="en-AU"/>
              </w:rPr>
              <w:br/>
            </w:r>
            <w:r w:rsidR="006900F6">
              <w:rPr>
                <w:lang w:eastAsia="en-AU"/>
              </w:rPr>
              <w:br/>
            </w:r>
          </w:p>
        </w:tc>
      </w:tr>
    </w:tbl>
    <w:p w14:paraId="78143830" w14:textId="047B2597" w:rsidR="005D1E29" w:rsidRPr="00AF0D5C" w:rsidRDefault="00332217" w:rsidP="006900F6">
      <w:pPr>
        <w:pStyle w:val="AnnualReportsecondlevelbulletpoint"/>
        <w:numPr>
          <w:ilvl w:val="0"/>
          <w:numId w:val="0"/>
        </w:numPr>
        <w:ind w:left="567"/>
      </w:pPr>
      <w:r w:rsidRPr="00AF0D5C">
        <w:br w:type="column"/>
      </w:r>
    </w:p>
    <w:p w14:paraId="6C49FDB9" w14:textId="77777777" w:rsidR="005D1E29" w:rsidRPr="00AF0D5C" w:rsidRDefault="005D1E29" w:rsidP="006900F6">
      <w:pPr>
        <w:pStyle w:val="AnnualReportsecondlevelbulletpoint"/>
        <w:numPr>
          <w:ilvl w:val="0"/>
          <w:numId w:val="0"/>
        </w:numPr>
        <w:ind w:left="567"/>
      </w:pPr>
    </w:p>
    <w:p w14:paraId="691F7747" w14:textId="15C1536E" w:rsidR="005D1E29" w:rsidRPr="00AF0D5C" w:rsidRDefault="005D1E29" w:rsidP="006900F6">
      <w:pPr>
        <w:pStyle w:val="AnnualReportsecondlevelbulletpoint"/>
        <w:numPr>
          <w:ilvl w:val="0"/>
          <w:numId w:val="0"/>
        </w:numPr>
        <w:ind w:left="567"/>
      </w:pPr>
    </w:p>
    <w:tbl>
      <w:tblPr>
        <w:tblStyle w:val="Sectiontable"/>
        <w:tblW w:w="4820" w:type="dxa"/>
        <w:tblLook w:val="04A0" w:firstRow="1" w:lastRow="0" w:firstColumn="1" w:lastColumn="0" w:noHBand="0" w:noVBand="1"/>
      </w:tblPr>
      <w:tblGrid>
        <w:gridCol w:w="4820"/>
      </w:tblGrid>
      <w:tr w:rsidR="00AF0D5C" w:rsidRPr="005D1E29" w14:paraId="0B18A075" w14:textId="77777777" w:rsidTr="00BF4CC2">
        <w:trPr>
          <w:cnfStyle w:val="000000100000" w:firstRow="0" w:lastRow="0" w:firstColumn="0" w:lastColumn="0" w:oddVBand="0" w:evenVBand="0" w:oddHBand="1" w:evenHBand="0" w:firstRowFirstColumn="0" w:firstRowLastColumn="0" w:lastRowFirstColumn="0" w:lastRowLastColumn="0"/>
          <w:trHeight w:val="4912"/>
        </w:trPr>
        <w:tc>
          <w:tcPr>
            <w:tcW w:w="4820" w:type="dxa"/>
          </w:tcPr>
          <w:p w14:paraId="06C44E0B" w14:textId="18EFC719" w:rsidR="005D1E29" w:rsidRPr="00AF0D5C" w:rsidRDefault="005D1E29" w:rsidP="006B1E6A">
            <w:pPr>
              <w:pStyle w:val="BoxHeading"/>
              <w:ind w:firstLine="175"/>
            </w:pPr>
            <w:r w:rsidRPr="00AF0D5C">
              <w:t>OBJECTIVE: Safe and Capable</w:t>
            </w:r>
          </w:p>
          <w:p w14:paraId="33F2A4E8" w14:textId="4EDFD7AA" w:rsidR="005D1E29" w:rsidRPr="00284C4A" w:rsidRDefault="005D1E29" w:rsidP="006900F6">
            <w:pPr>
              <w:pStyle w:val="Bulletbox"/>
              <w:ind w:right="32"/>
              <w:rPr>
                <w:b/>
              </w:rPr>
            </w:pPr>
            <w:r w:rsidRPr="00284C4A">
              <w:t xml:space="preserve">Connected with our people to understand employee experience via our digital platform </w:t>
            </w:r>
            <w:r w:rsidRPr="00284C4A">
              <w:br/>
              <w:t>(see page 44).</w:t>
            </w:r>
          </w:p>
          <w:p w14:paraId="7EAD38DC" w14:textId="79ED526C" w:rsidR="005D1E29" w:rsidRPr="00284C4A" w:rsidRDefault="005D1E29" w:rsidP="006900F6">
            <w:pPr>
              <w:pStyle w:val="Bulletbox"/>
              <w:ind w:right="32"/>
              <w:rPr>
                <w:b/>
              </w:rPr>
            </w:pPr>
            <w:r w:rsidRPr="00284C4A">
              <w:t xml:space="preserve">Supported the professional development of our people including through investing $551,295 in training and development </w:t>
            </w:r>
            <w:r w:rsidR="003362C2">
              <w:br/>
            </w:r>
            <w:r w:rsidRPr="00284C4A">
              <w:t>(see pages 44</w:t>
            </w:r>
            <w:r w:rsidR="00C00910" w:rsidRPr="00284C4A">
              <w:t>–</w:t>
            </w:r>
            <w:r w:rsidRPr="00284C4A">
              <w:t>45).</w:t>
            </w:r>
          </w:p>
          <w:p w14:paraId="566B554B" w14:textId="3A6903A5" w:rsidR="005D1E29" w:rsidRPr="00284C4A" w:rsidRDefault="005D1E29" w:rsidP="006900F6">
            <w:pPr>
              <w:pStyle w:val="Bulletbox"/>
              <w:ind w:right="32"/>
              <w:rPr>
                <w:b/>
              </w:rPr>
            </w:pPr>
            <w:r w:rsidRPr="00284C4A">
              <w:t>Built a strong and inclusive culture which celebrates our key values, including by the continued development of our next Reconciliation Action Plan and celebrating our employees’ achievements (see page 4</w:t>
            </w:r>
            <w:r w:rsidR="00B6533F">
              <w:t>6</w:t>
            </w:r>
            <w:r w:rsidRPr="00284C4A">
              <w:t>).</w:t>
            </w:r>
          </w:p>
          <w:p w14:paraId="6EB4045F" w14:textId="47744F91" w:rsidR="005D1E29" w:rsidRPr="005D1E29" w:rsidRDefault="005D1E29" w:rsidP="006900F6">
            <w:pPr>
              <w:pStyle w:val="Bulletbox"/>
              <w:spacing w:after="240"/>
              <w:ind w:left="748" w:right="34"/>
            </w:pPr>
            <w:r w:rsidRPr="00284C4A">
              <w:t xml:space="preserve">Developed and implemented an improved onboarding and induction program to better support new commission officers </w:t>
            </w:r>
            <w:r w:rsidR="006900F6">
              <w:br/>
            </w:r>
            <w:r w:rsidRPr="00284C4A">
              <w:t>(see page 43).</w:t>
            </w:r>
            <w:r w:rsidRPr="005D1E29">
              <w:t xml:space="preserve">  </w:t>
            </w:r>
          </w:p>
        </w:tc>
      </w:tr>
      <w:tr w:rsidR="00AF0D5C" w:rsidRPr="00284C4A" w14:paraId="45ABDF3B" w14:textId="77777777" w:rsidTr="00BF4CC2">
        <w:trPr>
          <w:trHeight w:val="5116"/>
        </w:trPr>
        <w:tc>
          <w:tcPr>
            <w:tcW w:w="4820" w:type="dxa"/>
          </w:tcPr>
          <w:p w14:paraId="4AD06A5E" w14:textId="34AA70F6" w:rsidR="005D1E29" w:rsidRPr="00284C4A" w:rsidRDefault="006900F6" w:rsidP="006B1E6A">
            <w:pPr>
              <w:pStyle w:val="BoxHeading"/>
              <w:ind w:left="175" w:right="-99" w:firstLine="0"/>
            </w:pPr>
            <w:r>
              <mc:AlternateContent>
                <mc:Choice Requires="wps">
                  <w:drawing>
                    <wp:anchor distT="0" distB="0" distL="114300" distR="114300" simplePos="0" relativeHeight="252537856" behindDoc="0" locked="0" layoutInCell="1" allowOverlap="1" wp14:anchorId="1154ABA7" wp14:editId="7A0F6256">
                      <wp:simplePos x="0" y="0"/>
                      <wp:positionH relativeFrom="column">
                        <wp:posOffset>-27940</wp:posOffset>
                      </wp:positionH>
                      <wp:positionV relativeFrom="paragraph">
                        <wp:posOffset>276080</wp:posOffset>
                      </wp:positionV>
                      <wp:extent cx="0" cy="4219575"/>
                      <wp:effectExtent l="19050" t="0" r="19050" b="28575"/>
                      <wp:wrapNone/>
                      <wp:docPr id="1780010977" name="Straight Connector 14"/>
                      <wp:cNvGraphicFramePr/>
                      <a:graphic xmlns:a="http://schemas.openxmlformats.org/drawingml/2006/main">
                        <a:graphicData uri="http://schemas.microsoft.com/office/word/2010/wordprocessingShape">
                          <wps:wsp>
                            <wps:cNvCnPr/>
                            <wps:spPr>
                              <a:xfrm>
                                <a:off x="0" y="0"/>
                                <a:ext cx="0" cy="4219575"/>
                              </a:xfrm>
                              <a:prstGeom prst="line">
                                <a:avLst/>
                              </a:prstGeom>
                              <a:ln w="38100">
                                <a:solidFill>
                                  <a:schemeClr val="accent6"/>
                                </a:solidFill>
                              </a:ln>
                            </wps:spPr>
                            <wps:style>
                              <a:lnRef idx="1">
                                <a:schemeClr val="accent5"/>
                              </a:lnRef>
                              <a:fillRef idx="0">
                                <a:schemeClr val="accent5"/>
                              </a:fillRef>
                              <a:effectRef idx="0">
                                <a:schemeClr val="accent5"/>
                              </a:effectRef>
                              <a:fontRef idx="minor">
                                <a:schemeClr val="tx1"/>
                              </a:fontRef>
                            </wps:style>
                            <wps:bodyPr/>
                          </wps:wsp>
                        </a:graphicData>
                      </a:graphic>
                      <wp14:sizeRelV relativeFrom="margin">
                        <wp14:pctHeight>0</wp14:pctHeight>
                      </wp14:sizeRelV>
                    </wp:anchor>
                  </w:drawing>
                </mc:Choice>
                <mc:Fallback>
                  <w:pict>
                    <v:line w14:anchorId="1AAADC49" id="Straight Connector 14" o:spid="_x0000_s1026" style="position:absolute;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pt,21.75pt" to="-2.2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" strokecolor="#e6e7e8 [3209]" strokeweight="3pt">
                      <v:stroke joinstyle="miter"/>
                    </v:line>
                  </w:pict>
                </mc:Fallback>
              </mc:AlternateContent>
            </w:r>
            <w:r w:rsidR="005D1E29" w:rsidRPr="00284C4A">
              <w:t>OBJECTIVE: Accessible, Accountable and Collaborative</w:t>
            </w:r>
          </w:p>
          <w:p w14:paraId="388D6507" w14:textId="1639A943" w:rsidR="005D1E29" w:rsidRPr="00284C4A" w:rsidRDefault="005D1E29" w:rsidP="006900F6">
            <w:pPr>
              <w:pStyle w:val="Bulletbox"/>
              <w:ind w:right="-110"/>
              <w:rPr>
                <w:b/>
              </w:rPr>
            </w:pPr>
            <w:r w:rsidRPr="00284C4A">
              <w:t xml:space="preserve">Produced and disseminated strategic intelligence assessments and insights to improve our operational effectiveness and responses and to identify crime prevention opportunities </w:t>
            </w:r>
            <w:r w:rsidR="00C00910" w:rsidRPr="00284C4A">
              <w:br/>
            </w:r>
            <w:r w:rsidRPr="00284C4A">
              <w:t>(see page 33).</w:t>
            </w:r>
          </w:p>
          <w:p w14:paraId="23697EF5" w14:textId="77777777" w:rsidR="005D1E29" w:rsidRPr="00284C4A" w:rsidRDefault="005D1E29" w:rsidP="006900F6">
            <w:pPr>
              <w:pStyle w:val="Bulletbox"/>
              <w:ind w:right="-110"/>
              <w:rPr>
                <w:b/>
              </w:rPr>
            </w:pPr>
            <w:r w:rsidRPr="00284C4A">
              <w:t>Published a corruption prevention report summarising key observations from our audit to identify areas for enhancement in managing and recording contacts between government representatives and lobbyists, Meetings with lobbyists: are you adequately minimising corruption risks (see page 41).</w:t>
            </w:r>
          </w:p>
          <w:p w14:paraId="21384670" w14:textId="3D1F1B40" w:rsidR="005D1E29" w:rsidRPr="00284C4A" w:rsidRDefault="005D1E29" w:rsidP="006900F6">
            <w:pPr>
              <w:pStyle w:val="Bulletbox"/>
              <w:ind w:right="-110"/>
              <w:rPr>
                <w:b/>
              </w:rPr>
            </w:pPr>
            <w:r w:rsidRPr="00284C4A">
              <w:t>Established a new Corruption Prevention and Engagement unit to embed a corruption prevention and policy focus into practice and strengthen our communication and engagement with the public sector to support its corruption prevention efforts (see page 51).</w:t>
            </w:r>
          </w:p>
          <w:p w14:paraId="06F2EA77" w14:textId="77777777" w:rsidR="005D1E29" w:rsidRPr="00284C4A" w:rsidRDefault="005D1E29" w:rsidP="006900F6">
            <w:pPr>
              <w:pStyle w:val="Bulletbox"/>
              <w:ind w:right="-110"/>
              <w:rPr>
                <w:b/>
              </w:rPr>
            </w:pPr>
            <w:r w:rsidRPr="00284C4A">
              <w:t>Provided key communication campaigns to UPA liaison officers and public officials in relation to:</w:t>
            </w:r>
          </w:p>
          <w:p w14:paraId="30199E6A" w14:textId="77777777" w:rsidR="005D1E29" w:rsidRPr="00284C4A" w:rsidRDefault="005D1E29" w:rsidP="002F23D4">
            <w:pPr>
              <w:pStyle w:val="Bulletbox"/>
              <w:numPr>
                <w:ilvl w:val="0"/>
                <w:numId w:val="62"/>
              </w:numPr>
              <w:spacing w:after="0"/>
              <w:ind w:left="1173" w:right="176" w:hanging="357"/>
              <w:rPr>
                <w:b/>
              </w:rPr>
            </w:pPr>
            <w:r w:rsidRPr="00284C4A">
              <w:t>Fraud Awareness Week</w:t>
            </w:r>
          </w:p>
          <w:p w14:paraId="61DF1169" w14:textId="77777777" w:rsidR="005D1E29" w:rsidRPr="00284C4A" w:rsidRDefault="005D1E29" w:rsidP="002F23D4">
            <w:pPr>
              <w:pStyle w:val="Bulletbox"/>
              <w:numPr>
                <w:ilvl w:val="0"/>
                <w:numId w:val="62"/>
              </w:numPr>
              <w:spacing w:after="0"/>
              <w:ind w:left="1173" w:right="27" w:hanging="357"/>
            </w:pPr>
            <w:r w:rsidRPr="00284C4A">
              <w:t>Local government elections (see page 51).</w:t>
            </w:r>
          </w:p>
        </w:tc>
      </w:tr>
    </w:tbl>
    <w:p w14:paraId="70F69792" w14:textId="43FC7A60" w:rsidR="00243C0B" w:rsidRPr="00AF0D5C" w:rsidRDefault="00243C0B" w:rsidP="006900F6">
      <w:pPr>
        <w:pStyle w:val="AnnualReportsecondlevelbulletpoint"/>
        <w:numPr>
          <w:ilvl w:val="0"/>
          <w:numId w:val="0"/>
        </w:numPr>
        <w:sectPr w:rsidR="00243C0B" w:rsidRPr="00AF0D5C" w:rsidSect="00C77834">
          <w:headerReference w:type="even" r:id="rId138"/>
          <w:headerReference w:type="default" r:id="rId139"/>
          <w:headerReference w:type="first" r:id="rId140"/>
          <w:type w:val="continuous"/>
          <w:pgSz w:w="11906" w:h="16838" w:code="9"/>
          <w:pgMar w:top="2155" w:right="1134" w:bottom="964" w:left="1134" w:header="720" w:footer="284" w:gutter="0"/>
          <w:cols w:num="2" w:space="567"/>
          <w:noEndnote/>
          <w:docGrid w:linePitch="272"/>
        </w:sectPr>
      </w:pPr>
    </w:p>
    <w:tbl>
      <w:tblPr>
        <w:tblStyle w:val="TableGrid2"/>
        <w:tblpPr w:leftFromText="180" w:rightFromText="180" w:vertAnchor="text" w:horzAnchor="margin" w:tblpY="10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536"/>
        <w:gridCol w:w="284"/>
        <w:gridCol w:w="4678"/>
      </w:tblGrid>
      <w:tr w:rsidR="00D02FC3" w14:paraId="0F878664" w14:textId="77777777" w:rsidTr="00D02FC3">
        <w:trPr>
          <w:trHeight w:val="9071"/>
        </w:trPr>
        <w:tc>
          <w:tcPr>
            <w:tcW w:w="4536" w:type="dxa"/>
            <w:shd w:val="clear" w:color="auto" w:fill="F2F2F2" w:themeFill="background1" w:themeFillShade="F2"/>
          </w:tcPr>
          <w:p w14:paraId="7D14C730" w14:textId="77777777" w:rsidR="00D02FC3" w:rsidRPr="0032633A" w:rsidRDefault="00D02FC3" w:rsidP="00D02FC3">
            <w:pPr>
              <w:pStyle w:val="BoxHeading"/>
              <w:ind w:left="175" w:right="12" w:firstLine="0"/>
            </w:pPr>
            <w:r w:rsidRPr="0032633A">
              <w:t>OBJECTIVE: Continuous Improvement</w:t>
            </w:r>
          </w:p>
          <w:p w14:paraId="212A718D" w14:textId="77777777" w:rsidR="00D02FC3" w:rsidRPr="00AF0D5C" w:rsidRDefault="00D02FC3" w:rsidP="00D02FC3">
            <w:pPr>
              <w:pStyle w:val="Bulletbox"/>
              <w:ind w:right="154"/>
              <w:rPr>
                <w:rFonts w:ascii="Calibri" w:hAnsi="Calibri"/>
              </w:rPr>
            </w:pPr>
            <w:r w:rsidRPr="00AF0D5C">
              <w:t>Continued to develop our analytics capabilities to ensure we connect people, insights and technology to reduce major crime and improve the integrity of public institutions, including:</w:t>
            </w:r>
          </w:p>
          <w:p w14:paraId="74530476" w14:textId="77777777" w:rsidR="00D02FC3" w:rsidRPr="00AF0D5C" w:rsidRDefault="00D02FC3" w:rsidP="002F23D4">
            <w:pPr>
              <w:pStyle w:val="Bulletbox"/>
              <w:numPr>
                <w:ilvl w:val="0"/>
                <w:numId w:val="63"/>
              </w:numPr>
              <w:ind w:left="1167" w:right="154"/>
            </w:pPr>
            <w:r>
              <w:t>Maintaining</w:t>
            </w:r>
            <w:r w:rsidRPr="00AF0D5C">
              <w:t xml:space="preserve"> the Corruption Allegations Data Dashboard. </w:t>
            </w:r>
          </w:p>
          <w:p w14:paraId="2FDF25B1" w14:textId="77777777" w:rsidR="00D02FC3" w:rsidRPr="00AF0D5C" w:rsidRDefault="00D02FC3" w:rsidP="002F23D4">
            <w:pPr>
              <w:pStyle w:val="Bulletbox"/>
              <w:numPr>
                <w:ilvl w:val="0"/>
                <w:numId w:val="63"/>
              </w:numPr>
              <w:ind w:left="1167" w:right="154"/>
            </w:pPr>
            <w:r w:rsidRPr="00AF0D5C">
              <w:t xml:space="preserve">Continuing the development of our Analytics Data Warehouse (ADW) improving our business and operational intelligence capabilities with contemporary tools and platforms. </w:t>
            </w:r>
          </w:p>
          <w:p w14:paraId="1EB5D6D6" w14:textId="77777777" w:rsidR="00D02FC3" w:rsidRPr="00AF0D5C" w:rsidRDefault="00D02FC3" w:rsidP="002F23D4">
            <w:pPr>
              <w:pStyle w:val="Bulletbox"/>
              <w:numPr>
                <w:ilvl w:val="0"/>
                <w:numId w:val="63"/>
              </w:numPr>
              <w:ind w:left="1167" w:right="154"/>
            </w:pPr>
            <w:r w:rsidRPr="00AF0D5C">
              <w:t>Ingesting</w:t>
            </w:r>
            <w:r w:rsidRPr="00AF0D5C">
              <w:rPr>
                <w:rStyle w:val="FootnoteReference"/>
              </w:rPr>
              <w:footnoteReference w:id="3"/>
            </w:r>
            <w:r w:rsidRPr="00AF0D5C">
              <w:t xml:space="preserve"> corruption data holdings into the ADW (see page 55).</w:t>
            </w:r>
          </w:p>
          <w:p w14:paraId="40FF99EC" w14:textId="77777777" w:rsidR="00D02FC3" w:rsidRPr="00AF0D5C" w:rsidRDefault="00D02FC3" w:rsidP="00D02FC3">
            <w:pPr>
              <w:pStyle w:val="Bulletbox"/>
              <w:ind w:right="154"/>
            </w:pPr>
            <w:r w:rsidRPr="00AF0D5C">
              <w:t>Continued the delivery of digital initiatives to further develop our digital maturity, including:</w:t>
            </w:r>
          </w:p>
          <w:p w14:paraId="28C0C5D5" w14:textId="207FE402" w:rsidR="00D02FC3" w:rsidRPr="00AF0D5C" w:rsidRDefault="00D02FC3" w:rsidP="002F23D4">
            <w:pPr>
              <w:pStyle w:val="AnnualReportsecondlevelbulletpoint"/>
              <w:numPr>
                <w:ilvl w:val="0"/>
                <w:numId w:val="64"/>
              </w:numPr>
              <w:ind w:left="1167" w:right="154"/>
            </w:pPr>
            <w:r w:rsidRPr="00AF0D5C">
              <w:t xml:space="preserve">Enhancing our digital Governance, Risk and Compliance (dGRC) system to ensure managing policies and compliance obligations is streamlined and efficient </w:t>
            </w:r>
            <w:r w:rsidR="003362C2">
              <w:br/>
            </w:r>
            <w:r w:rsidRPr="00AF0D5C">
              <w:t xml:space="preserve">(see page 54). </w:t>
            </w:r>
          </w:p>
          <w:p w14:paraId="067240B8" w14:textId="77777777" w:rsidR="00D02FC3" w:rsidRPr="00AF0D5C" w:rsidRDefault="00D02FC3" w:rsidP="002F23D4">
            <w:pPr>
              <w:pStyle w:val="AnnualReportsecondlevelbulletpoint"/>
              <w:numPr>
                <w:ilvl w:val="0"/>
                <w:numId w:val="64"/>
              </w:numPr>
              <w:ind w:left="1167" w:right="154"/>
            </w:pPr>
            <w:r w:rsidRPr="00AF0D5C">
              <w:t>Implementing a secure file sharing solution, so we can exchange information more securely and efficiently with external stakeholders (see page 70).</w:t>
            </w:r>
          </w:p>
          <w:p w14:paraId="68297921" w14:textId="77777777" w:rsidR="00D02FC3" w:rsidRPr="00AF0D5C" w:rsidRDefault="00D02FC3" w:rsidP="002F23D4">
            <w:pPr>
              <w:pStyle w:val="AnnualReportsecondlevelbulletpoint"/>
              <w:numPr>
                <w:ilvl w:val="0"/>
                <w:numId w:val="64"/>
              </w:numPr>
              <w:ind w:left="1167" w:right="154"/>
            </w:pPr>
            <w:r w:rsidRPr="00AF0D5C">
              <w:t>Continuing the delivery of projects including Human Resource Information System, Legal Practice Management System and Crime and Corruption Case Management System/s (see page 54).</w:t>
            </w:r>
          </w:p>
          <w:p w14:paraId="1A18E03A" w14:textId="77777777" w:rsidR="00D02FC3" w:rsidRPr="00284C4A" w:rsidRDefault="00D02FC3" w:rsidP="00D02FC3">
            <w:pPr>
              <w:pStyle w:val="Bulletbox"/>
              <w:ind w:right="154"/>
            </w:pPr>
            <w:r w:rsidRPr="00AF0D5C">
              <w:t xml:space="preserve">Delivering an Application Portfolio Management Framework, that will help us mature the way we manage our </w:t>
            </w:r>
            <w:r>
              <w:br/>
            </w:r>
            <w:r w:rsidRPr="00AF0D5C">
              <w:t xml:space="preserve">digital investments across our portfolio </w:t>
            </w:r>
            <w:r>
              <w:br/>
            </w:r>
            <w:r w:rsidRPr="00AF0D5C">
              <w:t>(see page 54).</w:t>
            </w:r>
            <w:r>
              <w:br/>
            </w:r>
          </w:p>
        </w:tc>
        <w:tc>
          <w:tcPr>
            <w:tcW w:w="284" w:type="dxa"/>
            <w:shd w:val="clear" w:color="auto" w:fill="auto"/>
          </w:tcPr>
          <w:p w14:paraId="475EC080" w14:textId="77777777" w:rsidR="00D02FC3" w:rsidRPr="00AF0D5C" w:rsidRDefault="00D02FC3" w:rsidP="00D02FC3">
            <w:pPr>
              <w:pStyle w:val="Bulletbox"/>
              <w:numPr>
                <w:ilvl w:val="0"/>
                <w:numId w:val="0"/>
              </w:numPr>
              <w:ind w:left="176"/>
            </w:pPr>
          </w:p>
        </w:tc>
        <w:tc>
          <w:tcPr>
            <w:tcW w:w="4678" w:type="dxa"/>
            <w:shd w:val="clear" w:color="auto" w:fill="F2F2F2" w:themeFill="background1" w:themeFillShade="F2"/>
          </w:tcPr>
          <w:p w14:paraId="190BC784" w14:textId="77777777" w:rsidR="00D02FC3" w:rsidRPr="00AF0D5C" w:rsidRDefault="00D02FC3" w:rsidP="00D02FC3">
            <w:pPr>
              <w:pStyle w:val="Bulletbox"/>
              <w:spacing w:before="360"/>
              <w:ind w:left="748" w:right="176"/>
            </w:pPr>
            <w:r w:rsidRPr="00AF0D5C">
              <w:t xml:space="preserve">Continued implementation of initiatives which form a significant and strategic renewal agenda for the Corruption division to provide organisational flexibility, and investigative and prevention capabilities including: </w:t>
            </w:r>
          </w:p>
          <w:p w14:paraId="73F1E4B2" w14:textId="77777777" w:rsidR="00D02FC3" w:rsidRPr="00AF0D5C" w:rsidRDefault="00D02FC3" w:rsidP="002F23D4">
            <w:pPr>
              <w:pStyle w:val="AnnualReportsecondlevelbulletpoint"/>
              <w:numPr>
                <w:ilvl w:val="1"/>
                <w:numId w:val="65"/>
              </w:numPr>
              <w:ind w:left="1188" w:right="176"/>
            </w:pPr>
            <w:r w:rsidRPr="00AF0D5C">
              <w:t xml:space="preserve">Development of a Corruption Investigator Capability Framework and supporting learning plan to continue to develop a workforce with contemporary investigative skills </w:t>
            </w:r>
            <w:r>
              <w:br/>
            </w:r>
            <w:r w:rsidRPr="00AF0D5C">
              <w:t xml:space="preserve">(see page 56).  </w:t>
            </w:r>
          </w:p>
          <w:p w14:paraId="21DF8763" w14:textId="77777777" w:rsidR="00D02FC3" w:rsidRPr="00AF0D5C" w:rsidRDefault="00D02FC3" w:rsidP="002F23D4">
            <w:pPr>
              <w:pStyle w:val="AnnualReportsecondlevelbulletpoint"/>
              <w:numPr>
                <w:ilvl w:val="1"/>
                <w:numId w:val="65"/>
              </w:numPr>
              <w:ind w:left="1188" w:right="176"/>
            </w:pPr>
            <w:r w:rsidRPr="00AF0D5C">
              <w:t xml:space="preserve">New operating models such as Complaints Monitoring which embeds new ways of working to provide greater engagement with UPAs, improves timeliness, and focusses on investigative quality and implications for corruption prevention </w:t>
            </w:r>
            <w:r>
              <w:br/>
            </w:r>
            <w:r w:rsidRPr="00AF0D5C">
              <w:t>(see page 40).</w:t>
            </w:r>
          </w:p>
          <w:p w14:paraId="1759AB39" w14:textId="77777777" w:rsidR="00D02FC3" w:rsidRPr="00AF0D5C" w:rsidRDefault="00D02FC3" w:rsidP="002F23D4">
            <w:pPr>
              <w:pStyle w:val="AnnualReportsecondlevelbulletpoint"/>
              <w:numPr>
                <w:ilvl w:val="1"/>
                <w:numId w:val="65"/>
              </w:numPr>
              <w:ind w:left="1188" w:right="176"/>
            </w:pPr>
            <w:r w:rsidRPr="00AF0D5C">
              <w:t xml:space="preserve">A new approach for thematic monitoring which will review and assess themes or patterns across multiple investigations </w:t>
            </w:r>
            <w:r>
              <w:br/>
            </w:r>
            <w:r w:rsidRPr="00AF0D5C">
              <w:t>(see page 55).</w:t>
            </w:r>
          </w:p>
          <w:p w14:paraId="660A5D68" w14:textId="77777777" w:rsidR="00D02FC3" w:rsidRPr="00AF0D5C" w:rsidRDefault="00D02FC3" w:rsidP="002F23D4">
            <w:pPr>
              <w:pStyle w:val="AnnualReportsecondlevelbulletpoint"/>
              <w:numPr>
                <w:ilvl w:val="1"/>
                <w:numId w:val="65"/>
              </w:numPr>
              <w:ind w:left="1188" w:right="176"/>
            </w:pPr>
            <w:r w:rsidRPr="00AF0D5C">
              <w:t xml:space="preserve">A review of the organisational culture of Corruption division and developed an action plan to respond to the recommendations (see page 28). </w:t>
            </w:r>
          </w:p>
          <w:p w14:paraId="36AE455C" w14:textId="77777777" w:rsidR="00D02FC3" w:rsidRPr="00AF0D5C" w:rsidRDefault="00D02FC3" w:rsidP="002F23D4">
            <w:pPr>
              <w:pStyle w:val="AnnualReportsecondlevelbulletpoint"/>
              <w:numPr>
                <w:ilvl w:val="1"/>
                <w:numId w:val="65"/>
              </w:numPr>
              <w:ind w:left="1188" w:right="176"/>
            </w:pPr>
            <w:r w:rsidRPr="00AF0D5C">
              <w:t xml:space="preserve">A review of the Corruption Investigation function which identified opportunities to develop a greater strategically aligned future state supported by the </w:t>
            </w:r>
            <w:r w:rsidRPr="003362C2">
              <w:rPr>
                <w:i/>
                <w:iCs/>
              </w:rPr>
              <w:t>Corruption Strategy 2023–2027</w:t>
            </w:r>
            <w:r w:rsidRPr="00AF0D5C">
              <w:t xml:space="preserve"> (see page 56).</w:t>
            </w:r>
          </w:p>
          <w:p w14:paraId="56A7A772" w14:textId="77777777" w:rsidR="00D02FC3" w:rsidRPr="00AF0D5C" w:rsidRDefault="00D02FC3" w:rsidP="003362C2">
            <w:pPr>
              <w:pStyle w:val="Bulletpoints0"/>
              <w:ind w:left="748" w:right="176" w:hanging="425"/>
            </w:pPr>
            <w:r w:rsidRPr="00AF0D5C">
              <w:t>Development of a change management framework to support project management (see page 56).</w:t>
            </w:r>
          </w:p>
          <w:p w14:paraId="78CFB620" w14:textId="77777777" w:rsidR="00D02FC3" w:rsidRDefault="00D02FC3" w:rsidP="003362C2">
            <w:pPr>
              <w:pStyle w:val="Bulletpoints0"/>
              <w:ind w:left="748" w:right="176" w:hanging="425"/>
            </w:pPr>
            <w:r w:rsidRPr="00AF0D5C">
              <w:t xml:space="preserve">A review of best practice models for continuous improvement and innovation </w:t>
            </w:r>
            <w:r>
              <w:br/>
            </w:r>
            <w:r w:rsidRPr="00AF0D5C">
              <w:t xml:space="preserve">(see page 56). </w:t>
            </w:r>
          </w:p>
          <w:p w14:paraId="538AD12D" w14:textId="47C72DD0" w:rsidR="00D02FC3" w:rsidRDefault="00D02FC3" w:rsidP="00D02FC3">
            <w:pPr>
              <w:pStyle w:val="Bulletpoints0"/>
              <w:numPr>
                <w:ilvl w:val="0"/>
                <w:numId w:val="0"/>
              </w:numPr>
              <w:ind w:left="426" w:hanging="284"/>
            </w:pPr>
          </w:p>
        </w:tc>
      </w:tr>
    </w:tbl>
    <w:p w14:paraId="0A07BD77" w14:textId="77777777" w:rsidR="00D02FC3" w:rsidRDefault="00D02FC3"/>
    <w:p w14:paraId="28C411C9" w14:textId="24BD4708" w:rsidR="00777BD6" w:rsidRPr="007A1087" w:rsidRDefault="00777BD6" w:rsidP="009D6B42">
      <w:pPr>
        <w:pStyle w:val="Bullets4"/>
        <w:rPr>
          <w:color w:val="414042" w:themeColor="text1"/>
        </w:rPr>
        <w:sectPr w:rsidR="00777BD6" w:rsidRPr="007A1087" w:rsidSect="00777BD6">
          <w:headerReference w:type="even" r:id="rId141"/>
          <w:headerReference w:type="default" r:id="rId142"/>
          <w:headerReference w:type="first" r:id="rId143"/>
          <w:type w:val="continuous"/>
          <w:pgSz w:w="11906" w:h="16838" w:code="9"/>
          <w:pgMar w:top="2155" w:right="1134" w:bottom="964" w:left="1134" w:header="720" w:footer="284" w:gutter="0"/>
          <w:cols w:space="567"/>
          <w:noEndnote/>
          <w:docGrid w:linePitch="272"/>
        </w:sectPr>
      </w:pPr>
      <w:bookmarkStart w:id="740" w:name="_Toc102037891"/>
      <w:bookmarkStart w:id="741" w:name="_Toc102038252"/>
      <w:bookmarkStart w:id="742" w:name="_Toc102038613"/>
      <w:bookmarkStart w:id="743" w:name="_Toc102038965"/>
      <w:bookmarkStart w:id="744" w:name="_Toc102039317"/>
      <w:bookmarkStart w:id="745" w:name="_Toc102039679"/>
      <w:bookmarkStart w:id="746" w:name="_Toc102040036"/>
      <w:bookmarkStart w:id="747" w:name="_Toc102040364"/>
      <w:bookmarkStart w:id="748" w:name="_Toc102040698"/>
      <w:bookmarkStart w:id="749" w:name="_Toc102041026"/>
      <w:bookmarkStart w:id="750" w:name="_Toc102041355"/>
      <w:bookmarkStart w:id="751" w:name="_Toc102041687"/>
      <w:bookmarkStart w:id="752" w:name="_Toc102042014"/>
      <w:bookmarkStart w:id="753" w:name="_Toc102042344"/>
      <w:bookmarkStart w:id="754" w:name="_Toc102045474"/>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167EDBAC" w14:textId="418235D1" w:rsidR="00823A96" w:rsidRPr="002403A8" w:rsidRDefault="00823A96" w:rsidP="00EA7AA8">
      <w:pPr>
        <w:pStyle w:val="2Heading"/>
        <w:spacing w:after="360"/>
      </w:pPr>
      <w:bookmarkStart w:id="755" w:name="_Financial_summary"/>
      <w:bookmarkStart w:id="756" w:name="FinancialSummary"/>
      <w:bookmarkEnd w:id="755"/>
      <w:r w:rsidRPr="002403A8">
        <w:t>Financial summary</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bookmarkEnd w:id="756"/>
    <w:p w14:paraId="4CB82111" w14:textId="4D3CDF16" w:rsidR="00DF252A" w:rsidRPr="00AF0D5C" w:rsidRDefault="00DF252A" w:rsidP="002E0FB4">
      <w:pPr>
        <w:pStyle w:val="4H-Intro"/>
      </w:pPr>
      <w:r w:rsidRPr="00AF0D5C">
        <w:t>This financial summary provides an overview of our financial performance for 202</w:t>
      </w:r>
      <w:r w:rsidR="00FE1826" w:rsidRPr="00AF0D5C">
        <w:t>3</w:t>
      </w:r>
      <w:r w:rsidRPr="00AF0D5C">
        <w:t>–2</w:t>
      </w:r>
      <w:r w:rsidR="00FE1826" w:rsidRPr="00AF0D5C">
        <w:t>4</w:t>
      </w:r>
      <w:r w:rsidRPr="00AF0D5C">
        <w:t>.</w:t>
      </w:r>
    </w:p>
    <w:p w14:paraId="0370B0DF" w14:textId="77777777" w:rsidR="000E3EE7" w:rsidRPr="00AF0D5C" w:rsidRDefault="000E3EE7" w:rsidP="000E3EE7">
      <w:pPr>
        <w:rPr>
          <w:color w:val="414042" w:themeColor="text1"/>
        </w:rPr>
      </w:pPr>
    </w:p>
    <w:p w14:paraId="3F039C8B" w14:textId="4ED95A79" w:rsidR="000E3EE7" w:rsidRPr="00AF0D5C" w:rsidRDefault="000E3EE7" w:rsidP="00DF252A">
      <w:pPr>
        <w:pStyle w:val="Openingparagraph"/>
        <w:spacing w:after="400"/>
        <w:ind w:right="-143"/>
        <w:rPr>
          <w:lang w:val="en-AU"/>
        </w:rPr>
        <w:sectPr w:rsidR="000E3EE7" w:rsidRPr="00AF0D5C" w:rsidSect="00C77834">
          <w:headerReference w:type="even" r:id="rId144"/>
          <w:headerReference w:type="default" r:id="rId145"/>
          <w:headerReference w:type="first" r:id="rId146"/>
          <w:type w:val="continuous"/>
          <w:pgSz w:w="11906" w:h="16838" w:code="9"/>
          <w:pgMar w:top="2155" w:right="1134" w:bottom="964" w:left="1134" w:header="720" w:footer="284" w:gutter="0"/>
          <w:cols w:space="567"/>
          <w:noEndnote/>
          <w:docGrid w:linePitch="272"/>
        </w:sectPr>
      </w:pPr>
    </w:p>
    <w:p w14:paraId="2436F8CD" w14:textId="77777777" w:rsidR="005976E4" w:rsidRPr="00AF0D5C" w:rsidRDefault="005976E4" w:rsidP="00C903A2">
      <w:pPr>
        <w:pStyle w:val="3Heading-highlight"/>
      </w:pPr>
      <w:bookmarkStart w:id="757" w:name="_Toc102037892"/>
      <w:bookmarkStart w:id="758" w:name="_Toc102038253"/>
      <w:bookmarkStart w:id="759" w:name="_Toc102038614"/>
      <w:bookmarkStart w:id="760" w:name="_Toc102038966"/>
      <w:bookmarkStart w:id="761" w:name="_Toc102039318"/>
      <w:bookmarkStart w:id="762" w:name="_Toc102039680"/>
      <w:bookmarkStart w:id="763" w:name="_Toc102040037"/>
      <w:bookmarkStart w:id="764" w:name="_Toc102040365"/>
      <w:bookmarkStart w:id="765" w:name="_Toc102040699"/>
      <w:bookmarkStart w:id="766" w:name="_Toc102041027"/>
      <w:bookmarkStart w:id="767" w:name="_Toc102041356"/>
      <w:bookmarkStart w:id="768" w:name="_Toc102041688"/>
      <w:bookmarkStart w:id="769" w:name="_Toc102042015"/>
      <w:bookmarkStart w:id="770" w:name="_Toc102042345"/>
      <w:bookmarkStart w:id="771" w:name="_Toc102045475"/>
      <w:r w:rsidRPr="00AF0D5C">
        <w:t>Overview</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6BF38FEF" w14:textId="66224018" w:rsidR="005976E4" w:rsidRPr="00AF0D5C" w:rsidRDefault="005976E4" w:rsidP="005976E4">
      <w:pPr>
        <w:rPr>
          <w:color w:val="414042" w:themeColor="text1"/>
        </w:rPr>
      </w:pPr>
      <w:bookmarkStart w:id="772" w:name="_Hlk172876917"/>
      <w:r w:rsidRPr="00AF0D5C">
        <w:rPr>
          <w:color w:val="414042" w:themeColor="text1"/>
        </w:rPr>
        <w:t>The CCC had a net operating deficit of $156,000 in 2023–24. This deficit is due to the deferral of $6.4</w:t>
      </w:r>
      <w:r w:rsidR="002B3492" w:rsidRPr="00AF0D5C">
        <w:rPr>
          <w:color w:val="414042" w:themeColor="text1"/>
        </w:rPr>
        <w:t> </w:t>
      </w:r>
      <w:r w:rsidRPr="00AF0D5C">
        <w:rPr>
          <w:color w:val="414042" w:themeColor="text1"/>
        </w:rPr>
        <w:t xml:space="preserve">million in funding </w:t>
      </w:r>
      <w:r w:rsidR="002C2CF9" w:rsidRPr="00AF0D5C">
        <w:rPr>
          <w:color w:val="414042" w:themeColor="text1"/>
        </w:rPr>
        <w:t xml:space="preserve">owing </w:t>
      </w:r>
      <w:r w:rsidRPr="00AF0D5C">
        <w:rPr>
          <w:color w:val="414042" w:themeColor="text1"/>
        </w:rPr>
        <w:t xml:space="preserve">to </w:t>
      </w:r>
      <w:r w:rsidR="002C2CF9" w:rsidRPr="00AF0D5C">
        <w:rPr>
          <w:color w:val="414042" w:themeColor="text1"/>
        </w:rPr>
        <w:t xml:space="preserve">an </w:t>
      </w:r>
      <w:r w:rsidRPr="00AF0D5C">
        <w:rPr>
          <w:color w:val="414042" w:themeColor="text1"/>
        </w:rPr>
        <w:t>increase</w:t>
      </w:r>
      <w:r w:rsidR="002C2CF9" w:rsidRPr="00AF0D5C">
        <w:rPr>
          <w:color w:val="414042" w:themeColor="text1"/>
        </w:rPr>
        <w:t xml:space="preserve"> in</w:t>
      </w:r>
      <w:r w:rsidRPr="00AF0D5C">
        <w:rPr>
          <w:color w:val="414042" w:themeColor="text1"/>
        </w:rPr>
        <w:t xml:space="preserve"> </w:t>
      </w:r>
      <w:r w:rsidR="003362C2">
        <w:rPr>
          <w:color w:val="414042" w:themeColor="text1"/>
        </w:rPr>
        <w:br/>
      </w:r>
      <w:r w:rsidRPr="00AF0D5C">
        <w:rPr>
          <w:color w:val="414042" w:themeColor="text1"/>
        </w:rPr>
        <w:t xml:space="preserve">employee vacancies </w:t>
      </w:r>
      <w:r w:rsidR="002663ED" w:rsidRPr="00AF0D5C">
        <w:rPr>
          <w:color w:val="414042" w:themeColor="text1"/>
        </w:rPr>
        <w:t xml:space="preserve">because </w:t>
      </w:r>
      <w:r w:rsidR="002C2CF9" w:rsidRPr="00AF0D5C">
        <w:rPr>
          <w:color w:val="414042" w:themeColor="text1"/>
        </w:rPr>
        <w:t>of</w:t>
      </w:r>
      <w:r w:rsidRPr="00AF0D5C">
        <w:rPr>
          <w:color w:val="414042" w:themeColor="text1"/>
        </w:rPr>
        <w:t xml:space="preserve"> labour market pressures and reduced operating expenditure as </w:t>
      </w:r>
      <w:r w:rsidR="00E41B49">
        <w:rPr>
          <w:color w:val="414042" w:themeColor="text1"/>
        </w:rPr>
        <w:t xml:space="preserve">a </w:t>
      </w:r>
      <w:r w:rsidRPr="00AF0D5C">
        <w:rPr>
          <w:color w:val="414042" w:themeColor="text1"/>
        </w:rPr>
        <w:t xml:space="preserve">result of capacity issues. The CCC </w:t>
      </w:r>
      <w:r w:rsidR="002663ED" w:rsidRPr="00AF0D5C">
        <w:rPr>
          <w:color w:val="414042" w:themeColor="text1"/>
        </w:rPr>
        <w:t>will</w:t>
      </w:r>
      <w:r w:rsidRPr="00AF0D5C">
        <w:rPr>
          <w:color w:val="414042" w:themeColor="text1"/>
        </w:rPr>
        <w:t xml:space="preserve"> utilise th</w:t>
      </w:r>
      <w:r w:rsidR="002663ED" w:rsidRPr="00AF0D5C">
        <w:rPr>
          <w:color w:val="414042" w:themeColor="text1"/>
        </w:rPr>
        <w:t>e</w:t>
      </w:r>
      <w:r w:rsidRPr="00AF0D5C">
        <w:rPr>
          <w:color w:val="414042" w:themeColor="text1"/>
        </w:rPr>
        <w:t xml:space="preserve"> $6.4 million in future years by investing in the development of new Investigation Case Management Systems for its crime and corruption functions.</w:t>
      </w:r>
    </w:p>
    <w:p w14:paraId="79E5BE41" w14:textId="77777777" w:rsidR="005976E4" w:rsidRPr="00AF0D5C" w:rsidRDefault="005976E4" w:rsidP="00C903A2">
      <w:pPr>
        <w:pStyle w:val="3Heading-highlight"/>
      </w:pPr>
      <w:bookmarkStart w:id="773" w:name="_Toc102037893"/>
      <w:bookmarkStart w:id="774" w:name="_Toc102038254"/>
      <w:bookmarkStart w:id="775" w:name="_Toc102038615"/>
      <w:bookmarkStart w:id="776" w:name="_Toc102038967"/>
      <w:bookmarkStart w:id="777" w:name="_Toc102039319"/>
      <w:bookmarkStart w:id="778" w:name="_Toc102039681"/>
      <w:bookmarkStart w:id="779" w:name="_Toc102040038"/>
      <w:bookmarkStart w:id="780" w:name="_Toc102040366"/>
      <w:bookmarkStart w:id="781" w:name="_Toc102040700"/>
      <w:bookmarkStart w:id="782" w:name="_Toc102041028"/>
      <w:bookmarkStart w:id="783" w:name="_Toc102041357"/>
      <w:bookmarkStart w:id="784" w:name="_Toc102041689"/>
      <w:bookmarkStart w:id="785" w:name="_Toc102042016"/>
      <w:bookmarkStart w:id="786" w:name="_Toc102042346"/>
      <w:bookmarkStart w:id="787" w:name="_Toc102045476"/>
      <w:bookmarkEnd w:id="772"/>
      <w:r w:rsidRPr="00AF0D5C">
        <w:t>Revenue</w:t>
      </w:r>
      <w:bookmarkStart w:id="788" w:name="_Hlk74302786"/>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7B314E0F" w14:textId="2377ECDB" w:rsidR="00F65AD3" w:rsidRPr="00AF0D5C" w:rsidRDefault="00F65AD3" w:rsidP="00F65AD3">
      <w:pPr>
        <w:rPr>
          <w:color w:val="414042" w:themeColor="text1"/>
        </w:rPr>
      </w:pPr>
      <w:bookmarkStart w:id="789" w:name="_Hlk74302826"/>
      <w:bookmarkEnd w:id="788"/>
      <w:r w:rsidRPr="00AF0D5C">
        <w:rPr>
          <w:color w:val="414042" w:themeColor="text1"/>
        </w:rPr>
        <w:t xml:space="preserve">Total revenue for 2023–24 was $72.353 million, </w:t>
      </w:r>
      <w:r w:rsidR="00C00910">
        <w:rPr>
          <w:color w:val="414042" w:themeColor="text1"/>
        </w:rPr>
        <w:br/>
      </w:r>
      <w:r w:rsidR="002663ED" w:rsidRPr="00AF0D5C">
        <w:rPr>
          <w:color w:val="414042" w:themeColor="text1"/>
        </w:rPr>
        <w:t>an increase of</w:t>
      </w:r>
      <w:r w:rsidRPr="00AF0D5C">
        <w:rPr>
          <w:color w:val="414042" w:themeColor="text1"/>
        </w:rPr>
        <w:t xml:space="preserve"> 4.0 per cent or $2.790 million from </w:t>
      </w:r>
      <w:r w:rsidR="00C00910">
        <w:rPr>
          <w:color w:val="414042" w:themeColor="text1"/>
        </w:rPr>
        <w:br/>
      </w:r>
      <w:r w:rsidRPr="00AF0D5C">
        <w:rPr>
          <w:color w:val="414042" w:themeColor="text1"/>
        </w:rPr>
        <w:t>2022–</w:t>
      </w:r>
      <w:r w:rsidR="007047CF" w:rsidRPr="00AF0D5C">
        <w:rPr>
          <w:color w:val="414042" w:themeColor="text1"/>
        </w:rPr>
        <w:t>2</w:t>
      </w:r>
      <w:r w:rsidRPr="00AF0D5C">
        <w:rPr>
          <w:color w:val="414042" w:themeColor="text1"/>
        </w:rPr>
        <w:t>3.</w:t>
      </w:r>
    </w:p>
    <w:p w14:paraId="1E036754" w14:textId="72453ACD" w:rsidR="00011A30" w:rsidRPr="00AF0D5C" w:rsidRDefault="00F65AD3" w:rsidP="007047CF">
      <w:pPr>
        <w:spacing w:after="0"/>
        <w:rPr>
          <w:color w:val="414042" w:themeColor="text1"/>
        </w:rPr>
      </w:pPr>
      <w:r w:rsidRPr="00AF0D5C">
        <w:rPr>
          <w:color w:val="414042" w:themeColor="text1"/>
        </w:rPr>
        <w:t>State Government fund</w:t>
      </w:r>
      <w:r w:rsidR="002663ED" w:rsidRPr="00AF0D5C">
        <w:rPr>
          <w:color w:val="414042" w:themeColor="text1"/>
        </w:rPr>
        <w:t>ing</w:t>
      </w:r>
      <w:r w:rsidRPr="00AF0D5C">
        <w:rPr>
          <w:color w:val="414042" w:themeColor="text1"/>
        </w:rPr>
        <w:t xml:space="preserve"> account</w:t>
      </w:r>
      <w:r w:rsidR="002663ED" w:rsidRPr="00AF0D5C">
        <w:rPr>
          <w:color w:val="414042" w:themeColor="text1"/>
        </w:rPr>
        <w:t>s</w:t>
      </w:r>
      <w:r w:rsidRPr="00AF0D5C">
        <w:rPr>
          <w:color w:val="414042" w:themeColor="text1"/>
        </w:rPr>
        <w:t xml:space="preserve"> for 95.4 per cent of our total revenue. This revenue is supplemented by interest earnings on cash reserves and other general revenue receipts including employee car</w:t>
      </w:r>
      <w:r w:rsidR="004E267E" w:rsidRPr="00AF0D5C">
        <w:rPr>
          <w:color w:val="414042" w:themeColor="text1"/>
        </w:rPr>
        <w:t> </w:t>
      </w:r>
      <w:r w:rsidRPr="00AF0D5C">
        <w:rPr>
          <w:color w:val="414042" w:themeColor="text1"/>
        </w:rPr>
        <w:t xml:space="preserve">parking income and gains on sale of plant and equipment. </w:t>
      </w:r>
      <w:r w:rsidR="005976E4" w:rsidRPr="00AF0D5C">
        <w:rPr>
          <w:color w:val="414042" w:themeColor="text1"/>
        </w:rPr>
        <w:br w:type="column"/>
      </w:r>
    </w:p>
    <w:p w14:paraId="6605879A" w14:textId="039FB0A6" w:rsidR="005976E4" w:rsidRPr="00AF0D5C" w:rsidRDefault="005976E4" w:rsidP="00EA7AA8">
      <w:pPr>
        <w:spacing w:before="120"/>
        <w:ind w:right="140"/>
        <w:rPr>
          <w:color w:val="414042" w:themeColor="text1"/>
        </w:rPr>
      </w:pPr>
      <w:r w:rsidRPr="00AF0D5C">
        <w:rPr>
          <w:color w:val="414042" w:themeColor="text1"/>
        </w:rPr>
        <w:t xml:space="preserve">The CCC also receives non-cash contributions for services from the QPS in relation to provision of police operational support and from </w:t>
      </w:r>
      <w:bookmarkStart w:id="790" w:name="_Hlk172876527"/>
      <w:r w:rsidRPr="00AF0D5C">
        <w:rPr>
          <w:color w:val="414042" w:themeColor="text1"/>
        </w:rPr>
        <w:t xml:space="preserve">Queensland State Archives (QSA) </w:t>
      </w:r>
      <w:bookmarkEnd w:id="790"/>
      <w:r w:rsidRPr="00AF0D5C">
        <w:rPr>
          <w:color w:val="414042" w:themeColor="text1"/>
        </w:rPr>
        <w:t>in relation to archival services.</w:t>
      </w:r>
    </w:p>
    <w:p w14:paraId="7D301BD9" w14:textId="77777777" w:rsidR="005976E4" w:rsidRPr="00AF0D5C" w:rsidRDefault="005976E4" w:rsidP="00EA7AA8">
      <w:pPr>
        <w:ind w:right="140"/>
        <w:rPr>
          <w:color w:val="414042" w:themeColor="text1"/>
        </w:rPr>
      </w:pPr>
      <w:bookmarkStart w:id="791" w:name="_Hlk172875951"/>
      <w:r w:rsidRPr="00AF0D5C">
        <w:rPr>
          <w:color w:val="414042" w:themeColor="text1"/>
        </w:rPr>
        <w:t>In accordance with government policy, we recognise these services both as revenue and expenditure only if the services would have been purchased, had they not been donated, and if their fair value can be measured reliably.</w:t>
      </w:r>
    </w:p>
    <w:p w14:paraId="39A94C2B" w14:textId="77777777" w:rsidR="005976E4" w:rsidRPr="00D02FC3" w:rsidRDefault="005976E4" w:rsidP="00D02FC3">
      <w:pPr>
        <w:pStyle w:val="4H-Intro"/>
      </w:pPr>
      <w:bookmarkStart w:id="792" w:name="_Toc102037894"/>
      <w:bookmarkStart w:id="793" w:name="_Toc102038255"/>
      <w:bookmarkStart w:id="794" w:name="_Toc102038616"/>
      <w:bookmarkStart w:id="795" w:name="_Toc102038968"/>
      <w:bookmarkStart w:id="796" w:name="_Toc102039320"/>
      <w:bookmarkStart w:id="797" w:name="_Toc102039682"/>
      <w:bookmarkStart w:id="798" w:name="_Toc102040039"/>
      <w:bookmarkStart w:id="799" w:name="_Toc102040367"/>
      <w:bookmarkStart w:id="800" w:name="_Toc102040701"/>
      <w:bookmarkStart w:id="801" w:name="_Toc102041029"/>
      <w:bookmarkStart w:id="802" w:name="_Toc102041358"/>
      <w:bookmarkStart w:id="803" w:name="_Toc102041690"/>
      <w:bookmarkStart w:id="804" w:name="_Toc102042017"/>
      <w:bookmarkStart w:id="805" w:name="_Toc102042347"/>
      <w:bookmarkStart w:id="806" w:name="_Toc102045477"/>
      <w:bookmarkEnd w:id="791"/>
      <w:r w:rsidRPr="00D02FC3">
        <w:t>Additional funding</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bookmarkEnd w:id="789"/>
    <w:p w14:paraId="2EDBDCAC" w14:textId="3D7E0E6E" w:rsidR="005976E4" w:rsidRPr="00AF0D5C" w:rsidRDefault="005976E4" w:rsidP="00EA7AA8">
      <w:pPr>
        <w:spacing w:before="120"/>
        <w:ind w:left="42" w:right="140"/>
        <w:rPr>
          <w:color w:val="414042" w:themeColor="text1"/>
        </w:rPr>
      </w:pPr>
      <w:r w:rsidRPr="00AF0D5C">
        <w:rPr>
          <w:color w:val="414042" w:themeColor="text1"/>
        </w:rPr>
        <w:t xml:space="preserve">During 2023–24, the CCC received ongoing funding for enterprise bargaining adjustments. The CCC also received $5.526 million in ongoing funding to assist in implementing the recommendations from the </w:t>
      </w:r>
      <w:r w:rsidRPr="00AF0D5C">
        <w:rPr>
          <w:i/>
          <w:iCs/>
          <w:color w:val="414042" w:themeColor="text1"/>
        </w:rPr>
        <w:t>Fitzgerald/Wilson</w:t>
      </w:r>
      <w:r w:rsidR="002663ED" w:rsidRPr="00AF0D5C">
        <w:rPr>
          <w:i/>
          <w:iCs/>
          <w:color w:val="414042" w:themeColor="text1"/>
        </w:rPr>
        <w:t xml:space="preserve"> Commission of</w:t>
      </w:r>
      <w:r w:rsidRPr="00AF0D5C">
        <w:rPr>
          <w:i/>
          <w:iCs/>
          <w:color w:val="414042" w:themeColor="text1"/>
        </w:rPr>
        <w:t xml:space="preserve"> Inquiry</w:t>
      </w:r>
      <w:r w:rsidRPr="00AF0D5C">
        <w:rPr>
          <w:color w:val="414042" w:themeColor="text1"/>
        </w:rPr>
        <w:t>.</w:t>
      </w:r>
      <w:bookmarkStart w:id="807" w:name="_Toc102037895"/>
      <w:bookmarkStart w:id="808" w:name="_Toc102038256"/>
      <w:bookmarkStart w:id="809" w:name="_Toc102038617"/>
      <w:bookmarkStart w:id="810" w:name="_Toc102038969"/>
      <w:bookmarkStart w:id="811" w:name="_Toc102039321"/>
      <w:bookmarkStart w:id="812" w:name="_Toc102039683"/>
      <w:bookmarkStart w:id="813" w:name="_Toc102040040"/>
      <w:bookmarkStart w:id="814" w:name="_Toc102040368"/>
      <w:bookmarkStart w:id="815" w:name="_Toc102040702"/>
      <w:bookmarkStart w:id="816" w:name="_Toc102041030"/>
      <w:bookmarkStart w:id="817" w:name="_Toc102041359"/>
      <w:bookmarkStart w:id="818" w:name="_Toc102041691"/>
      <w:bookmarkStart w:id="819" w:name="_Toc102042018"/>
      <w:bookmarkStart w:id="820" w:name="_Toc102042348"/>
      <w:bookmarkStart w:id="821" w:name="_Toc102045478"/>
      <w:bookmarkStart w:id="822" w:name="_Hlk74302855"/>
    </w:p>
    <w:p w14:paraId="5E81C5DA" w14:textId="2764059F" w:rsidR="005976E4" w:rsidRPr="00AF0D5C" w:rsidRDefault="005976E4" w:rsidP="000E3C5C">
      <w:pPr>
        <w:spacing w:before="240"/>
        <w:ind w:left="42"/>
        <w:rPr>
          <w:i/>
          <w:color w:val="414042" w:themeColor="text1"/>
          <w:szCs w:val="20"/>
        </w:rPr>
      </w:pPr>
    </w:p>
    <w:p w14:paraId="43AD7E29" w14:textId="47364CB1" w:rsidR="004A3B9C" w:rsidRPr="00AF0D5C" w:rsidRDefault="004A3B9C" w:rsidP="000E3C5C">
      <w:pPr>
        <w:spacing w:before="240"/>
        <w:ind w:left="42"/>
        <w:rPr>
          <w:i/>
          <w:color w:val="414042" w:themeColor="text1"/>
          <w:szCs w:val="20"/>
        </w:rPr>
        <w:sectPr w:rsidR="004A3B9C" w:rsidRPr="00AF0D5C" w:rsidSect="00C77834">
          <w:type w:val="continuous"/>
          <w:pgSz w:w="11906" w:h="16838" w:code="9"/>
          <w:pgMar w:top="2155" w:right="1134" w:bottom="964" w:left="1134" w:header="720" w:footer="284" w:gutter="0"/>
          <w:cols w:num="2" w:space="567"/>
          <w:noEndnote/>
          <w:docGrid w:linePitch="272"/>
        </w:sectPr>
      </w:pPr>
    </w:p>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14:paraId="71CDD644" w14:textId="77777777" w:rsidR="005976E4" w:rsidRDefault="005976E4" w:rsidP="005976E4">
      <w:pPr>
        <w:rPr>
          <w:color w:val="414042" w:themeColor="text1"/>
          <w:sz w:val="16"/>
          <w:szCs w:val="18"/>
        </w:rPr>
      </w:pPr>
    </w:p>
    <w:p w14:paraId="737F940E" w14:textId="77777777" w:rsidR="00841E86" w:rsidRPr="00AF0D5C" w:rsidRDefault="00841E86" w:rsidP="005976E4">
      <w:pPr>
        <w:rPr>
          <w:color w:val="414042" w:themeColor="text1"/>
          <w:sz w:val="16"/>
          <w:szCs w:val="18"/>
        </w:rPr>
      </w:pPr>
    </w:p>
    <w:p w14:paraId="00A1D3B6" w14:textId="1A50B15B" w:rsidR="005976E4" w:rsidRPr="00AF0D5C" w:rsidRDefault="005976E4" w:rsidP="00E41B49">
      <w:pPr>
        <w:pStyle w:val="Figuretableheading0"/>
      </w:pPr>
      <w:r w:rsidRPr="00AF0D5C">
        <w:t xml:space="preserve">Figure </w:t>
      </w:r>
      <w:r w:rsidR="006E05A2" w:rsidRPr="00AF0D5C">
        <w:t>1</w:t>
      </w:r>
      <w:r w:rsidR="000242E9" w:rsidRPr="00AF0D5C">
        <w:t>7</w:t>
      </w:r>
      <w:r w:rsidRPr="00AF0D5C">
        <w:t>: Financial results 2019–20 to 2023–24 ($ million)</w:t>
      </w:r>
    </w:p>
    <w:p w14:paraId="688420C0" w14:textId="08288E7E" w:rsidR="006A2A4B" w:rsidRPr="00AF0D5C" w:rsidRDefault="006A2A4B" w:rsidP="006A2A4B">
      <w:pPr>
        <w:rPr>
          <w:color w:val="414042" w:themeColor="text1"/>
        </w:rPr>
      </w:pPr>
      <w:r w:rsidRPr="00AF0D5C">
        <w:rPr>
          <w:noProof/>
          <w:color w:val="414042" w:themeColor="text1"/>
        </w:rPr>
        <w:drawing>
          <wp:inline distT="0" distB="0" distL="0" distR="0" wp14:anchorId="30F1BC31" wp14:editId="6FF66C72">
            <wp:extent cx="6267450" cy="2992120"/>
            <wp:effectExtent l="0" t="0" r="0" b="0"/>
            <wp:docPr id="1756629161" name="Chart 1756629161">
              <a:extLst xmlns:a="http://schemas.openxmlformats.org/drawingml/2006/main">
                <a:ext uri="{FF2B5EF4-FFF2-40B4-BE49-F238E27FC236}">
                  <a16:creationId xmlns:a16="http://schemas.microsoft.com/office/drawing/2014/main" id="{C5826271-7B96-44BC-89F4-C329AC88F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bookmarkEnd w:id="822"/>
    <w:p w14:paraId="4B9A42B8" w14:textId="77777777" w:rsidR="005976E4" w:rsidRPr="007A1087" w:rsidRDefault="005976E4" w:rsidP="005976E4">
      <w:pPr>
        <w:rPr>
          <w:color w:val="414042" w:themeColor="text1"/>
          <w:lang w:eastAsia="en-AU"/>
        </w:rPr>
        <w:sectPr w:rsidR="005976E4" w:rsidRPr="007A1087" w:rsidSect="00C77834">
          <w:type w:val="continuous"/>
          <w:pgSz w:w="11906" w:h="16838" w:code="9"/>
          <w:pgMar w:top="2155" w:right="1134" w:bottom="964" w:left="1134" w:header="720" w:footer="284" w:gutter="0"/>
          <w:cols w:space="567"/>
          <w:noEndnote/>
          <w:docGrid w:linePitch="272"/>
        </w:sectPr>
      </w:pPr>
    </w:p>
    <w:p w14:paraId="08F3753A" w14:textId="77777777" w:rsidR="002546F6" w:rsidRDefault="002546F6" w:rsidP="00C903A2">
      <w:pPr>
        <w:pStyle w:val="Heading3"/>
        <w:sectPr w:rsidR="002546F6" w:rsidSect="00C77834">
          <w:headerReference w:type="even" r:id="rId148"/>
          <w:headerReference w:type="default" r:id="rId149"/>
          <w:headerReference w:type="first" r:id="rId150"/>
          <w:type w:val="continuous"/>
          <w:pgSz w:w="11906" w:h="16838" w:code="9"/>
          <w:pgMar w:top="2155" w:right="1134" w:bottom="964" w:left="1134" w:header="720" w:footer="284" w:gutter="0"/>
          <w:cols w:num="2" w:space="567"/>
          <w:noEndnote/>
          <w:docGrid w:linePitch="272"/>
        </w:sectPr>
      </w:pPr>
      <w:bookmarkStart w:id="823" w:name="_Toc102037896"/>
      <w:bookmarkStart w:id="824" w:name="_Toc102038257"/>
      <w:bookmarkStart w:id="825" w:name="_Toc102038618"/>
      <w:bookmarkStart w:id="826" w:name="_Toc102038970"/>
      <w:bookmarkStart w:id="827" w:name="_Toc102039322"/>
      <w:bookmarkStart w:id="828" w:name="_Toc102039684"/>
      <w:bookmarkStart w:id="829" w:name="_Toc102040041"/>
      <w:bookmarkStart w:id="830" w:name="_Toc102040369"/>
      <w:bookmarkStart w:id="831" w:name="_Toc102040703"/>
      <w:bookmarkStart w:id="832" w:name="_Toc102041031"/>
      <w:bookmarkStart w:id="833" w:name="_Toc102041360"/>
      <w:bookmarkStart w:id="834" w:name="_Toc102041692"/>
      <w:bookmarkStart w:id="835" w:name="_Toc102042019"/>
      <w:bookmarkStart w:id="836" w:name="_Toc102042349"/>
      <w:bookmarkStart w:id="837" w:name="_Toc102045479"/>
    </w:p>
    <w:p w14:paraId="77FE77FD" w14:textId="74A3CBBA" w:rsidR="005976E4" w:rsidRPr="00AF0D5C" w:rsidRDefault="005976E4" w:rsidP="00D02FC3">
      <w:pPr>
        <w:pStyle w:val="3Heading-highlight"/>
        <w:spacing w:before="0"/>
      </w:pPr>
      <w:r w:rsidRPr="00AF0D5C">
        <w:t>Expenditure</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14:paraId="62B11684" w14:textId="2613B15C" w:rsidR="00F65AD3" w:rsidRPr="00AF0D5C" w:rsidRDefault="00F65AD3" w:rsidP="009F6A40">
      <w:pPr>
        <w:spacing w:after="120"/>
        <w:ind w:left="28" w:right="-143"/>
        <w:rPr>
          <w:color w:val="414042" w:themeColor="text1"/>
        </w:rPr>
      </w:pPr>
      <w:bookmarkStart w:id="838" w:name="_Toc102037897"/>
      <w:bookmarkStart w:id="839" w:name="_Toc102038258"/>
      <w:bookmarkStart w:id="840" w:name="_Toc102038619"/>
      <w:bookmarkStart w:id="841" w:name="_Toc102038971"/>
      <w:bookmarkStart w:id="842" w:name="_Toc102039323"/>
      <w:bookmarkStart w:id="843" w:name="_Toc102039685"/>
      <w:bookmarkStart w:id="844" w:name="_Toc102040042"/>
      <w:bookmarkStart w:id="845" w:name="_Toc102040370"/>
      <w:bookmarkStart w:id="846" w:name="_Toc102040704"/>
      <w:bookmarkStart w:id="847" w:name="_Toc102041032"/>
      <w:bookmarkStart w:id="848" w:name="_Toc102041361"/>
      <w:bookmarkStart w:id="849" w:name="_Toc102041693"/>
      <w:bookmarkStart w:id="850" w:name="_Toc102042020"/>
      <w:bookmarkStart w:id="851" w:name="_Toc102042350"/>
      <w:bookmarkStart w:id="852" w:name="_Toc102045480"/>
      <w:r w:rsidRPr="00AF0D5C">
        <w:rPr>
          <w:color w:val="414042" w:themeColor="text1"/>
        </w:rPr>
        <w:t>Total expenditure for 2023–24 was $72.509 million, a</w:t>
      </w:r>
      <w:r w:rsidR="00483940" w:rsidRPr="00AF0D5C">
        <w:rPr>
          <w:color w:val="414042" w:themeColor="text1"/>
        </w:rPr>
        <w:t>n</w:t>
      </w:r>
      <w:r w:rsidRPr="00AF0D5C">
        <w:rPr>
          <w:color w:val="414042" w:themeColor="text1"/>
        </w:rPr>
        <w:t xml:space="preserve"> increase of 14.9 per cent or $9.377 million from the 2022–23 financial year. This is mainly due </w:t>
      </w:r>
      <w:r w:rsidR="00EF1F61" w:rsidRPr="00AF0D5C">
        <w:rPr>
          <w:color w:val="414042" w:themeColor="text1"/>
        </w:rPr>
        <w:t xml:space="preserve">to </w:t>
      </w:r>
      <w:r w:rsidRPr="00AF0D5C">
        <w:rPr>
          <w:color w:val="414042" w:themeColor="text1"/>
        </w:rPr>
        <w:t>additional government funding to assist in implementing the recommendations from the Fitzgerald/Wilson</w:t>
      </w:r>
      <w:r w:rsidR="00EF1F61" w:rsidRPr="00AF0D5C">
        <w:rPr>
          <w:color w:val="414042" w:themeColor="text1"/>
        </w:rPr>
        <w:t xml:space="preserve"> Commission of</w:t>
      </w:r>
      <w:r w:rsidRPr="00AF0D5C">
        <w:rPr>
          <w:color w:val="414042" w:themeColor="text1"/>
        </w:rPr>
        <w:t xml:space="preserve"> Inquiry. Employee expenditure increased by 1</w:t>
      </w:r>
      <w:r w:rsidR="00E26002">
        <w:rPr>
          <w:color w:val="414042" w:themeColor="text1"/>
        </w:rPr>
        <w:t>7</w:t>
      </w:r>
      <w:r w:rsidRPr="00AF0D5C">
        <w:rPr>
          <w:color w:val="414042" w:themeColor="text1"/>
        </w:rPr>
        <w:t>.6 per cent or $7.972 million over the previous year due to increased employee costs from new roles and whole of government wage policy adjustments including cost of living allowance.</w:t>
      </w:r>
    </w:p>
    <w:p w14:paraId="3EB9A56A" w14:textId="6EC9182E" w:rsidR="00F65AD3" w:rsidRPr="00AF0D5C" w:rsidRDefault="00F65AD3" w:rsidP="009F6A40">
      <w:pPr>
        <w:spacing w:after="120"/>
        <w:ind w:left="28" w:right="-143"/>
        <w:rPr>
          <w:color w:val="414042" w:themeColor="text1"/>
        </w:rPr>
      </w:pPr>
      <w:r w:rsidRPr="00AF0D5C">
        <w:rPr>
          <w:color w:val="414042" w:themeColor="text1"/>
        </w:rPr>
        <w:t>The CCC spent $15.497 million for supplies and services expenditure in 2023–24, compared to $14.209 million in 2022–23. This is a</w:t>
      </w:r>
      <w:r w:rsidR="00EA0B8F" w:rsidRPr="00AF0D5C">
        <w:rPr>
          <w:color w:val="414042" w:themeColor="text1"/>
        </w:rPr>
        <w:t>n</w:t>
      </w:r>
      <w:r w:rsidRPr="00AF0D5C">
        <w:rPr>
          <w:color w:val="414042" w:themeColor="text1"/>
        </w:rPr>
        <w:t xml:space="preserve"> increase of 9.0 per cent or $1.288 million from the previous year and is mainly due to higher expenditure incurred on specialist contractor services utilised to deliver the digital projects, increased information technology costs and increased rental costs for office accommodation.</w:t>
      </w:r>
    </w:p>
    <w:p w14:paraId="730B96B7" w14:textId="64354AB7" w:rsidR="00F65AD3" w:rsidRPr="00AF0D5C" w:rsidRDefault="00F65AD3" w:rsidP="009F6A40">
      <w:pPr>
        <w:spacing w:after="120"/>
        <w:ind w:left="28" w:right="-143"/>
        <w:rPr>
          <w:color w:val="414042" w:themeColor="text1"/>
        </w:rPr>
      </w:pPr>
      <w:r w:rsidRPr="00AF0D5C">
        <w:rPr>
          <w:color w:val="414042" w:themeColor="text1"/>
        </w:rPr>
        <w:t xml:space="preserve">Payments for office accommodation are the highest category of supplies and services expenditure at </w:t>
      </w:r>
      <w:r w:rsidRPr="00AF0D5C">
        <w:rPr>
          <w:color w:val="414042" w:themeColor="text1"/>
        </w:rPr>
        <w:br/>
        <w:t xml:space="preserve">$3.850 million or 24.8 per cent of total supplies </w:t>
      </w:r>
      <w:r w:rsidRPr="00AF0D5C">
        <w:rPr>
          <w:color w:val="414042" w:themeColor="text1"/>
        </w:rPr>
        <w:br/>
        <w:t>and services expenditure. Information technology hardware and software maintenance</w:t>
      </w:r>
      <w:r w:rsidRPr="00AF0D5C" w:rsidDel="008B60E4">
        <w:rPr>
          <w:color w:val="414042" w:themeColor="text1"/>
        </w:rPr>
        <w:t xml:space="preserve"> </w:t>
      </w:r>
      <w:r w:rsidRPr="00AF0D5C">
        <w:rPr>
          <w:color w:val="414042" w:themeColor="text1"/>
        </w:rPr>
        <w:t>costs at $2.433 million or 15.7 per cent for various services are the second highest category of expenditure. Consultants and contractors at $2.265 million or 14.6 per cent</w:t>
      </w:r>
      <w:r w:rsidRPr="00AF0D5C" w:rsidDel="00FF4970">
        <w:rPr>
          <w:color w:val="414042" w:themeColor="text1"/>
        </w:rPr>
        <w:t xml:space="preserve"> </w:t>
      </w:r>
      <w:r w:rsidRPr="00AF0D5C">
        <w:rPr>
          <w:color w:val="414042" w:themeColor="text1"/>
        </w:rPr>
        <w:t>for various services are the third highest category of expenditure, followed by telecommunications and access costs at $1.969 million or 12.7 per cent.</w:t>
      </w:r>
    </w:p>
    <w:p w14:paraId="4714A27F" w14:textId="260D18D8" w:rsidR="005976E4" w:rsidRPr="00112266" w:rsidRDefault="00F65AD3" w:rsidP="009F6A40">
      <w:pPr>
        <w:ind w:left="28" w:right="-143"/>
      </w:pPr>
      <w:r w:rsidRPr="00AF0D5C">
        <w:rPr>
          <w:color w:val="414042" w:themeColor="text1"/>
        </w:rPr>
        <w:t xml:space="preserve">Non-cash contributions for services from the QPS in relation to </w:t>
      </w:r>
      <w:r w:rsidR="00406D44" w:rsidRPr="00AF0D5C">
        <w:rPr>
          <w:color w:val="414042" w:themeColor="text1"/>
        </w:rPr>
        <w:t xml:space="preserve">the </w:t>
      </w:r>
      <w:r w:rsidRPr="00AF0D5C">
        <w:rPr>
          <w:color w:val="414042" w:themeColor="text1"/>
        </w:rPr>
        <w:t>provision of police operational support and from QSA in relation to archival services increased by $0.239 million. All other expenditure remained relatively consistent with the previous financial year.</w:t>
      </w:r>
      <w:r w:rsidR="00D02FC3">
        <w:rPr>
          <w:color w:val="414042" w:themeColor="text1"/>
        </w:rPr>
        <w:br w:type="column"/>
      </w:r>
      <w:r w:rsidR="005976E4" w:rsidRPr="00D02FC3">
        <w:rPr>
          <w:rFonts w:asciiTheme="minorHAnsi" w:eastAsia="Times New Roman" w:hAnsiTheme="minorHAnsi" w:cstheme="minorHAnsi"/>
          <w:b/>
          <w:bCs/>
          <w:noProof/>
          <w:color w:val="414042" w:themeColor="text1"/>
          <w:sz w:val="28"/>
          <w:szCs w:val="28"/>
          <w:lang w:eastAsia="en-AU"/>
        </w:rPr>
        <w:t>Financial position</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7DAACAA9" w14:textId="77777777" w:rsidR="005976E4" w:rsidRPr="00112266" w:rsidRDefault="005976E4" w:rsidP="00D02FC3">
      <w:pPr>
        <w:pStyle w:val="4H-Intro"/>
        <w:ind w:right="140"/>
      </w:pPr>
      <w:bookmarkStart w:id="853" w:name="_Toc102037898"/>
      <w:bookmarkStart w:id="854" w:name="_Toc102038259"/>
      <w:bookmarkStart w:id="855" w:name="_Toc102038620"/>
      <w:bookmarkStart w:id="856" w:name="_Toc102038972"/>
      <w:bookmarkStart w:id="857" w:name="_Toc102039324"/>
      <w:bookmarkStart w:id="858" w:name="_Toc102039686"/>
      <w:bookmarkStart w:id="859" w:name="_Toc102040043"/>
      <w:bookmarkStart w:id="860" w:name="_Toc102040371"/>
      <w:bookmarkStart w:id="861" w:name="_Toc102040705"/>
      <w:bookmarkStart w:id="862" w:name="_Toc102041033"/>
      <w:bookmarkStart w:id="863" w:name="_Toc102041362"/>
      <w:bookmarkStart w:id="864" w:name="_Toc102041694"/>
      <w:bookmarkStart w:id="865" w:name="_Toc102042021"/>
      <w:bookmarkStart w:id="866" w:name="_Toc102042351"/>
      <w:bookmarkStart w:id="867" w:name="_Toc102045481"/>
      <w:r w:rsidRPr="00112266">
        <w:t>Capital acquisitions</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3A53CFDD" w14:textId="77777777" w:rsidR="00BC5FF0" w:rsidRPr="00AF0D5C" w:rsidRDefault="005976E4" w:rsidP="00D02FC3">
      <w:pPr>
        <w:ind w:left="14" w:right="140"/>
        <w:rPr>
          <w:rFonts w:ascii="Times New Roman" w:hAnsi="Times New Roman" w:cs="Times New Roman"/>
          <w:color w:val="414042" w:themeColor="text1"/>
          <w:sz w:val="24"/>
          <w:szCs w:val="24"/>
          <w:lang w:eastAsia="zh-CN"/>
        </w:rPr>
      </w:pPr>
      <w:r w:rsidRPr="00AF0D5C">
        <w:rPr>
          <w:noProof/>
          <w:color w:val="414042" w:themeColor="text1"/>
        </w:rPr>
        <w:t>The CCC invested $1.227 million on capital acquisitions during the financial year compared to $1.544 million in 2022</w:t>
      </w:r>
      <w:r w:rsidRPr="00AF0D5C">
        <w:rPr>
          <w:color w:val="414042" w:themeColor="text1"/>
        </w:rPr>
        <w:t>–</w:t>
      </w:r>
      <w:r w:rsidRPr="00AF0D5C">
        <w:rPr>
          <w:noProof/>
          <w:color w:val="414042" w:themeColor="text1"/>
        </w:rPr>
        <w:t xml:space="preserve">23, mainly as part of the ongoing asset replacement and maintenance program in accordance with our </w:t>
      </w:r>
      <w:r w:rsidRPr="00AF0D5C">
        <w:rPr>
          <w:i/>
          <w:iCs/>
          <w:noProof/>
          <w:color w:val="414042" w:themeColor="text1"/>
        </w:rPr>
        <w:t>Asset Strategic Plan</w:t>
      </w:r>
      <w:r w:rsidRPr="00AF0D5C">
        <w:rPr>
          <w:noProof/>
          <w:color w:val="414042" w:themeColor="text1"/>
        </w:rPr>
        <w:t>.</w:t>
      </w:r>
      <w:r w:rsidRPr="00AF0D5C">
        <w:rPr>
          <w:rFonts w:ascii="Times New Roman" w:hAnsi="Times New Roman" w:cs="Times New Roman"/>
          <w:color w:val="414042" w:themeColor="text1"/>
          <w:sz w:val="24"/>
          <w:szCs w:val="24"/>
          <w:lang w:eastAsia="zh-CN"/>
        </w:rPr>
        <w:t xml:space="preserve"> </w:t>
      </w:r>
    </w:p>
    <w:p w14:paraId="1D18C8E3" w14:textId="6C956515" w:rsidR="005976E4" w:rsidRPr="00AF0D5C" w:rsidRDefault="005976E4" w:rsidP="00D02FC3">
      <w:pPr>
        <w:pStyle w:val="4H-Intro"/>
        <w:ind w:right="140"/>
      </w:pPr>
      <w:r w:rsidRPr="00AF0D5C">
        <w:t>Assets</w:t>
      </w:r>
    </w:p>
    <w:p w14:paraId="3EF372DE" w14:textId="77777777" w:rsidR="00D02FC3" w:rsidRDefault="005976E4" w:rsidP="00B6533F">
      <w:pPr>
        <w:spacing w:before="120" w:after="80"/>
        <w:ind w:left="11" w:right="-1"/>
        <w:rPr>
          <w:color w:val="414042" w:themeColor="text1"/>
        </w:rPr>
      </w:pPr>
      <w:r w:rsidRPr="00AF0D5C">
        <w:rPr>
          <w:color w:val="414042" w:themeColor="text1"/>
        </w:rPr>
        <w:t xml:space="preserve">As at 30 June 2024, CCC total assets were valued at $34.154 million compared to $34.551 million in </w:t>
      </w:r>
      <w:r w:rsidR="00405922">
        <w:rPr>
          <w:color w:val="414042" w:themeColor="text1"/>
        </w:rPr>
        <w:br/>
      </w:r>
      <w:r w:rsidRPr="00AF0D5C">
        <w:rPr>
          <w:color w:val="414042" w:themeColor="text1"/>
        </w:rPr>
        <w:t>2022–23, a decrease of $0.397 million from the previous year. The decrease is mainly due to the minor deficit caused by the deferral of funding to future years as a result of lower expenditure due to staff vacancies.</w:t>
      </w:r>
      <w:bookmarkStart w:id="868" w:name="_Toc102037900"/>
      <w:bookmarkStart w:id="869" w:name="_Toc102038261"/>
      <w:bookmarkStart w:id="870" w:name="_Toc102038622"/>
      <w:bookmarkStart w:id="871" w:name="_Toc102038974"/>
      <w:bookmarkStart w:id="872" w:name="_Toc102039326"/>
      <w:bookmarkStart w:id="873" w:name="_Toc102039688"/>
      <w:bookmarkStart w:id="874" w:name="_Toc102040045"/>
      <w:bookmarkStart w:id="875" w:name="_Toc102040373"/>
      <w:bookmarkStart w:id="876" w:name="_Toc102040707"/>
      <w:bookmarkStart w:id="877" w:name="_Toc102041035"/>
      <w:bookmarkStart w:id="878" w:name="_Toc102041364"/>
      <w:bookmarkStart w:id="879" w:name="_Toc102041696"/>
      <w:bookmarkStart w:id="880" w:name="_Toc102042023"/>
      <w:bookmarkStart w:id="881" w:name="_Toc102042353"/>
      <w:bookmarkStart w:id="882" w:name="_Toc102045483"/>
    </w:p>
    <w:p w14:paraId="3FBD31BA" w14:textId="7E1996C0" w:rsidR="00EA7AA8" w:rsidRDefault="005976E4" w:rsidP="00D02FC3">
      <w:pPr>
        <w:spacing w:before="120" w:after="80"/>
        <w:ind w:left="11" w:right="140"/>
        <w:rPr>
          <w:color w:val="414042" w:themeColor="text1"/>
        </w:rPr>
      </w:pPr>
      <w:r w:rsidRPr="00EA7AA8">
        <w:rPr>
          <w:rStyle w:val="4H-IntroChar"/>
          <w:rFonts w:asciiTheme="minorHAnsi" w:hAnsiTheme="minorHAnsi" w:cstheme="minorHAnsi"/>
        </w:rPr>
        <w:t>Liabilities</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544150AC" w14:textId="32D8AEFF" w:rsidR="005976E4" w:rsidRPr="00EA7AA8" w:rsidRDefault="005976E4" w:rsidP="003C65FD">
      <w:pPr>
        <w:pStyle w:val="newBODYTEXT"/>
        <w:ind w:right="-143"/>
      </w:pPr>
      <w:r w:rsidRPr="00AF0D5C">
        <w:t>As at 30 June 2024, the CCC’s liabilities were valued at $4.299 million compared to $4.540 million in the previous year. This decrease of $0.241 million relates to payables and lease liability repayments due to a</w:t>
      </w:r>
      <w:r w:rsidR="00483940" w:rsidRPr="00AF0D5C">
        <w:t>n</w:t>
      </w:r>
      <w:r w:rsidRPr="00AF0D5C">
        <w:t xml:space="preserve"> office lease.</w:t>
      </w:r>
    </w:p>
    <w:p w14:paraId="68C0A9A7" w14:textId="77777777" w:rsidR="005976E4" w:rsidRPr="00AF0D5C" w:rsidRDefault="005976E4" w:rsidP="003C65FD">
      <w:pPr>
        <w:pStyle w:val="4H-Intro"/>
        <w:ind w:right="-143"/>
      </w:pPr>
      <w:bookmarkStart w:id="883" w:name="_Toc102037901"/>
      <w:bookmarkStart w:id="884" w:name="_Toc102038262"/>
      <w:bookmarkStart w:id="885" w:name="_Toc102038623"/>
      <w:bookmarkStart w:id="886" w:name="_Toc102038975"/>
      <w:bookmarkStart w:id="887" w:name="_Toc102039327"/>
      <w:bookmarkStart w:id="888" w:name="_Toc102039689"/>
      <w:bookmarkStart w:id="889" w:name="_Toc102040046"/>
      <w:bookmarkStart w:id="890" w:name="_Toc102040374"/>
      <w:bookmarkStart w:id="891" w:name="_Toc102040708"/>
      <w:bookmarkStart w:id="892" w:name="_Toc102041036"/>
      <w:bookmarkStart w:id="893" w:name="_Toc102041365"/>
      <w:bookmarkStart w:id="894" w:name="_Toc102041697"/>
      <w:bookmarkStart w:id="895" w:name="_Toc102042024"/>
      <w:bookmarkStart w:id="896" w:name="_Toc102042354"/>
      <w:bookmarkStart w:id="897" w:name="_Toc102045484"/>
      <w:r w:rsidRPr="00AF0D5C">
        <w:t>Net equity</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14:paraId="42395D56" w14:textId="4A7339D7" w:rsidR="005976E4" w:rsidRPr="00AF0D5C" w:rsidRDefault="005976E4" w:rsidP="00B6533F">
      <w:pPr>
        <w:pStyle w:val="newBODYTEXT"/>
        <w:ind w:right="-1"/>
        <w:rPr>
          <w:b/>
          <w:bCs/>
        </w:rPr>
      </w:pPr>
      <w:r w:rsidRPr="00AF0D5C">
        <w:t>As at 30 June 2024, our equity was valued at</w:t>
      </w:r>
      <w:r w:rsidR="00B6533F">
        <w:t xml:space="preserve"> </w:t>
      </w:r>
      <w:r w:rsidRPr="00AF0D5C">
        <w:t xml:space="preserve">$29.855 million. This is a decrease of $0.156 million </w:t>
      </w:r>
      <w:r w:rsidR="00B6533F">
        <w:br/>
      </w:r>
      <w:r w:rsidRPr="00AF0D5C">
        <w:t>or 0.5 per cent, due to the deficit from 2023–24.</w:t>
      </w:r>
    </w:p>
    <w:p w14:paraId="2DBE74C6" w14:textId="77777777" w:rsidR="005976E4" w:rsidRPr="00AF0D5C" w:rsidRDefault="005976E4" w:rsidP="003C65FD">
      <w:pPr>
        <w:pStyle w:val="4H-Intro"/>
        <w:ind w:right="-143"/>
      </w:pPr>
      <w:bookmarkStart w:id="898" w:name="_Toc102037902"/>
      <w:bookmarkStart w:id="899" w:name="_Toc102038263"/>
      <w:bookmarkStart w:id="900" w:name="_Toc102038624"/>
      <w:bookmarkStart w:id="901" w:name="_Toc102038976"/>
      <w:bookmarkStart w:id="902" w:name="_Toc102039328"/>
      <w:bookmarkStart w:id="903" w:name="_Toc102039690"/>
      <w:bookmarkStart w:id="904" w:name="_Toc102040047"/>
      <w:bookmarkStart w:id="905" w:name="_Toc102040375"/>
      <w:bookmarkStart w:id="906" w:name="_Toc102040709"/>
      <w:bookmarkStart w:id="907" w:name="_Toc102041037"/>
      <w:bookmarkStart w:id="908" w:name="_Toc102041366"/>
      <w:bookmarkStart w:id="909" w:name="_Toc102041698"/>
      <w:bookmarkStart w:id="910" w:name="_Toc102042025"/>
      <w:bookmarkStart w:id="911" w:name="_Toc102042355"/>
      <w:bookmarkStart w:id="912" w:name="_Toc102045485"/>
      <w:r w:rsidRPr="00AF0D5C">
        <w:t>Current ratio</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7E92A32C" w14:textId="3C9C6A1C" w:rsidR="005976E4" w:rsidRPr="00AF0D5C" w:rsidRDefault="005976E4" w:rsidP="003C65FD">
      <w:pPr>
        <w:pStyle w:val="newBODYTEXT"/>
        <w:ind w:right="-143"/>
      </w:pPr>
      <w:r w:rsidRPr="00AF0D5C">
        <w:t>As at 30 June 2024, the CCC’s current ratio is 7.63 (against a minimum benchmark of 1.0). Current ratio indicates the financial health of an entity — its ability to meet short-term debts.</w:t>
      </w:r>
    </w:p>
    <w:p w14:paraId="223DAABD" w14:textId="77777777" w:rsidR="009F6A40" w:rsidRDefault="004A3B9C" w:rsidP="00EA7AA8">
      <w:pPr>
        <w:pStyle w:val="8Crossref"/>
        <w:ind w:right="-285"/>
      </w:pPr>
      <w:r w:rsidRPr="00EA7AA8">
        <w:t>A detailed view of our financial performance is provided in the Financial Statements (see page</w:t>
      </w:r>
      <w:r w:rsidR="00B27A89" w:rsidRPr="00EA7AA8">
        <w:t>s</w:t>
      </w:r>
      <w:r w:rsidRPr="00EA7AA8">
        <w:t xml:space="preserve"> </w:t>
      </w:r>
      <w:r w:rsidR="00394C87" w:rsidRPr="00EA7AA8">
        <w:t>7</w:t>
      </w:r>
      <w:r w:rsidR="00A95E50" w:rsidRPr="00EA7AA8">
        <w:t>4</w:t>
      </w:r>
      <w:r w:rsidRPr="00EA7AA8">
        <w:t>–</w:t>
      </w:r>
      <w:r w:rsidR="00394C87" w:rsidRPr="00EA7AA8">
        <w:t>10</w:t>
      </w:r>
      <w:r w:rsidR="0022773E" w:rsidRPr="00EA7AA8">
        <w:t>7</w:t>
      </w:r>
      <w:r w:rsidRPr="00EA7AA8">
        <w:t>).</w:t>
      </w:r>
    </w:p>
    <w:p w14:paraId="430EFF87" w14:textId="77777777" w:rsidR="00E41B49" w:rsidRDefault="00E41B49" w:rsidP="00EA7AA8">
      <w:pPr>
        <w:pStyle w:val="8Crossref"/>
        <w:ind w:right="-285"/>
        <w:sectPr w:rsidR="00E41B49" w:rsidSect="00112266">
          <w:pgSz w:w="11906" w:h="16838" w:code="9"/>
          <w:pgMar w:top="2155" w:right="1134" w:bottom="851" w:left="1134" w:header="720" w:footer="284" w:gutter="0"/>
          <w:cols w:num="2" w:space="567"/>
          <w:noEndnote/>
          <w:docGrid w:linePitch="272"/>
        </w:sectPr>
      </w:pPr>
    </w:p>
    <w:p w14:paraId="43906DC4" w14:textId="77777777" w:rsidR="00E41B49" w:rsidRDefault="00E41B49" w:rsidP="00EA7AA8">
      <w:pPr>
        <w:pStyle w:val="8Crossref"/>
        <w:ind w:right="-285"/>
        <w:sectPr w:rsidR="00E41B49" w:rsidSect="00E41B49">
          <w:type w:val="continuous"/>
          <w:pgSz w:w="11906" w:h="16838" w:code="9"/>
          <w:pgMar w:top="2155" w:right="1134" w:bottom="851" w:left="1134" w:header="720" w:footer="284" w:gutter="0"/>
          <w:cols w:num="2" w:space="567"/>
          <w:noEndnote/>
          <w:docGrid w:linePitch="272"/>
        </w:sectPr>
      </w:pPr>
    </w:p>
    <w:p w14:paraId="0173072D" w14:textId="5FC323E4" w:rsidR="00E41B49" w:rsidRPr="00AF0D5C" w:rsidRDefault="00E41B49" w:rsidP="00E41B49">
      <w:pPr>
        <w:pStyle w:val="Figuretableheading0"/>
      </w:pPr>
      <w:r w:rsidRPr="00704AD3">
        <w:rPr>
          <w:rStyle w:val="Heading4Char"/>
          <w:rFonts w:eastAsiaTheme="minorHAnsi"/>
          <w:color w:val="auto"/>
        </w:rPr>
        <w:drawing>
          <wp:anchor distT="0" distB="0" distL="114300" distR="114300" simplePos="0" relativeHeight="252476416" behindDoc="0" locked="0" layoutInCell="1" allowOverlap="1" wp14:anchorId="197E073D" wp14:editId="2EC0357E">
            <wp:simplePos x="0" y="0"/>
            <wp:positionH relativeFrom="page">
              <wp:posOffset>2148840</wp:posOffset>
            </wp:positionH>
            <wp:positionV relativeFrom="paragraph">
              <wp:posOffset>58518</wp:posOffset>
            </wp:positionV>
            <wp:extent cx="5164455" cy="3550920"/>
            <wp:effectExtent l="0" t="0" r="0" b="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14:sizeRelH relativeFrom="margin">
              <wp14:pctWidth>0</wp14:pctWidth>
            </wp14:sizeRelH>
            <wp14:sizeRelV relativeFrom="margin">
              <wp14:pctHeight>0</wp14:pctHeight>
            </wp14:sizeRelV>
          </wp:anchor>
        </w:drawing>
      </w:r>
      <w:r w:rsidRPr="00AF0D5C">
        <w:rPr>
          <w:rStyle w:val="Heading4Char"/>
          <w:rFonts w:eastAsiaTheme="minorHAnsi"/>
        </w:rPr>
        <w:drawing>
          <wp:anchor distT="0" distB="0" distL="114300" distR="114300" simplePos="0" relativeHeight="252552192" behindDoc="0" locked="0" layoutInCell="1" allowOverlap="1" wp14:anchorId="34E70A76" wp14:editId="1E8924CA">
            <wp:simplePos x="0" y="0"/>
            <wp:positionH relativeFrom="column">
              <wp:posOffset>-762928</wp:posOffset>
            </wp:positionH>
            <wp:positionV relativeFrom="paragraph">
              <wp:posOffset>277718</wp:posOffset>
            </wp:positionV>
            <wp:extent cx="4160520" cy="3093720"/>
            <wp:effectExtent l="0" t="0" r="0" b="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14:sizeRelH relativeFrom="margin">
              <wp14:pctWidth>0</wp14:pctWidth>
            </wp14:sizeRelH>
            <wp14:sizeRelV relativeFrom="margin">
              <wp14:pctHeight>0</wp14:pctHeight>
            </wp14:sizeRelV>
          </wp:anchor>
        </w:drawing>
      </w:r>
      <w:r w:rsidRPr="00AF0D5C">
        <w:t>Figure 18: Revenue and Expenditure</w:t>
      </w:r>
    </w:p>
    <w:p w14:paraId="33050F98" w14:textId="1ED0E7EF" w:rsidR="004A3B9C" w:rsidRPr="00EA7AA8" w:rsidRDefault="004A3B9C" w:rsidP="00EA7AA8">
      <w:pPr>
        <w:pStyle w:val="8Crossref"/>
        <w:ind w:right="-285"/>
      </w:pPr>
    </w:p>
    <w:p w14:paraId="1EC5738D" w14:textId="1202E88C" w:rsidR="00B173BA" w:rsidRPr="00AF0D5C" w:rsidRDefault="00B173BA" w:rsidP="00B173BA">
      <w:pPr>
        <w:rPr>
          <w:color w:val="414042" w:themeColor="text1"/>
        </w:rPr>
      </w:pPr>
      <w:bookmarkStart w:id="913" w:name="_Hlk74302770"/>
    </w:p>
    <w:p w14:paraId="68117A21" w14:textId="47269F4F" w:rsidR="00B9178A" w:rsidRPr="00AF0D5C" w:rsidRDefault="00B9178A" w:rsidP="00DF252A">
      <w:pPr>
        <w:rPr>
          <w:color w:val="414042" w:themeColor="text1"/>
        </w:rPr>
        <w:sectPr w:rsidR="00B9178A" w:rsidRPr="00AF0D5C" w:rsidSect="00E41B49">
          <w:type w:val="continuous"/>
          <w:pgSz w:w="11906" w:h="16838" w:code="9"/>
          <w:pgMar w:top="2155" w:right="1134" w:bottom="851" w:left="1134" w:header="720" w:footer="284" w:gutter="0"/>
          <w:cols w:space="567"/>
          <w:noEndnote/>
          <w:docGrid w:linePitch="272"/>
        </w:sectPr>
      </w:pPr>
    </w:p>
    <w:p w14:paraId="75257DAB" w14:textId="77777777" w:rsidR="00140519" w:rsidRPr="00140519" w:rsidRDefault="00140519" w:rsidP="00140519">
      <w:pPr>
        <w:pStyle w:val="2Heading"/>
        <w:spacing w:after="360"/>
        <w:ind w:right="-427"/>
        <w:sectPr w:rsidR="00140519" w:rsidRPr="00140519" w:rsidSect="00C77834">
          <w:headerReference w:type="even" r:id="rId153"/>
          <w:headerReference w:type="default" r:id="rId154"/>
          <w:headerReference w:type="first" r:id="rId155"/>
          <w:type w:val="continuous"/>
          <w:pgSz w:w="11906" w:h="16838" w:code="9"/>
          <w:pgMar w:top="2155" w:right="1134" w:bottom="964" w:left="1134" w:header="720" w:footer="284" w:gutter="0"/>
          <w:cols w:space="567"/>
          <w:noEndnote/>
          <w:docGrid w:linePitch="272"/>
        </w:sectPr>
      </w:pPr>
      <w:bookmarkStart w:id="914" w:name="_External_inquiries_and_1"/>
      <w:bookmarkStart w:id="915" w:name="InquiriesandReviews"/>
      <w:bookmarkStart w:id="916" w:name="_Toc102037904"/>
      <w:bookmarkStart w:id="917" w:name="_Toc102038265"/>
      <w:bookmarkStart w:id="918" w:name="_Toc102038626"/>
      <w:bookmarkStart w:id="919" w:name="_Toc102038978"/>
      <w:bookmarkStart w:id="920" w:name="_Toc102039330"/>
      <w:bookmarkStart w:id="921" w:name="_Toc102039692"/>
      <w:bookmarkStart w:id="922" w:name="_Toc102040049"/>
      <w:bookmarkStart w:id="923" w:name="_Toc102040377"/>
      <w:bookmarkStart w:id="924" w:name="_Toc102040711"/>
      <w:bookmarkStart w:id="925" w:name="_Toc102041039"/>
      <w:bookmarkStart w:id="926" w:name="_Toc102041368"/>
      <w:bookmarkStart w:id="927" w:name="_Toc102041700"/>
      <w:bookmarkStart w:id="928" w:name="_Toc102042027"/>
      <w:bookmarkStart w:id="929" w:name="_Toc102042357"/>
      <w:bookmarkStart w:id="930" w:name="_Toc102045487"/>
      <w:bookmarkEnd w:id="913"/>
      <w:bookmarkEnd w:id="914"/>
      <w:r w:rsidRPr="00140519">
        <w:t>External inquiries and reviews – ensuring accountability and transparency</w:t>
      </w:r>
    </w:p>
    <w:tbl>
      <w:tblPr>
        <w:tblStyle w:val="TableGrid2"/>
        <w:tblpPr w:leftFromText="180" w:rightFromText="180" w:vertAnchor="text" w:horzAnchor="margin" w:tblpY="-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395"/>
        <w:gridCol w:w="5528"/>
      </w:tblGrid>
      <w:tr w:rsidR="00140519" w14:paraId="4A647D3E" w14:textId="77777777" w:rsidTr="00140519">
        <w:tc>
          <w:tcPr>
            <w:tcW w:w="4395" w:type="dxa"/>
            <w:shd w:val="clear" w:color="auto" w:fill="F2F2F2" w:themeFill="background1" w:themeFillShade="F2"/>
          </w:tcPr>
          <w:bookmarkEnd w:id="915"/>
          <w:p w14:paraId="3605B602" w14:textId="77777777" w:rsidR="00140519" w:rsidRPr="002618A5" w:rsidRDefault="00140519" w:rsidP="00B92D01">
            <w:pPr>
              <w:pStyle w:val="5BHeadinglight"/>
              <w:spacing w:before="240"/>
              <w:ind w:left="181" w:right="176"/>
              <w:rPr>
                <w:rFonts w:eastAsia="Calibri"/>
                <w:b/>
                <w:bCs/>
              </w:rPr>
            </w:pPr>
            <w:r w:rsidRPr="002618A5">
              <w:rPr>
                <w:rFonts w:eastAsia="Calibri"/>
                <w:b/>
                <w:bCs/>
              </w:rPr>
              <w:t xml:space="preserve">We report on these as transparently as we can to demonstrate our accountability to the public. </w:t>
            </w:r>
          </w:p>
          <w:p w14:paraId="14242E3D" w14:textId="77777777" w:rsidR="00140519" w:rsidRPr="002618A5" w:rsidRDefault="00140519" w:rsidP="00B6533F">
            <w:pPr>
              <w:pStyle w:val="newBODYTEXT"/>
              <w:ind w:left="175" w:right="318"/>
              <w:rPr>
                <w:sz w:val="22"/>
                <w:szCs w:val="22"/>
                <w:u w:color="E6E7E8" w:themeColor="background2"/>
              </w:rPr>
            </w:pPr>
            <w:r w:rsidRPr="002618A5">
              <w:rPr>
                <w:rFonts w:eastAsia="Calibri" w:cs="Arial"/>
                <w:sz w:val="22"/>
                <w:szCs w:val="22"/>
              </w:rPr>
              <w:t xml:space="preserve">Public inquiries and reviews are an important </w:t>
            </w:r>
            <w:r w:rsidRPr="002618A5">
              <w:rPr>
                <w:sz w:val="22"/>
                <w:szCs w:val="22"/>
                <w:u w:color="E6E7E8" w:themeColor="background2"/>
              </w:rPr>
              <w:t>avenue for independently overseeing our operations and identifying opportunities to improve them. The public expect us to implement these recommendations and publicly report on our progress.</w:t>
            </w:r>
          </w:p>
          <w:p w14:paraId="4B0EA6E3" w14:textId="77777777" w:rsidR="00140519" w:rsidRPr="002618A5" w:rsidRDefault="00140519" w:rsidP="00B6533F">
            <w:pPr>
              <w:pStyle w:val="newBODYTEXT"/>
              <w:ind w:left="175" w:right="318"/>
              <w:rPr>
                <w:sz w:val="22"/>
                <w:szCs w:val="22"/>
                <w:u w:color="E6E7E8" w:themeColor="background2"/>
              </w:rPr>
            </w:pPr>
            <w:r w:rsidRPr="002618A5">
              <w:rPr>
                <w:rFonts w:eastAsia="Calibri" w:cs="Arial"/>
                <w:sz w:val="22"/>
                <w:szCs w:val="22"/>
              </w:rPr>
              <w:t xml:space="preserve">Over the last 12 months, the CCC has continued to work to implement the recommendations of the various reviews and inquiries conducted in recent years. </w:t>
            </w:r>
            <w:r w:rsidRPr="002618A5">
              <w:rPr>
                <w:sz w:val="22"/>
                <w:szCs w:val="22"/>
                <w:u w:color="E6E7E8" w:themeColor="background2"/>
              </w:rPr>
              <w:t>We have carefully considered the recommendations made by inquiries and external reviews, both those focused on the operation of the CCC directly and those relating more broadly to the integrity system in which the CCC operates. While the reviews have largely focused on our corruption function, we work to leverage the benefits of these reforms in our other functions, where appropriate.</w:t>
            </w:r>
          </w:p>
          <w:p w14:paraId="0C252C4F" w14:textId="77777777" w:rsidR="00140519" w:rsidRPr="002618A5" w:rsidRDefault="00140519" w:rsidP="00B6533F">
            <w:pPr>
              <w:pStyle w:val="newBODYTEXT"/>
              <w:ind w:left="175" w:right="318"/>
              <w:rPr>
                <w:rFonts w:eastAsia="Calibri" w:cs="Arial"/>
                <w:sz w:val="22"/>
                <w:szCs w:val="22"/>
              </w:rPr>
            </w:pPr>
            <w:r w:rsidRPr="002618A5">
              <w:rPr>
                <w:sz w:val="22"/>
                <w:szCs w:val="22"/>
                <w:u w:color="E6E7E8" w:themeColor="background2"/>
              </w:rPr>
              <w:t xml:space="preserve">The CCC also engaged with the </w:t>
            </w:r>
            <w:r w:rsidRPr="002618A5">
              <w:rPr>
                <w:sz w:val="22"/>
                <w:szCs w:val="22"/>
              </w:rPr>
              <w:t>Independent Review into the CCC’s Reporting on the Performance of its Corruption Functions (the Holmes review), which was undertaken in 2024 to address the consequences of judicial decisions relating to the public reporting powers of the CCC.</w:t>
            </w:r>
          </w:p>
          <w:p w14:paraId="09217E03" w14:textId="77777777" w:rsidR="00140519" w:rsidRDefault="00140519" w:rsidP="00B6533F">
            <w:pPr>
              <w:pStyle w:val="newBODYTEXT"/>
              <w:spacing w:after="0"/>
              <w:ind w:left="175" w:right="318"/>
              <w:rPr>
                <w:rFonts w:eastAsia="Calibri" w:cs="Arial"/>
              </w:rPr>
            </w:pPr>
            <w:r w:rsidRPr="002618A5">
              <w:rPr>
                <w:rFonts w:eastAsia="Calibri" w:cs="Arial"/>
                <w:sz w:val="22"/>
                <w:szCs w:val="22"/>
              </w:rPr>
              <w:t>This section provides an overview of our progress (as at the end of the reporting period) against recommendations for which we have responsibility and</w:t>
            </w:r>
            <w:r w:rsidRPr="002618A5">
              <w:rPr>
                <w:sz w:val="22"/>
                <w:szCs w:val="22"/>
              </w:rPr>
              <w:t xml:space="preserve"> </w:t>
            </w:r>
            <w:r w:rsidRPr="002618A5">
              <w:rPr>
                <w:rFonts w:eastAsia="Calibri" w:cs="Arial"/>
                <w:sz w:val="22"/>
                <w:szCs w:val="22"/>
              </w:rPr>
              <w:t>a consolidated view of advancements we are making to create a better CCC.</w:t>
            </w:r>
          </w:p>
        </w:tc>
        <w:tc>
          <w:tcPr>
            <w:tcW w:w="5528" w:type="dxa"/>
            <w:shd w:val="clear" w:color="auto" w:fill="auto"/>
          </w:tcPr>
          <w:p w14:paraId="64EBEC1D" w14:textId="77777777" w:rsidR="00140519" w:rsidRDefault="00140519" w:rsidP="00B92D01">
            <w:pPr>
              <w:pStyle w:val="3Heading-highlight"/>
              <w:spacing w:before="240"/>
              <w:ind w:left="601" w:right="-425"/>
            </w:pPr>
            <w:r w:rsidRPr="003D6B64">
              <w:t>External inquiries and reviews of direct relevance to the CCC</w:t>
            </w:r>
          </w:p>
          <w:p w14:paraId="49CE0920" w14:textId="77777777" w:rsidR="00140519" w:rsidRPr="00AF0D5C" w:rsidRDefault="00140519" w:rsidP="00140519">
            <w:pPr>
              <w:pStyle w:val="newBODYTEXT"/>
              <w:tabs>
                <w:tab w:val="left" w:pos="4805"/>
              </w:tabs>
              <w:ind w:left="607"/>
            </w:pPr>
            <w:r w:rsidRPr="00AF0D5C">
              <w:t>External inquiries and reviews with direct relevance to our activities in 2023–24 include:</w:t>
            </w:r>
          </w:p>
          <w:p w14:paraId="0040DC62" w14:textId="77777777" w:rsidR="00140519" w:rsidRPr="00140519" w:rsidRDefault="00140519" w:rsidP="00140519">
            <w:pPr>
              <w:pStyle w:val="Bulletbox"/>
              <w:ind w:left="1173" w:right="0"/>
              <w:rPr>
                <w:i/>
                <w:iCs/>
              </w:rPr>
            </w:pPr>
            <w:r w:rsidRPr="00140519">
              <w:rPr>
                <w:i/>
                <w:iCs/>
              </w:rPr>
              <w:t>The Commission of Inquiry relating to the Crime and Corruption Commission (Fitzgerald/Wilson Inquiry).</w:t>
            </w:r>
          </w:p>
          <w:p w14:paraId="53534137" w14:textId="77777777" w:rsidR="00140519" w:rsidRPr="00140519" w:rsidRDefault="00140519" w:rsidP="00140519">
            <w:pPr>
              <w:pStyle w:val="Bulletbox"/>
              <w:ind w:left="1173" w:right="0"/>
              <w:rPr>
                <w:i/>
                <w:iCs/>
              </w:rPr>
            </w:pPr>
            <w:r w:rsidRPr="00140519">
              <w:rPr>
                <w:i/>
                <w:iCs/>
              </w:rPr>
              <w:t xml:space="preserve">Report no. 106, 57th Parliament PCCC: Review of the Crime and Corruption Commission’s activities </w:t>
            </w:r>
            <w:r w:rsidRPr="00140519">
              <w:rPr>
                <w:i/>
                <w:iCs/>
              </w:rPr>
              <w:br/>
              <w:t>(Five-Year Review 2021).</w:t>
            </w:r>
          </w:p>
          <w:p w14:paraId="3BF9BBDD" w14:textId="77777777" w:rsidR="00140519" w:rsidRPr="00140519" w:rsidRDefault="00140519" w:rsidP="00140519">
            <w:pPr>
              <w:pStyle w:val="Bulletbox"/>
              <w:ind w:left="1173" w:right="0"/>
              <w:rPr>
                <w:i/>
                <w:iCs/>
              </w:rPr>
            </w:pPr>
            <w:r w:rsidRPr="00140519">
              <w:rPr>
                <w:i/>
                <w:iCs/>
              </w:rPr>
              <w:t>Independent review into the Crime and Corruption Commission’s reporting on the performance of its corruption functions (the Holmes review).</w:t>
            </w:r>
          </w:p>
          <w:p w14:paraId="76A8F030" w14:textId="0F44A484" w:rsidR="00140519" w:rsidRDefault="00140519" w:rsidP="00586639">
            <w:pPr>
              <w:pStyle w:val="newBODYTEXT"/>
              <w:tabs>
                <w:tab w:val="left" w:pos="4805"/>
              </w:tabs>
              <w:spacing w:after="360"/>
              <w:ind w:left="607"/>
            </w:pPr>
            <w:r w:rsidRPr="00AF0D5C">
              <w:t>Wherever possible, we responded quickly to implement the recommendations for which the CCC is responsible. Some recommendations are more complex and therefore required more time to consider their implications in consultation with other agencies who have responsibility for implementation.</w:t>
            </w:r>
          </w:p>
          <w:tbl>
            <w:tblPr>
              <w:tblStyle w:val="Annualreport2020-21"/>
              <w:tblW w:w="0" w:type="auto"/>
              <w:tblInd w:w="607" w:type="dxa"/>
              <w:tblLook w:val="04A0" w:firstRow="1" w:lastRow="0" w:firstColumn="1" w:lastColumn="0" w:noHBand="0" w:noVBand="1"/>
            </w:tblPr>
            <w:tblGrid>
              <w:gridCol w:w="4705"/>
            </w:tblGrid>
            <w:tr w:rsidR="00140519" w14:paraId="633CB1D8" w14:textId="77777777" w:rsidTr="00EE72C9">
              <w:trPr>
                <w:cnfStyle w:val="100000000000" w:firstRow="1" w:lastRow="0" w:firstColumn="0" w:lastColumn="0" w:oddVBand="0" w:evenVBand="0" w:oddHBand="0" w:evenHBand="0" w:firstRowFirstColumn="0" w:firstRowLastColumn="0" w:lastRowFirstColumn="0" w:lastRowLastColumn="0"/>
              </w:trPr>
              <w:tc>
                <w:tcPr>
                  <w:tcW w:w="4888" w:type="dxa"/>
                  <w:tcBorders>
                    <w:top w:val="nil"/>
                    <w:bottom w:val="nil"/>
                  </w:tcBorders>
                  <w:shd w:val="clear" w:color="auto" w:fill="F2F2F2" w:themeFill="background1" w:themeFillShade="F2"/>
                </w:tcPr>
                <w:p w14:paraId="4A1358A6" w14:textId="77777777" w:rsidR="00140519" w:rsidRPr="00FD4C26" w:rsidRDefault="00140519" w:rsidP="00507575">
                  <w:pPr>
                    <w:pStyle w:val="Heading4"/>
                    <w:framePr w:hSpace="180" w:wrap="around" w:vAnchor="text" w:hAnchor="margin" w:y="-2"/>
                    <w:rPr>
                      <w:b/>
                    </w:rPr>
                  </w:pPr>
                  <w:r w:rsidRPr="00AF0D5C">
                    <w:rPr>
                      <w:rFonts w:eastAsia="Calibri" w:cs="Arial"/>
                    </w:rPr>
                    <w:br w:type="column"/>
                  </w:r>
                  <w:r w:rsidRPr="002E0FB4">
                    <w:rPr>
                      <w:rStyle w:val="6Bold11Char"/>
                    </w:rPr>
                    <w:t xml:space="preserve">Commission of inquiry relating to the </w:t>
                  </w:r>
                  <w:r>
                    <w:rPr>
                      <w:rStyle w:val="6Bold11Char"/>
                    </w:rPr>
                    <w:br/>
                  </w:r>
                  <w:r w:rsidRPr="002E0FB4">
                    <w:rPr>
                      <w:rStyle w:val="6Bold11Char"/>
                    </w:rPr>
                    <w:t xml:space="preserve">Crime and Corruption Commission </w:t>
                  </w:r>
                  <w:r>
                    <w:rPr>
                      <w:rStyle w:val="6Bold11Char"/>
                    </w:rPr>
                    <w:br/>
                  </w:r>
                  <w:r w:rsidRPr="002E0FB4">
                    <w:rPr>
                      <w:rStyle w:val="6Bold11Char"/>
                    </w:rPr>
                    <w:t>(</w:t>
                  </w:r>
                  <w:r w:rsidRPr="00E402EC">
                    <w:rPr>
                      <w:rStyle w:val="6Bold11Char"/>
                      <w:i/>
                      <w:iCs w:val="0"/>
                    </w:rPr>
                    <w:t>Fitzgerald/Wilson Inquiry</w:t>
                  </w:r>
                  <w:r w:rsidRPr="002E0FB4">
                    <w:rPr>
                      <w:rStyle w:val="6Bold11Char"/>
                    </w:rPr>
                    <w:t>)</w:t>
                  </w:r>
                  <w:r w:rsidRPr="00405922">
                    <w:rPr>
                      <w:b/>
                    </w:rPr>
                    <w:br/>
                  </w:r>
                  <w:r w:rsidRPr="002E0FB4">
                    <w:rPr>
                      <w:rStyle w:val="newBODYTEXTChar"/>
                    </w:rPr>
                    <w:t>7 February 2022 to 9 August 2022</w:t>
                  </w:r>
                </w:p>
              </w:tc>
            </w:tr>
          </w:tbl>
          <w:p w14:paraId="2A7F87A2" w14:textId="77777777" w:rsidR="00140519" w:rsidRPr="00AF0D5C" w:rsidRDefault="00140519" w:rsidP="00586639">
            <w:pPr>
              <w:spacing w:before="240"/>
              <w:ind w:left="607" w:right="173"/>
              <w:rPr>
                <w:bCs/>
                <w:color w:val="414042" w:themeColor="text1"/>
                <w:u w:color="E6E7E8" w:themeColor="background2"/>
              </w:rPr>
            </w:pPr>
            <w:r w:rsidRPr="00AF0D5C">
              <w:rPr>
                <w:bCs/>
                <w:color w:val="414042" w:themeColor="text1"/>
                <w:u w:color="E6E7E8" w:themeColor="background2"/>
              </w:rPr>
              <w:t>In February 2022, the Honourable Gerald Edward (Tony) Fitzgerald AC, KC and the Honourable Alan Wilson KC, were appointed to publicly</w:t>
            </w:r>
            <w:r w:rsidRPr="00AF0D5C">
              <w:rPr>
                <w:color w:val="414042" w:themeColor="text1"/>
              </w:rPr>
              <w:t xml:space="preserve"> inquire into and report on </w:t>
            </w:r>
            <w:r w:rsidRPr="00AF0D5C">
              <w:rPr>
                <w:bCs/>
                <w:color w:val="414042" w:themeColor="text1"/>
                <w:u w:color="E6E7E8" w:themeColor="background2"/>
              </w:rPr>
              <w:t>the adequacy and appropriateness of</w:t>
            </w:r>
            <w:r w:rsidRPr="00AF0D5C">
              <w:rPr>
                <w:color w:val="414042" w:themeColor="text1"/>
              </w:rPr>
              <w:t>:</w:t>
            </w:r>
          </w:p>
          <w:p w14:paraId="7983155C" w14:textId="77777777" w:rsidR="00140519" w:rsidRPr="002E0FB4" w:rsidRDefault="00140519" w:rsidP="00586639">
            <w:pPr>
              <w:pStyle w:val="Bulletpoints0"/>
              <w:ind w:left="1173" w:right="173" w:hanging="425"/>
            </w:pPr>
            <w:r w:rsidRPr="002E0FB4">
              <w:t>the structure of the CCC in relation to the use of seconded police officers (</w:t>
            </w:r>
            <w:r w:rsidRPr="00135FF8">
              <w:rPr>
                <w:i/>
                <w:iCs/>
              </w:rPr>
              <w:t>in connection with its corruption jurisdiction</w:t>
            </w:r>
            <w:r w:rsidRPr="002E0FB4">
              <w:t>)</w:t>
            </w:r>
          </w:p>
          <w:p w14:paraId="34D75D83" w14:textId="77777777" w:rsidR="00140519" w:rsidRPr="002E0FB4" w:rsidRDefault="00140519" w:rsidP="00586639">
            <w:pPr>
              <w:pStyle w:val="Bulletpoints0"/>
              <w:ind w:left="1173" w:right="173" w:hanging="425"/>
            </w:pPr>
            <w:r w:rsidRPr="002E0FB4">
              <w:t>legislation, procedures, practices and processes relating to the charging and prosecution of criminal offences for serious crime and corruption in the context of CCC investigations, and</w:t>
            </w:r>
          </w:p>
          <w:p w14:paraId="452B446E" w14:textId="7ACE3291" w:rsidR="00140519" w:rsidRPr="00586639" w:rsidRDefault="00140519" w:rsidP="00586639">
            <w:pPr>
              <w:pStyle w:val="Bulletpoints0"/>
              <w:ind w:left="1173" w:right="173" w:hanging="425"/>
              <w:rPr>
                <w:i/>
                <w:iCs/>
              </w:rPr>
            </w:pPr>
            <w:r w:rsidRPr="002E0FB4">
              <w:t xml:space="preserve">section 49 of the </w:t>
            </w:r>
            <w:r w:rsidRPr="00586639">
              <w:rPr>
                <w:i/>
                <w:iCs/>
              </w:rPr>
              <w:t>Crime and Corruption Act 2001.</w:t>
            </w:r>
          </w:p>
          <w:p w14:paraId="27ED01A2" w14:textId="77777777" w:rsidR="00140519" w:rsidRPr="00AF0D5C" w:rsidRDefault="00140519" w:rsidP="00140519">
            <w:pPr>
              <w:pStyle w:val="newBODYTEXT"/>
              <w:tabs>
                <w:tab w:val="left" w:pos="4805"/>
              </w:tabs>
              <w:ind w:left="607"/>
              <w:rPr>
                <w:rFonts w:eastAsia="Calibri"/>
                <w:lang w:val="en-US"/>
              </w:rPr>
            </w:pPr>
          </w:p>
        </w:tc>
      </w:tr>
    </w:tbl>
    <w:p w14:paraId="2D9E93B0" w14:textId="77777777" w:rsidR="00140519" w:rsidRDefault="00140519" w:rsidP="00C903A2">
      <w:pPr>
        <w:pStyle w:val="BoxHeading"/>
        <w:rPr>
          <w:rFonts w:eastAsia="Calibri"/>
          <w:lang w:val="en-US"/>
        </w:rPr>
        <w:sectPr w:rsidR="00140519" w:rsidSect="00C77834">
          <w:type w:val="continuous"/>
          <w:pgSz w:w="11906" w:h="16838" w:code="9"/>
          <w:pgMar w:top="2155" w:right="1134" w:bottom="964" w:left="1134" w:header="720" w:footer="284" w:gutter="0"/>
          <w:cols w:space="567"/>
          <w:noEndnote/>
          <w:docGrid w:linePitch="272"/>
        </w:sectPr>
      </w:pPr>
    </w:p>
    <w:p w14:paraId="43AA2CC1" w14:textId="2C44921C" w:rsidR="003D6B64" w:rsidRPr="003D6B64" w:rsidRDefault="003D6B64" w:rsidP="003D6B64">
      <w:pPr>
        <w:pStyle w:val="newBODYTEXT"/>
        <w:sectPr w:rsidR="003D6B64" w:rsidRPr="003D6B64" w:rsidSect="00C77834">
          <w:type w:val="continuous"/>
          <w:pgSz w:w="11906" w:h="16838" w:code="9"/>
          <w:pgMar w:top="2155" w:right="1134" w:bottom="964" w:left="1134" w:header="720" w:footer="284" w:gutter="0"/>
          <w:cols w:space="567"/>
          <w:noEndnote/>
          <w:docGrid w:linePitch="272"/>
        </w:sectPr>
      </w:pPr>
    </w:p>
    <w:p w14:paraId="3541BB32" w14:textId="77777777" w:rsidR="0097139B" w:rsidRDefault="00B9178A" w:rsidP="00686600">
      <w:pPr>
        <w:ind w:right="-1"/>
        <w:rPr>
          <w:bCs/>
          <w:color w:val="414042" w:themeColor="text1"/>
          <w:u w:color="E6E7E8" w:themeColor="background2"/>
        </w:rPr>
      </w:pPr>
      <w:r w:rsidRPr="00AF0D5C">
        <w:rPr>
          <w:bCs/>
          <w:color w:val="414042" w:themeColor="text1"/>
          <w:u w:color="E6E7E8" w:themeColor="background2"/>
        </w:rPr>
        <w:t>The final report was provided to the Queensland Government on 9 August 2022 and made 32 recommendations</w:t>
      </w:r>
      <w:r w:rsidRPr="00AF0D5C">
        <w:rPr>
          <w:color w:val="414042" w:themeColor="text1"/>
        </w:rPr>
        <w:t xml:space="preserve"> </w:t>
      </w:r>
      <w:r w:rsidRPr="00AF0D5C">
        <w:rPr>
          <w:bCs/>
          <w:color w:val="414042" w:themeColor="text1"/>
          <w:u w:color="E6E7E8" w:themeColor="background2"/>
        </w:rPr>
        <w:t xml:space="preserve">for change, of which </w:t>
      </w:r>
      <w:r w:rsidR="00AA7985" w:rsidRPr="00AF0D5C">
        <w:rPr>
          <w:bCs/>
          <w:color w:val="414042" w:themeColor="text1"/>
          <w:u w:color="E6E7E8" w:themeColor="background2"/>
        </w:rPr>
        <w:t>31</w:t>
      </w:r>
      <w:r w:rsidRPr="00AF0D5C">
        <w:rPr>
          <w:bCs/>
          <w:color w:val="414042" w:themeColor="text1"/>
          <w:u w:color="E6E7E8" w:themeColor="background2"/>
        </w:rPr>
        <w:t xml:space="preserve"> are the </w:t>
      </w:r>
      <w:r w:rsidR="00405922">
        <w:rPr>
          <w:bCs/>
          <w:color w:val="414042" w:themeColor="text1"/>
          <w:u w:color="E6E7E8" w:themeColor="background2"/>
        </w:rPr>
        <w:br/>
      </w:r>
      <w:r w:rsidRPr="00AF0D5C">
        <w:rPr>
          <w:bCs/>
          <w:color w:val="414042" w:themeColor="text1"/>
          <w:u w:color="E6E7E8" w:themeColor="background2"/>
        </w:rPr>
        <w:t>direct responsibility of the CCC to implement.</w:t>
      </w:r>
      <w:r w:rsidR="0097139B" w:rsidRPr="0097139B">
        <w:rPr>
          <w:bCs/>
          <w:color w:val="414042" w:themeColor="text1"/>
          <w:u w:color="E6E7E8" w:themeColor="background2"/>
        </w:rPr>
        <w:t xml:space="preserve"> </w:t>
      </w:r>
    </w:p>
    <w:p w14:paraId="69D73B3E" w14:textId="49289750" w:rsidR="0097139B" w:rsidRPr="00AF0D5C" w:rsidRDefault="0097139B" w:rsidP="0097139B">
      <w:pPr>
        <w:rPr>
          <w:bCs/>
          <w:color w:val="414042" w:themeColor="text1"/>
          <w:u w:color="E6E7E8" w:themeColor="background2"/>
        </w:rPr>
      </w:pPr>
      <w:r w:rsidRPr="00AF0D5C">
        <w:rPr>
          <w:bCs/>
          <w:color w:val="414042" w:themeColor="text1"/>
          <w:u w:color="E6E7E8" w:themeColor="background2"/>
        </w:rPr>
        <w:t>In response, the CCC developed a five-year road map to deliver on the recommendations, to ensure sustained transformation and enhanced public confidence in the CCC. In recognition of the considerable effort required to undertake organisational reform, the Government has invested $20.849 million from 2022–23 to 2027–28 to develop and manage the program, and implement specific recommendations.</w:t>
      </w:r>
    </w:p>
    <w:p w14:paraId="01089C5C" w14:textId="77777777" w:rsidR="0097139B" w:rsidRPr="00AF0D5C" w:rsidRDefault="0097139B" w:rsidP="0097139B">
      <w:pPr>
        <w:rPr>
          <w:bCs/>
          <w:color w:val="414042" w:themeColor="text1"/>
          <w:u w:color="E6E7E8" w:themeColor="background2"/>
        </w:rPr>
      </w:pPr>
      <w:r w:rsidRPr="00AF0D5C">
        <w:rPr>
          <w:bCs/>
          <w:color w:val="414042" w:themeColor="text1"/>
          <w:u w:color="E6E7E8" w:themeColor="background2"/>
        </w:rPr>
        <w:t xml:space="preserve">We provide monthly reports on the implementation and delivery of recommendations to the Minister, PCCC and the Parliamentary Crime and Corruption Commissioner (in line with </w:t>
      </w:r>
      <w:r w:rsidRPr="00135FF8">
        <w:rPr>
          <w:rStyle w:val="RecommendChar"/>
        </w:rPr>
        <w:t>Recommendations 31</w:t>
      </w:r>
      <w:r w:rsidRPr="00AF0D5C">
        <w:rPr>
          <w:bCs/>
          <w:color w:val="414042" w:themeColor="text1"/>
          <w:u w:color="E6E7E8" w:themeColor="background2"/>
        </w:rPr>
        <w:t xml:space="preserve"> and </w:t>
      </w:r>
      <w:r w:rsidRPr="00135FF8">
        <w:rPr>
          <w:rStyle w:val="RecommendChar"/>
        </w:rPr>
        <w:t>32</w:t>
      </w:r>
      <w:r w:rsidRPr="00AF0D5C">
        <w:rPr>
          <w:bCs/>
          <w:color w:val="414042" w:themeColor="text1"/>
          <w:u w:color="E6E7E8" w:themeColor="background2"/>
        </w:rPr>
        <w:t>).</w:t>
      </w:r>
    </w:p>
    <w:p w14:paraId="426318F0" w14:textId="77777777" w:rsidR="0097139B" w:rsidRPr="00AF0D5C" w:rsidRDefault="0097139B" w:rsidP="005E29A6">
      <w:pPr>
        <w:ind w:right="-143"/>
        <w:rPr>
          <w:bCs/>
          <w:color w:val="414042" w:themeColor="text1"/>
          <w:u w:color="E6E7E8" w:themeColor="background2"/>
        </w:rPr>
      </w:pPr>
      <w:r w:rsidRPr="00AF0D5C">
        <w:rPr>
          <w:bCs/>
          <w:color w:val="414042" w:themeColor="text1"/>
          <w:u w:color="E6E7E8" w:themeColor="background2"/>
        </w:rPr>
        <w:t xml:space="preserve">Recognising the significant public interest in the delivery of the recommendations, we have also released seven quarterly progress reports on our website </w:t>
      </w:r>
      <w:hyperlink r:id="rId156" w:history="1">
        <w:r w:rsidRPr="00AF0D5C">
          <w:rPr>
            <w:rStyle w:val="Hyperlink"/>
            <w:bCs/>
            <w:color w:val="414042" w:themeColor="text1"/>
          </w:rPr>
          <w:t>www.ccc.qld.gov.au</w:t>
        </w:r>
      </w:hyperlink>
      <w:r w:rsidRPr="00AF0D5C">
        <w:rPr>
          <w:bCs/>
          <w:color w:val="414042" w:themeColor="text1"/>
          <w:u w:color="E6E7E8" w:themeColor="background2"/>
        </w:rPr>
        <w:t xml:space="preserve">. </w:t>
      </w:r>
    </w:p>
    <w:p w14:paraId="6EC08CC6" w14:textId="77777777" w:rsidR="0097139B" w:rsidRPr="00AF0D5C" w:rsidRDefault="0097139B" w:rsidP="005E29A6">
      <w:pPr>
        <w:pStyle w:val="Bullets"/>
        <w:ind w:right="-143"/>
        <w:rPr>
          <w:color w:val="414042" w:themeColor="text1"/>
          <w:u w:color="E6E7E8" w:themeColor="background2"/>
        </w:rPr>
      </w:pPr>
      <w:r w:rsidRPr="00AF0D5C">
        <w:rPr>
          <w:color w:val="414042" w:themeColor="text1"/>
          <w:u w:color="E6E7E8" w:themeColor="background2"/>
        </w:rPr>
        <w:t>As at 30 June 2024, the CCC has completed 11 recommendations in full. These include:</w:t>
      </w:r>
    </w:p>
    <w:p w14:paraId="6BE56836" w14:textId="77777777" w:rsidR="0097139B" w:rsidRPr="00AF0D5C" w:rsidRDefault="0097139B" w:rsidP="006900F6">
      <w:pPr>
        <w:pStyle w:val="Bulletpoints0"/>
      </w:pPr>
      <w:r w:rsidRPr="00AF0D5C">
        <w:t>transitioning a key role to a civilian position (</w:t>
      </w:r>
      <w:r w:rsidRPr="00135FF8">
        <w:rPr>
          <w:rStyle w:val="RecommendChar"/>
        </w:rPr>
        <w:t>Recommendation 8</w:t>
      </w:r>
      <w:r w:rsidRPr="00AF0D5C">
        <w:t>)</w:t>
      </w:r>
    </w:p>
    <w:p w14:paraId="5ADBC931" w14:textId="77777777" w:rsidR="0097139B" w:rsidRPr="00AF0D5C" w:rsidRDefault="0097139B" w:rsidP="006900F6">
      <w:pPr>
        <w:pStyle w:val="Bulletpoints0"/>
      </w:pPr>
      <w:r w:rsidRPr="00AF0D5C">
        <w:t>modifying the organisational structure (</w:t>
      </w:r>
      <w:r w:rsidRPr="00135FF8">
        <w:rPr>
          <w:rStyle w:val="RecommendChar"/>
        </w:rPr>
        <w:t>Recommendation 15</w:t>
      </w:r>
      <w:r w:rsidRPr="00AF0D5C">
        <w:t>)</w:t>
      </w:r>
    </w:p>
    <w:p w14:paraId="3CC23418" w14:textId="77777777" w:rsidR="0097139B" w:rsidRPr="00AF0D5C" w:rsidRDefault="0097139B" w:rsidP="006900F6">
      <w:pPr>
        <w:pStyle w:val="Bulletpoints0"/>
      </w:pPr>
      <w:r w:rsidRPr="00AF0D5C">
        <w:t>establishing and recruiting into new positions (</w:t>
      </w:r>
      <w:r w:rsidRPr="00135FF8">
        <w:rPr>
          <w:rStyle w:val="RecommendChar"/>
        </w:rPr>
        <w:t>Recommendations 12</w:t>
      </w:r>
      <w:r w:rsidRPr="00AF0D5C">
        <w:t xml:space="preserve">, </w:t>
      </w:r>
      <w:r w:rsidRPr="00135FF8">
        <w:rPr>
          <w:rStyle w:val="RecommendChar"/>
        </w:rPr>
        <w:t>14</w:t>
      </w:r>
      <w:r w:rsidRPr="00AF0D5C">
        <w:t xml:space="preserve">, </w:t>
      </w:r>
      <w:r w:rsidRPr="00135FF8">
        <w:rPr>
          <w:rStyle w:val="RecommendChar"/>
        </w:rPr>
        <w:t>17</w:t>
      </w:r>
      <w:r w:rsidRPr="00AF0D5C">
        <w:t xml:space="preserve">, </w:t>
      </w:r>
      <w:r w:rsidRPr="00135FF8">
        <w:rPr>
          <w:rStyle w:val="RecommendChar"/>
        </w:rPr>
        <w:t>22</w:t>
      </w:r>
      <w:r w:rsidRPr="00AF0D5C">
        <w:t xml:space="preserve"> and </w:t>
      </w:r>
      <w:r w:rsidRPr="00135FF8">
        <w:rPr>
          <w:rStyle w:val="RecommendChar"/>
        </w:rPr>
        <w:t>23</w:t>
      </w:r>
      <w:r w:rsidRPr="00AF0D5C">
        <w:t xml:space="preserve">), </w:t>
      </w:r>
    </w:p>
    <w:p w14:paraId="015547A7" w14:textId="0946A29A" w:rsidR="0097139B" w:rsidRPr="00AF0D5C" w:rsidRDefault="0097139B" w:rsidP="00586639">
      <w:pPr>
        <w:pStyle w:val="Bulletpoints0"/>
        <w:ind w:right="-1"/>
      </w:pPr>
      <w:r w:rsidRPr="00AF0D5C">
        <w:t>ensuring adequate funding to establish the new Corruption Strategy and Prevention unit (</w:t>
      </w:r>
      <w:r w:rsidRPr="00135FF8">
        <w:rPr>
          <w:rStyle w:val="RecommendChar"/>
        </w:rPr>
        <w:t>Recommendation 18</w:t>
      </w:r>
      <w:r w:rsidRPr="00AF0D5C">
        <w:t xml:space="preserve">) </w:t>
      </w:r>
    </w:p>
    <w:p w14:paraId="3FAA775B" w14:textId="77777777" w:rsidR="0097139B" w:rsidRPr="00AF0D5C" w:rsidRDefault="0097139B" w:rsidP="00586639">
      <w:pPr>
        <w:pStyle w:val="Bulletpoints0"/>
        <w:ind w:right="-1"/>
      </w:pPr>
      <w:r w:rsidRPr="00AF0D5C">
        <w:t>establishing two new governance groups to oversee corruption investigations (</w:t>
      </w:r>
      <w:r w:rsidRPr="00135FF8">
        <w:rPr>
          <w:rStyle w:val="RecommendChar"/>
        </w:rPr>
        <w:t>Recommendations 19</w:t>
      </w:r>
      <w:r w:rsidRPr="00AF0D5C">
        <w:t xml:space="preserve"> and </w:t>
      </w:r>
      <w:r w:rsidRPr="00135FF8">
        <w:rPr>
          <w:rStyle w:val="RecommendChar"/>
        </w:rPr>
        <w:t>20</w:t>
      </w:r>
      <w:r w:rsidRPr="00AF0D5C">
        <w:t>) and</w:t>
      </w:r>
    </w:p>
    <w:p w14:paraId="09B1C5EA" w14:textId="77777777" w:rsidR="0097139B" w:rsidRPr="00AF0D5C" w:rsidRDefault="0097139B" w:rsidP="00586639">
      <w:pPr>
        <w:pStyle w:val="Bulletpoints0"/>
        <w:ind w:right="-1"/>
      </w:pPr>
      <w:r w:rsidRPr="00AF0D5C">
        <w:t>finalising a Memorandum of Understanding between the CCC and the Director of Public Prosecutions (</w:t>
      </w:r>
      <w:r w:rsidRPr="00135FF8">
        <w:rPr>
          <w:rStyle w:val="RecommendChar"/>
        </w:rPr>
        <w:t>Recommendation 26</w:t>
      </w:r>
      <w:r w:rsidRPr="00135FF8">
        <w:t>).</w:t>
      </w:r>
    </w:p>
    <w:p w14:paraId="04025783" w14:textId="5CEE5ECF" w:rsidR="0097139B" w:rsidRPr="00AF0D5C" w:rsidRDefault="00427D86" w:rsidP="00427D86">
      <w:pPr>
        <w:pStyle w:val="Bullets"/>
        <w:ind w:right="-1"/>
        <w:rPr>
          <w:color w:val="414042" w:themeColor="text1"/>
        </w:rPr>
      </w:pPr>
      <w:bookmarkStart w:id="931" w:name="_Hlk171593149"/>
      <w:r>
        <w:rPr>
          <w:color w:val="414042" w:themeColor="text1"/>
        </w:rPr>
        <w:br w:type="column"/>
      </w:r>
      <w:r w:rsidR="0097139B" w:rsidRPr="00AF0D5C">
        <w:rPr>
          <w:color w:val="414042" w:themeColor="text1"/>
        </w:rPr>
        <w:t>We have also made material progress on 19 other recommendations</w:t>
      </w:r>
      <w:r w:rsidR="00B6533F">
        <w:rPr>
          <w:color w:val="414042" w:themeColor="text1"/>
        </w:rPr>
        <w:t>.</w:t>
      </w:r>
      <w:r w:rsidR="0097139B" w:rsidRPr="00AF0D5C">
        <w:rPr>
          <w:color w:val="414042" w:themeColor="text1"/>
        </w:rPr>
        <w:t xml:space="preserve"> Of note:</w:t>
      </w:r>
    </w:p>
    <w:bookmarkEnd w:id="931"/>
    <w:p w14:paraId="1FAE6CFF" w14:textId="3FB80E41" w:rsidR="0097139B" w:rsidRPr="003C65FD" w:rsidRDefault="0097139B" w:rsidP="00427D86">
      <w:pPr>
        <w:pStyle w:val="Bulletpoints0"/>
        <w:numPr>
          <w:ilvl w:val="0"/>
          <w:numId w:val="0"/>
        </w:numPr>
        <w:ind w:right="-1"/>
      </w:pPr>
      <w:r w:rsidRPr="00427D86">
        <w:rPr>
          <w:rFonts w:asciiTheme="minorHAnsi" w:hAnsiTheme="minorHAnsi" w:cstheme="minorHAnsi"/>
          <w:b/>
          <w:bCs/>
        </w:rPr>
        <w:t>Recommendation 6</w:t>
      </w:r>
      <w:r w:rsidRPr="00427D86">
        <w:t xml:space="preserve"> recommended that the CCC consider the adequacy of our current organisational culture in safeguarding against the risk of institutional capture. In response to this, the CCC has continued to progress significant work that supports an improved organisational culture. This has included embedding new operating models in our intake and assessment function and the complaints monitoring function</w:t>
      </w:r>
      <w:r w:rsidRPr="0097139B">
        <w:t>.</w:t>
      </w:r>
      <w:r w:rsidR="003C65FD">
        <w:t xml:space="preserve"> </w:t>
      </w:r>
      <w:r w:rsidRPr="003C65FD">
        <w:t xml:space="preserve">These new models place greater emphasis on delivering a customer-centric approach, leveraging data to facilitate greater decision-making consistency, and monitoring the activity and outcomes of delivered work. </w:t>
      </w:r>
    </w:p>
    <w:p w14:paraId="0FC4C4F9" w14:textId="4E409C06" w:rsidR="0097139B" w:rsidRPr="00AF0D5C" w:rsidRDefault="0097139B" w:rsidP="00427D86">
      <w:pPr>
        <w:pStyle w:val="Bullets"/>
        <w:ind w:right="-1"/>
        <w:rPr>
          <w:color w:val="414042" w:themeColor="text1"/>
        </w:rPr>
      </w:pPr>
      <w:r w:rsidRPr="00AF0D5C">
        <w:rPr>
          <w:color w:val="414042" w:themeColor="text1"/>
        </w:rPr>
        <w:t xml:space="preserve">The CCC concluded a review of the Corruption division culture which identified opportunities to increase collaboration and engagement to harness diversity of perspectives in the management of corruption matters. The CCC recognises that organisational culture is an ongoing process and we continue to identify opportunities to improve strategy, structure, processes and people. </w:t>
      </w:r>
    </w:p>
    <w:p w14:paraId="0AC54B58" w14:textId="77777777" w:rsidR="0097139B" w:rsidRPr="00AF0D5C" w:rsidRDefault="0097139B" w:rsidP="00427D86">
      <w:pPr>
        <w:pStyle w:val="Bullets"/>
        <w:ind w:right="-1"/>
        <w:rPr>
          <w:color w:val="414042" w:themeColor="text1"/>
        </w:rPr>
      </w:pPr>
      <w:r w:rsidRPr="00AF0D5C">
        <w:rPr>
          <w:color w:val="414042" w:themeColor="text1"/>
        </w:rPr>
        <w:t xml:space="preserve">An external review of the Corruption Investigation function was also completed, and work is continuing to implement recommendations aimed at improving the efficiency and effectiveness of corruption investigations. </w:t>
      </w:r>
    </w:p>
    <w:p w14:paraId="4DE81C00" w14:textId="4FC183BE" w:rsidR="0097139B" w:rsidRPr="00AF0D5C" w:rsidRDefault="0097139B" w:rsidP="00427D86">
      <w:pPr>
        <w:pStyle w:val="Bulletpoints0"/>
        <w:numPr>
          <w:ilvl w:val="0"/>
          <w:numId w:val="0"/>
        </w:numPr>
        <w:ind w:right="-1"/>
      </w:pPr>
      <w:r w:rsidRPr="00135FF8">
        <w:rPr>
          <w:rStyle w:val="RecommendChar"/>
        </w:rPr>
        <w:t>Recommendation 7</w:t>
      </w:r>
      <w:r w:rsidRPr="00AF0D5C">
        <w:rPr>
          <w:b/>
          <w:u w:color="E6E7E8"/>
        </w:rPr>
        <w:t xml:space="preserve"> </w:t>
      </w:r>
      <w:r w:rsidRPr="00AF0D5C">
        <w:t>recommended that the CCC transition to a predominantly civilianised model for its Corruption division</w:t>
      </w:r>
      <w:r w:rsidRPr="00AF0D5C">
        <w:rPr>
          <w:bCs/>
          <w:u w:color="E6E7E8"/>
        </w:rPr>
        <w:t xml:space="preserve">. The CCC has </w:t>
      </w:r>
      <w:r w:rsidRPr="00AF0D5C">
        <w:t xml:space="preserve">identified a future state model that is predominantly civilian and leverages the skills and capabilities of seconded police officers. The CCC has determined that seconded police officers should comprise approximately 30-40% of the corruption investigator cohort. This ratio will achieve a predominance of civilian investigators in the Corruption division but will also provide for effective and efficient investigations. A plan has been developed to transition from the current to the future state by June 2026. </w:t>
      </w:r>
    </w:p>
    <w:p w14:paraId="5D962ACC" w14:textId="2017234B" w:rsidR="00557698" w:rsidRPr="00AF0D5C" w:rsidRDefault="0097139B" w:rsidP="00427D86">
      <w:pPr>
        <w:pStyle w:val="Bulletpoints0"/>
        <w:numPr>
          <w:ilvl w:val="0"/>
          <w:numId w:val="0"/>
        </w:numPr>
      </w:pPr>
      <w:r w:rsidRPr="00135FF8">
        <w:rPr>
          <w:rStyle w:val="RecommendChar"/>
        </w:rPr>
        <w:t>Recommendations 11</w:t>
      </w:r>
      <w:r w:rsidRPr="00C03A9F">
        <w:rPr>
          <w:bCs/>
          <w:u w:color="E6E7E8"/>
        </w:rPr>
        <w:t xml:space="preserve"> and</w:t>
      </w:r>
      <w:r w:rsidRPr="00C03A9F">
        <w:rPr>
          <w:b/>
          <w:u w:color="E6E7E8"/>
        </w:rPr>
        <w:t xml:space="preserve"> </w:t>
      </w:r>
      <w:r w:rsidRPr="00135FF8">
        <w:rPr>
          <w:rStyle w:val="RecommendChar"/>
        </w:rPr>
        <w:t xml:space="preserve">13 </w:t>
      </w:r>
      <w:r w:rsidRPr="00AF0D5C">
        <w:t xml:space="preserve">relate to ensuring the appropriate induction and training programs are delivered to corruption investigators to enhance their skills. The CCC’s Training and Development Officers have developed a range of enhancements to onboarding practices including the implementation of revised attraction and selection processes and improved pre-employment communications to attract and retain best-fit candidates. eLearning compliance modules, which reinforce the importance of accountability, governance and decision making are being redesigned to also support new starters to better understand their role, responsibilities, and ways of working within the agency. </w:t>
      </w:r>
      <w:r w:rsidR="00427D86">
        <w:br w:type="column"/>
      </w:r>
      <w:r w:rsidR="00C03A9F" w:rsidRPr="00AF0D5C">
        <w:t>A Corruption Investigator Capability Framework has also been developed to ensure corruption investigators have the skills to perform well. A range of assessment processes aligned to the framework has been developed to assist with the identification of learning priorities for the current workforce.</w:t>
      </w:r>
    </w:p>
    <w:tbl>
      <w:tblPr>
        <w:tblStyle w:val="Annualreport2020-21"/>
        <w:tblpPr w:leftFromText="180" w:rightFromText="180" w:vertAnchor="text" w:horzAnchor="margin" w:tblpXSpec="right" w:tblpY="-1522"/>
        <w:tblW w:w="0" w:type="auto"/>
        <w:shd w:val="clear" w:color="auto" w:fill="F2F2F2" w:themeFill="background1" w:themeFillShade="F2"/>
        <w:tblLook w:val="04A0" w:firstRow="1" w:lastRow="0" w:firstColumn="1" w:lastColumn="0" w:noHBand="0" w:noVBand="1"/>
      </w:tblPr>
      <w:tblGrid>
        <w:gridCol w:w="4535"/>
      </w:tblGrid>
      <w:tr w:rsidR="002618A5" w:rsidRPr="00AF0D5C" w14:paraId="7B8E20F6" w14:textId="77777777" w:rsidTr="00427D86">
        <w:trPr>
          <w:cnfStyle w:val="100000000000" w:firstRow="1" w:lastRow="0" w:firstColumn="0" w:lastColumn="0" w:oddVBand="0" w:evenVBand="0" w:oddHBand="0" w:evenHBand="0" w:firstRowFirstColumn="0" w:firstRowLastColumn="0" w:lastRowFirstColumn="0" w:lastRowLastColumn="0"/>
        </w:trPr>
        <w:tc>
          <w:tcPr>
            <w:tcW w:w="4535" w:type="dxa"/>
            <w:tcBorders>
              <w:top w:val="nil"/>
              <w:bottom w:val="nil"/>
            </w:tcBorders>
            <w:shd w:val="clear" w:color="auto" w:fill="F2F2F2" w:themeFill="background1" w:themeFillShade="F2"/>
          </w:tcPr>
          <w:p w14:paraId="0AB2770F" w14:textId="77777777" w:rsidR="002618A5" w:rsidRPr="00135FF8" w:rsidRDefault="002618A5" w:rsidP="00427D86">
            <w:pPr>
              <w:pStyle w:val="Heading4"/>
              <w:spacing w:after="240"/>
            </w:pPr>
            <w:r>
              <w:br w:type="column"/>
            </w:r>
            <w:r w:rsidRPr="00135FF8">
              <w:rPr>
                <w:rStyle w:val="6Bold11Char"/>
              </w:rPr>
              <w:t>Report no. 106, 57</w:t>
            </w:r>
            <w:r w:rsidRPr="00E402EC">
              <w:rPr>
                <w:rStyle w:val="6Bold11Char"/>
              </w:rPr>
              <w:t>th</w:t>
            </w:r>
            <w:r w:rsidRPr="00135FF8">
              <w:rPr>
                <w:rStyle w:val="6Bold11Char"/>
              </w:rPr>
              <w:t xml:space="preserve"> Parliament PCCC: </w:t>
            </w:r>
            <w:r w:rsidRPr="00135FF8">
              <w:rPr>
                <w:rStyle w:val="6Bold11Char"/>
              </w:rPr>
              <w:br/>
              <w:t xml:space="preserve">Review of the Crime and Corruption Commission’s activities </w:t>
            </w:r>
            <w:r>
              <w:rPr>
                <w:rStyle w:val="6Bold11Char"/>
              </w:rPr>
              <w:br/>
            </w:r>
            <w:r w:rsidRPr="00E402EC">
              <w:rPr>
                <w:rStyle w:val="6Bold11Char"/>
                <w:i/>
                <w:iCs w:val="0"/>
              </w:rPr>
              <w:t>(Five-Year Review 2021)</w:t>
            </w:r>
            <w:r w:rsidRPr="00AF0D5C">
              <w:br/>
              <w:t>1 June 2020 to 30 June 2021</w:t>
            </w:r>
          </w:p>
        </w:tc>
      </w:tr>
    </w:tbl>
    <w:p w14:paraId="2F9C05F3" w14:textId="77777777" w:rsidR="002618A5" w:rsidRPr="00427D86" w:rsidRDefault="00105D07" w:rsidP="00427D86">
      <w:pPr>
        <w:pStyle w:val="Bulletpoints0"/>
        <w:numPr>
          <w:ilvl w:val="0"/>
          <w:numId w:val="0"/>
        </w:numPr>
      </w:pPr>
      <w:r w:rsidRPr="00427D86">
        <w:rPr>
          <w:rStyle w:val="RecommendChar"/>
          <w:bCs/>
        </w:rPr>
        <w:t>Recommendations 16</w:t>
      </w:r>
      <w:r w:rsidR="00FE2FBB" w:rsidRPr="00427D86">
        <w:t xml:space="preserve"> </w:t>
      </w:r>
      <w:r w:rsidR="00AB6EAE" w:rsidRPr="00427D86">
        <w:t>relates to the new Corruption Strategy and Preventions unit ensuring a corruption prevention and policy perspective informs all corruption investigations. The CCC established the new unit and the future state operating model (</w:t>
      </w:r>
      <w:r w:rsidR="00AB6EAE" w:rsidRPr="00427D86">
        <w:rPr>
          <w:rStyle w:val="RecommendChar"/>
          <w:rFonts w:ascii="Calibri Light" w:hAnsi="Calibri Light" w:cstheme="minorBidi"/>
          <w:b w:val="0"/>
        </w:rPr>
        <w:t>recommendation 18</w:t>
      </w:r>
      <w:r w:rsidR="00AB6EAE" w:rsidRPr="00427D86">
        <w:t xml:space="preserve">). </w:t>
      </w:r>
      <w:r w:rsidRPr="00427D86">
        <w:t xml:space="preserve">The </w:t>
      </w:r>
      <w:r w:rsidR="00EF1F61" w:rsidRPr="00427D86">
        <w:t xml:space="preserve">CCC </w:t>
      </w:r>
      <w:r w:rsidRPr="00427D86">
        <w:t xml:space="preserve">is developing </w:t>
      </w:r>
      <w:r w:rsidR="00357D15" w:rsidRPr="00427D86">
        <w:t xml:space="preserve">a </w:t>
      </w:r>
      <w:r w:rsidRPr="00427D86">
        <w:t xml:space="preserve">Data and Insights plan which will define the information necessary to support a greater focus on corruption prevention and build Queensland’s Corruption data asset. We have also commenced a trial for thematic monitoring </w:t>
      </w:r>
      <w:r w:rsidR="00357D15" w:rsidRPr="00427D86">
        <w:t>which</w:t>
      </w:r>
      <w:r w:rsidRPr="00427D86">
        <w:t xml:space="preserve"> </w:t>
      </w:r>
      <w:r w:rsidR="00357D15" w:rsidRPr="00427D86">
        <w:t xml:space="preserve">applies to </w:t>
      </w:r>
      <w:r w:rsidRPr="00427D86">
        <w:t xml:space="preserve">new methodology </w:t>
      </w:r>
      <w:r w:rsidR="00357D15" w:rsidRPr="00427D86">
        <w:t>to</w:t>
      </w:r>
      <w:r w:rsidRPr="00427D86">
        <w:t xml:space="preserve"> assess themes or patterns across multiple investigations conducted by UPAs. Expanding the scale of our monitoring activity across corruption matters will assist with increasing the CCC’s understanding of the corruption risk landscape, provide insight into corruption trends, and enable us to empower the Queensland public sector to detect, prevent and respond to corruption.</w:t>
      </w:r>
      <w:r w:rsidR="003F4083" w:rsidRPr="00427D86">
        <w:br/>
      </w:r>
      <w:r w:rsidR="00C03A9F" w:rsidRPr="00427D86">
        <w:br w:type="column"/>
      </w:r>
    </w:p>
    <w:p w14:paraId="0A382BD8" w14:textId="16936525" w:rsidR="00EC1518" w:rsidRPr="00C03A9F" w:rsidRDefault="00EC1518" w:rsidP="009C15F9">
      <w:pPr>
        <w:pStyle w:val="newBODYTEXT"/>
        <w:rPr>
          <w:u w:color="E6E7E8" w:themeColor="background2"/>
        </w:rPr>
      </w:pPr>
      <w:r w:rsidRPr="00C03A9F">
        <w:rPr>
          <w:rFonts w:eastAsia="Times New Roman" w:cs="Times New Roman"/>
          <w:u w:color="E6E7E8" w:themeColor="background2"/>
          <w:lang w:eastAsia="en-AU"/>
        </w:rPr>
        <w:t>Section 292(f) of the</w:t>
      </w:r>
      <w:r w:rsidRPr="00C03A9F">
        <w:rPr>
          <w:u w:color="E6E7E8" w:themeColor="background2"/>
        </w:rPr>
        <w:t xml:space="preserve"> </w:t>
      </w:r>
      <w:r w:rsidRPr="00C03A9F">
        <w:rPr>
          <w:i/>
          <w:iCs/>
          <w:u w:color="E6E7E8" w:themeColor="background2"/>
        </w:rPr>
        <w:t>Crime and Corruption Act 2001</w:t>
      </w:r>
      <w:r w:rsidRPr="00C03A9F">
        <w:rPr>
          <w:u w:color="E6E7E8" w:themeColor="background2"/>
        </w:rPr>
        <w:t xml:space="preserve"> requires the PCCC to review and report on our activities every five years, including making any recommendations about changes to our functions and powers. The PCCC’s </w:t>
      </w:r>
      <w:r w:rsidRPr="009C15F9">
        <w:rPr>
          <w:i/>
          <w:iCs/>
          <w:u w:color="E6E7E8" w:themeColor="background2"/>
        </w:rPr>
        <w:t>Five-Year Review 2021</w:t>
      </w:r>
      <w:r w:rsidR="003D72B0" w:rsidRPr="00C03A9F">
        <w:rPr>
          <w:u w:color="E6E7E8" w:themeColor="background2"/>
        </w:rPr>
        <w:t xml:space="preserve"> </w:t>
      </w:r>
      <w:r w:rsidRPr="00C03A9F">
        <w:rPr>
          <w:u w:color="E6E7E8" w:themeColor="background2"/>
        </w:rPr>
        <w:t>report made 30 recommendations, of which five are the direct responsibility of the CCC to implement.</w:t>
      </w:r>
    </w:p>
    <w:p w14:paraId="59A72A5C" w14:textId="4FBC0959" w:rsidR="003F4083" w:rsidRDefault="00EC1518" w:rsidP="00C03A9F">
      <w:pPr>
        <w:rPr>
          <w:color w:val="414042" w:themeColor="text1"/>
        </w:rPr>
      </w:pPr>
      <w:r w:rsidRPr="00AF0D5C">
        <w:rPr>
          <w:bCs/>
          <w:color w:val="414042" w:themeColor="text1"/>
          <w:u w:color="E6E7E8" w:themeColor="background2"/>
        </w:rPr>
        <w:t xml:space="preserve">As at 30 June 2024, the CCC has completed </w:t>
      </w:r>
      <w:r w:rsidR="00A260E0" w:rsidRPr="00AF0D5C">
        <w:rPr>
          <w:bCs/>
          <w:color w:val="414042" w:themeColor="text1"/>
          <w:u w:color="E6E7E8" w:themeColor="background2"/>
        </w:rPr>
        <w:t>the</w:t>
      </w:r>
      <w:r w:rsidRPr="00AF0D5C">
        <w:rPr>
          <w:bCs/>
          <w:color w:val="414042" w:themeColor="text1"/>
          <w:u w:color="E6E7E8" w:themeColor="background2"/>
        </w:rPr>
        <w:t xml:space="preserve"> recommendation arising from the </w:t>
      </w:r>
      <w:r w:rsidRPr="00AF0D5C">
        <w:rPr>
          <w:bCs/>
          <w:i/>
          <w:iCs/>
          <w:color w:val="414042" w:themeColor="text1"/>
          <w:u w:color="E6E7E8" w:themeColor="background2"/>
        </w:rPr>
        <w:t>Five-Year Review 2021</w:t>
      </w:r>
      <w:r w:rsidR="00A260E0" w:rsidRPr="00AF0D5C">
        <w:rPr>
          <w:bCs/>
          <w:i/>
          <w:iCs/>
          <w:color w:val="414042" w:themeColor="text1"/>
          <w:u w:color="E6E7E8" w:themeColor="background2"/>
        </w:rPr>
        <w:t xml:space="preserve"> </w:t>
      </w:r>
      <w:r w:rsidR="00A260E0" w:rsidRPr="00AF0D5C">
        <w:rPr>
          <w:bCs/>
          <w:color w:val="414042" w:themeColor="text1"/>
          <w:u w:color="E6E7E8" w:themeColor="background2"/>
        </w:rPr>
        <w:t>that t</w:t>
      </w:r>
      <w:r w:rsidRPr="00AF0D5C">
        <w:rPr>
          <w:color w:val="414042" w:themeColor="text1"/>
        </w:rPr>
        <w:t>he CCC produce easily accessible material to assist in the education of persons (and their legal representatives) participating in coercive hearings (</w:t>
      </w:r>
      <w:r w:rsidRPr="00E402EC">
        <w:rPr>
          <w:rStyle w:val="RecommendChar"/>
        </w:rPr>
        <w:t>Recommendation 11</w:t>
      </w:r>
      <w:r w:rsidRPr="00AF0D5C">
        <w:rPr>
          <w:color w:val="414042" w:themeColor="text1"/>
        </w:rPr>
        <w:t>).</w:t>
      </w:r>
    </w:p>
    <w:p w14:paraId="663182BB" w14:textId="7DAC64E2" w:rsidR="00CF45DC" w:rsidRPr="00AF0D5C" w:rsidRDefault="00CF45DC" w:rsidP="00427D86">
      <w:pPr>
        <w:spacing w:before="240"/>
        <w:rPr>
          <w:bCs/>
          <w:color w:val="414042" w:themeColor="text1"/>
          <w:u w:color="E6E7E8" w:themeColor="background2"/>
        </w:rPr>
      </w:pPr>
      <w:r w:rsidRPr="00AF0D5C">
        <w:rPr>
          <w:bCs/>
          <w:color w:val="414042" w:themeColor="text1"/>
          <w:u w:color="E6E7E8" w:themeColor="background2"/>
        </w:rPr>
        <w:t xml:space="preserve">The CCC continues to progress four </w:t>
      </w:r>
      <w:r w:rsidR="00295360" w:rsidRPr="00AF0D5C">
        <w:rPr>
          <w:bCs/>
          <w:color w:val="414042" w:themeColor="text1"/>
          <w:u w:color="E6E7E8" w:themeColor="background2"/>
        </w:rPr>
        <w:t xml:space="preserve">other </w:t>
      </w:r>
      <w:r w:rsidRPr="00AF0D5C">
        <w:rPr>
          <w:bCs/>
          <w:color w:val="414042" w:themeColor="text1"/>
          <w:u w:color="E6E7E8" w:themeColor="background2"/>
        </w:rPr>
        <w:t>recommendations:</w:t>
      </w:r>
    </w:p>
    <w:p w14:paraId="248D9F6D" w14:textId="428F2B88" w:rsidR="00B010F3" w:rsidRPr="00AF0D5C" w:rsidRDefault="00B010F3" w:rsidP="00427D86">
      <w:pPr>
        <w:pStyle w:val="Bulletpoints0"/>
        <w:numPr>
          <w:ilvl w:val="0"/>
          <w:numId w:val="0"/>
        </w:numPr>
      </w:pPr>
      <w:r w:rsidRPr="00E402EC">
        <w:rPr>
          <w:rStyle w:val="RecommendChar"/>
        </w:rPr>
        <w:t>Recommendation 6</w:t>
      </w:r>
      <w:r w:rsidRPr="00AF0D5C">
        <w:t xml:space="preserve"> has been impacted by the challenge to the exercise of CCC reporting powers resulting in the High Court’s decision in</w:t>
      </w:r>
      <w:r w:rsidRPr="00AF0D5C">
        <w:rPr>
          <w:i/>
          <w:iCs/>
        </w:rPr>
        <w:t xml:space="preserve"> Carne v Crime and Corruption Commission [2023] HCA 28. </w:t>
      </w:r>
      <w:r w:rsidRPr="00AF0D5C">
        <w:t xml:space="preserve">The subsequent Independent Review into the CCC’s Reporting on the Performance of its Corruption Functions </w:t>
      </w:r>
      <w:r w:rsidR="00EF1F61" w:rsidRPr="00AF0D5C">
        <w:t xml:space="preserve">has </w:t>
      </w:r>
      <w:r w:rsidRPr="00AF0D5C">
        <w:t>recommended amendment</w:t>
      </w:r>
      <w:r w:rsidR="00EF1F61" w:rsidRPr="00AF0D5C">
        <w:t>s</w:t>
      </w:r>
      <w:r w:rsidRPr="00AF0D5C">
        <w:t xml:space="preserve"> to the </w:t>
      </w:r>
      <w:r w:rsidRPr="00AF0D5C">
        <w:rPr>
          <w:i/>
          <w:iCs/>
        </w:rPr>
        <w:t>Crime and Corruption Act</w:t>
      </w:r>
      <w:r w:rsidR="00357D15" w:rsidRPr="00AF0D5C">
        <w:rPr>
          <w:i/>
          <w:iCs/>
        </w:rPr>
        <w:t xml:space="preserve"> 2001</w:t>
      </w:r>
      <w:r w:rsidRPr="00AF0D5C">
        <w:t xml:space="preserve">. </w:t>
      </w:r>
    </w:p>
    <w:p w14:paraId="49C75FB7" w14:textId="2EBFF531" w:rsidR="003F4083" w:rsidRDefault="00427D86" w:rsidP="00427D86">
      <w:pPr>
        <w:pStyle w:val="Bulletpoints0"/>
        <w:numPr>
          <w:ilvl w:val="0"/>
          <w:numId w:val="0"/>
        </w:numPr>
      </w:pPr>
      <w:r w:rsidRPr="00427D86">
        <w:rPr>
          <w:rStyle w:val="RecommendChar"/>
        </w:rPr>
        <w:t>Recommendation 7</w:t>
      </w:r>
      <w:r>
        <w:t xml:space="preserve"> </w:t>
      </w:r>
      <w:r w:rsidR="00360CEB">
        <w:t xml:space="preserve">– </w:t>
      </w:r>
      <w:r w:rsidR="00207989" w:rsidRPr="00AF0D5C">
        <w:t xml:space="preserve">The CCC had previously engaged with the Department of Justice and Attorney-General </w:t>
      </w:r>
      <w:r w:rsidR="00A451F4" w:rsidRPr="00AF0D5C">
        <w:t xml:space="preserve">(DJAG) </w:t>
      </w:r>
      <w:r w:rsidR="00207989" w:rsidRPr="00AF0D5C">
        <w:t>regarding options to allow for the secretariat functions for the Commissioner for Police Service Review</w:t>
      </w:r>
      <w:r w:rsidR="00976177" w:rsidRPr="00AF0D5C">
        <w:t>s</w:t>
      </w:r>
      <w:r w:rsidR="00207989" w:rsidRPr="00AF0D5C">
        <w:t xml:space="preserve"> to be transferred from the CCC to another appropriate entity, separate from the QPS</w:t>
      </w:r>
      <w:r>
        <w:t>.</w:t>
      </w:r>
      <w:r w:rsidR="00360CEB">
        <w:t xml:space="preserve"> </w:t>
      </w:r>
      <w:r w:rsidR="00207989" w:rsidRPr="00AF0D5C">
        <w:t xml:space="preserve">As that recommendation was not progressed in the </w:t>
      </w:r>
      <w:r w:rsidR="00207989" w:rsidRPr="00514FDD">
        <w:t>Crime and Corruption (And Other Legislation) Amendment Bill</w:t>
      </w:r>
      <w:r w:rsidR="00514FDD">
        <w:t xml:space="preserve"> 2024</w:t>
      </w:r>
      <w:r w:rsidR="00207989" w:rsidRPr="00AF0D5C">
        <w:t>, it has not been the focus of further engagement with DJAG during the reporting period. However, engagement has occurred with other stakeholders as to potential solutions.</w:t>
      </w:r>
      <w:r w:rsidR="003F4083">
        <w:br w:type="page"/>
      </w:r>
    </w:p>
    <w:p w14:paraId="6829CFD1" w14:textId="3EAAA0C0" w:rsidR="00B010F3" w:rsidRPr="00AF0D5C" w:rsidRDefault="00360CEB" w:rsidP="00360CEB">
      <w:pPr>
        <w:pStyle w:val="Bulletpoints0"/>
        <w:numPr>
          <w:ilvl w:val="0"/>
          <w:numId w:val="0"/>
        </w:numPr>
        <w:rPr>
          <w:rFonts w:ascii="Calibri" w:hAnsi="Calibri"/>
        </w:rPr>
      </w:pPr>
      <w:r w:rsidRPr="00E402EC">
        <w:rPr>
          <w:rStyle w:val="RecommendChar"/>
        </w:rPr>
        <w:t>Recommendation 23</w:t>
      </w:r>
      <w:r w:rsidRPr="00360CEB">
        <w:rPr>
          <w:rStyle w:val="RecommendChar"/>
          <w:b w:val="0"/>
          <w:bCs/>
        </w:rPr>
        <w:t xml:space="preserve"> </w:t>
      </w:r>
      <w:r>
        <w:rPr>
          <w:rStyle w:val="RecommendChar"/>
          <w:b w:val="0"/>
          <w:bCs/>
        </w:rPr>
        <w:t xml:space="preserve">– </w:t>
      </w:r>
      <w:r w:rsidR="00B010F3" w:rsidRPr="00AF0D5C">
        <w:t xml:space="preserve">The CCC and the Queensland Parliament (through the Speaker of the Legislative Assembly) will continue working on the </w:t>
      </w:r>
      <w:r w:rsidR="00207989" w:rsidRPr="00AF0D5C">
        <w:t>development of a secure information sharing protocol between the CCC and the Parliament</w:t>
      </w:r>
      <w:r>
        <w:t>.</w:t>
      </w:r>
      <w:r w:rsidR="00A451F4" w:rsidRPr="00AF0D5C">
        <w:t xml:space="preserve"> This </w:t>
      </w:r>
      <w:r w:rsidR="00207989" w:rsidRPr="00AF0D5C">
        <w:t>has not been progressed during the reporting period, given other priorities.</w:t>
      </w:r>
    </w:p>
    <w:p w14:paraId="68503FB2" w14:textId="5DE8CFF7" w:rsidR="00295360" w:rsidRPr="00AF0D5C" w:rsidRDefault="00360CEB" w:rsidP="00360CEB">
      <w:pPr>
        <w:pStyle w:val="Bulletpoints0"/>
        <w:numPr>
          <w:ilvl w:val="0"/>
          <w:numId w:val="0"/>
        </w:numPr>
        <w:spacing w:after="360"/>
        <w:ind w:right="142"/>
      </w:pPr>
      <w:r w:rsidRPr="00E402EC">
        <w:rPr>
          <w:rStyle w:val="RecommendChar"/>
        </w:rPr>
        <w:t>Recommendation 29</w:t>
      </w:r>
      <w:r>
        <w:rPr>
          <w:rStyle w:val="RecommendChar"/>
        </w:rPr>
        <w:t xml:space="preserve"> </w:t>
      </w:r>
      <w:r w:rsidRPr="00360CEB">
        <w:rPr>
          <w:rStyle w:val="RecommendChar"/>
          <w:b w:val="0"/>
          <w:bCs/>
        </w:rPr>
        <w:t xml:space="preserve">– </w:t>
      </w:r>
      <w:r w:rsidR="00B010F3" w:rsidRPr="00AF0D5C">
        <w:t>The CCC Corruption Strategy 2023–27 places much greater emphasis on creating shared responsibility for dealing with complaints and working together with our public and private sector partners. We will more effectively engage with our partners and deliver additional corruption-related guidance to improve public confidence that corruption complaints will be dealt with effectively</w:t>
      </w:r>
      <w:r>
        <w:t>.</w:t>
      </w:r>
    </w:p>
    <w:tbl>
      <w:tblPr>
        <w:tblStyle w:val="Annualreport2020-21"/>
        <w:tblpPr w:leftFromText="180" w:rightFromText="180" w:vertAnchor="text" w:horzAnchor="margin" w:tblpY="149"/>
        <w:tblW w:w="0" w:type="auto"/>
        <w:shd w:val="clear" w:color="auto" w:fill="F2F2F2" w:themeFill="background1" w:themeFillShade="F2"/>
        <w:tblLook w:val="04A0" w:firstRow="1" w:lastRow="0" w:firstColumn="1" w:lastColumn="0" w:noHBand="0" w:noVBand="1"/>
      </w:tblPr>
      <w:tblGrid>
        <w:gridCol w:w="4535"/>
      </w:tblGrid>
      <w:tr w:rsidR="003F4083" w:rsidRPr="00AF0D5C" w14:paraId="437DCC29" w14:textId="77777777" w:rsidTr="003F4083">
        <w:trPr>
          <w:cnfStyle w:val="100000000000" w:firstRow="1" w:lastRow="0" w:firstColumn="0" w:lastColumn="0" w:oddVBand="0" w:evenVBand="0" w:oddHBand="0" w:evenHBand="0" w:firstRowFirstColumn="0" w:firstRowLastColumn="0" w:lastRowFirstColumn="0" w:lastRowLastColumn="0"/>
        </w:trPr>
        <w:tc>
          <w:tcPr>
            <w:tcW w:w="4535" w:type="dxa"/>
            <w:tcBorders>
              <w:top w:val="nil"/>
              <w:bottom w:val="nil"/>
            </w:tcBorders>
            <w:shd w:val="clear" w:color="auto" w:fill="F2F2F2" w:themeFill="background1" w:themeFillShade="F2"/>
          </w:tcPr>
          <w:p w14:paraId="0FBF932D" w14:textId="77777777" w:rsidR="003F4083" w:rsidRPr="00AF0D5C" w:rsidRDefault="003F4083" w:rsidP="006E4DF8">
            <w:pPr>
              <w:pStyle w:val="Heading4"/>
              <w:spacing w:after="240"/>
            </w:pPr>
            <w:r w:rsidRPr="00AF0D5C">
              <w:br w:type="column"/>
            </w:r>
            <w:r w:rsidRPr="00AF0D5C">
              <w:br w:type="column"/>
            </w:r>
            <w:r w:rsidRPr="00AF0D5C">
              <w:br w:type="column"/>
            </w:r>
            <w:r w:rsidRPr="00AF0D5C">
              <w:br w:type="column"/>
            </w:r>
            <w:r w:rsidRPr="00AF0D5C">
              <w:br w:type="column"/>
            </w:r>
            <w:r w:rsidRPr="00E402EC">
              <w:rPr>
                <w:rStyle w:val="6Bold11Char"/>
              </w:rPr>
              <w:t>A call for change: Independent Commission of Inquiry into Queensland Police Service responses to domestic and family violence (</w:t>
            </w:r>
            <w:r w:rsidRPr="00E402EC">
              <w:rPr>
                <w:rStyle w:val="6Bold11Char"/>
                <w:i/>
                <w:iCs w:val="0"/>
              </w:rPr>
              <w:t>DFV Inquiry</w:t>
            </w:r>
            <w:r w:rsidRPr="00E402EC">
              <w:rPr>
                <w:rStyle w:val="6Bold11Char"/>
              </w:rPr>
              <w:t>)</w:t>
            </w:r>
            <w:r w:rsidRPr="00AF0D5C">
              <w:br/>
            </w:r>
            <w:r w:rsidRPr="00AF0D5C">
              <w:rPr>
                <w:rFonts w:eastAsiaTheme="majorEastAsia"/>
              </w:rPr>
              <w:t>30 May 2022 to 21 November 2022</w:t>
            </w:r>
          </w:p>
        </w:tc>
      </w:tr>
    </w:tbl>
    <w:p w14:paraId="2D2B5AF2" w14:textId="54A8AA05" w:rsidR="00295360" w:rsidRPr="00AF0D5C" w:rsidRDefault="00295360" w:rsidP="0022187F">
      <w:pPr>
        <w:pStyle w:val="Bullets"/>
        <w:ind w:left="502" w:hanging="360"/>
        <w:rPr>
          <w:color w:val="414042" w:themeColor="text1"/>
          <w:sz w:val="2"/>
          <w:szCs w:val="2"/>
        </w:rPr>
      </w:pPr>
    </w:p>
    <w:p w14:paraId="20D6401E" w14:textId="60B8A5EC" w:rsidR="00F12C55" w:rsidRPr="00AF0D5C" w:rsidRDefault="00F12C55" w:rsidP="00210A29">
      <w:pPr>
        <w:keepNext/>
        <w:keepLines/>
        <w:spacing w:before="480" w:after="120"/>
        <w:rPr>
          <w:bCs/>
          <w:color w:val="414042" w:themeColor="text1"/>
          <w:u w:color="E6E7E8" w:themeColor="background2"/>
        </w:rPr>
      </w:pPr>
      <w:r w:rsidRPr="00AF0D5C">
        <w:rPr>
          <w:bCs/>
          <w:color w:val="414042" w:themeColor="text1"/>
          <w:u w:color="E6E7E8" w:themeColor="background2"/>
        </w:rPr>
        <w:t>The DFV Inquiry was established</w:t>
      </w:r>
      <w:r w:rsidRPr="00AF0D5C">
        <w:rPr>
          <w:color w:val="414042" w:themeColor="text1"/>
        </w:rPr>
        <w:t xml:space="preserve"> </w:t>
      </w:r>
      <w:r w:rsidRPr="00AF0D5C">
        <w:rPr>
          <w:bCs/>
          <w:color w:val="414042" w:themeColor="text1"/>
          <w:u w:color="E6E7E8" w:themeColor="background2"/>
        </w:rPr>
        <w:t>to inquire into any cultural issues within the QPS that influence the investigation of domestic and family violence</w:t>
      </w:r>
      <w:r w:rsidR="002932D2" w:rsidRPr="00AF0D5C">
        <w:rPr>
          <w:bCs/>
          <w:color w:val="414042" w:themeColor="text1"/>
          <w:u w:color="E6E7E8" w:themeColor="background2"/>
        </w:rPr>
        <w:t xml:space="preserve"> (DFV)</w:t>
      </w:r>
      <w:r w:rsidRPr="00AF0D5C">
        <w:rPr>
          <w:bCs/>
          <w:color w:val="414042" w:themeColor="text1"/>
          <w:u w:color="E6E7E8" w:themeColor="background2"/>
        </w:rPr>
        <w:t xml:space="preserve">, and how those cultural issues contribute to the overrepresentation of First Nations peoples in the criminal justice system. The Commission </w:t>
      </w:r>
      <w:r w:rsidR="002932D2" w:rsidRPr="00AF0D5C">
        <w:rPr>
          <w:bCs/>
          <w:color w:val="414042" w:themeColor="text1"/>
          <w:u w:color="E6E7E8" w:themeColor="background2"/>
        </w:rPr>
        <w:t xml:space="preserve">also </w:t>
      </w:r>
      <w:r w:rsidRPr="00AF0D5C">
        <w:rPr>
          <w:bCs/>
          <w:color w:val="414042" w:themeColor="text1"/>
          <w:u w:color="E6E7E8" w:themeColor="background2"/>
        </w:rPr>
        <w:t>inquire</w:t>
      </w:r>
      <w:r w:rsidR="002932D2" w:rsidRPr="00AF0D5C">
        <w:rPr>
          <w:bCs/>
          <w:color w:val="414042" w:themeColor="text1"/>
          <w:u w:color="E6E7E8" w:themeColor="background2"/>
        </w:rPr>
        <w:t>d</w:t>
      </w:r>
      <w:r w:rsidRPr="00AF0D5C">
        <w:rPr>
          <w:bCs/>
          <w:color w:val="414042" w:themeColor="text1"/>
          <w:u w:color="E6E7E8" w:themeColor="background2"/>
        </w:rPr>
        <w:t xml:space="preserve"> into the capability, capacity and structure of the QPS to respond to </w:t>
      </w:r>
      <w:r w:rsidR="002932D2" w:rsidRPr="00AF0D5C">
        <w:rPr>
          <w:bCs/>
          <w:color w:val="414042" w:themeColor="text1"/>
          <w:u w:color="E6E7E8" w:themeColor="background2"/>
        </w:rPr>
        <w:t>DFV</w:t>
      </w:r>
      <w:r w:rsidRPr="00AF0D5C">
        <w:rPr>
          <w:bCs/>
          <w:color w:val="414042" w:themeColor="text1"/>
          <w:u w:color="E6E7E8" w:themeColor="background2"/>
        </w:rPr>
        <w:t>, and the adequacy of the processes for dealing with complaints about police officers to ensure community confidence in the QPS.</w:t>
      </w:r>
    </w:p>
    <w:p w14:paraId="0F498553" w14:textId="77777777" w:rsidR="006E4DF8" w:rsidRDefault="00FD4C26" w:rsidP="00FD4C26">
      <w:pPr>
        <w:keepNext/>
        <w:keepLines/>
        <w:rPr>
          <w:bCs/>
          <w:color w:val="414042" w:themeColor="text1"/>
          <w:u w:color="E6E7E8" w:themeColor="background2"/>
        </w:rPr>
      </w:pPr>
      <w:r>
        <w:rPr>
          <w:bCs/>
          <w:color w:val="414042" w:themeColor="text1"/>
          <w:u w:color="E6E7E8" w:themeColor="background2"/>
        </w:rPr>
        <w:br w:type="column"/>
      </w:r>
      <w:bookmarkStart w:id="932" w:name="_Hlk173141661"/>
      <w:r w:rsidR="006E4DF8" w:rsidRPr="00AF0D5C">
        <w:rPr>
          <w:bCs/>
          <w:color w:val="414042" w:themeColor="text1"/>
          <w:u w:color="E6E7E8" w:themeColor="background2"/>
        </w:rPr>
        <w:t>The final report was publicly released on 21 November 2022 and made 78 recommendations, of which two (</w:t>
      </w:r>
      <w:r w:rsidR="006E4DF8" w:rsidRPr="00E402EC">
        <w:rPr>
          <w:rStyle w:val="RecommendChar"/>
        </w:rPr>
        <w:t>Recommendations 70</w:t>
      </w:r>
      <w:r w:rsidR="006E4DF8" w:rsidRPr="00AF0D5C">
        <w:rPr>
          <w:bCs/>
          <w:color w:val="414042" w:themeColor="text1"/>
          <w:u w:color="E6E7E8" w:themeColor="background2"/>
        </w:rPr>
        <w:t xml:space="preserve"> and </w:t>
      </w:r>
      <w:r w:rsidR="006E4DF8" w:rsidRPr="00E402EC">
        <w:rPr>
          <w:rStyle w:val="RecommendChar"/>
        </w:rPr>
        <w:t>71</w:t>
      </w:r>
      <w:r w:rsidR="006E4DF8" w:rsidRPr="00AF0D5C">
        <w:rPr>
          <w:bCs/>
          <w:color w:val="414042" w:themeColor="text1"/>
          <w:u w:color="E6E7E8" w:themeColor="background2"/>
        </w:rPr>
        <w:t>) were directed at the CCC and two (</w:t>
      </w:r>
      <w:r w:rsidR="006E4DF8" w:rsidRPr="00E402EC">
        <w:rPr>
          <w:rStyle w:val="RecommendChar"/>
        </w:rPr>
        <w:t>Recommendations 68</w:t>
      </w:r>
      <w:r w:rsidR="006E4DF8" w:rsidRPr="00AF0D5C">
        <w:rPr>
          <w:bCs/>
          <w:color w:val="414042" w:themeColor="text1"/>
          <w:u w:color="E6E7E8" w:themeColor="background2"/>
        </w:rPr>
        <w:t xml:space="preserve"> and </w:t>
      </w:r>
      <w:r w:rsidR="006E4DF8" w:rsidRPr="00E402EC">
        <w:rPr>
          <w:rStyle w:val="RecommendChar"/>
        </w:rPr>
        <w:t>69</w:t>
      </w:r>
      <w:r w:rsidR="006E4DF8" w:rsidRPr="00AF0D5C">
        <w:rPr>
          <w:bCs/>
          <w:color w:val="414042" w:themeColor="text1"/>
          <w:u w:color="E6E7E8" w:themeColor="background2"/>
        </w:rPr>
        <w:t xml:space="preserve">) which will directly impact the CCC if the Queensland Government supports the establishment of an independent Police Integrity Unit to be housed within the CCC. </w:t>
      </w:r>
    </w:p>
    <w:p w14:paraId="57748972" w14:textId="005976E1" w:rsidR="00C3737A" w:rsidRPr="00443170" w:rsidRDefault="002932D2" w:rsidP="00443170">
      <w:pPr>
        <w:keepNext/>
        <w:keepLines/>
        <w:spacing w:after="360"/>
        <w:rPr>
          <w:bCs/>
          <w:color w:val="414042" w:themeColor="text1"/>
          <w:u w:color="E6E7E8" w:themeColor="background2"/>
        </w:rPr>
      </w:pPr>
      <w:r w:rsidRPr="00AF0D5C">
        <w:rPr>
          <w:bCs/>
          <w:color w:val="414042" w:themeColor="text1"/>
          <w:u w:color="E6E7E8" w:themeColor="background2"/>
        </w:rPr>
        <w:t>We</w:t>
      </w:r>
      <w:r w:rsidR="00527210" w:rsidRPr="00AF0D5C">
        <w:rPr>
          <w:bCs/>
          <w:color w:val="414042" w:themeColor="text1"/>
          <w:u w:color="E6E7E8" w:themeColor="background2"/>
        </w:rPr>
        <w:t xml:space="preserve"> c</w:t>
      </w:r>
      <w:r w:rsidR="00B22CA5" w:rsidRPr="00AF0D5C">
        <w:rPr>
          <w:bCs/>
          <w:color w:val="414042" w:themeColor="text1"/>
          <w:u w:color="E6E7E8" w:themeColor="background2"/>
        </w:rPr>
        <w:t xml:space="preserve">ompleted </w:t>
      </w:r>
      <w:r w:rsidR="00527210" w:rsidRPr="00AF0D5C">
        <w:rPr>
          <w:bCs/>
          <w:color w:val="414042" w:themeColor="text1"/>
          <w:u w:color="E6E7E8" w:themeColor="background2"/>
        </w:rPr>
        <w:t xml:space="preserve">work on designing and evaluating </w:t>
      </w:r>
      <w:r w:rsidR="00787E23" w:rsidRPr="00AF0D5C">
        <w:rPr>
          <w:bCs/>
          <w:color w:val="414042" w:themeColor="text1"/>
          <w:u w:color="E6E7E8" w:themeColor="background2"/>
        </w:rPr>
        <w:t xml:space="preserve">options </w:t>
      </w:r>
      <w:r w:rsidR="00527210" w:rsidRPr="00AF0D5C">
        <w:rPr>
          <w:bCs/>
          <w:color w:val="414042" w:themeColor="text1"/>
          <w:u w:color="E6E7E8" w:themeColor="background2"/>
        </w:rPr>
        <w:t>for the management of police conduct and complaints which seek to best achieve an effective complaints system that is independent, effective and fair, accessible and responsive, transparent, timely and proportionate.</w:t>
      </w:r>
      <w:r w:rsidR="0000709C" w:rsidRPr="00AF0D5C">
        <w:rPr>
          <w:bCs/>
          <w:color w:val="414042" w:themeColor="text1"/>
          <w:u w:color="E6E7E8" w:themeColor="background2"/>
        </w:rPr>
        <w:t xml:space="preserve"> </w:t>
      </w:r>
      <w:bookmarkEnd w:id="932"/>
      <w:r w:rsidR="00B22CA5" w:rsidRPr="00AF0D5C">
        <w:rPr>
          <w:bCs/>
          <w:color w:val="414042" w:themeColor="text1"/>
          <w:u w:color="E6E7E8" w:themeColor="background2"/>
        </w:rPr>
        <w:t>These options are being considered by the Queensland Government.</w:t>
      </w:r>
    </w:p>
    <w:tbl>
      <w:tblPr>
        <w:tblStyle w:val="Annualreport2020-21"/>
        <w:tblW w:w="0" w:type="auto"/>
        <w:tblLook w:val="04A0" w:firstRow="1" w:lastRow="0" w:firstColumn="1" w:lastColumn="0" w:noHBand="0" w:noVBand="1"/>
      </w:tblPr>
      <w:tblGrid>
        <w:gridCol w:w="4535"/>
      </w:tblGrid>
      <w:tr w:rsidR="00AF0D5C" w:rsidRPr="00AF0D5C" w14:paraId="78FC908B" w14:textId="77777777" w:rsidTr="00EA7AA8">
        <w:trPr>
          <w:cnfStyle w:val="100000000000" w:firstRow="1" w:lastRow="0" w:firstColumn="0" w:lastColumn="0" w:oddVBand="0" w:evenVBand="0" w:oddHBand="0" w:evenHBand="0" w:firstRowFirstColumn="0" w:firstRowLastColumn="0" w:lastRowFirstColumn="0" w:lastRowLastColumn="0"/>
        </w:trPr>
        <w:tc>
          <w:tcPr>
            <w:tcW w:w="4535" w:type="dxa"/>
            <w:tcBorders>
              <w:top w:val="nil"/>
              <w:bottom w:val="nil"/>
            </w:tcBorders>
            <w:shd w:val="clear" w:color="auto" w:fill="F2F2F2" w:themeFill="background1" w:themeFillShade="F2"/>
          </w:tcPr>
          <w:p w14:paraId="12D10D6C" w14:textId="06C9AEB9" w:rsidR="00600665" w:rsidRPr="00AF0D5C" w:rsidRDefault="00C3737A" w:rsidP="006E4DF8">
            <w:pPr>
              <w:pStyle w:val="Heading4"/>
              <w:spacing w:after="240"/>
            </w:pPr>
            <w:r w:rsidRPr="00AF0D5C">
              <w:br w:type="column"/>
            </w:r>
            <w:r w:rsidR="00600665" w:rsidRPr="0097139B">
              <w:rPr>
                <w:b/>
              </w:rPr>
              <w:t>Independent review into the Crime and Corruption Commission’s reporting on the performance of its corruption functions</w:t>
            </w:r>
            <w:r w:rsidR="00600665" w:rsidRPr="00AF0D5C">
              <w:br/>
            </w:r>
            <w:r w:rsidR="00600665" w:rsidRPr="00AF0D5C">
              <w:rPr>
                <w:rFonts w:eastAsiaTheme="majorEastAsia"/>
              </w:rPr>
              <w:t>19 February to 20 May 2024</w:t>
            </w:r>
          </w:p>
        </w:tc>
      </w:tr>
    </w:tbl>
    <w:p w14:paraId="127A6E70" w14:textId="136E97CC" w:rsidR="00295360" w:rsidRPr="00AF0D5C" w:rsidRDefault="00295360" w:rsidP="00210A29">
      <w:pPr>
        <w:spacing w:before="480"/>
        <w:ind w:right="-142"/>
        <w:rPr>
          <w:color w:val="414042" w:themeColor="text1"/>
        </w:rPr>
      </w:pPr>
      <w:bookmarkStart w:id="933" w:name="_Hlk173139692"/>
      <w:r w:rsidRPr="00AF0D5C">
        <w:rPr>
          <w:color w:val="414042" w:themeColor="text1"/>
        </w:rPr>
        <w:t xml:space="preserve">The Honourable Catherine Holmes AC SC was appointed to independently review the CCC’s reporting on the performance of its corruption functions following the decision of the High Court in </w:t>
      </w:r>
      <w:r w:rsidR="00AC0974" w:rsidRPr="00AF0D5C">
        <w:rPr>
          <w:i/>
          <w:iCs/>
          <w:color w:val="414042" w:themeColor="text1"/>
        </w:rPr>
        <w:t>Carne v Crime and Corruption Commission [2023] HCA 28</w:t>
      </w:r>
      <w:r w:rsidRPr="00AF0D5C">
        <w:rPr>
          <w:color w:val="414042" w:themeColor="text1"/>
        </w:rPr>
        <w:t xml:space="preserve">. </w:t>
      </w:r>
    </w:p>
    <w:p w14:paraId="7DEB681F" w14:textId="41BB4BC6" w:rsidR="00295360" w:rsidRPr="00AF0D5C" w:rsidRDefault="00295360" w:rsidP="006E4DF8">
      <w:pPr>
        <w:ind w:right="-143"/>
        <w:rPr>
          <w:color w:val="414042" w:themeColor="text1"/>
        </w:rPr>
      </w:pPr>
      <w:r w:rsidRPr="00AF0D5C">
        <w:rPr>
          <w:color w:val="414042" w:themeColor="text1"/>
        </w:rPr>
        <w:t>The Reviewer inquired into what reporting and public statement powers would appropriately be conferred on the CCC and whether the legislative amendments to the CC Act should be made to operate retrospectively or validate previous reports of the CCC and its predecessors.</w:t>
      </w:r>
    </w:p>
    <w:p w14:paraId="5B94A20F" w14:textId="75CF3258" w:rsidR="00034078" w:rsidRPr="00AF0D5C" w:rsidRDefault="00295360" w:rsidP="006E4DF8">
      <w:pPr>
        <w:spacing w:after="40"/>
        <w:ind w:right="-143"/>
        <w:rPr>
          <w:color w:val="414042" w:themeColor="text1"/>
        </w:rPr>
      </w:pPr>
      <w:r w:rsidRPr="00AF0D5C">
        <w:rPr>
          <w:color w:val="414042" w:themeColor="text1"/>
        </w:rPr>
        <w:t xml:space="preserve">The report was provided to </w:t>
      </w:r>
      <w:r w:rsidR="00841CE9" w:rsidRPr="00AF0D5C">
        <w:rPr>
          <w:color w:val="414042" w:themeColor="text1"/>
        </w:rPr>
        <w:t>the Queensland g</w:t>
      </w:r>
      <w:r w:rsidRPr="00AF0D5C">
        <w:rPr>
          <w:color w:val="414042" w:themeColor="text1"/>
        </w:rPr>
        <w:t xml:space="preserve">overnment on 20 May 2024 and made 16 recommendations to be addressed through amendments to the CC Act. The </w:t>
      </w:r>
      <w:r w:rsidR="00841CE9" w:rsidRPr="00AF0D5C">
        <w:rPr>
          <w:color w:val="414042" w:themeColor="text1"/>
        </w:rPr>
        <w:t xml:space="preserve">Queensland </w:t>
      </w:r>
      <w:r w:rsidRPr="00AF0D5C">
        <w:rPr>
          <w:color w:val="414042" w:themeColor="text1"/>
        </w:rPr>
        <w:t xml:space="preserve">government has indicated that legislative amendments will be made to address the Reviewer’s recommendations.  </w:t>
      </w:r>
    </w:p>
    <w:bookmarkEnd w:id="933"/>
    <w:p w14:paraId="78EB849D" w14:textId="2EAE7903" w:rsidR="006E4DF8" w:rsidRDefault="006E4DF8" w:rsidP="00027058">
      <w:pPr>
        <w:spacing w:after="40"/>
        <w:rPr>
          <w:color w:val="414042" w:themeColor="text1"/>
        </w:rPr>
        <w:sectPr w:rsidR="006E4DF8" w:rsidSect="00105D07">
          <w:headerReference w:type="even" r:id="rId157"/>
          <w:pgSz w:w="11906" w:h="16838" w:code="9"/>
          <w:pgMar w:top="2155" w:right="1134" w:bottom="964" w:left="1134" w:header="720" w:footer="284" w:gutter="0"/>
          <w:cols w:num="2" w:space="567"/>
          <w:noEndnote/>
          <w:docGrid w:linePitch="272"/>
        </w:sectPr>
      </w:pPr>
    </w:p>
    <w:p w14:paraId="10E003E9" w14:textId="77777777" w:rsidR="00034078" w:rsidRPr="00AF0D5C" w:rsidRDefault="00034078" w:rsidP="00027058">
      <w:pPr>
        <w:spacing w:after="40"/>
        <w:rPr>
          <w:color w:val="414042" w:themeColor="text1"/>
        </w:rPr>
      </w:pPr>
    </w:p>
    <w:p w14:paraId="169E181E" w14:textId="2F3F7DA9" w:rsidR="00B4047B" w:rsidRPr="00AF0D5C" w:rsidRDefault="00B4047B" w:rsidP="00027058">
      <w:pPr>
        <w:spacing w:after="0"/>
        <w:rPr>
          <w:i/>
          <w:color w:val="414042" w:themeColor="text1"/>
          <w:szCs w:val="20"/>
        </w:rPr>
        <w:sectPr w:rsidR="00B4047B" w:rsidRPr="00AF0D5C" w:rsidSect="006E4DF8">
          <w:type w:val="continuous"/>
          <w:pgSz w:w="11906" w:h="16838" w:code="9"/>
          <w:pgMar w:top="2155" w:right="1134" w:bottom="964" w:left="1134" w:header="720" w:footer="284" w:gutter="0"/>
          <w:cols w:num="2" w:space="567"/>
          <w:noEndnote/>
          <w:docGrid w:linePitch="272"/>
        </w:sectPr>
      </w:pPr>
    </w:p>
    <w:p w14:paraId="08113154" w14:textId="771D7E44" w:rsidR="00040E63" w:rsidRPr="00B92D01" w:rsidRDefault="00040E63" w:rsidP="00E41B49">
      <w:pPr>
        <w:pStyle w:val="Figuretableheading0"/>
      </w:pPr>
      <w:r w:rsidRPr="00B92D01">
        <w:t xml:space="preserve">Table </w:t>
      </w:r>
      <w:r w:rsidR="00167332" w:rsidRPr="00B92D01">
        <w:t>1</w:t>
      </w:r>
      <w:r w:rsidRPr="00B92D01">
        <w:t>: S</w:t>
      </w:r>
      <w:r w:rsidR="00BF3018" w:rsidRPr="00B92D01">
        <w:t>tatus</w:t>
      </w:r>
      <w:r w:rsidRPr="00B92D01">
        <w:t xml:space="preserve"> of recommendations arising from external inquiries and reviews</w:t>
      </w:r>
    </w:p>
    <w:tbl>
      <w:tblPr>
        <w:tblStyle w:val="TableGridLight"/>
        <w:tblW w:w="0" w:type="auto"/>
        <w:tblBorders>
          <w:top w:val="none" w:sz="0" w:space="0" w:color="auto"/>
          <w:left w:val="none" w:sz="0" w:space="0" w:color="auto"/>
          <w:bottom w:val="none" w:sz="0" w:space="0" w:color="auto"/>
          <w:right w:val="none" w:sz="0" w:space="0" w:color="auto"/>
        </w:tblBorders>
        <w:tblLook w:val="0600" w:firstRow="0" w:lastRow="0" w:firstColumn="0" w:lastColumn="0" w:noHBand="1" w:noVBand="1"/>
      </w:tblPr>
      <w:tblGrid>
        <w:gridCol w:w="2690"/>
        <w:gridCol w:w="1279"/>
        <w:gridCol w:w="1560"/>
        <w:gridCol w:w="1559"/>
        <w:gridCol w:w="1270"/>
        <w:gridCol w:w="1280"/>
      </w:tblGrid>
      <w:tr w:rsidR="00AF0D5C" w:rsidRPr="00AF0D5C" w14:paraId="7E93D248" w14:textId="77777777" w:rsidTr="001C2089">
        <w:trPr>
          <w:trHeight w:val="340"/>
        </w:trPr>
        <w:tc>
          <w:tcPr>
            <w:tcW w:w="9638" w:type="dxa"/>
            <w:gridSpan w:val="6"/>
            <w:tcBorders>
              <w:bottom w:val="nil"/>
            </w:tcBorders>
            <w:shd w:val="clear" w:color="auto" w:fill="auto"/>
          </w:tcPr>
          <w:p w14:paraId="2BD0A698" w14:textId="05DC7595" w:rsidR="00BD0C90" w:rsidRPr="002D7B6F" w:rsidRDefault="00BD0C90" w:rsidP="002D7B6F">
            <w:pPr>
              <w:pStyle w:val="newBODYTEXT"/>
              <w:ind w:left="-100"/>
            </w:pPr>
            <w:r w:rsidRPr="002D7B6F">
              <w:t>No. and status of recommendations for which the CCC has direct responsibility</w:t>
            </w:r>
          </w:p>
        </w:tc>
      </w:tr>
      <w:tr w:rsidR="00AF0D5C" w:rsidRPr="00AF0D5C" w14:paraId="4AA18DFA" w14:textId="77777777" w:rsidTr="0041749C">
        <w:trPr>
          <w:trHeight w:val="379"/>
        </w:trPr>
        <w:tc>
          <w:tcPr>
            <w:tcW w:w="2690" w:type="dxa"/>
            <w:tcBorders>
              <w:top w:val="single" w:sz="4" w:space="0" w:color="BCBEC0" w:themeColor="accent5"/>
              <w:left w:val="single" w:sz="4" w:space="0" w:color="BCBEC0" w:themeColor="accent5"/>
              <w:bottom w:val="single" w:sz="4" w:space="0" w:color="BFBFBF" w:themeColor="background1" w:themeShade="BF"/>
            </w:tcBorders>
            <w:shd w:val="clear" w:color="auto" w:fill="414042" w:themeFill="text1"/>
            <w:vAlign w:val="center"/>
          </w:tcPr>
          <w:p w14:paraId="07F715C9" w14:textId="2E852053" w:rsidR="00040E63" w:rsidRPr="0041749C" w:rsidRDefault="00040E63" w:rsidP="006E4DF8">
            <w:pPr>
              <w:spacing w:after="0" w:line="240" w:lineRule="exact"/>
              <w:contextualSpacing/>
              <w:jc w:val="center"/>
              <w:rPr>
                <w:rFonts w:ascii="Calibri" w:hAnsi="Calibri" w:cs="Calibri"/>
                <w:b/>
                <w:bCs/>
                <w:color w:val="FFFFFF" w:themeColor="background1"/>
                <w:sz w:val="18"/>
                <w:szCs w:val="18"/>
              </w:rPr>
            </w:pPr>
            <w:r w:rsidRPr="0041749C">
              <w:rPr>
                <w:rFonts w:ascii="Calibri" w:hAnsi="Calibri" w:cs="Calibri"/>
                <w:b/>
                <w:bCs/>
                <w:color w:val="FFFFFF" w:themeColor="background1"/>
                <w:sz w:val="18"/>
                <w:szCs w:val="18"/>
              </w:rPr>
              <w:t>Inquiry or Review</w:t>
            </w:r>
          </w:p>
        </w:tc>
        <w:tc>
          <w:tcPr>
            <w:tcW w:w="1279" w:type="dxa"/>
            <w:shd w:val="clear" w:color="auto" w:fill="414042" w:themeFill="text1"/>
            <w:vAlign w:val="center"/>
          </w:tcPr>
          <w:p w14:paraId="2D0B7CCA" w14:textId="77777777" w:rsidR="00040E63" w:rsidRPr="0041749C" w:rsidRDefault="00040E63" w:rsidP="006E4DF8">
            <w:pPr>
              <w:spacing w:after="0" w:line="240" w:lineRule="exact"/>
              <w:contextualSpacing/>
              <w:jc w:val="center"/>
              <w:rPr>
                <w:rFonts w:ascii="Calibri" w:hAnsi="Calibri" w:cs="Calibri"/>
                <w:b/>
                <w:bCs/>
                <w:color w:val="FFFFFF" w:themeColor="background1"/>
                <w:sz w:val="18"/>
                <w:szCs w:val="18"/>
              </w:rPr>
            </w:pPr>
            <w:r w:rsidRPr="0041749C">
              <w:rPr>
                <w:rFonts w:ascii="Calibri" w:hAnsi="Calibri" w:cs="Calibri"/>
                <w:b/>
                <w:bCs/>
                <w:color w:val="FFFFFF" w:themeColor="background1"/>
                <w:sz w:val="18"/>
                <w:szCs w:val="18"/>
              </w:rPr>
              <w:t>Completed</w:t>
            </w:r>
          </w:p>
        </w:tc>
        <w:tc>
          <w:tcPr>
            <w:tcW w:w="1560" w:type="dxa"/>
            <w:shd w:val="clear" w:color="auto" w:fill="414042" w:themeFill="text1"/>
            <w:vAlign w:val="center"/>
          </w:tcPr>
          <w:p w14:paraId="2CBF10C6" w14:textId="77777777" w:rsidR="00040E63" w:rsidRPr="0041749C" w:rsidRDefault="00040E63" w:rsidP="006E4DF8">
            <w:pPr>
              <w:spacing w:after="0" w:line="240" w:lineRule="exact"/>
              <w:contextualSpacing/>
              <w:jc w:val="center"/>
              <w:rPr>
                <w:rFonts w:ascii="Calibri" w:hAnsi="Calibri" w:cs="Calibri"/>
                <w:b/>
                <w:bCs/>
                <w:color w:val="FFFFFF" w:themeColor="background1"/>
                <w:sz w:val="18"/>
                <w:szCs w:val="18"/>
              </w:rPr>
            </w:pPr>
            <w:r w:rsidRPr="0041749C">
              <w:rPr>
                <w:rFonts w:ascii="Calibri" w:hAnsi="Calibri" w:cs="Calibri"/>
                <w:b/>
                <w:bCs/>
                <w:color w:val="FFFFFF" w:themeColor="background1"/>
                <w:sz w:val="18"/>
                <w:szCs w:val="18"/>
              </w:rPr>
              <w:t>In progress</w:t>
            </w:r>
          </w:p>
        </w:tc>
        <w:tc>
          <w:tcPr>
            <w:tcW w:w="1559" w:type="dxa"/>
            <w:shd w:val="clear" w:color="auto" w:fill="414042" w:themeFill="text1"/>
            <w:vAlign w:val="center"/>
          </w:tcPr>
          <w:p w14:paraId="38F34908" w14:textId="77777777" w:rsidR="00040E63" w:rsidRPr="0041749C" w:rsidRDefault="00040E63" w:rsidP="006E4DF8">
            <w:pPr>
              <w:spacing w:after="0" w:line="240" w:lineRule="exact"/>
              <w:contextualSpacing/>
              <w:jc w:val="center"/>
              <w:rPr>
                <w:rFonts w:ascii="Calibri" w:hAnsi="Calibri" w:cs="Calibri"/>
                <w:b/>
                <w:bCs/>
                <w:color w:val="FFFFFF" w:themeColor="background1"/>
                <w:sz w:val="18"/>
                <w:szCs w:val="18"/>
              </w:rPr>
            </w:pPr>
            <w:r w:rsidRPr="0041749C">
              <w:rPr>
                <w:rFonts w:ascii="Calibri" w:hAnsi="Calibri" w:cs="Calibri"/>
                <w:b/>
                <w:bCs/>
                <w:color w:val="FFFFFF" w:themeColor="background1"/>
                <w:sz w:val="18"/>
                <w:szCs w:val="18"/>
              </w:rPr>
              <w:t>Noted but not yet commenced</w:t>
            </w:r>
          </w:p>
        </w:tc>
        <w:tc>
          <w:tcPr>
            <w:tcW w:w="1270" w:type="dxa"/>
            <w:shd w:val="clear" w:color="auto" w:fill="414042" w:themeFill="text1"/>
            <w:vAlign w:val="center"/>
          </w:tcPr>
          <w:p w14:paraId="68458E39" w14:textId="77777777" w:rsidR="00040E63" w:rsidRPr="0041749C" w:rsidRDefault="00040E63" w:rsidP="006E4DF8">
            <w:pPr>
              <w:spacing w:after="0" w:line="240" w:lineRule="exact"/>
              <w:contextualSpacing/>
              <w:jc w:val="center"/>
              <w:rPr>
                <w:rFonts w:ascii="Calibri" w:hAnsi="Calibri" w:cs="Calibri"/>
                <w:b/>
                <w:bCs/>
                <w:color w:val="FFFFFF" w:themeColor="background1"/>
                <w:sz w:val="18"/>
                <w:szCs w:val="18"/>
              </w:rPr>
            </w:pPr>
            <w:r w:rsidRPr="0041749C">
              <w:rPr>
                <w:rFonts w:ascii="Calibri" w:hAnsi="Calibri" w:cs="Calibri"/>
                <w:b/>
                <w:bCs/>
                <w:color w:val="FFFFFF" w:themeColor="background1"/>
                <w:sz w:val="18"/>
                <w:szCs w:val="18"/>
              </w:rPr>
              <w:t>Noted</w:t>
            </w:r>
          </w:p>
        </w:tc>
        <w:tc>
          <w:tcPr>
            <w:tcW w:w="1280" w:type="dxa"/>
            <w:tcBorders>
              <w:top w:val="single" w:sz="4" w:space="0" w:color="BFBFBF" w:themeColor="background1" w:themeShade="BF"/>
              <w:bottom w:val="single" w:sz="4" w:space="0" w:color="BFBFBF" w:themeColor="background1" w:themeShade="BF"/>
              <w:right w:val="single" w:sz="4" w:space="0" w:color="BCBEC0" w:themeColor="accent5"/>
            </w:tcBorders>
            <w:shd w:val="clear" w:color="auto" w:fill="414042" w:themeFill="text1"/>
            <w:vAlign w:val="center"/>
          </w:tcPr>
          <w:p w14:paraId="4F6E0423" w14:textId="77777777" w:rsidR="00040E63" w:rsidRPr="0041749C" w:rsidRDefault="00040E63" w:rsidP="006E4DF8">
            <w:pPr>
              <w:spacing w:after="0" w:line="240" w:lineRule="exact"/>
              <w:contextualSpacing/>
              <w:jc w:val="center"/>
              <w:rPr>
                <w:rFonts w:ascii="Calibri" w:hAnsi="Calibri" w:cs="Calibri"/>
                <w:b/>
                <w:bCs/>
                <w:color w:val="FFFFFF" w:themeColor="background1"/>
                <w:sz w:val="18"/>
                <w:szCs w:val="18"/>
              </w:rPr>
            </w:pPr>
            <w:r w:rsidRPr="0041749C">
              <w:rPr>
                <w:rFonts w:ascii="Calibri" w:hAnsi="Calibri" w:cs="Calibri"/>
                <w:b/>
                <w:bCs/>
                <w:color w:val="FFFFFF" w:themeColor="background1"/>
                <w:sz w:val="18"/>
                <w:szCs w:val="18"/>
              </w:rPr>
              <w:t>Total</w:t>
            </w:r>
          </w:p>
        </w:tc>
      </w:tr>
      <w:tr w:rsidR="00AF0D5C" w:rsidRPr="00AF0D5C" w14:paraId="6ABA5C97" w14:textId="77777777" w:rsidTr="00CE5A6D">
        <w:trPr>
          <w:trHeight w:val="340"/>
        </w:trPr>
        <w:tc>
          <w:tcPr>
            <w:tcW w:w="2690" w:type="dxa"/>
            <w:tcBorders>
              <w:top w:val="single" w:sz="4" w:space="0" w:color="BFBFBF" w:themeColor="background1" w:themeShade="BF"/>
              <w:left w:val="single" w:sz="4" w:space="0" w:color="BCBEC0" w:themeColor="accent5"/>
              <w:bottom w:val="single" w:sz="4" w:space="0" w:color="BFBFBF" w:themeColor="background1" w:themeShade="BF"/>
            </w:tcBorders>
            <w:shd w:val="clear" w:color="auto" w:fill="FFFFFF" w:themeFill="background1"/>
            <w:vAlign w:val="center"/>
          </w:tcPr>
          <w:p w14:paraId="32D092CD" w14:textId="058D1FA2" w:rsidR="00AA1B4A" w:rsidRPr="00AF0D5C" w:rsidRDefault="00AA1B4A" w:rsidP="006E4DF8">
            <w:pPr>
              <w:spacing w:after="0" w:line="260" w:lineRule="exact"/>
              <w:contextualSpacing/>
              <w:jc w:val="center"/>
              <w:rPr>
                <w:rFonts w:ascii="Calibri" w:hAnsi="Calibri" w:cs="Calibri"/>
                <w:i/>
                <w:iCs/>
                <w:color w:val="414042" w:themeColor="text1"/>
                <w:sz w:val="18"/>
                <w:szCs w:val="18"/>
              </w:rPr>
            </w:pPr>
            <w:r w:rsidRPr="00AF0D5C">
              <w:rPr>
                <w:rFonts w:ascii="Calibri" w:hAnsi="Calibri" w:cs="Calibri"/>
                <w:i/>
                <w:iCs/>
                <w:color w:val="414042" w:themeColor="text1"/>
                <w:sz w:val="18"/>
                <w:szCs w:val="18"/>
              </w:rPr>
              <w:t>Fitzgerald/Wilson Inquiry</w:t>
            </w:r>
          </w:p>
        </w:tc>
        <w:tc>
          <w:tcPr>
            <w:tcW w:w="1279" w:type="dxa"/>
            <w:shd w:val="clear" w:color="auto" w:fill="FFFFFF" w:themeFill="background1"/>
            <w:vAlign w:val="center"/>
          </w:tcPr>
          <w:p w14:paraId="069C9A4B" w14:textId="1C060B27" w:rsidR="00AA1B4A" w:rsidRPr="00AF0D5C" w:rsidRDefault="00AA1B4A" w:rsidP="00AA1B4A">
            <w:pPr>
              <w:spacing w:after="0" w:line="260" w:lineRule="exact"/>
              <w:contextualSpacing/>
              <w:jc w:val="center"/>
              <w:rPr>
                <w:rFonts w:ascii="Calibri" w:hAnsi="Calibri" w:cs="Calibri"/>
                <w:color w:val="414042" w:themeColor="text1"/>
                <w:sz w:val="18"/>
                <w:szCs w:val="18"/>
              </w:rPr>
            </w:pPr>
            <w:r w:rsidRPr="00AF0D5C">
              <w:rPr>
                <w:rFonts w:ascii="Calibri" w:hAnsi="Calibri" w:cs="Calibri"/>
                <w:color w:val="414042" w:themeColor="text1"/>
                <w:sz w:val="18"/>
                <w:szCs w:val="18"/>
              </w:rPr>
              <w:t>11</w:t>
            </w:r>
          </w:p>
        </w:tc>
        <w:tc>
          <w:tcPr>
            <w:tcW w:w="1560" w:type="dxa"/>
            <w:shd w:val="clear" w:color="auto" w:fill="FFFFFF" w:themeFill="background1"/>
            <w:vAlign w:val="center"/>
          </w:tcPr>
          <w:p w14:paraId="40D7DE3A" w14:textId="5DB7E9BB" w:rsidR="00AA1B4A" w:rsidRPr="00AF0D5C" w:rsidRDefault="00AA1B4A" w:rsidP="00AA1B4A">
            <w:pPr>
              <w:spacing w:after="0" w:line="260" w:lineRule="exact"/>
              <w:contextualSpacing/>
              <w:jc w:val="center"/>
              <w:rPr>
                <w:rFonts w:ascii="Calibri" w:hAnsi="Calibri" w:cs="Calibri"/>
                <w:color w:val="414042" w:themeColor="text1"/>
                <w:sz w:val="18"/>
                <w:szCs w:val="18"/>
              </w:rPr>
            </w:pPr>
            <w:r w:rsidRPr="00AF0D5C">
              <w:rPr>
                <w:rFonts w:ascii="Calibri" w:hAnsi="Calibri" w:cs="Calibri"/>
                <w:color w:val="414042" w:themeColor="text1"/>
                <w:sz w:val="18"/>
                <w:szCs w:val="18"/>
              </w:rPr>
              <w:t>19</w:t>
            </w:r>
          </w:p>
        </w:tc>
        <w:tc>
          <w:tcPr>
            <w:tcW w:w="1559" w:type="dxa"/>
            <w:shd w:val="clear" w:color="auto" w:fill="FFFFFF" w:themeFill="background1"/>
            <w:vAlign w:val="center"/>
          </w:tcPr>
          <w:p w14:paraId="34752CA4" w14:textId="738EA224" w:rsidR="00AA1B4A" w:rsidRPr="00AF0D5C" w:rsidRDefault="00AA1B4A" w:rsidP="00AA1B4A">
            <w:pPr>
              <w:spacing w:after="0" w:line="260" w:lineRule="exact"/>
              <w:contextualSpacing/>
              <w:jc w:val="center"/>
              <w:rPr>
                <w:rFonts w:ascii="Calibri" w:hAnsi="Calibri" w:cs="Calibri"/>
                <w:color w:val="414042" w:themeColor="text1"/>
                <w:sz w:val="18"/>
                <w:szCs w:val="18"/>
              </w:rPr>
            </w:pPr>
            <w:r w:rsidRPr="00AF0D5C">
              <w:rPr>
                <w:rFonts w:ascii="Calibri" w:hAnsi="Calibri" w:cs="Calibri"/>
                <w:color w:val="414042" w:themeColor="text1"/>
                <w:sz w:val="18"/>
                <w:szCs w:val="18"/>
              </w:rPr>
              <w:t>1</w:t>
            </w:r>
          </w:p>
        </w:tc>
        <w:tc>
          <w:tcPr>
            <w:tcW w:w="1270" w:type="dxa"/>
            <w:shd w:val="clear" w:color="auto" w:fill="FFFFFF" w:themeFill="background1"/>
            <w:vAlign w:val="center"/>
          </w:tcPr>
          <w:p w14:paraId="0E3E53B1" w14:textId="41EF3EE8" w:rsidR="00AA1B4A" w:rsidRPr="00AF0D5C" w:rsidRDefault="00AA1B4A" w:rsidP="00AA1B4A">
            <w:pPr>
              <w:spacing w:after="0" w:line="260" w:lineRule="exact"/>
              <w:contextualSpacing/>
              <w:jc w:val="center"/>
              <w:rPr>
                <w:rFonts w:ascii="Calibri" w:hAnsi="Calibri" w:cs="Calibri"/>
                <w:color w:val="414042" w:themeColor="text1"/>
                <w:sz w:val="18"/>
                <w:szCs w:val="18"/>
              </w:rPr>
            </w:pPr>
            <w:r w:rsidRPr="00AF0D5C">
              <w:rPr>
                <w:rFonts w:ascii="Calibri" w:hAnsi="Calibri" w:cs="Calibri"/>
                <w:color w:val="414042" w:themeColor="text1"/>
                <w:sz w:val="18"/>
                <w:szCs w:val="18"/>
              </w:rPr>
              <w:t>0</w:t>
            </w:r>
          </w:p>
        </w:tc>
        <w:tc>
          <w:tcPr>
            <w:tcW w:w="1280" w:type="dxa"/>
            <w:tcBorders>
              <w:top w:val="single" w:sz="4" w:space="0" w:color="BFBFBF" w:themeColor="background1" w:themeShade="BF"/>
              <w:bottom w:val="single" w:sz="4" w:space="0" w:color="BFBFBF" w:themeColor="background1" w:themeShade="BF"/>
              <w:right w:val="single" w:sz="4" w:space="0" w:color="BCBEC0" w:themeColor="accent5"/>
            </w:tcBorders>
            <w:shd w:val="clear" w:color="auto" w:fill="F2F2F2" w:themeFill="background1" w:themeFillShade="F2"/>
            <w:vAlign w:val="center"/>
          </w:tcPr>
          <w:p w14:paraId="081D650D" w14:textId="124D1FA1" w:rsidR="00AA1B4A" w:rsidRPr="006E4DF8" w:rsidRDefault="00AA1B4A" w:rsidP="00AA1B4A">
            <w:pPr>
              <w:spacing w:after="0" w:line="260" w:lineRule="exact"/>
              <w:contextualSpacing/>
              <w:jc w:val="center"/>
              <w:rPr>
                <w:rFonts w:ascii="Calibri" w:hAnsi="Calibri" w:cs="Calibri"/>
                <w:b/>
                <w:bCs/>
                <w:color w:val="414042" w:themeColor="text1"/>
                <w:sz w:val="18"/>
                <w:szCs w:val="18"/>
              </w:rPr>
            </w:pPr>
            <w:r w:rsidRPr="006E4DF8">
              <w:rPr>
                <w:rFonts w:ascii="Calibri" w:hAnsi="Calibri" w:cs="Calibri"/>
                <w:b/>
                <w:bCs/>
                <w:color w:val="414042" w:themeColor="text1"/>
                <w:sz w:val="18"/>
                <w:szCs w:val="18"/>
              </w:rPr>
              <w:t>31</w:t>
            </w:r>
          </w:p>
        </w:tc>
      </w:tr>
      <w:tr w:rsidR="00AF0D5C" w:rsidRPr="00AF0D5C" w14:paraId="7D0AB40D" w14:textId="77777777" w:rsidTr="00CE5A6D">
        <w:trPr>
          <w:trHeight w:val="340"/>
        </w:trPr>
        <w:tc>
          <w:tcPr>
            <w:tcW w:w="2690" w:type="dxa"/>
            <w:tcBorders>
              <w:top w:val="single" w:sz="4" w:space="0" w:color="BFBFBF" w:themeColor="background1" w:themeShade="BF"/>
              <w:left w:val="single" w:sz="4" w:space="0" w:color="BCBEC0" w:themeColor="accent5"/>
              <w:bottom w:val="single" w:sz="4" w:space="0" w:color="BFBFBF" w:themeColor="background1" w:themeShade="BF"/>
            </w:tcBorders>
            <w:shd w:val="clear" w:color="auto" w:fill="FFFFFF" w:themeFill="background1"/>
            <w:vAlign w:val="center"/>
          </w:tcPr>
          <w:p w14:paraId="0A7F07E4" w14:textId="14F02CA2" w:rsidR="00295360" w:rsidRPr="00AF0D5C" w:rsidRDefault="00295360" w:rsidP="006E4DF8">
            <w:pPr>
              <w:spacing w:after="0" w:line="260" w:lineRule="exact"/>
              <w:contextualSpacing/>
              <w:jc w:val="center"/>
              <w:rPr>
                <w:rFonts w:ascii="Calibri" w:hAnsi="Calibri" w:cs="Calibri"/>
                <w:i/>
                <w:iCs/>
                <w:color w:val="414042" w:themeColor="text1"/>
                <w:sz w:val="18"/>
                <w:szCs w:val="18"/>
              </w:rPr>
            </w:pPr>
            <w:r w:rsidRPr="00AF0D5C">
              <w:rPr>
                <w:rFonts w:ascii="Calibri" w:hAnsi="Calibri" w:cs="Calibri"/>
                <w:i/>
                <w:iCs/>
                <w:color w:val="414042" w:themeColor="text1"/>
                <w:sz w:val="18"/>
                <w:szCs w:val="18"/>
              </w:rPr>
              <w:t>Five-Year Review 2021</w:t>
            </w:r>
          </w:p>
        </w:tc>
        <w:tc>
          <w:tcPr>
            <w:tcW w:w="1279" w:type="dxa"/>
            <w:tcBorders>
              <w:bottom w:val="single" w:sz="4" w:space="0" w:color="BFBFBF" w:themeColor="background1" w:themeShade="BF"/>
            </w:tcBorders>
            <w:shd w:val="clear" w:color="auto" w:fill="FFFFFF" w:themeFill="background1"/>
            <w:vAlign w:val="center"/>
          </w:tcPr>
          <w:p w14:paraId="465E730B" w14:textId="0C33C95A" w:rsidR="00295360" w:rsidRPr="00AF0D5C" w:rsidRDefault="00295360" w:rsidP="00295360">
            <w:pPr>
              <w:spacing w:after="0" w:line="260" w:lineRule="exact"/>
              <w:contextualSpacing/>
              <w:jc w:val="center"/>
              <w:rPr>
                <w:rFonts w:ascii="Calibri" w:hAnsi="Calibri" w:cs="Calibri"/>
                <w:color w:val="414042" w:themeColor="text1"/>
                <w:sz w:val="18"/>
                <w:szCs w:val="18"/>
              </w:rPr>
            </w:pPr>
            <w:r w:rsidRPr="00AF0D5C">
              <w:rPr>
                <w:rFonts w:ascii="Calibri" w:hAnsi="Calibri" w:cs="Calibri"/>
                <w:color w:val="414042" w:themeColor="text1"/>
                <w:sz w:val="18"/>
                <w:szCs w:val="18"/>
              </w:rPr>
              <w:t>1</w:t>
            </w:r>
          </w:p>
        </w:tc>
        <w:tc>
          <w:tcPr>
            <w:tcW w:w="1560" w:type="dxa"/>
            <w:tcBorders>
              <w:bottom w:val="single" w:sz="4" w:space="0" w:color="BFBFBF" w:themeColor="background1" w:themeShade="BF"/>
            </w:tcBorders>
            <w:shd w:val="clear" w:color="auto" w:fill="FFFFFF" w:themeFill="background1"/>
            <w:vAlign w:val="center"/>
          </w:tcPr>
          <w:p w14:paraId="30705632" w14:textId="1DF58876" w:rsidR="00295360" w:rsidRPr="00AF0D5C" w:rsidRDefault="00295360" w:rsidP="00295360">
            <w:pPr>
              <w:spacing w:after="0" w:line="260" w:lineRule="exact"/>
              <w:contextualSpacing/>
              <w:jc w:val="center"/>
              <w:rPr>
                <w:rFonts w:ascii="Calibri" w:hAnsi="Calibri" w:cs="Calibri"/>
                <w:color w:val="414042" w:themeColor="text1"/>
                <w:sz w:val="18"/>
                <w:szCs w:val="18"/>
              </w:rPr>
            </w:pPr>
            <w:r w:rsidRPr="00AF0D5C">
              <w:rPr>
                <w:rFonts w:ascii="Calibri" w:hAnsi="Calibri" w:cs="Calibri"/>
                <w:color w:val="414042" w:themeColor="text1"/>
                <w:sz w:val="18"/>
                <w:szCs w:val="18"/>
              </w:rPr>
              <w:t>4</w:t>
            </w:r>
          </w:p>
        </w:tc>
        <w:tc>
          <w:tcPr>
            <w:tcW w:w="1559" w:type="dxa"/>
            <w:tcBorders>
              <w:bottom w:val="single" w:sz="4" w:space="0" w:color="BFBFBF" w:themeColor="background1" w:themeShade="BF"/>
            </w:tcBorders>
            <w:shd w:val="clear" w:color="auto" w:fill="FFFFFF" w:themeFill="background1"/>
            <w:vAlign w:val="center"/>
          </w:tcPr>
          <w:p w14:paraId="60A796E7" w14:textId="3BCDF8E8" w:rsidR="00295360" w:rsidRPr="00AF0D5C" w:rsidRDefault="00295360" w:rsidP="00295360">
            <w:pPr>
              <w:spacing w:after="0" w:line="260" w:lineRule="exact"/>
              <w:contextualSpacing/>
              <w:jc w:val="center"/>
              <w:rPr>
                <w:rFonts w:ascii="Calibri" w:hAnsi="Calibri" w:cs="Calibri"/>
                <w:color w:val="414042" w:themeColor="text1"/>
                <w:sz w:val="18"/>
                <w:szCs w:val="18"/>
              </w:rPr>
            </w:pPr>
            <w:r w:rsidRPr="00AF0D5C">
              <w:rPr>
                <w:rFonts w:ascii="Calibri" w:hAnsi="Calibri" w:cs="Calibri"/>
                <w:color w:val="414042" w:themeColor="text1"/>
                <w:sz w:val="18"/>
                <w:szCs w:val="18"/>
              </w:rPr>
              <w:t>0</w:t>
            </w:r>
          </w:p>
        </w:tc>
        <w:tc>
          <w:tcPr>
            <w:tcW w:w="1270" w:type="dxa"/>
            <w:tcBorders>
              <w:bottom w:val="single" w:sz="4" w:space="0" w:color="BFBFBF" w:themeColor="background1" w:themeShade="BF"/>
            </w:tcBorders>
            <w:shd w:val="clear" w:color="auto" w:fill="FFFFFF" w:themeFill="background1"/>
            <w:vAlign w:val="center"/>
          </w:tcPr>
          <w:p w14:paraId="1854F47C" w14:textId="1A0ED006" w:rsidR="00295360" w:rsidRPr="00AF0D5C" w:rsidRDefault="00295360" w:rsidP="00295360">
            <w:pPr>
              <w:spacing w:after="0" w:line="260" w:lineRule="exact"/>
              <w:contextualSpacing/>
              <w:jc w:val="center"/>
              <w:rPr>
                <w:rFonts w:ascii="Calibri" w:hAnsi="Calibri" w:cs="Calibri"/>
                <w:color w:val="414042" w:themeColor="text1"/>
                <w:sz w:val="18"/>
                <w:szCs w:val="18"/>
              </w:rPr>
            </w:pPr>
            <w:r w:rsidRPr="00AF0D5C">
              <w:rPr>
                <w:rFonts w:ascii="Calibri" w:hAnsi="Calibri" w:cs="Calibri"/>
                <w:color w:val="414042" w:themeColor="text1"/>
                <w:sz w:val="18"/>
                <w:szCs w:val="18"/>
              </w:rPr>
              <w:t>2</w:t>
            </w:r>
          </w:p>
        </w:tc>
        <w:tc>
          <w:tcPr>
            <w:tcW w:w="1280" w:type="dxa"/>
            <w:tcBorders>
              <w:top w:val="single" w:sz="4" w:space="0" w:color="BFBFBF" w:themeColor="background1" w:themeShade="BF"/>
              <w:bottom w:val="single" w:sz="4" w:space="0" w:color="BFBFBF" w:themeColor="background1" w:themeShade="BF"/>
              <w:right w:val="single" w:sz="4" w:space="0" w:color="BCBEC0" w:themeColor="accent5"/>
            </w:tcBorders>
            <w:shd w:val="clear" w:color="auto" w:fill="F2F2F2" w:themeFill="background1" w:themeFillShade="F2"/>
            <w:vAlign w:val="center"/>
          </w:tcPr>
          <w:p w14:paraId="0E34075A" w14:textId="0873E9EA" w:rsidR="00295360" w:rsidRPr="006E4DF8" w:rsidRDefault="00295360" w:rsidP="00295360">
            <w:pPr>
              <w:spacing w:after="0" w:line="260" w:lineRule="exact"/>
              <w:contextualSpacing/>
              <w:jc w:val="center"/>
              <w:rPr>
                <w:rFonts w:ascii="Calibri" w:hAnsi="Calibri" w:cs="Calibri"/>
                <w:b/>
                <w:bCs/>
                <w:color w:val="414042" w:themeColor="text1"/>
                <w:sz w:val="18"/>
                <w:szCs w:val="18"/>
              </w:rPr>
            </w:pPr>
            <w:r w:rsidRPr="006E4DF8">
              <w:rPr>
                <w:rFonts w:ascii="Calibri" w:hAnsi="Calibri" w:cs="Calibri"/>
                <w:b/>
                <w:bCs/>
                <w:color w:val="414042" w:themeColor="text1"/>
                <w:sz w:val="18"/>
                <w:szCs w:val="18"/>
              </w:rPr>
              <w:t>7</w:t>
            </w:r>
          </w:p>
        </w:tc>
      </w:tr>
      <w:tr w:rsidR="00AF0D5C" w:rsidRPr="00AF0D5C" w14:paraId="5E0C9326" w14:textId="77777777" w:rsidTr="006E4DF8">
        <w:trPr>
          <w:trHeight w:val="340"/>
        </w:trPr>
        <w:tc>
          <w:tcPr>
            <w:tcW w:w="2690" w:type="dxa"/>
            <w:tcBorders>
              <w:top w:val="single" w:sz="4" w:space="0" w:color="BFBFBF" w:themeColor="background1" w:themeShade="BF"/>
              <w:left w:val="single" w:sz="4" w:space="0" w:color="BCBEC0" w:themeColor="accent5"/>
              <w:bottom w:val="single" w:sz="4" w:space="0" w:color="BCBEC0" w:themeColor="accent5"/>
            </w:tcBorders>
            <w:shd w:val="clear" w:color="auto" w:fill="F2F2F2" w:themeFill="background1" w:themeFillShade="F2"/>
            <w:vAlign w:val="center"/>
          </w:tcPr>
          <w:p w14:paraId="379F5752" w14:textId="6EAD9167" w:rsidR="00295360" w:rsidRPr="00AF0D5C" w:rsidRDefault="00295360" w:rsidP="006E4DF8">
            <w:pPr>
              <w:spacing w:after="0" w:line="260" w:lineRule="exact"/>
              <w:contextualSpacing/>
              <w:jc w:val="center"/>
              <w:rPr>
                <w:rFonts w:ascii="Calibri" w:hAnsi="Calibri" w:cs="Calibri"/>
                <w:i/>
                <w:iCs/>
                <w:color w:val="414042" w:themeColor="text1"/>
                <w:sz w:val="18"/>
                <w:szCs w:val="18"/>
              </w:rPr>
            </w:pPr>
            <w:r w:rsidRPr="00AF0D5C">
              <w:rPr>
                <w:rFonts w:ascii="Calibri" w:hAnsi="Calibri" w:cs="Calibri"/>
                <w:b/>
                <w:bCs/>
                <w:color w:val="414042" w:themeColor="text1"/>
                <w:sz w:val="18"/>
                <w:szCs w:val="18"/>
              </w:rPr>
              <w:t>Total</w:t>
            </w:r>
          </w:p>
        </w:tc>
        <w:tc>
          <w:tcPr>
            <w:tcW w:w="1279" w:type="dxa"/>
            <w:tcBorders>
              <w:top w:val="single" w:sz="4" w:space="0" w:color="BFBFBF" w:themeColor="background1" w:themeShade="BF"/>
              <w:bottom w:val="single" w:sz="4" w:space="0" w:color="BCBEC0" w:themeColor="accent5"/>
            </w:tcBorders>
            <w:shd w:val="clear" w:color="auto" w:fill="F2F2F2" w:themeFill="background1" w:themeFillShade="F2"/>
            <w:vAlign w:val="center"/>
          </w:tcPr>
          <w:p w14:paraId="76E5A60C" w14:textId="3E8555C6" w:rsidR="00295360" w:rsidRPr="00AF0D5C" w:rsidRDefault="00295360" w:rsidP="00295360">
            <w:pPr>
              <w:spacing w:after="0" w:line="260" w:lineRule="exact"/>
              <w:contextualSpacing/>
              <w:jc w:val="center"/>
              <w:rPr>
                <w:rFonts w:ascii="Calibri" w:hAnsi="Calibri" w:cs="Calibri"/>
                <w:color w:val="414042" w:themeColor="text1"/>
                <w:sz w:val="18"/>
                <w:szCs w:val="18"/>
              </w:rPr>
            </w:pPr>
            <w:r w:rsidRPr="00AF0D5C">
              <w:rPr>
                <w:rFonts w:ascii="Calibri" w:hAnsi="Calibri" w:cs="Calibri"/>
                <w:color w:val="414042" w:themeColor="text1"/>
                <w:sz w:val="18"/>
                <w:szCs w:val="18"/>
              </w:rPr>
              <w:t>1</w:t>
            </w:r>
            <w:r w:rsidR="00BF2E56" w:rsidRPr="00AF0D5C">
              <w:rPr>
                <w:rFonts w:ascii="Calibri" w:hAnsi="Calibri" w:cs="Calibri"/>
                <w:color w:val="414042" w:themeColor="text1"/>
                <w:sz w:val="18"/>
                <w:szCs w:val="18"/>
              </w:rPr>
              <w:t>2</w:t>
            </w:r>
          </w:p>
        </w:tc>
        <w:tc>
          <w:tcPr>
            <w:tcW w:w="1560" w:type="dxa"/>
            <w:tcBorders>
              <w:top w:val="single" w:sz="4" w:space="0" w:color="BFBFBF" w:themeColor="background1" w:themeShade="BF"/>
              <w:bottom w:val="single" w:sz="4" w:space="0" w:color="BCBEC0" w:themeColor="accent5"/>
            </w:tcBorders>
            <w:shd w:val="clear" w:color="auto" w:fill="F2F2F2" w:themeFill="background1" w:themeFillShade="F2"/>
            <w:vAlign w:val="center"/>
          </w:tcPr>
          <w:p w14:paraId="63202294" w14:textId="2109C80E" w:rsidR="00295360" w:rsidRPr="00AF0D5C" w:rsidRDefault="00295360" w:rsidP="00295360">
            <w:pPr>
              <w:spacing w:after="0" w:line="260" w:lineRule="exact"/>
              <w:contextualSpacing/>
              <w:jc w:val="center"/>
              <w:rPr>
                <w:rFonts w:ascii="Calibri" w:hAnsi="Calibri" w:cs="Calibri"/>
                <w:color w:val="414042" w:themeColor="text1"/>
                <w:sz w:val="18"/>
                <w:szCs w:val="18"/>
              </w:rPr>
            </w:pPr>
            <w:r w:rsidRPr="00AF0D5C">
              <w:rPr>
                <w:rFonts w:ascii="Calibri" w:hAnsi="Calibri" w:cs="Calibri"/>
                <w:color w:val="414042" w:themeColor="text1"/>
                <w:sz w:val="18"/>
                <w:szCs w:val="18"/>
              </w:rPr>
              <w:t>2</w:t>
            </w:r>
            <w:r w:rsidR="00AA1B4A" w:rsidRPr="00AF0D5C">
              <w:rPr>
                <w:rFonts w:ascii="Calibri" w:hAnsi="Calibri" w:cs="Calibri"/>
                <w:color w:val="414042" w:themeColor="text1"/>
                <w:sz w:val="18"/>
                <w:szCs w:val="18"/>
              </w:rPr>
              <w:t>3</w:t>
            </w:r>
          </w:p>
        </w:tc>
        <w:tc>
          <w:tcPr>
            <w:tcW w:w="1559" w:type="dxa"/>
            <w:tcBorders>
              <w:top w:val="single" w:sz="4" w:space="0" w:color="BFBFBF" w:themeColor="background1" w:themeShade="BF"/>
              <w:bottom w:val="single" w:sz="4" w:space="0" w:color="BCBEC0" w:themeColor="accent5"/>
            </w:tcBorders>
            <w:shd w:val="clear" w:color="auto" w:fill="F2F2F2" w:themeFill="background1" w:themeFillShade="F2"/>
            <w:vAlign w:val="center"/>
          </w:tcPr>
          <w:p w14:paraId="62DB6A4B" w14:textId="41F2B601" w:rsidR="00295360" w:rsidRPr="00AF0D5C" w:rsidRDefault="00AA1B4A" w:rsidP="00295360">
            <w:pPr>
              <w:spacing w:after="0" w:line="260" w:lineRule="exact"/>
              <w:contextualSpacing/>
              <w:jc w:val="center"/>
              <w:rPr>
                <w:rFonts w:ascii="Calibri" w:hAnsi="Calibri" w:cs="Calibri"/>
                <w:color w:val="414042" w:themeColor="text1"/>
                <w:sz w:val="18"/>
                <w:szCs w:val="18"/>
              </w:rPr>
            </w:pPr>
            <w:r w:rsidRPr="00AF0D5C">
              <w:rPr>
                <w:rFonts w:ascii="Calibri" w:hAnsi="Calibri" w:cs="Calibri"/>
                <w:color w:val="414042" w:themeColor="text1"/>
                <w:sz w:val="18"/>
                <w:szCs w:val="18"/>
              </w:rPr>
              <w:t>1</w:t>
            </w:r>
          </w:p>
        </w:tc>
        <w:tc>
          <w:tcPr>
            <w:tcW w:w="1270" w:type="dxa"/>
            <w:tcBorders>
              <w:top w:val="single" w:sz="4" w:space="0" w:color="BFBFBF" w:themeColor="background1" w:themeShade="BF"/>
              <w:bottom w:val="single" w:sz="4" w:space="0" w:color="BCBEC0" w:themeColor="accent5"/>
            </w:tcBorders>
            <w:shd w:val="clear" w:color="auto" w:fill="F2F2F2" w:themeFill="background1" w:themeFillShade="F2"/>
            <w:vAlign w:val="center"/>
          </w:tcPr>
          <w:p w14:paraId="1689B9FB" w14:textId="0884CADF" w:rsidR="00295360" w:rsidRPr="00AF0D5C" w:rsidRDefault="00AA1B4A" w:rsidP="00295360">
            <w:pPr>
              <w:spacing w:after="0" w:line="260" w:lineRule="exact"/>
              <w:contextualSpacing/>
              <w:jc w:val="center"/>
              <w:rPr>
                <w:rFonts w:ascii="Calibri" w:hAnsi="Calibri" w:cs="Calibri"/>
                <w:color w:val="414042" w:themeColor="text1"/>
                <w:sz w:val="18"/>
                <w:szCs w:val="18"/>
              </w:rPr>
            </w:pPr>
            <w:r w:rsidRPr="00AF0D5C">
              <w:rPr>
                <w:rFonts w:ascii="Calibri" w:hAnsi="Calibri" w:cs="Calibri"/>
                <w:color w:val="414042" w:themeColor="text1"/>
                <w:sz w:val="18"/>
                <w:szCs w:val="18"/>
              </w:rPr>
              <w:t>2</w:t>
            </w:r>
          </w:p>
        </w:tc>
        <w:tc>
          <w:tcPr>
            <w:tcW w:w="1280" w:type="dxa"/>
            <w:tcBorders>
              <w:top w:val="single" w:sz="4" w:space="0" w:color="BFBFBF" w:themeColor="background1" w:themeShade="BF"/>
              <w:bottom w:val="single" w:sz="4" w:space="0" w:color="BCBEC0" w:themeColor="accent5"/>
              <w:right w:val="single" w:sz="4" w:space="0" w:color="BCBEC0" w:themeColor="accent5"/>
            </w:tcBorders>
            <w:shd w:val="clear" w:color="auto" w:fill="F2F2F2" w:themeFill="background1" w:themeFillShade="F2"/>
            <w:vAlign w:val="center"/>
          </w:tcPr>
          <w:p w14:paraId="3CB099E4" w14:textId="5DB0FAC6" w:rsidR="00295360" w:rsidRPr="006E4DF8" w:rsidRDefault="00295360" w:rsidP="00295360">
            <w:pPr>
              <w:spacing w:after="0" w:line="260" w:lineRule="exact"/>
              <w:contextualSpacing/>
              <w:jc w:val="center"/>
              <w:rPr>
                <w:rFonts w:ascii="Calibri" w:hAnsi="Calibri" w:cs="Calibri"/>
                <w:b/>
                <w:bCs/>
                <w:color w:val="414042" w:themeColor="text1"/>
                <w:sz w:val="18"/>
                <w:szCs w:val="18"/>
              </w:rPr>
            </w:pPr>
            <w:r w:rsidRPr="006E4DF8">
              <w:rPr>
                <w:rFonts w:ascii="Calibri" w:hAnsi="Calibri" w:cs="Calibri"/>
                <w:b/>
                <w:bCs/>
                <w:color w:val="414042" w:themeColor="text1"/>
                <w:sz w:val="18"/>
                <w:szCs w:val="18"/>
              </w:rPr>
              <w:t>3</w:t>
            </w:r>
            <w:r w:rsidR="00AA1B4A" w:rsidRPr="006E4DF8">
              <w:rPr>
                <w:rFonts w:ascii="Calibri" w:hAnsi="Calibri" w:cs="Calibri"/>
                <w:b/>
                <w:bCs/>
                <w:color w:val="414042" w:themeColor="text1"/>
                <w:sz w:val="18"/>
                <w:szCs w:val="18"/>
              </w:rPr>
              <w:t>8</w:t>
            </w:r>
          </w:p>
        </w:tc>
      </w:tr>
    </w:tbl>
    <w:p w14:paraId="42D35823" w14:textId="5ABEB4E4" w:rsidR="00BF3018" w:rsidRPr="00AF0D5C" w:rsidRDefault="00BF3018" w:rsidP="00E402EC">
      <w:pPr>
        <w:pStyle w:val="8Crossref"/>
      </w:pPr>
      <w:r w:rsidRPr="00AF0D5C">
        <w:t xml:space="preserve">The table at </w:t>
      </w:r>
      <w:r w:rsidRPr="00443170">
        <w:t>Appendix A</w:t>
      </w:r>
      <w:r w:rsidRPr="00AF0D5C">
        <w:t xml:space="preserve"> </w:t>
      </w:r>
      <w:r w:rsidR="00F2595B" w:rsidRPr="00AF0D5C">
        <w:t xml:space="preserve">lists </w:t>
      </w:r>
      <w:r w:rsidRPr="00AF0D5C">
        <w:t>recommendations for which the CCC has direct responsibility.</w:t>
      </w:r>
    </w:p>
    <w:p w14:paraId="22952B50" w14:textId="05BC76B0" w:rsidR="00527210" w:rsidRPr="007A1087" w:rsidRDefault="00527210" w:rsidP="00295360">
      <w:pPr>
        <w:pBdr>
          <w:bottom w:val="single" w:sz="4" w:space="1" w:color="auto"/>
        </w:pBdr>
        <w:rPr>
          <w:i/>
          <w:color w:val="414042" w:themeColor="text1"/>
          <w:szCs w:val="20"/>
        </w:rPr>
        <w:sectPr w:rsidR="00527210" w:rsidRPr="007A1087" w:rsidSect="00040E63">
          <w:type w:val="continuous"/>
          <w:pgSz w:w="11906" w:h="16838" w:code="9"/>
          <w:pgMar w:top="2155" w:right="1134" w:bottom="964" w:left="1134" w:header="720" w:footer="284" w:gutter="0"/>
          <w:cols w:space="567"/>
          <w:noEndnote/>
          <w:docGrid w:linePitch="272"/>
        </w:sectPr>
      </w:pPr>
    </w:p>
    <w:p w14:paraId="213738B7" w14:textId="309A3104" w:rsidR="0054785D" w:rsidRPr="007A1087" w:rsidRDefault="0054785D" w:rsidP="00E046BF">
      <w:pPr>
        <w:pStyle w:val="Bulletlist"/>
        <w:framePr w:wrap="around"/>
        <w:sectPr w:rsidR="0054785D" w:rsidRPr="007A1087" w:rsidSect="00931639">
          <w:headerReference w:type="even" r:id="rId158"/>
          <w:headerReference w:type="default" r:id="rId159"/>
          <w:headerReference w:type="first" r:id="rId160"/>
          <w:type w:val="continuous"/>
          <w:pgSz w:w="11906" w:h="16838" w:code="9"/>
          <w:pgMar w:top="2155" w:right="1134" w:bottom="964" w:left="1134" w:header="720" w:footer="284" w:gutter="0"/>
          <w:cols w:space="567"/>
          <w:noEndnote/>
          <w:docGrid w:linePitch="272"/>
        </w:sectPr>
      </w:pPr>
      <w:bookmarkStart w:id="934" w:name="_Looking_ahead_to"/>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4"/>
    </w:p>
    <w:p w14:paraId="5445339D" w14:textId="0F0333FF" w:rsidR="00A21773" w:rsidRPr="00F9716C" w:rsidRDefault="00DD3B33" w:rsidP="00EA7AA8">
      <w:pPr>
        <w:pStyle w:val="1Heading"/>
      </w:pPr>
      <w:bookmarkStart w:id="935" w:name="_Reducing_the_incidence"/>
      <w:bookmarkStart w:id="936" w:name="_Toc102037910"/>
      <w:bookmarkStart w:id="937" w:name="_Toc102038271"/>
      <w:bookmarkStart w:id="938" w:name="_Toc102038632"/>
      <w:bookmarkStart w:id="939" w:name="_Toc102038984"/>
      <w:bookmarkStart w:id="940" w:name="_Toc102039333"/>
      <w:bookmarkStart w:id="941" w:name="_Toc102039695"/>
      <w:bookmarkStart w:id="942" w:name="_Toc102040052"/>
      <w:bookmarkStart w:id="943" w:name="_Toc102040380"/>
      <w:bookmarkStart w:id="944" w:name="_Toc102040714"/>
      <w:bookmarkStart w:id="945" w:name="_Toc102041042"/>
      <w:bookmarkStart w:id="946" w:name="_Toc102041371"/>
      <w:bookmarkStart w:id="947" w:name="_Toc102041703"/>
      <w:bookmarkStart w:id="948" w:name="_Toc102042030"/>
      <w:bookmarkStart w:id="949" w:name="_Toc102042360"/>
      <w:bookmarkStart w:id="950" w:name="_Toc102045490"/>
      <w:bookmarkStart w:id="951" w:name="ObjectiveEfficientandEffective"/>
      <w:bookmarkEnd w:id="935"/>
      <w:r w:rsidRPr="00F9716C">
        <w:t xml:space="preserve">Objective: </w:t>
      </w:r>
      <w:r w:rsidR="0028612F" w:rsidRPr="00F9716C">
        <w:t xml:space="preserve">Efficient </w:t>
      </w:r>
      <w:r w:rsidR="00B520D0">
        <w:br/>
      </w:r>
      <w:r w:rsidR="0028612F" w:rsidRPr="00F9716C">
        <w:t xml:space="preserve">and effective </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bookmarkEnd w:id="951"/>
    <w:p w14:paraId="421AB701" w14:textId="3EEAE44D" w:rsidR="0028234C" w:rsidRPr="00F9716C" w:rsidRDefault="0028234C" w:rsidP="00A21773">
      <w:pPr>
        <w:keepNext/>
        <w:keepLines/>
        <w:spacing w:after="880"/>
        <w:outlineLvl w:val="0"/>
        <w:rPr>
          <w:rFonts w:eastAsiaTheme="majorEastAsia" w:cstheme="majorBidi"/>
          <w:b/>
          <w:bCs/>
          <w:color w:val="414042" w:themeColor="text1"/>
          <w:sz w:val="92"/>
          <w:szCs w:val="32"/>
        </w:rPr>
        <w:sectPr w:rsidR="0028234C" w:rsidRPr="00F9716C" w:rsidSect="00C77834">
          <w:headerReference w:type="even" r:id="rId161"/>
          <w:headerReference w:type="default" r:id="rId162"/>
          <w:headerReference w:type="first" r:id="rId163"/>
          <w:pgSz w:w="11906" w:h="16838" w:code="9"/>
          <w:pgMar w:top="2155" w:right="1134" w:bottom="964" w:left="1134" w:header="720" w:footer="284" w:gutter="0"/>
          <w:cols w:space="567"/>
          <w:noEndnote/>
          <w:docGrid w:linePitch="272"/>
        </w:sectPr>
      </w:pPr>
    </w:p>
    <w:tbl>
      <w:tblPr>
        <w:tblStyle w:val="TableGrid2"/>
        <w:tblW w:w="0" w:type="auto"/>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shd w:val="clear" w:color="auto" w:fill="F2F2F2" w:themeFill="background1" w:themeFillShade="F2"/>
        <w:tblLook w:val="04A0" w:firstRow="1" w:lastRow="0" w:firstColumn="1" w:lastColumn="0" w:noHBand="0" w:noVBand="1"/>
      </w:tblPr>
      <w:tblGrid>
        <w:gridCol w:w="4525"/>
      </w:tblGrid>
      <w:tr w:rsidR="00AD4F68" w14:paraId="265CE6E4" w14:textId="77777777" w:rsidTr="005E573C">
        <w:tc>
          <w:tcPr>
            <w:tcW w:w="4535" w:type="dxa"/>
            <w:shd w:val="clear" w:color="auto" w:fill="F2F2F2" w:themeFill="background1" w:themeFillShade="F2"/>
          </w:tcPr>
          <w:p w14:paraId="2B0F2FF0" w14:textId="77777777" w:rsidR="00AD4F68" w:rsidRPr="00F9716C" w:rsidRDefault="00AD4F68" w:rsidP="0041749C">
            <w:pPr>
              <w:pStyle w:val="Openingparagraph"/>
              <w:spacing w:before="240"/>
              <w:ind w:right="175" w:firstLine="60"/>
            </w:pPr>
            <w:r w:rsidRPr="00F9716C">
              <w:rPr>
                <w:snapToGrid w:val="0"/>
              </w:rPr>
              <w:t>Key strategies:</w:t>
            </w:r>
          </w:p>
          <w:p w14:paraId="00AECAA1" w14:textId="77777777" w:rsidR="00AD4F68" w:rsidRPr="00F9716C" w:rsidRDefault="00AD4F68" w:rsidP="006900F6">
            <w:pPr>
              <w:pStyle w:val="Bulletbox"/>
            </w:pPr>
            <w:r w:rsidRPr="00F9716C">
              <w:t xml:space="preserve">Improve productivity and outcomes to maximise impact. </w:t>
            </w:r>
          </w:p>
          <w:p w14:paraId="4CA03E0E" w14:textId="77777777" w:rsidR="00AD4F68" w:rsidRPr="00F9716C" w:rsidRDefault="00AD4F68" w:rsidP="006900F6">
            <w:pPr>
              <w:pStyle w:val="Bulletbox"/>
            </w:pPr>
            <w:r w:rsidRPr="00F9716C">
              <w:t>Enhance governance, risk and compliance processes and culture to mitigate risk.</w:t>
            </w:r>
          </w:p>
          <w:p w14:paraId="3A798870" w14:textId="77777777" w:rsidR="00AD4F68" w:rsidRPr="00F9716C" w:rsidRDefault="00AD4F68" w:rsidP="006900F6">
            <w:pPr>
              <w:pStyle w:val="Bulletbox"/>
            </w:pPr>
            <w:r w:rsidRPr="00F9716C">
              <w:t>Advocate for legislative reform to improve our ability to anticipate and respond to the changing nature of our operating environment.</w:t>
            </w:r>
          </w:p>
          <w:p w14:paraId="6373FE76" w14:textId="77777777" w:rsidR="00AD4F68" w:rsidRPr="00F9716C" w:rsidRDefault="00AD4F68" w:rsidP="006900F6">
            <w:pPr>
              <w:pStyle w:val="Bulletbox"/>
            </w:pPr>
            <w:r w:rsidRPr="00F9716C">
              <w:t>Innovate, digitalise and automate service delivery to maximise operational efficiency and effectiveness.</w:t>
            </w:r>
          </w:p>
          <w:p w14:paraId="73F5E389" w14:textId="77777777" w:rsidR="00AD4F68" w:rsidRPr="00F9716C" w:rsidRDefault="00AD4F68" w:rsidP="006900F6">
            <w:pPr>
              <w:pStyle w:val="Bulletbox"/>
            </w:pPr>
            <w:r w:rsidRPr="00F9716C">
              <w:t>Build and use data to inform effective decision making.</w:t>
            </w:r>
          </w:p>
          <w:p w14:paraId="5B0D3FFE" w14:textId="08A4D38A" w:rsidR="00AD4F68" w:rsidRPr="00E402EC" w:rsidRDefault="00AD4F68" w:rsidP="006900F6">
            <w:pPr>
              <w:pStyle w:val="Bulletbox"/>
            </w:pPr>
            <w:r w:rsidRPr="00F9716C">
              <w:t>Enable a person-centred approach that reflects the perspectives of our diverse community, including First Nations peoples.</w:t>
            </w:r>
            <w:r w:rsidR="00E402EC">
              <w:br/>
            </w:r>
          </w:p>
        </w:tc>
      </w:tr>
    </w:tbl>
    <w:p w14:paraId="67B6B4A5" w14:textId="77777777" w:rsidR="0004473A" w:rsidRPr="00F9716C" w:rsidRDefault="0004473A" w:rsidP="005F61D8">
      <w:pPr>
        <w:pStyle w:val="Openingparagraph"/>
      </w:pPr>
    </w:p>
    <w:p w14:paraId="3E2913B1" w14:textId="77777777" w:rsidR="00370F00" w:rsidRPr="00F9716C" w:rsidRDefault="00370F00" w:rsidP="005F61D8">
      <w:pPr>
        <w:pStyle w:val="Openingparagraph"/>
        <w:sectPr w:rsidR="00370F00" w:rsidRPr="00F9716C" w:rsidSect="00C77834">
          <w:type w:val="continuous"/>
          <w:pgSz w:w="11906" w:h="16838" w:code="9"/>
          <w:pgMar w:top="2155" w:right="1134" w:bottom="964" w:left="1134" w:header="720" w:footer="284" w:gutter="0"/>
          <w:cols w:num="2" w:space="567"/>
          <w:noEndnote/>
          <w:docGrid w:linePitch="272"/>
        </w:sectPr>
      </w:pPr>
    </w:p>
    <w:tbl>
      <w:tblPr>
        <w:tblStyle w:val="Annualreport2020-21"/>
        <w:tblW w:w="0" w:type="auto"/>
        <w:tblBorders>
          <w:bottom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8"/>
      </w:tblGrid>
      <w:tr w:rsidR="00F9716C" w:rsidRPr="00F9716C" w14:paraId="23769B4C" w14:textId="77777777" w:rsidTr="00AD4F68">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F2F2F2" w:themeFill="background1" w:themeFillShade="F2"/>
          </w:tcPr>
          <w:p w14:paraId="47A5172B" w14:textId="4562E7F2" w:rsidR="001C2089" w:rsidRPr="00EA7AA8" w:rsidRDefault="004A315A" w:rsidP="00CE1DC6">
            <w:pPr>
              <w:pStyle w:val="3Heading-highlight"/>
              <w:ind w:right="39"/>
              <w:rPr>
                <w:rStyle w:val="Emphasis"/>
              </w:rPr>
            </w:pPr>
            <w:r w:rsidRPr="00EA7AA8">
              <w:rPr>
                <w:rStyle w:val="Emphasis"/>
              </w:rPr>
              <w:t xml:space="preserve">Delivering efficient and effective outcomes to reduce the incidence of major </w:t>
            </w:r>
            <w:r w:rsidR="00CE1DC6">
              <w:rPr>
                <w:rStyle w:val="Emphasis"/>
              </w:rPr>
              <w:br/>
            </w:r>
            <w:r w:rsidRPr="00EA7AA8">
              <w:rPr>
                <w:rStyle w:val="Emphasis"/>
              </w:rPr>
              <w:t xml:space="preserve">crime and </w:t>
            </w:r>
            <w:r w:rsidR="005E573C" w:rsidRPr="00EA7AA8">
              <w:rPr>
                <w:rStyle w:val="Emphasis"/>
              </w:rPr>
              <w:t>corruption,</w:t>
            </w:r>
            <w:r w:rsidRPr="00EA7AA8">
              <w:rPr>
                <w:rStyle w:val="Emphasis"/>
              </w:rPr>
              <w:t xml:space="preserve"> and improve the integrity of the public sector </w:t>
            </w:r>
            <w:r w:rsidR="00CE1DC6">
              <w:rPr>
                <w:rStyle w:val="Emphasis"/>
              </w:rPr>
              <w:br/>
            </w:r>
            <w:r w:rsidRPr="00EA7AA8">
              <w:rPr>
                <w:rStyle w:val="Emphasis"/>
              </w:rPr>
              <w:t>in Queensland.</w:t>
            </w:r>
            <w:r w:rsidR="00CE1DC6">
              <w:rPr>
                <w:rStyle w:val="Emphasis"/>
              </w:rPr>
              <w:br/>
            </w:r>
          </w:p>
        </w:tc>
      </w:tr>
    </w:tbl>
    <w:p w14:paraId="0A6D9F13" w14:textId="77777777" w:rsidR="001C2089" w:rsidRPr="00F9716C" w:rsidRDefault="001C2089" w:rsidP="001C2089">
      <w:pPr>
        <w:spacing w:after="240"/>
        <w:rPr>
          <w:b/>
          <w:bCs/>
          <w:color w:val="414042" w:themeColor="text1"/>
          <w:sz w:val="24"/>
          <w:szCs w:val="24"/>
        </w:rPr>
      </w:pPr>
    </w:p>
    <w:p w14:paraId="360A8568" w14:textId="40367D5C" w:rsidR="004A315A" w:rsidRPr="00F9716C" w:rsidRDefault="00A47975" w:rsidP="00B520D0">
      <w:pPr>
        <w:pStyle w:val="3Heading-highlight"/>
        <w:ind w:right="105"/>
      </w:pPr>
      <w:r w:rsidRPr="00F9716C">
        <w:t>Reducing the incidence of major crime</w:t>
      </w:r>
    </w:p>
    <w:p w14:paraId="3316A275" w14:textId="77777777" w:rsidR="0019614B" w:rsidRDefault="006852D9" w:rsidP="00B520D0">
      <w:pPr>
        <w:pStyle w:val="4H-Intro"/>
        <w:spacing w:before="240"/>
        <w:ind w:right="105"/>
      </w:pPr>
      <w:r w:rsidRPr="00F9716C">
        <w:t>Illicit markets</w:t>
      </w:r>
    </w:p>
    <w:p w14:paraId="1F29BEF7" w14:textId="77777777" w:rsidR="005563CF" w:rsidRPr="00F9716C" w:rsidRDefault="005563CF" w:rsidP="00B520D0">
      <w:pPr>
        <w:pStyle w:val="4H-Intro"/>
        <w:ind w:right="105"/>
        <w:sectPr w:rsidR="005563CF" w:rsidRPr="00F9716C" w:rsidSect="00C77834">
          <w:headerReference w:type="even" r:id="rId164"/>
          <w:headerReference w:type="default" r:id="rId165"/>
          <w:headerReference w:type="first" r:id="rId166"/>
          <w:pgSz w:w="11906" w:h="16838" w:code="9"/>
          <w:pgMar w:top="2155" w:right="1134" w:bottom="964" w:left="1134" w:header="720" w:footer="284" w:gutter="0"/>
          <w:cols w:space="567"/>
          <w:noEndnote/>
          <w:docGrid w:linePitch="272"/>
        </w:sectPr>
      </w:pPr>
    </w:p>
    <w:p w14:paraId="6D2A8CAC" w14:textId="68DC2115" w:rsidR="0019614B" w:rsidRPr="00F9716C" w:rsidRDefault="006852D9" w:rsidP="00B520D0">
      <w:pPr>
        <w:pStyle w:val="newBODYTEXT"/>
        <w:ind w:right="105"/>
        <w:rPr>
          <w:b/>
          <w:bCs/>
        </w:rPr>
      </w:pPr>
      <w:r w:rsidRPr="00F9716C">
        <w:t>Illicit markets involve the exchange of illegal goods and services, or the exchange of those things in unlawful ways. The CCC is concerned with illicit market activity that enables or involves serious organised crime, such as illicit drugs and firearms trafficking, and produces significant financial return for offenders. These markets are pervasive, and impacts have serious health and social ramifications, and economic costs for healthcare, law enforcement and the productivity of our communities.</w:t>
      </w:r>
      <w:bookmarkStart w:id="952" w:name="_Hlk74046068"/>
      <w:bookmarkStart w:id="953" w:name="_Toc102037915"/>
      <w:bookmarkStart w:id="954" w:name="_Toc102038276"/>
      <w:bookmarkStart w:id="955" w:name="_Toc102038637"/>
      <w:bookmarkStart w:id="956" w:name="_Toc102038989"/>
      <w:bookmarkStart w:id="957" w:name="_Toc102039338"/>
      <w:bookmarkStart w:id="958" w:name="_Toc102039700"/>
      <w:bookmarkStart w:id="959" w:name="_Toc102040057"/>
      <w:bookmarkStart w:id="960" w:name="_Toc102040385"/>
      <w:bookmarkStart w:id="961" w:name="_Toc102040719"/>
      <w:bookmarkStart w:id="962" w:name="_Toc102041047"/>
      <w:bookmarkStart w:id="963" w:name="_Toc102041376"/>
      <w:bookmarkStart w:id="964" w:name="_Toc102041708"/>
      <w:bookmarkStart w:id="965" w:name="_Toc102042035"/>
      <w:bookmarkStart w:id="966" w:name="_Toc102042365"/>
      <w:bookmarkStart w:id="967" w:name="_Toc102045495"/>
      <w:bookmarkStart w:id="968" w:name="_Hlk109845851"/>
    </w:p>
    <w:p w14:paraId="42F49DC0" w14:textId="6D0ED5BC" w:rsidR="006852D9" w:rsidRPr="00F9716C" w:rsidRDefault="006852D9" w:rsidP="00B520D0">
      <w:pPr>
        <w:pStyle w:val="Openingparagraph"/>
        <w:spacing w:after="120"/>
        <w:ind w:right="105"/>
        <w:rPr>
          <w:rFonts w:ascii="Calibri Light" w:hAnsi="Calibri Light" w:cstheme="minorBidi"/>
          <w:b w:val="0"/>
          <w:bCs w:val="0"/>
          <w:spacing w:val="0"/>
          <w:sz w:val="20"/>
          <w:szCs w:val="22"/>
          <w:lang w:val="en-AU"/>
        </w:rPr>
      </w:pPr>
      <w:r w:rsidRPr="00F9716C">
        <w:rPr>
          <w:rFonts w:ascii="Calibri Light" w:hAnsi="Calibri Light" w:cstheme="minorBidi"/>
          <w:b w:val="0"/>
          <w:bCs w:val="0"/>
          <w:spacing w:val="0"/>
          <w:sz w:val="20"/>
          <w:szCs w:val="22"/>
          <w:lang w:val="en-AU"/>
        </w:rPr>
        <w:t>Organised crime groups are heavily involved in illicit market activities with strong links to global supply chains through international networks and facilitators. Often these groups operate using sophisticated business models and expertise to produce significant financial return for those involved.</w:t>
      </w:r>
    </w:p>
    <w:p w14:paraId="3D54A49E" w14:textId="77777777" w:rsidR="006852D9" w:rsidRPr="00F9716C" w:rsidRDefault="006852D9" w:rsidP="00B520D0">
      <w:pPr>
        <w:spacing w:after="120"/>
        <w:ind w:right="105"/>
        <w:rPr>
          <w:color w:val="414042" w:themeColor="text1"/>
        </w:rPr>
      </w:pPr>
      <w:r w:rsidRPr="00F9716C">
        <w:rPr>
          <w:color w:val="414042" w:themeColor="text1"/>
        </w:rPr>
        <w:t>Those who facilitate or enable these crimes may be respected professionals within the community who offer their expertise on a fee-for-service basis. They may be recruited by organised crime groups through pre-existing networks that have global reach, requiring national and international law enforcement collaboration and coordination.</w:t>
      </w:r>
    </w:p>
    <w:p w14:paraId="733C2161" w14:textId="77777777" w:rsidR="006852D9" w:rsidRPr="00F9716C" w:rsidRDefault="006852D9" w:rsidP="00B520D0">
      <w:pPr>
        <w:spacing w:after="80"/>
        <w:ind w:right="105"/>
        <w:rPr>
          <w:color w:val="414042" w:themeColor="text1"/>
        </w:rPr>
      </w:pPr>
      <w:r w:rsidRPr="00F9716C">
        <w:rPr>
          <w:color w:val="414042" w:themeColor="text1"/>
        </w:rPr>
        <w:t>The CCC’s response to this area of focus is multifaceted and includes:</w:t>
      </w:r>
    </w:p>
    <w:p w14:paraId="64D97A3A" w14:textId="77777777" w:rsidR="006852D9" w:rsidRPr="00F9716C" w:rsidRDefault="006852D9" w:rsidP="00B520D0">
      <w:pPr>
        <w:pStyle w:val="Bulletpoints0"/>
        <w:ind w:right="105"/>
      </w:pPr>
      <w:r w:rsidRPr="00F9716C">
        <w:t>undertaking major crime investigations, including in partnership with other law enforcement and intelligence agencies to enhance investigation outcomes and intelligence sharing</w:t>
      </w:r>
    </w:p>
    <w:p w14:paraId="0632E3CE" w14:textId="77777777" w:rsidR="006852D9" w:rsidRPr="00F9716C" w:rsidRDefault="006852D9" w:rsidP="00B520D0">
      <w:pPr>
        <w:pStyle w:val="Bulletpoints0"/>
        <w:ind w:right="105"/>
      </w:pPr>
      <w:r w:rsidRPr="00F9716C">
        <w:t>undertaking intelligence focused investigations to identify criminal networks, their methods, and vulnerabilities, and to identify strategic responses to organised criminal activity</w:t>
      </w:r>
    </w:p>
    <w:p w14:paraId="39B4CFA5" w14:textId="77777777" w:rsidR="00A451F4" w:rsidRPr="00F9716C" w:rsidRDefault="006852D9" w:rsidP="00B520D0">
      <w:pPr>
        <w:pStyle w:val="Bulletpoints0"/>
        <w:ind w:right="105"/>
      </w:pPr>
      <w:r w:rsidRPr="00F9716C">
        <w:t>pursuing criminal proceeds investigations and taking civil confiscation action</w:t>
      </w:r>
      <w:r w:rsidR="006F473F" w:rsidRPr="00F9716C">
        <w:t xml:space="preserve"> </w:t>
      </w:r>
    </w:p>
    <w:p w14:paraId="25EDC988" w14:textId="288CB97E" w:rsidR="006B308F" w:rsidRPr="00F9716C" w:rsidRDefault="006852D9" w:rsidP="00B520D0">
      <w:pPr>
        <w:pStyle w:val="Bulletpoints0"/>
        <w:ind w:right="105"/>
      </w:pPr>
      <w:r w:rsidRPr="00F9716C">
        <w:t>undertaking research and intelligence projects to identify emerging trends, risks, and opportunities to disrupt serious criminal activity and assess the impact of our action taken.</w:t>
      </w:r>
    </w:p>
    <w:p w14:paraId="613966CE" w14:textId="30F79A78" w:rsidR="006852D9" w:rsidRPr="00F9716C" w:rsidRDefault="006852D9" w:rsidP="00B520D0">
      <w:pPr>
        <w:spacing w:before="120"/>
        <w:ind w:left="-14" w:right="105"/>
        <w:rPr>
          <w:color w:val="414042" w:themeColor="text1"/>
        </w:rPr>
      </w:pPr>
      <w:r w:rsidRPr="00F9716C">
        <w:rPr>
          <w:color w:val="414042" w:themeColor="text1"/>
        </w:rPr>
        <w:t>In 2023</w:t>
      </w:r>
      <w:r w:rsidR="00102555" w:rsidRPr="00F9716C">
        <w:rPr>
          <w:color w:val="414042" w:themeColor="text1"/>
        </w:rPr>
        <w:t>–</w:t>
      </w:r>
      <w:r w:rsidRPr="00F9716C">
        <w:rPr>
          <w:color w:val="414042" w:themeColor="text1"/>
        </w:rPr>
        <w:t xml:space="preserve">24 we examined </w:t>
      </w:r>
      <w:r w:rsidR="00102555" w:rsidRPr="00F9716C">
        <w:rPr>
          <w:color w:val="414042" w:themeColor="text1"/>
        </w:rPr>
        <w:t>41</w:t>
      </w:r>
      <w:r w:rsidRPr="00F9716C">
        <w:rPr>
          <w:color w:val="414042" w:themeColor="text1"/>
        </w:rPr>
        <w:t xml:space="preserve"> witnesses over </w:t>
      </w:r>
      <w:r w:rsidR="00A278CA" w:rsidRPr="00F9716C">
        <w:rPr>
          <w:color w:val="414042" w:themeColor="text1"/>
        </w:rPr>
        <w:t>47</w:t>
      </w:r>
      <w:r w:rsidRPr="00F9716C">
        <w:rPr>
          <w:color w:val="414042" w:themeColor="text1"/>
        </w:rPr>
        <w:t xml:space="preserve"> hearing days to support and advance investigations by the CCC or the QPS that were focused on illicit markets. </w:t>
      </w:r>
    </w:p>
    <w:p w14:paraId="7229CDDE" w14:textId="77777777" w:rsidR="006852D9" w:rsidRPr="00F9716C" w:rsidRDefault="006852D9" w:rsidP="00B520D0">
      <w:pPr>
        <w:ind w:left="-14" w:right="105"/>
        <w:rPr>
          <w:color w:val="414042" w:themeColor="text1"/>
        </w:rPr>
      </w:pPr>
      <w:r w:rsidRPr="00F9716C">
        <w:rPr>
          <w:color w:val="414042" w:themeColor="text1"/>
        </w:rPr>
        <w:t>Our key investigative outcomes for illicit markets are summarised below.</w:t>
      </w:r>
    </w:p>
    <w:p w14:paraId="48CBA01B" w14:textId="11B5B335" w:rsidR="006852D9" w:rsidRPr="005563CF" w:rsidRDefault="006852D9" w:rsidP="00B520D0">
      <w:pPr>
        <w:pStyle w:val="5A-Headingintext"/>
        <w:spacing w:before="240"/>
        <w:ind w:right="105"/>
      </w:pPr>
      <w:r w:rsidRPr="005563CF">
        <w:t>Referred major crime investigations</w:t>
      </w:r>
    </w:p>
    <w:p w14:paraId="46C9F95C" w14:textId="6AE79200" w:rsidR="006852D9" w:rsidRPr="00F9716C" w:rsidRDefault="006852D9" w:rsidP="00B520D0">
      <w:pPr>
        <w:pStyle w:val="newBODYTEXT"/>
        <w:ind w:right="105"/>
      </w:pPr>
      <w:r w:rsidRPr="00F9716C">
        <w:t xml:space="preserve">Major crime investigations may be referred by the QPS for assistance, primarily through the use of the CCC’s coercive hearing powers. The QPS remains the lead agency for these investigations and is primarily responsible for investigation outcomes such as </w:t>
      </w:r>
      <w:r w:rsidR="005E573C" w:rsidRPr="00F9716C">
        <w:t>laying charges</w:t>
      </w:r>
      <w:r w:rsidR="00760E72" w:rsidRPr="00F9716C">
        <w:t xml:space="preserve"> and arresting</w:t>
      </w:r>
      <w:r w:rsidRPr="00F9716C">
        <w:t xml:space="preserve"> alleged offenders. </w:t>
      </w:r>
    </w:p>
    <w:p w14:paraId="4D70182F" w14:textId="31E41F47" w:rsidR="006852D9" w:rsidRPr="00F9716C" w:rsidRDefault="006852D9" w:rsidP="00B520D0">
      <w:pPr>
        <w:spacing w:before="120"/>
        <w:ind w:right="105"/>
        <w:rPr>
          <w:color w:val="414042" w:themeColor="text1"/>
        </w:rPr>
      </w:pPr>
      <w:r w:rsidRPr="00F9716C">
        <w:rPr>
          <w:color w:val="414042" w:themeColor="text1"/>
        </w:rPr>
        <w:t>In 2023</w:t>
      </w:r>
      <w:r w:rsidR="00DC27CB" w:rsidRPr="00F9716C">
        <w:rPr>
          <w:color w:val="414042" w:themeColor="text1"/>
        </w:rPr>
        <w:t>–</w:t>
      </w:r>
      <w:r w:rsidRPr="00F9716C">
        <w:rPr>
          <w:color w:val="414042" w:themeColor="text1"/>
        </w:rPr>
        <w:t xml:space="preserve">24 the CCC advanced </w:t>
      </w:r>
      <w:r w:rsidR="001544CB" w:rsidRPr="00F9716C">
        <w:rPr>
          <w:color w:val="414042" w:themeColor="text1"/>
        </w:rPr>
        <w:t>six</w:t>
      </w:r>
      <w:r w:rsidRPr="00F9716C">
        <w:rPr>
          <w:color w:val="414042" w:themeColor="text1"/>
        </w:rPr>
        <w:t xml:space="preserve"> referred investigations involving alleged organised crime involvement in illicit market activity in this way. </w:t>
      </w:r>
    </w:p>
    <w:p w14:paraId="605CB424" w14:textId="50D90615" w:rsidR="006852D9" w:rsidRPr="00F9716C" w:rsidRDefault="006852D9" w:rsidP="00B520D0">
      <w:pPr>
        <w:spacing w:before="120"/>
        <w:ind w:right="105"/>
        <w:rPr>
          <w:color w:val="414042" w:themeColor="text1"/>
        </w:rPr>
      </w:pPr>
      <w:r w:rsidRPr="00112F2C">
        <w:rPr>
          <w:rStyle w:val="ObjectiveitalicsChar"/>
          <w:b w:val="0"/>
          <w:bCs w:val="0"/>
          <w:sz w:val="22"/>
          <w:szCs w:val="22"/>
        </w:rPr>
        <w:t>Drug trafficking network in Southeast Queensland:</w:t>
      </w:r>
      <w:r w:rsidRPr="005563CF">
        <w:rPr>
          <w:color w:val="414042" w:themeColor="text1"/>
          <w:sz w:val="18"/>
          <w:szCs w:val="20"/>
        </w:rPr>
        <w:t xml:space="preserve"> </w:t>
      </w:r>
      <w:r w:rsidR="005E573C">
        <w:rPr>
          <w:color w:val="414042" w:themeColor="text1"/>
        </w:rPr>
        <w:br/>
      </w:r>
      <w:r w:rsidRPr="00F9716C">
        <w:rPr>
          <w:color w:val="414042" w:themeColor="text1"/>
        </w:rPr>
        <w:t xml:space="preserve">We held </w:t>
      </w:r>
      <w:r w:rsidR="00477EDA" w:rsidRPr="00F9716C">
        <w:rPr>
          <w:color w:val="414042" w:themeColor="text1"/>
        </w:rPr>
        <w:t>five</w:t>
      </w:r>
      <w:r w:rsidRPr="00F9716C">
        <w:rPr>
          <w:color w:val="414042" w:themeColor="text1"/>
        </w:rPr>
        <w:t xml:space="preserve"> days of hearings investigating a criminal network, active in both Brisbane and the Gold Coast, with alleged links to a high threat</w:t>
      </w:r>
      <w:r w:rsidR="00BC559D" w:rsidRPr="00F9716C">
        <w:rPr>
          <w:color w:val="414042" w:themeColor="text1"/>
        </w:rPr>
        <w:t xml:space="preserve"> Outlaw Motorcycle Gang</w:t>
      </w:r>
      <w:r w:rsidRPr="00F9716C">
        <w:rPr>
          <w:color w:val="414042" w:themeColor="text1"/>
        </w:rPr>
        <w:t xml:space="preserve"> </w:t>
      </w:r>
      <w:r w:rsidR="00BC559D" w:rsidRPr="00F9716C">
        <w:rPr>
          <w:color w:val="414042" w:themeColor="text1"/>
        </w:rPr>
        <w:t>(</w:t>
      </w:r>
      <w:r w:rsidRPr="00F9716C">
        <w:rPr>
          <w:color w:val="414042" w:themeColor="text1"/>
        </w:rPr>
        <w:t>OMCG</w:t>
      </w:r>
      <w:r w:rsidR="00BC559D" w:rsidRPr="00F9716C">
        <w:rPr>
          <w:color w:val="414042" w:themeColor="text1"/>
        </w:rPr>
        <w:t>)</w:t>
      </w:r>
      <w:r w:rsidRPr="00F9716C">
        <w:rPr>
          <w:color w:val="414042" w:themeColor="text1"/>
        </w:rPr>
        <w:t xml:space="preserve">. The network is alleged to be involved in trafficking cocaine, methylamphetamine and cannabis, committing offences against the </w:t>
      </w:r>
      <w:r w:rsidRPr="00F9716C">
        <w:rPr>
          <w:i/>
          <w:iCs/>
          <w:color w:val="414042" w:themeColor="text1"/>
        </w:rPr>
        <w:t>Weapons Act 1990</w:t>
      </w:r>
      <w:r w:rsidRPr="00F9716C">
        <w:rPr>
          <w:color w:val="414042" w:themeColor="text1"/>
        </w:rPr>
        <w:t xml:space="preserve">, and money laundering. </w:t>
      </w:r>
    </w:p>
    <w:p w14:paraId="25614237" w14:textId="12F3634B" w:rsidR="005B36FC" w:rsidRPr="00F9716C" w:rsidRDefault="006852D9" w:rsidP="00B520D0">
      <w:pPr>
        <w:spacing w:before="120"/>
        <w:ind w:right="105"/>
        <w:rPr>
          <w:color w:val="414042" w:themeColor="text1"/>
        </w:rPr>
        <w:sectPr w:rsidR="005B36FC" w:rsidRPr="00F9716C" w:rsidSect="00A07189">
          <w:headerReference w:type="even" r:id="rId167"/>
          <w:headerReference w:type="default" r:id="rId168"/>
          <w:headerReference w:type="first" r:id="rId169"/>
          <w:type w:val="continuous"/>
          <w:pgSz w:w="11906" w:h="16838" w:code="9"/>
          <w:pgMar w:top="2155" w:right="1134" w:bottom="964" w:left="1134" w:header="720" w:footer="284" w:gutter="0"/>
          <w:cols w:num="2" w:space="638"/>
          <w:noEndnote/>
          <w:docGrid w:linePitch="272"/>
        </w:sectPr>
      </w:pPr>
      <w:r w:rsidRPr="00112F2C">
        <w:rPr>
          <w:rStyle w:val="ObjectiveitalicsChar"/>
          <w:b w:val="0"/>
          <w:bCs w:val="0"/>
          <w:sz w:val="22"/>
          <w:szCs w:val="22"/>
        </w:rPr>
        <w:t>Interstate drug syndicate</w:t>
      </w:r>
      <w:r w:rsidRPr="005563CF">
        <w:rPr>
          <w:rStyle w:val="ObjectiveitalicsChar"/>
          <w:sz w:val="22"/>
          <w:szCs w:val="22"/>
        </w:rPr>
        <w:t>:</w:t>
      </w:r>
      <w:r w:rsidRPr="00F9716C">
        <w:rPr>
          <w:color w:val="414042" w:themeColor="text1"/>
        </w:rPr>
        <w:t xml:space="preserve"> We examined </w:t>
      </w:r>
      <w:r w:rsidR="00477EDA" w:rsidRPr="00F9716C">
        <w:rPr>
          <w:color w:val="414042" w:themeColor="text1"/>
        </w:rPr>
        <w:t>three</w:t>
      </w:r>
      <w:r w:rsidRPr="00F9716C">
        <w:rPr>
          <w:color w:val="414042" w:themeColor="text1"/>
        </w:rPr>
        <w:t xml:space="preserve"> witnesses over </w:t>
      </w:r>
      <w:r w:rsidR="00477EDA" w:rsidRPr="00F9716C">
        <w:rPr>
          <w:color w:val="414042" w:themeColor="text1"/>
        </w:rPr>
        <w:t>four</w:t>
      </w:r>
      <w:r w:rsidRPr="00F9716C">
        <w:rPr>
          <w:color w:val="414042" w:themeColor="text1"/>
        </w:rPr>
        <w:t xml:space="preserve"> </w:t>
      </w:r>
      <w:r w:rsidR="00C666E7" w:rsidRPr="00F9716C">
        <w:rPr>
          <w:color w:val="414042" w:themeColor="text1"/>
        </w:rPr>
        <w:t xml:space="preserve">hearing </w:t>
      </w:r>
      <w:r w:rsidRPr="00F9716C">
        <w:rPr>
          <w:color w:val="414042" w:themeColor="text1"/>
        </w:rPr>
        <w:t>days to progress an investigation into suspected drug trafficking, between Sydney, Brisbane, Rockhampton, and Mackay, by a syndicate with alleged links to a high threat OMCG.</w:t>
      </w:r>
    </w:p>
    <w:p w14:paraId="0C3EBCB6" w14:textId="7743E401" w:rsidR="006852D9" w:rsidRPr="00F9716C" w:rsidRDefault="006852D9" w:rsidP="00586639">
      <w:pPr>
        <w:spacing w:before="120"/>
        <w:ind w:right="105"/>
        <w:rPr>
          <w:color w:val="414042" w:themeColor="text1"/>
        </w:rPr>
      </w:pPr>
      <w:r w:rsidRPr="00112F2C">
        <w:rPr>
          <w:rStyle w:val="ObjectiveitalicsChar"/>
          <w:b w:val="0"/>
          <w:bCs w:val="0"/>
          <w:sz w:val="22"/>
          <w:szCs w:val="22"/>
        </w:rPr>
        <w:t>Trafficking of 42 stolen firearms:</w:t>
      </w:r>
      <w:r w:rsidRPr="00F9716C">
        <w:rPr>
          <w:color w:val="414042" w:themeColor="text1"/>
        </w:rPr>
        <w:t xml:space="preserve"> We examined 11 witnesses over </w:t>
      </w:r>
      <w:r w:rsidR="00477EDA" w:rsidRPr="00F9716C">
        <w:rPr>
          <w:color w:val="414042" w:themeColor="text1"/>
        </w:rPr>
        <w:t>eight</w:t>
      </w:r>
      <w:r w:rsidRPr="00F9716C">
        <w:rPr>
          <w:color w:val="414042" w:themeColor="text1"/>
        </w:rPr>
        <w:t xml:space="preserve"> days to assist a QPS investigation into the alleged theft and trafficking of 42 firearms from a rural property at Limevale in June 2023. </w:t>
      </w:r>
    </w:p>
    <w:p w14:paraId="39493E69" w14:textId="7ECF030D" w:rsidR="00B7506D" w:rsidRPr="00F9716C" w:rsidRDefault="006852D9" w:rsidP="00586639">
      <w:pPr>
        <w:ind w:right="105"/>
        <w:rPr>
          <w:color w:val="414042" w:themeColor="text1"/>
        </w:rPr>
      </w:pPr>
      <w:r w:rsidRPr="00112F2C">
        <w:rPr>
          <w:rStyle w:val="ObjectiveitalicsChar"/>
          <w:b w:val="0"/>
          <w:bCs w:val="0"/>
          <w:sz w:val="22"/>
          <w:szCs w:val="22"/>
        </w:rPr>
        <w:t>Brisbane based drug trafficking network</w:t>
      </w:r>
      <w:r w:rsidR="00B7506D" w:rsidRPr="00112F2C">
        <w:rPr>
          <w:rStyle w:val="ObjectiveitalicsChar"/>
          <w:b w:val="0"/>
          <w:bCs w:val="0"/>
          <w:sz w:val="22"/>
          <w:szCs w:val="22"/>
        </w:rPr>
        <w:t>s</w:t>
      </w:r>
      <w:r w:rsidRPr="005563CF">
        <w:rPr>
          <w:rStyle w:val="ObjectiveitalicsChar"/>
          <w:sz w:val="22"/>
          <w:szCs w:val="22"/>
        </w:rPr>
        <w:t>:</w:t>
      </w:r>
      <w:r w:rsidRPr="00F9716C">
        <w:rPr>
          <w:color w:val="414042" w:themeColor="text1"/>
        </w:rPr>
        <w:t xml:space="preserve"> </w:t>
      </w:r>
      <w:r w:rsidR="00B7506D" w:rsidRPr="00F9716C">
        <w:rPr>
          <w:color w:val="414042" w:themeColor="text1"/>
        </w:rPr>
        <w:t>To advance two QPS investigations relating to drug trafficking networks in Brisbane:</w:t>
      </w:r>
    </w:p>
    <w:p w14:paraId="49EC0E32" w14:textId="77777777" w:rsidR="00B7506D" w:rsidRPr="00F9716C" w:rsidRDefault="00B7506D" w:rsidP="00586639">
      <w:pPr>
        <w:pStyle w:val="Bulletpoints0"/>
        <w:ind w:right="105"/>
      </w:pPr>
      <w:r w:rsidRPr="00F9716C">
        <w:t>We examined two witnesses over one day, along with their alleged connection with an attempted arson attack for one investigation.</w:t>
      </w:r>
    </w:p>
    <w:p w14:paraId="37A9967F" w14:textId="7AB0DC5C" w:rsidR="007D6522" w:rsidRPr="00F9716C" w:rsidRDefault="00B7506D" w:rsidP="00586639">
      <w:pPr>
        <w:pStyle w:val="Bulletpoints0"/>
        <w:ind w:right="105"/>
      </w:pPr>
      <w:r w:rsidRPr="00F9716C">
        <w:t>We examined seven witnesses over seven days in relation to the second investigation.</w:t>
      </w:r>
      <w:r w:rsidR="007D6522" w:rsidRPr="00F9716C">
        <w:t xml:space="preserve"> </w:t>
      </w:r>
    </w:p>
    <w:p w14:paraId="18175C21" w14:textId="75F22F69" w:rsidR="006852D9" w:rsidRPr="00F9716C" w:rsidRDefault="006852D9" w:rsidP="00586639">
      <w:pPr>
        <w:pStyle w:val="5A-Headingintext"/>
        <w:spacing w:before="240"/>
        <w:ind w:right="105"/>
      </w:pPr>
      <w:r w:rsidRPr="00F9716C">
        <w:t>CCC major crime investigations</w:t>
      </w:r>
    </w:p>
    <w:p w14:paraId="533616A2" w14:textId="4EC80178" w:rsidR="006852D9" w:rsidRPr="00F9716C" w:rsidRDefault="006852D9" w:rsidP="00586639">
      <w:pPr>
        <w:pStyle w:val="newBODYTEXT"/>
        <w:ind w:right="105"/>
      </w:pPr>
      <w:r w:rsidRPr="00F9716C">
        <w:t xml:space="preserve">The CCC also initiates and undertakes major crime investigations where it is the lead agency responsible for investigation outcomes. These investigations usually involve methodologies </w:t>
      </w:r>
      <w:r w:rsidR="00992552" w:rsidRPr="00F9716C">
        <w:t xml:space="preserve">which extend </w:t>
      </w:r>
      <w:r w:rsidRPr="00F9716C">
        <w:t xml:space="preserve">over </w:t>
      </w:r>
      <w:r w:rsidR="00992552" w:rsidRPr="00F9716C">
        <w:t>a prolonged</w:t>
      </w:r>
      <w:r w:rsidRPr="00F9716C">
        <w:t xml:space="preserve"> period.</w:t>
      </w:r>
    </w:p>
    <w:p w14:paraId="5D0F2AFA" w14:textId="3D13710B" w:rsidR="006852D9" w:rsidRPr="00F9716C" w:rsidRDefault="006852D9" w:rsidP="00586639">
      <w:pPr>
        <w:ind w:right="105"/>
        <w:rPr>
          <w:color w:val="414042" w:themeColor="text1"/>
          <w:spacing w:val="-4"/>
        </w:rPr>
      </w:pPr>
      <w:r w:rsidRPr="00F9716C">
        <w:rPr>
          <w:color w:val="414042" w:themeColor="text1"/>
          <w:spacing w:val="-4"/>
        </w:rPr>
        <w:t>In 2023</w:t>
      </w:r>
      <w:r w:rsidR="004833A5" w:rsidRPr="00F9716C">
        <w:rPr>
          <w:color w:val="414042" w:themeColor="text1"/>
          <w:spacing w:val="-4"/>
        </w:rPr>
        <w:t>–</w:t>
      </w:r>
      <w:r w:rsidRPr="00F9716C">
        <w:rPr>
          <w:color w:val="414042" w:themeColor="text1"/>
          <w:spacing w:val="-4"/>
        </w:rPr>
        <w:t xml:space="preserve">24, we progressed </w:t>
      </w:r>
      <w:r w:rsidR="004E6AE4" w:rsidRPr="00F9716C">
        <w:rPr>
          <w:color w:val="414042" w:themeColor="text1"/>
          <w:spacing w:val="-4"/>
        </w:rPr>
        <w:t>two</w:t>
      </w:r>
      <w:r w:rsidRPr="00F9716C">
        <w:rPr>
          <w:color w:val="414042" w:themeColor="text1"/>
          <w:spacing w:val="-4"/>
        </w:rPr>
        <w:t xml:space="preserve"> CCC led major crime investigations targeting illicit markets and their facilitators.</w:t>
      </w:r>
    </w:p>
    <w:p w14:paraId="29F0A8C4" w14:textId="66132EBD" w:rsidR="006852D9" w:rsidRPr="00F9716C" w:rsidRDefault="00302B76" w:rsidP="00586639">
      <w:pPr>
        <w:ind w:right="105"/>
        <w:rPr>
          <w:color w:val="414042" w:themeColor="text1"/>
        </w:rPr>
      </w:pPr>
      <w:r w:rsidRPr="00112F2C">
        <w:rPr>
          <w:rStyle w:val="ObjectiveitalicsChar"/>
          <w:b w:val="0"/>
          <w:bCs w:val="0"/>
          <w:sz w:val="22"/>
          <w:szCs w:val="22"/>
        </w:rPr>
        <w:t>D</w:t>
      </w:r>
      <w:r w:rsidR="006852D9" w:rsidRPr="00112F2C">
        <w:rPr>
          <w:rStyle w:val="ObjectiveitalicsChar"/>
          <w:b w:val="0"/>
          <w:bCs w:val="0"/>
          <w:sz w:val="22"/>
          <w:szCs w:val="22"/>
        </w:rPr>
        <w:t>rug trafficking and money laundering syndicate:</w:t>
      </w:r>
      <w:r w:rsidR="006852D9" w:rsidRPr="00F9716C">
        <w:rPr>
          <w:color w:val="414042" w:themeColor="text1"/>
        </w:rPr>
        <w:t xml:space="preserve"> </w:t>
      </w:r>
      <w:r w:rsidR="005E573C">
        <w:rPr>
          <w:color w:val="414042" w:themeColor="text1"/>
        </w:rPr>
        <w:br/>
      </w:r>
      <w:r w:rsidR="006852D9" w:rsidRPr="00F9716C">
        <w:rPr>
          <w:color w:val="414042" w:themeColor="text1"/>
        </w:rPr>
        <w:t xml:space="preserve">An investigation was undertaken into a suspected money laundering and drug trafficking </w:t>
      </w:r>
      <w:r w:rsidR="00334DE4" w:rsidRPr="00F9716C">
        <w:rPr>
          <w:color w:val="414042" w:themeColor="text1"/>
        </w:rPr>
        <w:t>Brisbane</w:t>
      </w:r>
      <w:r w:rsidR="008A3AD2" w:rsidRPr="00F9716C">
        <w:rPr>
          <w:color w:val="414042" w:themeColor="text1"/>
        </w:rPr>
        <w:t>-</w:t>
      </w:r>
      <w:r w:rsidR="00334DE4" w:rsidRPr="00F9716C">
        <w:rPr>
          <w:color w:val="414042" w:themeColor="text1"/>
        </w:rPr>
        <w:t xml:space="preserve">based </w:t>
      </w:r>
      <w:r w:rsidR="006852D9" w:rsidRPr="00F9716C">
        <w:rPr>
          <w:color w:val="414042" w:themeColor="text1"/>
        </w:rPr>
        <w:t xml:space="preserve">syndicate alleged to be involved in the importation and trafficking of heroin and methylamphetamine. To date the investigation has resulted in the arrest of </w:t>
      </w:r>
      <w:r w:rsidR="00A451F4" w:rsidRPr="00F9716C">
        <w:rPr>
          <w:color w:val="414042" w:themeColor="text1"/>
        </w:rPr>
        <w:t>19</w:t>
      </w:r>
      <w:r w:rsidR="006852D9" w:rsidRPr="00F9716C">
        <w:rPr>
          <w:color w:val="414042" w:themeColor="text1"/>
        </w:rPr>
        <w:t xml:space="preserve"> p</w:t>
      </w:r>
      <w:r w:rsidR="001231CD" w:rsidRPr="00F9716C">
        <w:rPr>
          <w:color w:val="414042" w:themeColor="text1"/>
        </w:rPr>
        <w:t>eople</w:t>
      </w:r>
      <w:r w:rsidR="006852D9" w:rsidRPr="00F9716C">
        <w:rPr>
          <w:color w:val="414042" w:themeColor="text1"/>
        </w:rPr>
        <w:t xml:space="preserve"> on various drugs and weapons</w:t>
      </w:r>
      <w:r w:rsidR="00CD0F49" w:rsidRPr="00F9716C">
        <w:rPr>
          <w:color w:val="414042" w:themeColor="text1"/>
        </w:rPr>
        <w:t xml:space="preserve"> offences</w:t>
      </w:r>
      <w:r w:rsidR="00F9221E" w:rsidRPr="00F9716C">
        <w:rPr>
          <w:color w:val="414042" w:themeColor="text1"/>
        </w:rPr>
        <w:t>,</w:t>
      </w:r>
      <w:r w:rsidR="006852D9" w:rsidRPr="00F9716C">
        <w:rPr>
          <w:color w:val="414042" w:themeColor="text1"/>
        </w:rPr>
        <w:t xml:space="preserve"> </w:t>
      </w:r>
      <w:r w:rsidR="00CD0F49" w:rsidRPr="00F9716C">
        <w:rPr>
          <w:color w:val="414042" w:themeColor="text1"/>
        </w:rPr>
        <w:t xml:space="preserve">including </w:t>
      </w:r>
      <w:r w:rsidR="006852D9" w:rsidRPr="00F9716C">
        <w:rPr>
          <w:color w:val="414042" w:themeColor="text1"/>
        </w:rPr>
        <w:t xml:space="preserve">weapons production in connection with the location of </w:t>
      </w:r>
      <w:r w:rsidR="00A451F4" w:rsidRPr="00F9716C">
        <w:rPr>
          <w:color w:val="414042" w:themeColor="text1"/>
        </w:rPr>
        <w:t xml:space="preserve">a </w:t>
      </w:r>
      <w:r w:rsidR="006852D9" w:rsidRPr="00F9716C">
        <w:rPr>
          <w:color w:val="414042" w:themeColor="text1"/>
        </w:rPr>
        <w:t>firearms manufacturing facility using 3D printing technology.</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3F3E3972" w14:textId="382F222A" w:rsidR="00602752" w:rsidRPr="00F9716C" w:rsidRDefault="00302B76" w:rsidP="00586639">
      <w:pPr>
        <w:ind w:right="105"/>
        <w:rPr>
          <w:b/>
          <w:bCs/>
          <w:color w:val="414042" w:themeColor="text1"/>
        </w:rPr>
      </w:pPr>
      <w:r w:rsidRPr="00112F2C">
        <w:rPr>
          <w:rStyle w:val="ObjectiveitalicsChar"/>
          <w:b w:val="0"/>
          <w:bCs w:val="0"/>
          <w:sz w:val="22"/>
          <w:szCs w:val="22"/>
        </w:rPr>
        <w:t>Criminal network drug production and trafficking:</w:t>
      </w:r>
      <w:r w:rsidRPr="00F9716C">
        <w:rPr>
          <w:i/>
          <w:iCs/>
          <w:color w:val="414042" w:themeColor="text1"/>
        </w:rPr>
        <w:t xml:space="preserve"> </w:t>
      </w:r>
      <w:r w:rsidR="005E573C">
        <w:rPr>
          <w:i/>
          <w:iCs/>
          <w:color w:val="414042" w:themeColor="text1"/>
        </w:rPr>
        <w:br/>
      </w:r>
      <w:r w:rsidR="00A451F4" w:rsidRPr="00F9716C">
        <w:rPr>
          <w:color w:val="414042" w:themeColor="text1"/>
        </w:rPr>
        <w:t>The CCC undertook a</w:t>
      </w:r>
      <w:r w:rsidR="00602752" w:rsidRPr="00F9716C">
        <w:rPr>
          <w:color w:val="414042" w:themeColor="text1"/>
        </w:rPr>
        <w:t xml:space="preserve">n investigation into the production and trafficking of dangerous drugs, and the supplying of substances to other criminal networks for the production of </w:t>
      </w:r>
      <w:r w:rsidR="008A3AD2" w:rsidRPr="00F9716C">
        <w:rPr>
          <w:color w:val="414042" w:themeColor="text1"/>
        </w:rPr>
        <w:t xml:space="preserve">a </w:t>
      </w:r>
      <w:r w:rsidR="00602752" w:rsidRPr="00F9716C">
        <w:rPr>
          <w:color w:val="414042" w:themeColor="text1"/>
        </w:rPr>
        <w:t>dangerous drug, by a Brisbane</w:t>
      </w:r>
      <w:r w:rsidR="0034081D" w:rsidRPr="00F9716C">
        <w:rPr>
          <w:color w:val="414042" w:themeColor="text1"/>
        </w:rPr>
        <w:t>-</w:t>
      </w:r>
      <w:r w:rsidR="00602752" w:rsidRPr="00F9716C">
        <w:rPr>
          <w:color w:val="414042" w:themeColor="text1"/>
        </w:rPr>
        <w:t>based criminal network.</w:t>
      </w:r>
    </w:p>
    <w:p w14:paraId="050FCE1E" w14:textId="77777777" w:rsidR="005563CF" w:rsidRDefault="006852D9" w:rsidP="00586639">
      <w:pPr>
        <w:pStyle w:val="5A-Headingintext"/>
        <w:spacing w:before="240"/>
        <w:ind w:right="105"/>
      </w:pPr>
      <w:bookmarkStart w:id="969" w:name="_Toc102037919"/>
      <w:bookmarkStart w:id="970" w:name="_Toc102038280"/>
      <w:bookmarkStart w:id="971" w:name="_Toc102038641"/>
      <w:bookmarkStart w:id="972" w:name="_Toc102038993"/>
      <w:bookmarkStart w:id="973" w:name="_Toc102039342"/>
      <w:bookmarkStart w:id="974" w:name="_Toc102039704"/>
      <w:bookmarkStart w:id="975" w:name="_Toc102040061"/>
      <w:bookmarkStart w:id="976" w:name="_Toc102040389"/>
      <w:bookmarkStart w:id="977" w:name="_Toc102040723"/>
      <w:bookmarkStart w:id="978" w:name="_Toc102041051"/>
      <w:bookmarkStart w:id="979" w:name="_Toc102041380"/>
      <w:bookmarkStart w:id="980" w:name="_Toc102041712"/>
      <w:bookmarkStart w:id="981" w:name="_Toc102042039"/>
      <w:bookmarkStart w:id="982" w:name="_Toc102042369"/>
      <w:bookmarkStart w:id="983" w:name="_Toc102045499"/>
      <w:bookmarkStart w:id="984" w:name="_Hlk78281754"/>
      <w:r w:rsidRPr="005563CF">
        <w:t>Intelligence operations</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34AF8CB8" w14:textId="43C74E53" w:rsidR="006852D9" w:rsidRPr="00F9716C" w:rsidRDefault="006852D9" w:rsidP="00586639">
      <w:pPr>
        <w:pStyle w:val="4H-Intro"/>
        <w:ind w:right="35"/>
      </w:pPr>
      <w:r w:rsidRPr="005563CF">
        <w:rPr>
          <w:rStyle w:val="newBODYTEXTChar"/>
          <w:b w:val="0"/>
          <w:bCs w:val="0"/>
        </w:rPr>
        <w:t>The CCC undertakes intelligence operations to investigate, including by way of holding a hearing, the alleged criminal activities of criminal organisations and their participants. The CCC’s intelligence operations and associated hearing programs provide contemporary classified information and unique insights into the workings of organised crime groups and their participants.</w:t>
      </w:r>
      <w:r w:rsidR="005E573C">
        <w:br w:type="column"/>
      </w:r>
      <w:r w:rsidRPr="00112F2C">
        <w:rPr>
          <w:rStyle w:val="ObjectiveitalicsChar"/>
          <w:sz w:val="22"/>
          <w:szCs w:val="22"/>
        </w:rPr>
        <w:t>Money laundering involving high value illicit markets:</w:t>
      </w:r>
      <w:r w:rsidRPr="005563CF">
        <w:rPr>
          <w:rStyle w:val="newBODYTEXTChar"/>
          <w:b w:val="0"/>
          <w:bCs w:val="0"/>
          <w:sz w:val="18"/>
          <w:szCs w:val="18"/>
        </w:rPr>
        <w:t xml:space="preserve"> </w:t>
      </w:r>
      <w:r w:rsidR="005563CF">
        <w:rPr>
          <w:rStyle w:val="newBODYTEXTChar"/>
          <w:b w:val="0"/>
          <w:bCs w:val="0"/>
        </w:rPr>
        <w:br/>
      </w:r>
      <w:r w:rsidRPr="005563CF">
        <w:rPr>
          <w:rStyle w:val="newBODYTEXTChar"/>
          <w:b w:val="0"/>
          <w:bCs w:val="0"/>
        </w:rPr>
        <w:t>In 2023</w:t>
      </w:r>
      <w:r w:rsidR="005E573C" w:rsidRPr="005563CF">
        <w:rPr>
          <w:rStyle w:val="newBODYTEXTChar"/>
          <w:b w:val="0"/>
          <w:bCs w:val="0"/>
        </w:rPr>
        <w:t>–</w:t>
      </w:r>
      <w:r w:rsidRPr="005563CF">
        <w:rPr>
          <w:rStyle w:val="newBODYTEXTChar"/>
          <w:b w:val="0"/>
          <w:bCs w:val="0"/>
        </w:rPr>
        <w:t>24 we concluded an investigation into money laundering activity by alleged criminal organisation participants suspected of laundering the proceeds of high value illicit markets, including the sale of illicit tobacco and vapes.</w:t>
      </w:r>
      <w:r w:rsidRPr="00F9716C">
        <w:t xml:space="preserve"> </w:t>
      </w:r>
    </w:p>
    <w:p w14:paraId="4DB63786" w14:textId="70988A4F" w:rsidR="006852D9" w:rsidRPr="00F9716C" w:rsidRDefault="006852D9" w:rsidP="00586639">
      <w:pPr>
        <w:spacing w:before="120"/>
        <w:ind w:right="35"/>
        <w:rPr>
          <w:color w:val="414042" w:themeColor="text1"/>
        </w:rPr>
      </w:pPr>
      <w:r w:rsidRPr="00F9716C">
        <w:rPr>
          <w:color w:val="414042" w:themeColor="text1"/>
        </w:rPr>
        <w:t>As a result of intelligence gathered during the investigation, in August 2023 more than 150 operational staff across six agencies (CCC, QPS, Queensland Health, Australian Taxation Office</w:t>
      </w:r>
      <w:r w:rsidR="00F23632" w:rsidRPr="00F9716C">
        <w:rPr>
          <w:color w:val="414042" w:themeColor="text1"/>
        </w:rPr>
        <w:t xml:space="preserve"> (ATO)</w:t>
      </w:r>
      <w:r w:rsidRPr="00F9716C">
        <w:rPr>
          <w:color w:val="414042" w:themeColor="text1"/>
        </w:rPr>
        <w:t>, the Therapeutic Goods Administration and Australian Border Force</w:t>
      </w:r>
      <w:r w:rsidR="00A451F4" w:rsidRPr="00F9716C">
        <w:rPr>
          <w:color w:val="414042" w:themeColor="text1"/>
        </w:rPr>
        <w:t>)</w:t>
      </w:r>
      <w:r w:rsidRPr="00F9716C">
        <w:rPr>
          <w:color w:val="414042" w:themeColor="text1"/>
        </w:rPr>
        <w:t xml:space="preserve"> executed multiple warrants under both State and Commonwealth legislation at 15 residential, retai</w:t>
      </w:r>
      <w:r w:rsidR="00F9221E" w:rsidRPr="00F9716C">
        <w:rPr>
          <w:color w:val="414042" w:themeColor="text1"/>
        </w:rPr>
        <w:t>l</w:t>
      </w:r>
      <w:r w:rsidRPr="00F9716C">
        <w:rPr>
          <w:color w:val="414042" w:themeColor="text1"/>
        </w:rPr>
        <w:t xml:space="preserve"> and commercial locations in Southeast Queensland</w:t>
      </w:r>
      <w:r w:rsidR="00F23632" w:rsidRPr="00F9716C">
        <w:rPr>
          <w:color w:val="414042" w:themeColor="text1"/>
        </w:rPr>
        <w:t>. This</w:t>
      </w:r>
      <w:r w:rsidRPr="00F9716C">
        <w:rPr>
          <w:color w:val="414042" w:themeColor="text1"/>
        </w:rPr>
        <w:t xml:space="preserve"> result</w:t>
      </w:r>
      <w:r w:rsidR="00F23632" w:rsidRPr="00F9716C">
        <w:rPr>
          <w:color w:val="414042" w:themeColor="text1"/>
        </w:rPr>
        <w:t>ed in the seizure of</w:t>
      </w:r>
      <w:r w:rsidRPr="00F9716C">
        <w:rPr>
          <w:color w:val="414042" w:themeColor="text1"/>
        </w:rPr>
        <w:t xml:space="preserve"> more than $835,000 in cash, and illicit smoking products</w:t>
      </w:r>
      <w:r w:rsidR="00CC7F7A" w:rsidRPr="00F9716C">
        <w:rPr>
          <w:color w:val="414042" w:themeColor="text1"/>
        </w:rPr>
        <w:t>,</w:t>
      </w:r>
      <w:r w:rsidRPr="00F9716C">
        <w:rPr>
          <w:color w:val="414042" w:themeColor="text1"/>
        </w:rPr>
        <w:t xml:space="preserve"> including </w:t>
      </w:r>
      <w:r w:rsidR="00E17F9D" w:rsidRPr="00F9716C">
        <w:rPr>
          <w:color w:val="414042" w:themeColor="text1"/>
        </w:rPr>
        <w:t>eight</w:t>
      </w:r>
      <w:r w:rsidRPr="00F9716C">
        <w:rPr>
          <w:color w:val="414042" w:themeColor="text1"/>
        </w:rPr>
        <w:t xml:space="preserve"> million cigarettes, 3.7 tonnes of loose-leaf tobacco with a total excise value of more than $14</w:t>
      </w:r>
      <w:r w:rsidR="00275197" w:rsidRPr="00F9716C">
        <w:rPr>
          <w:color w:val="414042" w:themeColor="text1"/>
        </w:rPr>
        <w:t> </w:t>
      </w:r>
      <w:r w:rsidR="00F9221E" w:rsidRPr="00F9716C">
        <w:rPr>
          <w:color w:val="414042" w:themeColor="text1"/>
        </w:rPr>
        <w:t>million</w:t>
      </w:r>
      <w:r w:rsidRPr="00F9716C">
        <w:rPr>
          <w:color w:val="414042" w:themeColor="text1"/>
        </w:rPr>
        <w:t xml:space="preserve">, and 60,000 vapes with a street value of approximately $1.8 </w:t>
      </w:r>
      <w:r w:rsidR="00F9221E" w:rsidRPr="00F9716C">
        <w:rPr>
          <w:color w:val="414042" w:themeColor="text1"/>
        </w:rPr>
        <w:t>million</w:t>
      </w:r>
      <w:r w:rsidRPr="00F9716C">
        <w:rPr>
          <w:color w:val="414042" w:themeColor="text1"/>
        </w:rPr>
        <w:t>.</w:t>
      </w:r>
    </w:p>
    <w:p w14:paraId="627CF0DC" w14:textId="49ABCD90" w:rsidR="006852D9" w:rsidRPr="00F9716C" w:rsidRDefault="006852D9" w:rsidP="00586639">
      <w:pPr>
        <w:ind w:right="35"/>
        <w:rPr>
          <w:color w:val="414042" w:themeColor="text1"/>
        </w:rPr>
      </w:pPr>
      <w:r w:rsidRPr="00F9716C">
        <w:rPr>
          <w:color w:val="414042" w:themeColor="text1"/>
        </w:rPr>
        <w:t>In December 2023, in conjunction with the ATO and QPS, following the execution of further warrants on residential and business premises in the Logan area, more than $350,000 in cash and quantities of gold were seized in connection with alleged money laundering.</w:t>
      </w:r>
    </w:p>
    <w:p w14:paraId="0AEB5D5E" w14:textId="21048CE3" w:rsidR="00D73511" w:rsidRPr="00F9716C" w:rsidRDefault="00D73511" w:rsidP="00586639">
      <w:pPr>
        <w:ind w:right="35"/>
        <w:rPr>
          <w:color w:val="414042" w:themeColor="text1"/>
        </w:rPr>
      </w:pPr>
      <w:r w:rsidRPr="00F9716C">
        <w:rPr>
          <w:color w:val="414042" w:themeColor="text1"/>
        </w:rPr>
        <w:t xml:space="preserve">The intelligence operation resulted in the arrest of five </w:t>
      </w:r>
      <w:r w:rsidR="00A451F4" w:rsidRPr="00F9716C">
        <w:rPr>
          <w:color w:val="414042" w:themeColor="text1"/>
        </w:rPr>
        <w:t>people</w:t>
      </w:r>
      <w:r w:rsidRPr="00F9716C">
        <w:rPr>
          <w:color w:val="414042" w:themeColor="text1"/>
        </w:rPr>
        <w:t xml:space="preserve"> who were charged with various drug related offences, and one person for 63 charges involving alleged identity and related fraud offences, and serious Commonwealth offences in connection with the possession and sale of significant quantities of illicit tobacco. A total of </w:t>
      </w:r>
      <w:r w:rsidRPr="00F9716C">
        <w:rPr>
          <w:rStyle w:val="ui-provider"/>
          <w:color w:val="414042" w:themeColor="text1"/>
        </w:rPr>
        <w:t xml:space="preserve">$5,378,339.78 </w:t>
      </w:r>
      <w:r w:rsidRPr="00F9716C">
        <w:rPr>
          <w:color w:val="414042" w:themeColor="text1"/>
        </w:rPr>
        <w:t xml:space="preserve">worth of cash, bank account value and real property was restrained under the </w:t>
      </w:r>
      <w:r w:rsidRPr="00F9716C">
        <w:rPr>
          <w:i/>
          <w:iCs/>
          <w:color w:val="414042" w:themeColor="text1"/>
        </w:rPr>
        <w:t>Criminal Proceeds Confiscation Act 2002</w:t>
      </w:r>
      <w:r w:rsidRPr="00F9716C">
        <w:rPr>
          <w:color w:val="414042" w:themeColor="text1"/>
        </w:rPr>
        <w:t>.</w:t>
      </w:r>
    </w:p>
    <w:p w14:paraId="6C7EA095" w14:textId="27D85B95" w:rsidR="006852D9" w:rsidRPr="00F9716C" w:rsidRDefault="006852D9" w:rsidP="00586639">
      <w:pPr>
        <w:ind w:right="35"/>
        <w:rPr>
          <w:b/>
          <w:bCs/>
          <w:color w:val="414042" w:themeColor="text1"/>
        </w:rPr>
      </w:pPr>
      <w:r w:rsidRPr="00F9716C">
        <w:rPr>
          <w:color w:val="414042" w:themeColor="text1"/>
        </w:rPr>
        <w:t>Additionally, 98 intelligence products arising from the investigation were disclosed to law enforcement partners, including two major intelligence assessments, one examining the methodologies and enabling environment for the sale of illicit smoking products in Queensland, and the other for revenue fraud and associated money laundering within</w:t>
      </w:r>
      <w:r w:rsidR="00D73511" w:rsidRPr="00F9716C">
        <w:rPr>
          <w:color w:val="414042" w:themeColor="text1"/>
        </w:rPr>
        <w:t xml:space="preserve"> the</w:t>
      </w:r>
      <w:r w:rsidRPr="00F9716C">
        <w:rPr>
          <w:color w:val="414042" w:themeColor="text1"/>
        </w:rPr>
        <w:t xml:space="preserve"> domestic and international gold market.</w:t>
      </w:r>
    </w:p>
    <w:bookmarkEnd w:id="984"/>
    <w:p w14:paraId="50E36725" w14:textId="77777777" w:rsidR="006852D9" w:rsidRPr="00F9716C" w:rsidRDefault="006852D9" w:rsidP="00586639">
      <w:pPr>
        <w:pStyle w:val="5A-Headingintext"/>
        <w:spacing w:before="240"/>
        <w:ind w:right="35"/>
      </w:pPr>
      <w:r w:rsidRPr="00F9716C">
        <w:t>Intelligence assessments and disclosures</w:t>
      </w:r>
    </w:p>
    <w:p w14:paraId="3EF8C963" w14:textId="6FE943B9" w:rsidR="006852D9" w:rsidRPr="00F9716C" w:rsidRDefault="006852D9" w:rsidP="00586639">
      <w:pPr>
        <w:spacing w:before="120"/>
        <w:ind w:left="14" w:right="35"/>
        <w:rPr>
          <w:color w:val="414042" w:themeColor="text1"/>
          <w:spacing w:val="-4"/>
        </w:rPr>
      </w:pPr>
      <w:r w:rsidRPr="00F9716C">
        <w:rPr>
          <w:color w:val="414042" w:themeColor="text1"/>
          <w:spacing w:val="-4"/>
        </w:rPr>
        <w:t>The CCC analyses intelligence about activities of organised crime groups, their participants and facilitators, that it has collected from its own operations and assessments and discloses that intelligence to the QPS and other Commonwealth and State law enforcement agencies for their information and potential action. The CCC also responds to specific requests from those agencies for intelligence data and assessments about organised crime groups and participants.</w:t>
      </w:r>
    </w:p>
    <w:p w14:paraId="6952B7B9" w14:textId="24421200" w:rsidR="006852D9" w:rsidRPr="00F9716C" w:rsidRDefault="006852D9" w:rsidP="00B520D0">
      <w:pPr>
        <w:spacing w:before="120"/>
        <w:ind w:left="14" w:right="35"/>
        <w:rPr>
          <w:color w:val="414042" w:themeColor="text1"/>
          <w:spacing w:val="-4"/>
        </w:rPr>
      </w:pPr>
      <w:r w:rsidRPr="00F9716C">
        <w:rPr>
          <w:color w:val="414042" w:themeColor="text1"/>
          <w:spacing w:val="-4"/>
        </w:rPr>
        <w:t>In 2023</w:t>
      </w:r>
      <w:r w:rsidR="00DC27CB" w:rsidRPr="00F9716C">
        <w:rPr>
          <w:color w:val="414042" w:themeColor="text1"/>
          <w:spacing w:val="-4"/>
        </w:rPr>
        <w:t>–</w:t>
      </w:r>
      <w:r w:rsidRPr="00F9716C">
        <w:rPr>
          <w:color w:val="414042" w:themeColor="text1"/>
          <w:spacing w:val="-4"/>
        </w:rPr>
        <w:t xml:space="preserve">24, the CCC made </w:t>
      </w:r>
      <w:r w:rsidR="00D73511" w:rsidRPr="00F9716C">
        <w:rPr>
          <w:color w:val="414042" w:themeColor="text1"/>
          <w:spacing w:val="-4"/>
        </w:rPr>
        <w:t>199</w:t>
      </w:r>
      <w:r w:rsidRPr="00F9716C">
        <w:rPr>
          <w:color w:val="414042" w:themeColor="text1"/>
          <w:spacing w:val="-4"/>
        </w:rPr>
        <w:t xml:space="preserve"> intelligence disseminations relating to investigations and in response to requests for information from other agencies, including the disclosures and assessments referred to above</w:t>
      </w:r>
      <w:r w:rsidR="00D73511" w:rsidRPr="00F9716C">
        <w:rPr>
          <w:color w:val="414042" w:themeColor="text1"/>
          <w:spacing w:val="-4"/>
        </w:rPr>
        <w:t xml:space="preserve"> under intelligence operations</w:t>
      </w:r>
      <w:r w:rsidRPr="00F9716C">
        <w:rPr>
          <w:color w:val="414042" w:themeColor="text1"/>
          <w:spacing w:val="-4"/>
        </w:rPr>
        <w:t>.</w:t>
      </w:r>
    </w:p>
    <w:p w14:paraId="255F2F77" w14:textId="08CF62F3" w:rsidR="006852D9" w:rsidRPr="00F9716C" w:rsidRDefault="006852D9" w:rsidP="00B520D0">
      <w:pPr>
        <w:spacing w:before="120"/>
        <w:ind w:left="14" w:right="35"/>
        <w:rPr>
          <w:color w:val="414042" w:themeColor="text1"/>
        </w:rPr>
      </w:pPr>
      <w:r w:rsidRPr="00112F2C">
        <w:rPr>
          <w:rStyle w:val="ObjectiveitalicsChar"/>
          <w:b w:val="0"/>
          <w:bCs w:val="0"/>
          <w:sz w:val="22"/>
          <w:szCs w:val="22"/>
        </w:rPr>
        <w:t>Dismantling of Clandestine Ice Laboratory:</w:t>
      </w:r>
      <w:r w:rsidRPr="00112F2C">
        <w:rPr>
          <w:rStyle w:val="ObjectiveitalicsChar"/>
          <w:sz w:val="22"/>
          <w:szCs w:val="22"/>
        </w:rPr>
        <w:t xml:space="preserve"> </w:t>
      </w:r>
      <w:r w:rsidRPr="00F9716C">
        <w:rPr>
          <w:color w:val="414042" w:themeColor="text1"/>
        </w:rPr>
        <w:t xml:space="preserve">Information gathered as a result of an intelligence project the CCC undertook to identify a potential drug trafficking syndicate, enabled the QPS to identify and seize a clandestine laboratory for methylamphetamine recrystallisation, 2 kg of ice and over 2 kg of heroin. </w:t>
      </w:r>
      <w:r w:rsidR="002D7B6F">
        <w:rPr>
          <w:color w:val="414042" w:themeColor="text1"/>
        </w:rPr>
        <w:br/>
      </w:r>
      <w:r w:rsidRPr="00F9716C">
        <w:rPr>
          <w:color w:val="414042" w:themeColor="text1"/>
        </w:rPr>
        <w:t xml:space="preserve">Two offenders were charged in connection with these seizures. </w:t>
      </w:r>
    </w:p>
    <w:p w14:paraId="4FACBA5A" w14:textId="77777777" w:rsidR="006852D9" w:rsidRPr="00F9716C" w:rsidRDefault="006852D9" w:rsidP="00B520D0">
      <w:pPr>
        <w:pStyle w:val="5A-Headingintext"/>
        <w:spacing w:before="240"/>
        <w:ind w:right="35"/>
      </w:pPr>
      <w:r w:rsidRPr="00F9716C">
        <w:t>Proceeds of crime recovery</w:t>
      </w:r>
    </w:p>
    <w:p w14:paraId="3075EB88" w14:textId="2C13FB75" w:rsidR="006852D9" w:rsidRPr="00F9716C" w:rsidRDefault="00F17194" w:rsidP="00B520D0">
      <w:pPr>
        <w:spacing w:before="120"/>
        <w:ind w:left="28" w:right="35"/>
        <w:rPr>
          <w:color w:val="414042" w:themeColor="text1"/>
        </w:rPr>
      </w:pPr>
      <w:r w:rsidRPr="00F9716C">
        <w:rPr>
          <w:color w:val="414042" w:themeColor="text1"/>
        </w:rPr>
        <w:t>Crime’s</w:t>
      </w:r>
      <w:r w:rsidR="006852D9" w:rsidRPr="00F9716C">
        <w:rPr>
          <w:color w:val="414042" w:themeColor="text1"/>
        </w:rPr>
        <w:t xml:space="preserve"> strategy for its criminal proceeds confiscation work i</w:t>
      </w:r>
      <w:r w:rsidR="00F9221E" w:rsidRPr="00F9716C">
        <w:rPr>
          <w:color w:val="414042" w:themeColor="text1"/>
        </w:rPr>
        <w:t>s</w:t>
      </w:r>
      <w:r w:rsidR="006852D9" w:rsidRPr="00F9716C">
        <w:rPr>
          <w:color w:val="414042" w:themeColor="text1"/>
        </w:rPr>
        <w:t xml:space="preserve"> to remove the financial benefit for serious criminal offending so that it </w:t>
      </w:r>
      <w:r w:rsidR="0099518F" w:rsidRPr="00F9716C">
        <w:rPr>
          <w:color w:val="414042" w:themeColor="text1"/>
        </w:rPr>
        <w:t>‘</w:t>
      </w:r>
      <w:r w:rsidR="006852D9" w:rsidRPr="00F9716C">
        <w:rPr>
          <w:color w:val="414042" w:themeColor="text1"/>
        </w:rPr>
        <w:t>does not pay</w:t>
      </w:r>
      <w:r w:rsidR="0099518F" w:rsidRPr="00F9716C">
        <w:rPr>
          <w:color w:val="414042" w:themeColor="text1"/>
        </w:rPr>
        <w:t>’</w:t>
      </w:r>
      <w:r w:rsidR="006852D9" w:rsidRPr="00F9716C">
        <w:rPr>
          <w:color w:val="414042" w:themeColor="text1"/>
        </w:rPr>
        <w:t xml:space="preserve"> and cannot be reinvested to support further offending.</w:t>
      </w:r>
    </w:p>
    <w:p w14:paraId="7EE72E9D" w14:textId="1713AA32" w:rsidR="005A409C" w:rsidRPr="00F9716C" w:rsidRDefault="005A409C" w:rsidP="00B520D0">
      <w:pPr>
        <w:spacing w:before="120"/>
        <w:ind w:left="28" w:right="35"/>
        <w:rPr>
          <w:color w:val="414042" w:themeColor="text1"/>
        </w:rPr>
      </w:pPr>
      <w:r w:rsidRPr="00F9716C">
        <w:rPr>
          <w:color w:val="414042" w:themeColor="text1"/>
        </w:rPr>
        <w:t>This year, we took proceeds action against those alleged to be involved in offending related to illicit markets, resulting in 10 restraining orders being obtained over assets valued at $8.461 million and 19</w:t>
      </w:r>
      <w:r w:rsidR="008C05CD" w:rsidRPr="00F9716C">
        <w:rPr>
          <w:color w:val="414042" w:themeColor="text1"/>
        </w:rPr>
        <w:t> </w:t>
      </w:r>
      <w:r w:rsidRPr="00F9716C">
        <w:rPr>
          <w:color w:val="414042" w:themeColor="text1"/>
        </w:rPr>
        <w:t xml:space="preserve">forfeiture orders valued at $10.514 million. This includes the following assets that were forfeited to </w:t>
      </w:r>
      <w:r w:rsidR="002D7B6F">
        <w:rPr>
          <w:color w:val="414042" w:themeColor="text1"/>
        </w:rPr>
        <w:br/>
      </w:r>
      <w:r w:rsidRPr="00F9716C">
        <w:rPr>
          <w:color w:val="414042" w:themeColor="text1"/>
        </w:rPr>
        <w:t>the State:</w:t>
      </w:r>
    </w:p>
    <w:p w14:paraId="05F42F74" w14:textId="21DB29BF" w:rsidR="005A409C" w:rsidRPr="00F9716C" w:rsidRDefault="005A409C" w:rsidP="00B520D0">
      <w:pPr>
        <w:pStyle w:val="Bulletpoints0"/>
        <w:ind w:right="35"/>
        <w:rPr>
          <w:b/>
          <w:bCs/>
        </w:rPr>
      </w:pPr>
      <w:r w:rsidRPr="00F9716C">
        <w:t>$4.630 million cash which had been located by QPS following the intercept</w:t>
      </w:r>
      <w:r w:rsidR="008C05CD" w:rsidRPr="00F9716C">
        <w:t>ion</w:t>
      </w:r>
      <w:r w:rsidRPr="00F9716C">
        <w:t xml:space="preserve"> of a vehicle being driven by a suspected courier for a drug trafficking syndicate operating in Southeast Queensland</w:t>
      </w:r>
    </w:p>
    <w:p w14:paraId="22559AC5" w14:textId="77777777" w:rsidR="0062601E" w:rsidRPr="00F9716C" w:rsidRDefault="005A409C" w:rsidP="00B520D0">
      <w:pPr>
        <w:pStyle w:val="Bulletpoints0"/>
        <w:ind w:right="35"/>
      </w:pPr>
      <w:r w:rsidRPr="00F9716C">
        <w:t>$0.869 million cash which had been seized by QPS during a search warrant at a property belonging to suspected traffickers of dangerous drugs in the Brisbane region.</w:t>
      </w:r>
    </w:p>
    <w:p w14:paraId="57E7EC4E" w14:textId="5A151328" w:rsidR="006852D9" w:rsidRPr="00F9716C" w:rsidRDefault="005E573C" w:rsidP="005E2E14">
      <w:pPr>
        <w:pStyle w:val="Bullets"/>
        <w:widowControl w:val="0"/>
        <w:ind w:left="28" w:right="-320"/>
        <w:rPr>
          <w:color w:val="414042" w:themeColor="text1"/>
        </w:rPr>
      </w:pPr>
      <w:r>
        <w:rPr>
          <w:color w:val="414042" w:themeColor="text1"/>
        </w:rPr>
        <w:br w:type="column"/>
      </w:r>
      <w:r w:rsidR="006852D9" w:rsidRPr="00F9716C">
        <w:rPr>
          <w:color w:val="414042" w:themeColor="text1"/>
        </w:rPr>
        <w:t>At 30 June 2024, the CCC had 43 ongoing confiscation matters comprising</w:t>
      </w:r>
      <w:r w:rsidR="00262465">
        <w:rPr>
          <w:color w:val="414042" w:themeColor="text1"/>
        </w:rPr>
        <w:t xml:space="preserve"> of</w:t>
      </w:r>
      <w:r w:rsidR="006852D9" w:rsidRPr="00F9716C">
        <w:rPr>
          <w:color w:val="414042" w:themeColor="text1"/>
        </w:rPr>
        <w:t>:</w:t>
      </w:r>
    </w:p>
    <w:p w14:paraId="7260E109" w14:textId="758CCBA8" w:rsidR="00A51842" w:rsidRPr="00F9716C" w:rsidRDefault="00B07ECA" w:rsidP="006900F6">
      <w:pPr>
        <w:pStyle w:val="Bulletpoints0"/>
      </w:pPr>
      <w:r w:rsidRPr="00F9716C">
        <w:t xml:space="preserve">Twenty-two confiscation investigations underway with </w:t>
      </w:r>
      <w:r w:rsidR="0064745D" w:rsidRPr="00F9716C">
        <w:t xml:space="preserve">the </w:t>
      </w:r>
      <w:r w:rsidRPr="00F9716C">
        <w:t>potential for $16.370 million in assets to be restrained</w:t>
      </w:r>
      <w:r w:rsidR="00262465">
        <w:t>.</w:t>
      </w:r>
    </w:p>
    <w:p w14:paraId="2EFACB26" w14:textId="356DDBFA" w:rsidR="00B07ECA" w:rsidRPr="00F9716C" w:rsidRDefault="00B07ECA" w:rsidP="006900F6">
      <w:pPr>
        <w:pStyle w:val="Bulletpoints0"/>
      </w:pPr>
      <w:r w:rsidRPr="00F9716C">
        <w:t>Twenty-one confiscation actions commenced with an estimated $33.657 million in assets under restraint</w:t>
      </w:r>
      <w:r w:rsidR="00262465">
        <w:t>.</w:t>
      </w:r>
    </w:p>
    <w:p w14:paraId="3577444F" w14:textId="7E29D2A7" w:rsidR="00B07ECA" w:rsidRPr="005E573C" w:rsidRDefault="00B07ECA" w:rsidP="006900F6">
      <w:pPr>
        <w:pStyle w:val="Bulletpoints0"/>
      </w:pPr>
      <w:r w:rsidRPr="00F9716C">
        <w:t>Fifteen matters where assets to the value of $8.529 million have been confiscated and are in the process of being recovered for deposit into consolidated revenue.</w:t>
      </w:r>
    </w:p>
    <w:p w14:paraId="711F336F" w14:textId="1F456CFE" w:rsidR="00B07ECA" w:rsidRPr="00F9716C" w:rsidRDefault="00A51842" w:rsidP="003705D1">
      <w:pPr>
        <w:pStyle w:val="Bullets"/>
        <w:ind w:left="28"/>
        <w:rPr>
          <w:color w:val="414042" w:themeColor="text1"/>
        </w:rPr>
      </w:pPr>
      <w:r w:rsidRPr="00F9716C">
        <w:rPr>
          <w:noProof/>
          <w:color w:val="414042" w:themeColor="text1"/>
        </w:rPr>
        <mc:AlternateContent>
          <mc:Choice Requires="wps">
            <w:drawing>
              <wp:anchor distT="0" distB="0" distL="114300" distR="114300" simplePos="0" relativeHeight="252461056" behindDoc="0" locked="0" layoutInCell="1" allowOverlap="1" wp14:anchorId="1BDB494A" wp14:editId="4915FF1A">
                <wp:simplePos x="0" y="0"/>
                <wp:positionH relativeFrom="margin">
                  <wp:posOffset>3279709</wp:posOffset>
                </wp:positionH>
                <wp:positionV relativeFrom="paragraph">
                  <wp:posOffset>53016</wp:posOffset>
                </wp:positionV>
                <wp:extent cx="2978224" cy="3915651"/>
                <wp:effectExtent l="0" t="0" r="0" b="8890"/>
                <wp:wrapNone/>
                <wp:docPr id="8" name="Text Box 8"/>
                <wp:cNvGraphicFramePr/>
                <a:graphic xmlns:a="http://schemas.openxmlformats.org/drawingml/2006/main">
                  <a:graphicData uri="http://schemas.microsoft.com/office/word/2010/wordprocessingShape">
                    <wps:wsp>
                      <wps:cNvSpPr txBox="1"/>
                      <wps:spPr>
                        <a:xfrm>
                          <a:off x="0" y="0"/>
                          <a:ext cx="2978224" cy="3915651"/>
                        </a:xfrm>
                        <a:prstGeom prst="rect">
                          <a:avLst/>
                        </a:prstGeom>
                        <a:solidFill>
                          <a:schemeClr val="bg1">
                            <a:lumMod val="95000"/>
                          </a:schemeClr>
                        </a:solidFill>
                        <a:ln w="6350">
                          <a:noFill/>
                        </a:ln>
                      </wps:spPr>
                      <wps:txbx>
                        <w:txbxContent>
                          <w:p w14:paraId="519EF779" w14:textId="77777777" w:rsidR="00DA2B36" w:rsidRPr="00B62C45" w:rsidRDefault="00DA2B36" w:rsidP="00112F2C">
                            <w:pPr>
                              <w:pStyle w:val="5A-Headingintext"/>
                              <w:spacing w:before="120"/>
                            </w:pPr>
                            <w:r w:rsidRPr="00B62C45">
                              <w:t>About our proceeds of crime function</w:t>
                            </w:r>
                          </w:p>
                          <w:p w14:paraId="5A88CD59" w14:textId="288C87E9" w:rsidR="00DA2B36" w:rsidRPr="00B62C45" w:rsidRDefault="00DA2B36" w:rsidP="00112F2C">
                            <w:pPr>
                              <w:ind w:left="28" w:right="142"/>
                              <w:rPr>
                                <w:b/>
                                <w:bCs/>
                                <w:color w:val="414042" w:themeColor="text1"/>
                              </w:rPr>
                            </w:pPr>
                            <w:r w:rsidRPr="00B62C45">
                              <w:rPr>
                                <w:bCs/>
                                <w:color w:val="414042" w:themeColor="text1"/>
                              </w:rPr>
                              <w:t xml:space="preserve">Under the </w:t>
                            </w:r>
                            <w:r w:rsidRPr="00B62C45">
                              <w:rPr>
                                <w:bCs/>
                                <w:i/>
                                <w:color w:val="414042" w:themeColor="text1"/>
                                <w:spacing w:val="-2"/>
                              </w:rPr>
                              <w:t>Criminal Proceeds Confiscation Act 2002</w:t>
                            </w:r>
                            <w:r w:rsidRPr="00B62C45">
                              <w:rPr>
                                <w:bCs/>
                                <w:color w:val="414042" w:themeColor="text1"/>
                              </w:rPr>
                              <w:t xml:space="preserve">, </w:t>
                            </w:r>
                            <w:r w:rsidR="005E2E14">
                              <w:rPr>
                                <w:bCs/>
                                <w:color w:val="414042" w:themeColor="text1"/>
                              </w:rPr>
                              <w:br/>
                            </w:r>
                            <w:r w:rsidRPr="00B62C45">
                              <w:rPr>
                                <w:bCs/>
                                <w:color w:val="414042" w:themeColor="text1"/>
                              </w:rPr>
                              <w:t xml:space="preserve">we are responsible for administering the civil confiscation scheme and serious drug offender confiscation order scheme. Under these schemes, </w:t>
                            </w:r>
                            <w:r w:rsidR="005E2E14">
                              <w:rPr>
                                <w:bCs/>
                                <w:color w:val="414042" w:themeColor="text1"/>
                              </w:rPr>
                              <w:br/>
                            </w:r>
                            <w:r w:rsidRPr="00B62C45">
                              <w:rPr>
                                <w:bCs/>
                                <w:color w:val="414042" w:themeColor="text1"/>
                              </w:rPr>
                              <w:t>we initiate actions to confiscate the proceeds of crime based on our investigations and on referrals from the QPS and other law enforcement agencies.</w:t>
                            </w:r>
                          </w:p>
                          <w:p w14:paraId="4D3ABADB" w14:textId="7B380D0C" w:rsidR="00DA2B36" w:rsidRPr="00B62C45" w:rsidRDefault="00DA2B36" w:rsidP="00112F2C">
                            <w:pPr>
                              <w:ind w:left="28" w:right="142"/>
                              <w:rPr>
                                <w:b/>
                                <w:bCs/>
                                <w:color w:val="414042" w:themeColor="text1"/>
                              </w:rPr>
                            </w:pPr>
                            <w:r w:rsidRPr="00B62C45">
                              <w:rPr>
                                <w:bCs/>
                                <w:color w:val="414042" w:themeColor="text1"/>
                              </w:rPr>
                              <w:t>The civil confiscation scheme enables the restraint and subsequent forfeiture of a person’s assets where there is a reasonable suspicion they have engaged in serious crime-related activity. The serious drug offender confiscation order scheme enables the confiscation of assets where a person has been convicted of a specific qualifying drug offence.</w:t>
                            </w:r>
                          </w:p>
                          <w:p w14:paraId="37647BBB" w14:textId="1404C3CD" w:rsidR="00DA2B36" w:rsidRDefault="00DA2B36" w:rsidP="00112F2C">
                            <w:pPr>
                              <w:ind w:left="28" w:right="142"/>
                            </w:pPr>
                            <w:bookmarkStart w:id="985" w:name="_Hlk173227385"/>
                            <w:bookmarkStart w:id="986" w:name="_Hlk173227386"/>
                            <w:r w:rsidRPr="00B62C45">
                              <w:rPr>
                                <w:bCs/>
                                <w:color w:val="414042" w:themeColor="text1"/>
                                <w:spacing w:val="-4"/>
                              </w:rPr>
                              <w:t xml:space="preserve">We work closely with the QPS and the ODPP to identify and litigate proceeds of crime matters, as well as the Public Trustee of Queensland, who holds and disposes </w:t>
                            </w:r>
                            <w:r w:rsidR="005E2E14">
                              <w:rPr>
                                <w:bCs/>
                                <w:color w:val="414042" w:themeColor="text1"/>
                                <w:spacing w:val="-4"/>
                              </w:rPr>
                              <w:br/>
                            </w:r>
                            <w:r w:rsidRPr="00B62C45">
                              <w:rPr>
                                <w:bCs/>
                                <w:color w:val="414042" w:themeColor="text1"/>
                                <w:spacing w:val="-4"/>
                              </w:rPr>
                              <w:t>of restrained property on behalf of the State of Queensland.</w:t>
                            </w:r>
                            <w:r w:rsidR="0099518F">
                              <w:rPr>
                                <w:bCs/>
                                <w:color w:val="414042" w:themeColor="text1"/>
                                <w:spacing w:val="-4"/>
                              </w:rPr>
                              <w:t xml:space="preserve"> </w:t>
                            </w:r>
                            <w:r w:rsidR="00161195" w:rsidRPr="00B40B6C">
                              <w:rPr>
                                <w:bCs/>
                                <w:color w:val="414042" w:themeColor="text1"/>
                                <w:spacing w:val="-4"/>
                              </w:rPr>
                              <w:t>P</w:t>
                            </w:r>
                            <w:r w:rsidR="0099518F" w:rsidRPr="00B40B6C">
                              <w:rPr>
                                <w:bCs/>
                                <w:color w:val="414042" w:themeColor="text1"/>
                                <w:spacing w:val="-4"/>
                              </w:rPr>
                              <w:t>roceeds</w:t>
                            </w:r>
                            <w:r w:rsidR="004B4784" w:rsidRPr="00B40B6C">
                              <w:rPr>
                                <w:bCs/>
                                <w:color w:val="414042" w:themeColor="text1"/>
                                <w:spacing w:val="-4"/>
                              </w:rPr>
                              <w:t xml:space="preserve"> forfeited</w:t>
                            </w:r>
                            <w:r w:rsidR="0099518F" w:rsidRPr="00B40B6C">
                              <w:rPr>
                                <w:bCs/>
                                <w:color w:val="414042" w:themeColor="text1"/>
                                <w:spacing w:val="-4"/>
                              </w:rPr>
                              <w:t xml:space="preserve"> are paid </w:t>
                            </w:r>
                            <w:r w:rsidR="00827E0F" w:rsidRPr="00B40B6C">
                              <w:rPr>
                                <w:bCs/>
                                <w:color w:val="414042" w:themeColor="text1"/>
                                <w:spacing w:val="-4"/>
                              </w:rPr>
                              <w:t>in</w:t>
                            </w:r>
                            <w:r w:rsidR="0099518F" w:rsidRPr="00B40B6C">
                              <w:rPr>
                                <w:bCs/>
                                <w:color w:val="414042" w:themeColor="text1"/>
                                <w:spacing w:val="-4"/>
                              </w:rPr>
                              <w:t>to Queensland’s Consolidated Fund</w:t>
                            </w:r>
                            <w:bookmarkEnd w:id="985"/>
                            <w:bookmarkEnd w:id="986"/>
                            <w:r w:rsidR="0099518F" w:rsidRPr="00B40B6C">
                              <w:rPr>
                                <w:bCs/>
                                <w:color w:val="414042" w:themeColor="text1"/>
                                <w:spacing w:val="-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B494A" id="Text Box 8" o:spid="_x0000_s1041" type="#_x0000_t202" style="position:absolute;left:0;text-align:left;margin-left:258.25pt;margin-top:4.15pt;width:234.5pt;height:308.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" fillcolor="#f2f2f2 [3052]" stroked="f" strokeweight=".5pt">
                <v:textbox>
                  <w:txbxContent>
                    <w:p w14:paraId="519EF779" w14:textId="77777777" w:rsidR="00DA2B36" w:rsidRPr="00B62C45" w:rsidRDefault="00DA2B36" w:rsidP="00112F2C">
                      <w:pPr>
                        <w:pStyle w:val="5A-Headingintext"/>
                        <w:spacing w:before="120"/>
                      </w:pPr>
                      <w:r w:rsidRPr="00B62C45">
                        <w:t>About our proceeds of crime function</w:t>
                      </w:r>
                    </w:p>
                    <w:p w14:paraId="5A88CD59" w14:textId="288C87E9" w:rsidR="00DA2B36" w:rsidRPr="00B62C45" w:rsidRDefault="00DA2B36" w:rsidP="00112F2C">
                      <w:pPr>
                        <w:ind w:left="28" w:right="142"/>
                        <w:rPr>
                          <w:b/>
                          <w:bCs/>
                          <w:color w:val="414042" w:themeColor="text1"/>
                        </w:rPr>
                      </w:pPr>
                      <w:r w:rsidRPr="00B62C45">
                        <w:rPr>
                          <w:bCs/>
                          <w:color w:val="414042" w:themeColor="text1"/>
                        </w:rPr>
                        <w:t xml:space="preserve">Under the </w:t>
                      </w:r>
                      <w:r w:rsidRPr="00B62C45">
                        <w:rPr>
                          <w:bCs/>
                          <w:i/>
                          <w:color w:val="414042" w:themeColor="text1"/>
                          <w:spacing w:val="-2"/>
                        </w:rPr>
                        <w:t>Criminal Proceeds Confiscation Act 2002</w:t>
                      </w:r>
                      <w:r w:rsidRPr="00B62C45">
                        <w:rPr>
                          <w:bCs/>
                          <w:color w:val="414042" w:themeColor="text1"/>
                        </w:rPr>
                        <w:t xml:space="preserve">, </w:t>
                      </w:r>
                      <w:r w:rsidR="005E2E14">
                        <w:rPr>
                          <w:bCs/>
                          <w:color w:val="414042" w:themeColor="text1"/>
                        </w:rPr>
                        <w:br/>
                      </w:r>
                      <w:r w:rsidRPr="00B62C45">
                        <w:rPr>
                          <w:bCs/>
                          <w:color w:val="414042" w:themeColor="text1"/>
                        </w:rPr>
                        <w:t xml:space="preserve">we are responsible for administering the civil confiscation scheme and serious drug offender confiscation order scheme. Under these schemes, </w:t>
                      </w:r>
                      <w:r w:rsidR="005E2E14">
                        <w:rPr>
                          <w:bCs/>
                          <w:color w:val="414042" w:themeColor="text1"/>
                        </w:rPr>
                        <w:br/>
                      </w:r>
                      <w:r w:rsidRPr="00B62C45">
                        <w:rPr>
                          <w:bCs/>
                          <w:color w:val="414042" w:themeColor="text1"/>
                        </w:rPr>
                        <w:t>we initiate actions to confiscate the proceeds of crime based on our investigations and on referrals from the QPS and other law enforcement agencies.</w:t>
                      </w:r>
                    </w:p>
                    <w:p w14:paraId="4D3ABADB" w14:textId="7B380D0C" w:rsidR="00DA2B36" w:rsidRPr="00B62C45" w:rsidRDefault="00DA2B36" w:rsidP="00112F2C">
                      <w:pPr>
                        <w:ind w:left="28" w:right="142"/>
                        <w:rPr>
                          <w:b/>
                          <w:bCs/>
                          <w:color w:val="414042" w:themeColor="text1"/>
                        </w:rPr>
                      </w:pPr>
                      <w:r w:rsidRPr="00B62C45">
                        <w:rPr>
                          <w:bCs/>
                          <w:color w:val="414042" w:themeColor="text1"/>
                        </w:rPr>
                        <w:t>The civil confiscation scheme enables the restraint and subsequent forfeiture of a person’s assets where there is a reasonable suspicion they have engaged in serious crime-related activity. The serious drug offender confiscation order scheme enables the confiscation of assets where a person has been convicted of a specific qualifying drug offence.</w:t>
                      </w:r>
                    </w:p>
                    <w:p w14:paraId="37647BBB" w14:textId="1404C3CD" w:rsidR="00DA2B36" w:rsidRDefault="00DA2B36" w:rsidP="00112F2C">
                      <w:pPr>
                        <w:ind w:left="28" w:right="142"/>
                      </w:pPr>
                      <w:bookmarkStart w:id="1314" w:name="_Hlk173227385"/>
                      <w:bookmarkStart w:id="1315" w:name="_Hlk173227386"/>
                      <w:r w:rsidRPr="00B62C45">
                        <w:rPr>
                          <w:bCs/>
                          <w:color w:val="414042" w:themeColor="text1"/>
                          <w:spacing w:val="-4"/>
                        </w:rPr>
                        <w:t xml:space="preserve">We work closely with the QPS and the ODPP to identify and litigate proceeds of crime matters, as well as the Public Trustee of Queensland, who holds and disposes </w:t>
                      </w:r>
                      <w:r w:rsidR="005E2E14">
                        <w:rPr>
                          <w:bCs/>
                          <w:color w:val="414042" w:themeColor="text1"/>
                          <w:spacing w:val="-4"/>
                        </w:rPr>
                        <w:br/>
                      </w:r>
                      <w:r w:rsidRPr="00B62C45">
                        <w:rPr>
                          <w:bCs/>
                          <w:color w:val="414042" w:themeColor="text1"/>
                          <w:spacing w:val="-4"/>
                        </w:rPr>
                        <w:t>of restrained property on behalf of the State of Queensland.</w:t>
                      </w:r>
                      <w:r w:rsidR="0099518F">
                        <w:rPr>
                          <w:bCs/>
                          <w:color w:val="414042" w:themeColor="text1"/>
                          <w:spacing w:val="-4"/>
                        </w:rPr>
                        <w:t xml:space="preserve"> </w:t>
                      </w:r>
                      <w:r w:rsidR="00161195" w:rsidRPr="00B40B6C">
                        <w:rPr>
                          <w:bCs/>
                          <w:color w:val="414042" w:themeColor="text1"/>
                          <w:spacing w:val="-4"/>
                        </w:rPr>
                        <w:t>P</w:t>
                      </w:r>
                      <w:r w:rsidR="0099518F" w:rsidRPr="00B40B6C">
                        <w:rPr>
                          <w:bCs/>
                          <w:color w:val="414042" w:themeColor="text1"/>
                          <w:spacing w:val="-4"/>
                        </w:rPr>
                        <w:t>roceeds</w:t>
                      </w:r>
                      <w:r w:rsidR="004B4784" w:rsidRPr="00B40B6C">
                        <w:rPr>
                          <w:bCs/>
                          <w:color w:val="414042" w:themeColor="text1"/>
                          <w:spacing w:val="-4"/>
                        </w:rPr>
                        <w:t xml:space="preserve"> forfeited</w:t>
                      </w:r>
                      <w:r w:rsidR="0099518F" w:rsidRPr="00B40B6C">
                        <w:rPr>
                          <w:bCs/>
                          <w:color w:val="414042" w:themeColor="text1"/>
                          <w:spacing w:val="-4"/>
                        </w:rPr>
                        <w:t xml:space="preserve"> are paid </w:t>
                      </w:r>
                      <w:r w:rsidR="00827E0F" w:rsidRPr="00B40B6C">
                        <w:rPr>
                          <w:bCs/>
                          <w:color w:val="414042" w:themeColor="text1"/>
                          <w:spacing w:val="-4"/>
                        </w:rPr>
                        <w:t>in</w:t>
                      </w:r>
                      <w:r w:rsidR="0099518F" w:rsidRPr="00B40B6C">
                        <w:rPr>
                          <w:bCs/>
                          <w:color w:val="414042" w:themeColor="text1"/>
                          <w:spacing w:val="-4"/>
                        </w:rPr>
                        <w:t>to Queensland’s Consolidated Fund</w:t>
                      </w:r>
                      <w:bookmarkEnd w:id="1314"/>
                      <w:bookmarkEnd w:id="1315"/>
                      <w:r w:rsidR="0099518F" w:rsidRPr="00B40B6C">
                        <w:rPr>
                          <w:bCs/>
                          <w:color w:val="414042" w:themeColor="text1"/>
                          <w:spacing w:val="-4"/>
                        </w:rPr>
                        <w:t>.</w:t>
                      </w:r>
                    </w:p>
                  </w:txbxContent>
                </v:textbox>
                <w10:wrap anchorx="margin"/>
              </v:shape>
            </w:pict>
          </mc:Fallback>
        </mc:AlternateContent>
      </w:r>
    </w:p>
    <w:p w14:paraId="40775735" w14:textId="77777777" w:rsidR="00A51842" w:rsidRPr="00F9716C" w:rsidRDefault="00A51842" w:rsidP="003705D1">
      <w:pPr>
        <w:pStyle w:val="Bullets"/>
        <w:ind w:left="28"/>
        <w:rPr>
          <w:color w:val="414042" w:themeColor="text1"/>
        </w:rPr>
      </w:pPr>
    </w:p>
    <w:p w14:paraId="2B88C30E" w14:textId="374CFAFC" w:rsidR="00A51842" w:rsidRPr="00F9716C" w:rsidRDefault="00A51842" w:rsidP="003705D1">
      <w:pPr>
        <w:pStyle w:val="Bullets"/>
        <w:ind w:left="28"/>
        <w:rPr>
          <w:color w:val="414042" w:themeColor="text1"/>
        </w:rPr>
      </w:pPr>
    </w:p>
    <w:p w14:paraId="46A6AB86" w14:textId="573E2234" w:rsidR="00A51842" w:rsidRPr="00F9716C" w:rsidRDefault="00A51842" w:rsidP="003705D1">
      <w:pPr>
        <w:pStyle w:val="Bullets"/>
        <w:ind w:left="28"/>
        <w:rPr>
          <w:color w:val="414042" w:themeColor="text1"/>
        </w:rPr>
      </w:pPr>
    </w:p>
    <w:p w14:paraId="765238C8" w14:textId="77777777" w:rsidR="00A51842" w:rsidRPr="00F9716C" w:rsidRDefault="00A51842" w:rsidP="003705D1">
      <w:pPr>
        <w:pStyle w:val="Bullets"/>
        <w:ind w:left="28"/>
        <w:rPr>
          <w:color w:val="414042" w:themeColor="text1"/>
        </w:rPr>
      </w:pPr>
    </w:p>
    <w:p w14:paraId="3DE180C4" w14:textId="708B9FA8" w:rsidR="00A51842" w:rsidRPr="00F9716C" w:rsidRDefault="00A51842" w:rsidP="003705D1">
      <w:pPr>
        <w:pStyle w:val="Bullets"/>
        <w:ind w:left="28"/>
        <w:rPr>
          <w:color w:val="414042" w:themeColor="text1"/>
        </w:rPr>
      </w:pPr>
    </w:p>
    <w:p w14:paraId="4DCD9F29" w14:textId="77777777" w:rsidR="00A51842" w:rsidRPr="00F9716C" w:rsidRDefault="00A51842" w:rsidP="003705D1">
      <w:pPr>
        <w:pStyle w:val="Bullets"/>
        <w:ind w:left="28"/>
        <w:rPr>
          <w:color w:val="414042" w:themeColor="text1"/>
        </w:rPr>
      </w:pPr>
    </w:p>
    <w:p w14:paraId="4A9AA3D2" w14:textId="77777777" w:rsidR="00A51842" w:rsidRPr="00F9716C" w:rsidRDefault="00A51842" w:rsidP="003705D1">
      <w:pPr>
        <w:pStyle w:val="Bullets"/>
        <w:ind w:left="28"/>
        <w:rPr>
          <w:color w:val="414042" w:themeColor="text1"/>
        </w:rPr>
      </w:pPr>
    </w:p>
    <w:p w14:paraId="67B6F891" w14:textId="66E5B870" w:rsidR="00A51842" w:rsidRPr="00F9716C" w:rsidRDefault="00A51842" w:rsidP="003705D1">
      <w:pPr>
        <w:pStyle w:val="Bullets"/>
        <w:ind w:left="28"/>
        <w:rPr>
          <w:color w:val="414042" w:themeColor="text1"/>
        </w:rPr>
      </w:pPr>
    </w:p>
    <w:p w14:paraId="2591284E" w14:textId="77777777" w:rsidR="00A51842" w:rsidRPr="00F9716C" w:rsidRDefault="00A51842" w:rsidP="003705D1">
      <w:pPr>
        <w:pStyle w:val="Bullets"/>
        <w:ind w:left="28"/>
        <w:rPr>
          <w:color w:val="414042" w:themeColor="text1"/>
        </w:rPr>
      </w:pPr>
    </w:p>
    <w:p w14:paraId="188CDEF0" w14:textId="77777777" w:rsidR="00A51842" w:rsidRPr="00F9716C" w:rsidRDefault="00A51842" w:rsidP="003705D1">
      <w:pPr>
        <w:pStyle w:val="Bullets"/>
        <w:ind w:left="28"/>
        <w:rPr>
          <w:color w:val="414042" w:themeColor="text1"/>
        </w:rPr>
      </w:pPr>
    </w:p>
    <w:p w14:paraId="1DF7D6C7" w14:textId="1EA24A65" w:rsidR="00A51842" w:rsidRPr="00F9716C" w:rsidRDefault="00A51842" w:rsidP="003705D1">
      <w:pPr>
        <w:pStyle w:val="Bullets"/>
        <w:ind w:left="28"/>
        <w:rPr>
          <w:color w:val="414042" w:themeColor="text1"/>
        </w:rPr>
      </w:pPr>
    </w:p>
    <w:p w14:paraId="74A7A5F5" w14:textId="77777777" w:rsidR="00A51842" w:rsidRPr="00F9716C" w:rsidRDefault="00A51842" w:rsidP="003705D1">
      <w:pPr>
        <w:pStyle w:val="Bullets"/>
        <w:ind w:left="28"/>
        <w:rPr>
          <w:color w:val="414042" w:themeColor="text1"/>
        </w:rPr>
      </w:pPr>
    </w:p>
    <w:p w14:paraId="55668380" w14:textId="77777777" w:rsidR="00A51842" w:rsidRPr="00F9716C" w:rsidRDefault="00A51842" w:rsidP="003705D1">
      <w:pPr>
        <w:pStyle w:val="Bullets"/>
        <w:ind w:left="28"/>
        <w:rPr>
          <w:color w:val="414042" w:themeColor="text1"/>
        </w:rPr>
      </w:pPr>
    </w:p>
    <w:p w14:paraId="2FC7824A" w14:textId="77777777" w:rsidR="00A51842" w:rsidRPr="00F9716C" w:rsidRDefault="00A51842" w:rsidP="003705D1">
      <w:pPr>
        <w:pStyle w:val="Bullets"/>
        <w:ind w:left="28"/>
        <w:rPr>
          <w:color w:val="414042" w:themeColor="text1"/>
        </w:rPr>
      </w:pPr>
    </w:p>
    <w:p w14:paraId="492E9A03" w14:textId="77777777" w:rsidR="00A51842" w:rsidRPr="00F9716C" w:rsidRDefault="00A51842" w:rsidP="003705D1">
      <w:pPr>
        <w:pStyle w:val="Bullets"/>
        <w:ind w:left="28"/>
        <w:rPr>
          <w:color w:val="414042" w:themeColor="text1"/>
        </w:rPr>
      </w:pPr>
    </w:p>
    <w:p w14:paraId="337A076B" w14:textId="77777777" w:rsidR="00A51842" w:rsidRPr="00F9716C" w:rsidRDefault="00A51842" w:rsidP="005E573C">
      <w:pPr>
        <w:pStyle w:val="Bullets"/>
        <w:rPr>
          <w:color w:val="414042" w:themeColor="text1"/>
        </w:rPr>
      </w:pPr>
    </w:p>
    <w:p w14:paraId="24DC9272" w14:textId="0B642FF8" w:rsidR="006852D9" w:rsidRPr="00F9716C" w:rsidRDefault="006852D9" w:rsidP="006852D9">
      <w:pPr>
        <w:pStyle w:val="Bullets4"/>
        <w:rPr>
          <w:color w:val="414042" w:themeColor="text1"/>
        </w:rPr>
      </w:pPr>
    </w:p>
    <w:p w14:paraId="5148AD76" w14:textId="77777777" w:rsidR="006852D9" w:rsidRPr="00F9716C" w:rsidRDefault="006852D9" w:rsidP="006830FE">
      <w:pPr>
        <w:pStyle w:val="Bulletlist"/>
        <w:framePr w:wrap="around"/>
        <w:numPr>
          <w:ilvl w:val="0"/>
          <w:numId w:val="0"/>
        </w:numPr>
        <w:rPr>
          <w:color w:val="414042" w:themeColor="text1"/>
        </w:rPr>
        <w:sectPr w:rsidR="006852D9" w:rsidRPr="00F9716C" w:rsidSect="00586639">
          <w:pgSz w:w="11906" w:h="16838" w:code="9"/>
          <w:pgMar w:top="2155" w:right="991" w:bottom="964" w:left="1134" w:header="720" w:footer="284" w:gutter="0"/>
          <w:cols w:num="2" w:space="638"/>
          <w:noEndnote/>
          <w:docGrid w:linePitch="272"/>
        </w:sectPr>
      </w:pPr>
    </w:p>
    <w:p w14:paraId="4202A88E" w14:textId="5CBB8121" w:rsidR="00173852" w:rsidRPr="00B520D0" w:rsidRDefault="0041749C" w:rsidP="00E41B49">
      <w:pPr>
        <w:pStyle w:val="Figuretableheading0"/>
        <w:rPr>
          <w:rStyle w:val="TablefigureChar"/>
          <w:b/>
          <w:bCs/>
        </w:rPr>
        <w:sectPr w:rsidR="00173852" w:rsidRPr="00B520D0" w:rsidSect="00C77834">
          <w:headerReference w:type="even" r:id="rId170"/>
          <w:headerReference w:type="default" r:id="rId171"/>
          <w:headerReference w:type="first" r:id="rId172"/>
          <w:type w:val="continuous"/>
          <w:pgSz w:w="11906" w:h="16838" w:code="9"/>
          <w:pgMar w:top="2155" w:right="1134" w:bottom="964" w:left="1134" w:header="720" w:footer="284" w:gutter="0"/>
          <w:cols w:space="567"/>
          <w:noEndnote/>
          <w:docGrid w:linePitch="272"/>
        </w:sectPr>
      </w:pPr>
      <w:r w:rsidRPr="00CB3A91">
        <w:rPr>
          <w:rFonts w:ascii="Calibri Light" w:eastAsiaTheme="minorHAnsi" w:hAnsi="Calibri Light" w:cs="Calibri"/>
          <w:color w:val="auto"/>
          <w:spacing w:val="-5"/>
          <w:sz w:val="16"/>
          <w:szCs w:val="16"/>
          <w:lang w:eastAsia="en-US"/>
        </w:rPr>
        <mc:AlternateContent>
          <mc:Choice Requires="wps">
            <w:drawing>
              <wp:anchor distT="0" distB="0" distL="114300" distR="114300" simplePos="0" relativeHeight="252521472" behindDoc="0" locked="0" layoutInCell="1" allowOverlap="1" wp14:anchorId="2CA2324B" wp14:editId="1A914BAB">
                <wp:simplePos x="0" y="0"/>
                <wp:positionH relativeFrom="column">
                  <wp:posOffset>-285115</wp:posOffset>
                </wp:positionH>
                <wp:positionV relativeFrom="paragraph">
                  <wp:posOffset>1567815</wp:posOffset>
                </wp:positionV>
                <wp:extent cx="745490" cy="436245"/>
                <wp:effectExtent l="0" t="0" r="0" b="1905"/>
                <wp:wrapNone/>
                <wp:docPr id="264723073" name="Text Box 2"/>
                <wp:cNvGraphicFramePr/>
                <a:graphic xmlns:a="http://schemas.openxmlformats.org/drawingml/2006/main">
                  <a:graphicData uri="http://schemas.microsoft.com/office/word/2010/wordprocessingShape">
                    <wps:wsp>
                      <wps:cNvSpPr txBox="1"/>
                      <wps:spPr>
                        <a:xfrm>
                          <a:off x="0" y="0"/>
                          <a:ext cx="745490" cy="436245"/>
                        </a:xfrm>
                        <a:prstGeom prst="rect">
                          <a:avLst/>
                        </a:prstGeom>
                        <a:noFill/>
                        <a:ln w="6350">
                          <a:noFill/>
                        </a:ln>
                      </wps:spPr>
                      <wps:txbx>
                        <w:txbxContent>
                          <w:p w14:paraId="47F81D7E" w14:textId="45EF249C" w:rsidR="00CB3A91" w:rsidRPr="0041749C" w:rsidRDefault="00CB3A91" w:rsidP="00CB3A91">
                            <w:pPr>
                              <w:pStyle w:val="Bullets"/>
                              <w:widowControl w:val="0"/>
                              <w:ind w:left="28" w:right="-36"/>
                              <w:jc w:val="center"/>
                              <w:rPr>
                                <w:rFonts w:asciiTheme="minorHAnsi" w:hAnsiTheme="minorHAnsi" w:cstheme="minorHAnsi"/>
                                <w:color w:val="6D6E71" w:themeColor="accent3"/>
                                <w:sz w:val="18"/>
                                <w:szCs w:val="18"/>
                              </w:rPr>
                            </w:pPr>
                            <w:r w:rsidRPr="0041749C">
                              <w:rPr>
                                <w:rFonts w:asciiTheme="minorHAnsi" w:hAnsiTheme="minorHAnsi" w:cstheme="minorHAnsi"/>
                                <w:color w:val="6D6E71" w:themeColor="accent3"/>
                                <w:sz w:val="18"/>
                                <w:szCs w:val="18"/>
                              </w:rPr>
                              <w:t>$10.514 M</w:t>
                            </w:r>
                            <w:r w:rsidRPr="0041749C">
                              <w:rPr>
                                <w:rFonts w:asciiTheme="minorHAnsi" w:hAnsiTheme="minorHAnsi" w:cstheme="minorHAnsi"/>
                                <w:color w:val="6D6E71" w:themeColor="accent3"/>
                                <w:sz w:val="18"/>
                                <w:szCs w:val="18"/>
                              </w:rPr>
                              <w:br/>
                              <w:t>FORFEITED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2324B" id="Text Box 2" o:spid="_x0000_s1042" type="#_x0000_t202" style="position:absolute;left:0;text-align:left;margin-left:-22.45pt;margin-top:123.45pt;width:58.7pt;height:34.3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" filled="f" stroked="f" strokeweight=".5pt">
                <v:textbox>
                  <w:txbxContent>
                    <w:p w14:paraId="47F81D7E" w14:textId="45EF249C" w:rsidR="00CB3A91" w:rsidRPr="0041749C" w:rsidRDefault="00CB3A91" w:rsidP="00CB3A91">
                      <w:pPr>
                        <w:pStyle w:val="Bullets"/>
                        <w:widowControl w:val="0"/>
                        <w:ind w:left="28" w:right="-36"/>
                        <w:jc w:val="center"/>
                        <w:rPr>
                          <w:rFonts w:asciiTheme="minorHAnsi" w:hAnsiTheme="minorHAnsi" w:cstheme="minorHAnsi"/>
                          <w:color w:val="6D6E71" w:themeColor="accent3"/>
                          <w:sz w:val="18"/>
                          <w:szCs w:val="18"/>
                        </w:rPr>
                      </w:pPr>
                      <w:r w:rsidRPr="0041749C">
                        <w:rPr>
                          <w:rFonts w:asciiTheme="minorHAnsi" w:hAnsiTheme="minorHAnsi" w:cstheme="minorHAnsi"/>
                          <w:color w:val="6D6E71" w:themeColor="accent3"/>
                          <w:sz w:val="18"/>
                          <w:szCs w:val="18"/>
                        </w:rPr>
                        <w:t>$10.514 M</w:t>
                      </w:r>
                      <w:r w:rsidRPr="0041749C">
                        <w:rPr>
                          <w:rFonts w:asciiTheme="minorHAnsi" w:hAnsiTheme="minorHAnsi" w:cstheme="minorHAnsi"/>
                          <w:color w:val="6D6E71" w:themeColor="accent3"/>
                          <w:sz w:val="18"/>
                          <w:szCs w:val="18"/>
                        </w:rPr>
                        <w:br/>
                        <w:t>FORFEITED</w:t>
                      </w:r>
                    </w:p>
                  </w:txbxContent>
                </v:textbox>
              </v:shape>
            </w:pict>
          </mc:Fallback>
        </mc:AlternateContent>
      </w:r>
      <w:r>
        <w:rPr>
          <w:rFonts w:cs="Calibri"/>
          <w:spacing w:val="-5"/>
          <w:sz w:val="16"/>
          <w:szCs w:val="16"/>
        </w:rPr>
        <mc:AlternateContent>
          <mc:Choice Requires="wps">
            <w:drawing>
              <wp:anchor distT="0" distB="0" distL="114300" distR="114300" simplePos="0" relativeHeight="252519424" behindDoc="0" locked="0" layoutInCell="1" allowOverlap="1" wp14:anchorId="1FE78681" wp14:editId="4124C31A">
                <wp:simplePos x="0" y="0"/>
                <wp:positionH relativeFrom="column">
                  <wp:posOffset>-294005</wp:posOffset>
                </wp:positionH>
                <wp:positionV relativeFrom="paragraph">
                  <wp:posOffset>1226185</wp:posOffset>
                </wp:positionV>
                <wp:extent cx="779145" cy="365760"/>
                <wp:effectExtent l="0" t="0" r="0" b="0"/>
                <wp:wrapNone/>
                <wp:docPr id="494837575" name="Text Box 2"/>
                <wp:cNvGraphicFramePr/>
                <a:graphic xmlns:a="http://schemas.openxmlformats.org/drawingml/2006/main">
                  <a:graphicData uri="http://schemas.microsoft.com/office/word/2010/wordprocessingShape">
                    <wps:wsp>
                      <wps:cNvSpPr txBox="1"/>
                      <wps:spPr>
                        <a:xfrm>
                          <a:off x="0" y="0"/>
                          <a:ext cx="779145" cy="365760"/>
                        </a:xfrm>
                        <a:prstGeom prst="rect">
                          <a:avLst/>
                        </a:prstGeom>
                        <a:noFill/>
                        <a:ln w="6350">
                          <a:noFill/>
                        </a:ln>
                      </wps:spPr>
                      <wps:txbx>
                        <w:txbxContent>
                          <w:p w14:paraId="2E1BBCA7" w14:textId="457EEA5B" w:rsidR="00CB3A91" w:rsidRPr="0041749C" w:rsidRDefault="00CB3A91" w:rsidP="00CB3A91">
                            <w:pPr>
                              <w:pStyle w:val="Bullets"/>
                              <w:widowControl w:val="0"/>
                              <w:ind w:left="28" w:right="-36"/>
                              <w:jc w:val="center"/>
                              <w:rPr>
                                <w:rFonts w:asciiTheme="minorHAnsi" w:hAnsiTheme="minorHAnsi" w:cstheme="minorHAnsi"/>
                                <w:color w:val="6D6E71" w:themeColor="accent3"/>
                                <w:sz w:val="18"/>
                                <w:szCs w:val="18"/>
                              </w:rPr>
                            </w:pPr>
                            <w:r w:rsidRPr="0041749C">
                              <w:rPr>
                                <w:rFonts w:asciiTheme="minorHAnsi" w:hAnsiTheme="minorHAnsi" w:cstheme="minorHAnsi"/>
                                <w:color w:val="6D6E71" w:themeColor="accent3"/>
                                <w:sz w:val="18"/>
                                <w:szCs w:val="18"/>
                              </w:rPr>
                              <w:t>$8.461 M</w:t>
                            </w:r>
                            <w:r w:rsidRPr="0041749C">
                              <w:rPr>
                                <w:rFonts w:asciiTheme="minorHAnsi" w:hAnsiTheme="minorHAnsi" w:cstheme="minorHAnsi"/>
                                <w:color w:val="6D6E71" w:themeColor="accent3"/>
                                <w:sz w:val="18"/>
                                <w:szCs w:val="18"/>
                              </w:rPr>
                              <w:br/>
                              <w:t>RESTRAINED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78681" id="_x0000_s1043" type="#_x0000_t202" style="position:absolute;left:0;text-align:left;margin-left:-23.15pt;margin-top:96.55pt;width:61.35pt;height:28.8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kQGwIAADM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" filled="f" stroked="f" strokeweight=".5pt">
                <v:textbox>
                  <w:txbxContent>
                    <w:p w14:paraId="2E1BBCA7" w14:textId="457EEA5B" w:rsidR="00CB3A91" w:rsidRPr="0041749C" w:rsidRDefault="00CB3A91" w:rsidP="00CB3A91">
                      <w:pPr>
                        <w:pStyle w:val="Bullets"/>
                        <w:widowControl w:val="0"/>
                        <w:ind w:left="28" w:right="-36"/>
                        <w:jc w:val="center"/>
                        <w:rPr>
                          <w:rFonts w:asciiTheme="minorHAnsi" w:hAnsiTheme="minorHAnsi" w:cstheme="minorHAnsi"/>
                          <w:color w:val="6D6E71" w:themeColor="accent3"/>
                          <w:sz w:val="18"/>
                          <w:szCs w:val="18"/>
                        </w:rPr>
                      </w:pPr>
                      <w:r w:rsidRPr="0041749C">
                        <w:rPr>
                          <w:rFonts w:asciiTheme="minorHAnsi" w:hAnsiTheme="minorHAnsi" w:cstheme="minorHAnsi"/>
                          <w:color w:val="6D6E71" w:themeColor="accent3"/>
                          <w:sz w:val="18"/>
                          <w:szCs w:val="18"/>
                        </w:rPr>
                        <w:t>$8.461 M</w:t>
                      </w:r>
                      <w:r w:rsidRPr="0041749C">
                        <w:rPr>
                          <w:rFonts w:asciiTheme="minorHAnsi" w:hAnsiTheme="minorHAnsi" w:cstheme="minorHAnsi"/>
                          <w:color w:val="6D6E71" w:themeColor="accent3"/>
                          <w:sz w:val="18"/>
                          <w:szCs w:val="18"/>
                        </w:rPr>
                        <w:br/>
                        <w:t>RESTRAINED</w:t>
                      </w:r>
                    </w:p>
                  </w:txbxContent>
                </v:textbox>
              </v:shape>
            </w:pict>
          </mc:Fallback>
        </mc:AlternateContent>
      </w:r>
      <w:r w:rsidRPr="00F9716C">
        <w:rPr>
          <w:rFonts w:cs="Calibri"/>
          <w:spacing w:val="-5"/>
          <w:sz w:val="16"/>
          <w:szCs w:val="16"/>
        </w:rPr>
        <w:drawing>
          <wp:anchor distT="0" distB="0" distL="114300" distR="114300" simplePos="0" relativeHeight="252481536" behindDoc="0" locked="0" layoutInCell="1" allowOverlap="1" wp14:anchorId="35B0B1D7" wp14:editId="3A5DA1C0">
            <wp:simplePos x="0" y="0"/>
            <wp:positionH relativeFrom="margin">
              <wp:posOffset>346075</wp:posOffset>
            </wp:positionH>
            <wp:positionV relativeFrom="paragraph">
              <wp:posOffset>1208405</wp:posOffset>
            </wp:positionV>
            <wp:extent cx="5996305" cy="1177925"/>
            <wp:effectExtent l="0" t="0" r="0" b="0"/>
            <wp:wrapThrough wrapText="bothSides">
              <wp:wrapPolygon edited="0">
                <wp:start x="412" y="1747"/>
                <wp:lineTo x="343" y="14672"/>
                <wp:lineTo x="7137" y="19213"/>
                <wp:lineTo x="14617" y="19213"/>
                <wp:lineTo x="21136" y="14672"/>
                <wp:lineTo x="20998" y="1747"/>
                <wp:lineTo x="412" y="1747"/>
              </wp:wrapPolygon>
            </wp:wrapThrough>
            <wp:docPr id="501" name="Chart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14:sizeRelH relativeFrom="margin">
              <wp14:pctWidth>0</wp14:pctWidth>
            </wp14:sizeRelH>
            <wp14:sizeRelV relativeFrom="margin">
              <wp14:pctHeight>0</wp14:pctHeight>
            </wp14:sizeRelV>
          </wp:anchor>
        </w:drawing>
      </w:r>
      <w:r w:rsidR="00811C33" w:rsidRPr="00F9716C">
        <w:drawing>
          <wp:anchor distT="0" distB="0" distL="114300" distR="114300" simplePos="0" relativeHeight="252480512" behindDoc="1" locked="0" layoutInCell="1" allowOverlap="1" wp14:anchorId="76275133" wp14:editId="03593389">
            <wp:simplePos x="0" y="0"/>
            <wp:positionH relativeFrom="column">
              <wp:posOffset>3242310</wp:posOffset>
            </wp:positionH>
            <wp:positionV relativeFrom="paragraph">
              <wp:posOffset>146685</wp:posOffset>
            </wp:positionV>
            <wp:extent cx="1692275" cy="1322705"/>
            <wp:effectExtent l="0" t="0" r="0" b="0"/>
            <wp:wrapNone/>
            <wp:docPr id="497" name="Chart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14:sizeRelH relativeFrom="margin">
              <wp14:pctWidth>0</wp14:pctWidth>
            </wp14:sizeRelH>
            <wp14:sizeRelV relativeFrom="margin">
              <wp14:pctHeight>0</wp14:pctHeight>
            </wp14:sizeRelV>
          </wp:anchor>
        </w:drawing>
      </w:r>
      <w:r w:rsidR="00811C33" w:rsidRPr="00F9716C">
        <w:drawing>
          <wp:anchor distT="0" distB="0" distL="107950" distR="107950" simplePos="0" relativeHeight="252478464" behindDoc="1" locked="0" layoutInCell="1" allowOverlap="1" wp14:anchorId="388D1412" wp14:editId="0133C67E">
            <wp:simplePos x="0" y="0"/>
            <wp:positionH relativeFrom="column">
              <wp:posOffset>40640</wp:posOffset>
            </wp:positionH>
            <wp:positionV relativeFrom="paragraph">
              <wp:posOffset>92075</wp:posOffset>
            </wp:positionV>
            <wp:extent cx="1793875" cy="1374140"/>
            <wp:effectExtent l="0" t="0" r="0" b="0"/>
            <wp:wrapNone/>
            <wp:docPr id="493" name="Chart 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14:sizeRelH relativeFrom="margin">
              <wp14:pctWidth>0</wp14:pctWidth>
            </wp14:sizeRelH>
            <wp14:sizeRelV relativeFrom="margin">
              <wp14:pctHeight>0</wp14:pctHeight>
            </wp14:sizeRelV>
          </wp:anchor>
        </w:drawing>
      </w:r>
      <w:r w:rsidR="00811C33" w:rsidRPr="00F9716C">
        <w:drawing>
          <wp:anchor distT="0" distB="0" distL="114300" distR="114300" simplePos="0" relativeHeight="252479488" behindDoc="1" locked="0" layoutInCell="1" allowOverlap="1" wp14:anchorId="7B0924DA" wp14:editId="006C0578">
            <wp:simplePos x="0" y="0"/>
            <wp:positionH relativeFrom="column">
              <wp:posOffset>1685290</wp:posOffset>
            </wp:positionH>
            <wp:positionV relativeFrom="paragraph">
              <wp:posOffset>105305</wp:posOffset>
            </wp:positionV>
            <wp:extent cx="1692275" cy="1322705"/>
            <wp:effectExtent l="0" t="0" r="0" b="0"/>
            <wp:wrapNone/>
            <wp:docPr id="496" name="Chart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14:sizeRelH relativeFrom="margin">
              <wp14:pctWidth>0</wp14:pctWidth>
            </wp14:sizeRelH>
            <wp14:sizeRelV relativeFrom="margin">
              <wp14:pctHeight>0</wp14:pctHeight>
            </wp14:sizeRelV>
          </wp:anchor>
        </w:drawing>
      </w:r>
      <w:r w:rsidR="00173852" w:rsidRPr="00F9716C">
        <w:t>F</w:t>
      </w:r>
      <w:r w:rsidR="00173852" w:rsidRPr="00B520D0">
        <w:rPr>
          <w:rStyle w:val="TablefigureChar"/>
          <w:b/>
          <w:bCs/>
        </w:rPr>
        <w:t xml:space="preserve">igure </w:t>
      </w:r>
      <w:r w:rsidR="006E05A2" w:rsidRPr="00B520D0">
        <w:rPr>
          <w:rStyle w:val="TablefigureChar"/>
          <w:b/>
          <w:bCs/>
        </w:rPr>
        <w:t>1</w:t>
      </w:r>
      <w:r w:rsidR="000242E9" w:rsidRPr="00B520D0">
        <w:rPr>
          <w:rStyle w:val="TablefigureChar"/>
          <w:b/>
          <w:bCs/>
        </w:rPr>
        <w:t>9</w:t>
      </w:r>
      <w:r w:rsidR="00173852" w:rsidRPr="00B520D0">
        <w:rPr>
          <w:rStyle w:val="TablefigureChar"/>
          <w:b/>
          <w:bCs/>
        </w:rPr>
        <w:t>: Proceeds of crime matters assessed, restraining and forfeiture orders made in 2023–24</w:t>
      </w:r>
    </w:p>
    <w:p w14:paraId="4738966C" w14:textId="77777777" w:rsidR="006852D9" w:rsidRPr="00F9716C" w:rsidRDefault="006852D9" w:rsidP="00112F2C">
      <w:pPr>
        <w:pStyle w:val="5A-Headingintext"/>
        <w:sectPr w:rsidR="006852D9" w:rsidRPr="00F9716C" w:rsidSect="00A37605">
          <w:headerReference w:type="even" r:id="rId177"/>
          <w:headerReference w:type="default" r:id="rId178"/>
          <w:headerReference w:type="first" r:id="rId179"/>
          <w:pgSz w:w="11906" w:h="16838" w:code="9"/>
          <w:pgMar w:top="2155" w:right="1134" w:bottom="964" w:left="1134" w:header="720" w:footer="284" w:gutter="0"/>
          <w:cols w:space="567"/>
          <w:noEndnote/>
          <w:docGrid w:linePitch="272"/>
        </w:sectPr>
      </w:pPr>
      <w:r w:rsidRPr="00F9716C">
        <w:t>Strategic and research projects</w:t>
      </w:r>
    </w:p>
    <w:p w14:paraId="5AB62562" w14:textId="6772A083" w:rsidR="00C86406" w:rsidRPr="00B520D0" w:rsidRDefault="006852D9" w:rsidP="001C265A">
      <w:pPr>
        <w:pStyle w:val="5BHeadinglight"/>
        <w:rPr>
          <w:rStyle w:val="ObjectiveitalicsChar"/>
          <w:b w:val="0"/>
          <w:bCs w:val="0"/>
          <w:sz w:val="22"/>
          <w:szCs w:val="22"/>
        </w:rPr>
      </w:pPr>
      <w:bookmarkStart w:id="987" w:name="_Hlk74046124"/>
      <w:bookmarkStart w:id="988" w:name="_Hlk168492622"/>
      <w:r w:rsidRPr="00B520D0">
        <w:rPr>
          <w:rStyle w:val="ObjectiveitalicsChar"/>
          <w:b w:val="0"/>
          <w:bCs w:val="0"/>
          <w:sz w:val="22"/>
          <w:szCs w:val="22"/>
        </w:rPr>
        <w:t>Enhancing our cryptocurrency investigation capability</w:t>
      </w:r>
      <w:bookmarkEnd w:id="987"/>
      <w:r w:rsidRPr="00B520D0">
        <w:rPr>
          <w:rStyle w:val="ObjectiveitalicsChar"/>
          <w:b w:val="0"/>
          <w:bCs w:val="0"/>
          <w:sz w:val="22"/>
          <w:szCs w:val="22"/>
        </w:rPr>
        <w:t xml:space="preserve"> </w:t>
      </w:r>
    </w:p>
    <w:p w14:paraId="60EF796F" w14:textId="51162C81" w:rsidR="006852D9" w:rsidRPr="00F9716C" w:rsidRDefault="006852D9" w:rsidP="00C86406">
      <w:pPr>
        <w:rPr>
          <w:color w:val="414042" w:themeColor="text1"/>
        </w:rPr>
      </w:pPr>
      <w:r w:rsidRPr="00F9716C">
        <w:rPr>
          <w:color w:val="414042" w:themeColor="text1"/>
        </w:rPr>
        <w:t>As digital assets such as cryptocurrency operate globally, largely outside regulated financial markets and systems, and with a high level of anonymity, they are able to be exploited by criminal groups as a means of:</w:t>
      </w:r>
    </w:p>
    <w:p w14:paraId="5E128D1C" w14:textId="77777777" w:rsidR="006852D9" w:rsidRPr="00F9716C" w:rsidRDefault="006852D9" w:rsidP="006900F6">
      <w:pPr>
        <w:pStyle w:val="Bulletpoints0"/>
      </w:pPr>
      <w:r w:rsidRPr="00F9716C">
        <w:t>securely making payments for illicit goods and services</w:t>
      </w:r>
    </w:p>
    <w:p w14:paraId="08BC59B2" w14:textId="77777777" w:rsidR="006852D9" w:rsidRPr="00F9716C" w:rsidRDefault="006852D9" w:rsidP="006900F6">
      <w:pPr>
        <w:pStyle w:val="Bulletpoints0"/>
      </w:pPr>
      <w:r w:rsidRPr="00F9716C">
        <w:t>raising revenue to finance criminal activity, and</w:t>
      </w:r>
    </w:p>
    <w:p w14:paraId="3CC9B211" w14:textId="77777777" w:rsidR="006852D9" w:rsidRPr="00F9716C" w:rsidRDefault="006852D9" w:rsidP="006900F6">
      <w:pPr>
        <w:pStyle w:val="Bulletpoints0"/>
      </w:pPr>
      <w:r w:rsidRPr="00F9716C">
        <w:t>laundering criminal proceeds through complex networks of exchanges, brokers, and online services.</w:t>
      </w:r>
    </w:p>
    <w:p w14:paraId="20C11D0E" w14:textId="77777777" w:rsidR="006852D9" w:rsidRPr="00F9716C" w:rsidRDefault="006852D9" w:rsidP="006852D9">
      <w:pPr>
        <w:rPr>
          <w:color w:val="414042" w:themeColor="text1"/>
        </w:rPr>
      </w:pPr>
      <w:r w:rsidRPr="00F9716C">
        <w:rPr>
          <w:color w:val="414042" w:themeColor="text1"/>
        </w:rPr>
        <w:t>In March 2021, we commenced a project to uplift our capability for investigations involving cryptocurrency with a focus on the infrastructure, resources, policies and procedures needed to support training, administrative and operational environments for investigations involving cryptocurrency transactions.</w:t>
      </w:r>
    </w:p>
    <w:p w14:paraId="2B8464A0" w14:textId="77777777" w:rsidR="006852D9" w:rsidRPr="00F9716C" w:rsidRDefault="006852D9" w:rsidP="006852D9">
      <w:pPr>
        <w:rPr>
          <w:color w:val="414042" w:themeColor="text1"/>
          <w:spacing w:val="-4"/>
        </w:rPr>
      </w:pPr>
      <w:r w:rsidRPr="00F9716C">
        <w:rPr>
          <w:color w:val="414042" w:themeColor="text1"/>
        </w:rPr>
        <w:t>In May 2022, we established a training environment, and created a capability framework to guide future activities for digital asset capability development and shared the framework with other State and Commonwealth enforcement partners.</w:t>
      </w:r>
    </w:p>
    <w:p w14:paraId="11150CFE" w14:textId="48CC3BA6" w:rsidR="006852D9" w:rsidRPr="00F9716C" w:rsidRDefault="006852D9" w:rsidP="006852D9">
      <w:pPr>
        <w:rPr>
          <w:color w:val="414042" w:themeColor="text1"/>
        </w:rPr>
      </w:pPr>
      <w:r w:rsidRPr="00F9716C">
        <w:rPr>
          <w:color w:val="414042" w:themeColor="text1"/>
        </w:rPr>
        <w:t>In 2023</w:t>
      </w:r>
      <w:r w:rsidR="00DC27CB" w:rsidRPr="00F9716C">
        <w:rPr>
          <w:color w:val="414042" w:themeColor="text1"/>
        </w:rPr>
        <w:t>–</w:t>
      </w:r>
      <w:r w:rsidRPr="00F9716C">
        <w:rPr>
          <w:color w:val="414042" w:themeColor="text1"/>
        </w:rPr>
        <w:t xml:space="preserve">24, we continued the next stages of that project, focusing on our operational and administrative environments. We procured specialist software and equipment to increase our ability to trace and investigate digital assets and delivered foundational digital asset training to staff across the </w:t>
      </w:r>
      <w:r w:rsidR="00F9221E" w:rsidRPr="00F9716C">
        <w:rPr>
          <w:color w:val="414042" w:themeColor="text1"/>
        </w:rPr>
        <w:t>CCC</w:t>
      </w:r>
      <w:r w:rsidRPr="00F9716C">
        <w:rPr>
          <w:color w:val="414042" w:themeColor="text1"/>
        </w:rPr>
        <w:t>, as well as role specific training for our investigation and forensic officers. We undertook a comprehensive review of our policy and procedures to identify areas requiring supplementation or amendment related to digital asset investigations. We expect to complete our objectives for the project by 31 December 2024.</w:t>
      </w:r>
    </w:p>
    <w:bookmarkEnd w:id="988"/>
    <w:p w14:paraId="42345564" w14:textId="01E9B586" w:rsidR="00F35ADE" w:rsidRPr="00112F2C" w:rsidRDefault="006852D9" w:rsidP="001C265A">
      <w:pPr>
        <w:pStyle w:val="5BHeadinglight"/>
        <w:rPr>
          <w:rFonts w:ascii="Calibri" w:hAnsi="Calibri" w:cs="Calibri"/>
          <w:b/>
          <w:bCs/>
          <w:szCs w:val="20"/>
        </w:rPr>
      </w:pPr>
      <w:r w:rsidRPr="00F9716C">
        <w:rPr>
          <w:rFonts w:ascii="Calibri" w:hAnsi="Calibri" w:cs="Calibri"/>
          <w:b/>
          <w:bCs/>
          <w:szCs w:val="20"/>
        </w:rPr>
        <w:br w:type="column"/>
      </w:r>
      <w:r w:rsidRPr="00112F2C">
        <w:rPr>
          <w:rStyle w:val="ObjectiveitalicsChar"/>
          <w:b w:val="0"/>
          <w:bCs w:val="0"/>
          <w:sz w:val="22"/>
          <w:szCs w:val="22"/>
        </w:rPr>
        <w:t>Strengthening the effectiveness of Queensland’s confiscation schemes</w:t>
      </w:r>
    </w:p>
    <w:p w14:paraId="6FA02EF5" w14:textId="5ADB1904" w:rsidR="006852D9" w:rsidRPr="00F9716C" w:rsidRDefault="006852D9" w:rsidP="006852D9">
      <w:pPr>
        <w:rPr>
          <w:rFonts w:ascii="Calibri" w:hAnsi="Calibri" w:cs="Calibri"/>
          <w:b/>
          <w:bCs/>
          <w:color w:val="414042" w:themeColor="text1"/>
          <w:szCs w:val="20"/>
        </w:rPr>
      </w:pPr>
      <w:r w:rsidRPr="00F9716C">
        <w:rPr>
          <w:color w:val="414042" w:themeColor="text1"/>
        </w:rPr>
        <w:t xml:space="preserve">While Queensland’s </w:t>
      </w:r>
      <w:r w:rsidRPr="00F9716C">
        <w:rPr>
          <w:i/>
          <w:iCs/>
          <w:color w:val="414042" w:themeColor="text1"/>
        </w:rPr>
        <w:t>Criminal Proceeds Confiscation Act 2002</w:t>
      </w:r>
      <w:r w:rsidRPr="00F9716C">
        <w:rPr>
          <w:color w:val="414042" w:themeColor="text1"/>
        </w:rPr>
        <w:t xml:space="preserve"> seeks to undermine the profitability of serious and organised crime, contemporary serious and organised crime is complex, highly adaptive, and can be extremely lucrative</w:t>
      </w:r>
      <w:r w:rsidR="003B7318" w:rsidRPr="00F9716C">
        <w:rPr>
          <w:color w:val="414042" w:themeColor="text1"/>
        </w:rPr>
        <w:t>. M</w:t>
      </w:r>
      <w:r w:rsidRPr="00F9716C">
        <w:rPr>
          <w:color w:val="414042" w:themeColor="text1"/>
        </w:rPr>
        <w:t>eeting these challenges requires legislation that is effective and flexible enough to respond to this environment.</w:t>
      </w:r>
    </w:p>
    <w:p w14:paraId="6F36602B" w14:textId="09821DB3" w:rsidR="006852D9" w:rsidRPr="00F9716C" w:rsidRDefault="006852D9" w:rsidP="006852D9">
      <w:pPr>
        <w:rPr>
          <w:color w:val="414042" w:themeColor="text1"/>
        </w:rPr>
      </w:pPr>
      <w:r w:rsidRPr="00F9716C">
        <w:rPr>
          <w:color w:val="414042" w:themeColor="text1"/>
        </w:rPr>
        <w:t>In July 2023 the CCC commenced a review of the Act, after successive reviews and inquiries identified a need for such a review, or at least key provisions of the Act. The review sought to identify options to improve the scope, operability, and strength of the State’s legislative scheme for criminal proceeds confiscation.</w:t>
      </w:r>
    </w:p>
    <w:p w14:paraId="14143282" w14:textId="18B9BA29" w:rsidR="006852D9" w:rsidRPr="00F9716C" w:rsidRDefault="006852D9" w:rsidP="006852D9">
      <w:pPr>
        <w:rPr>
          <w:color w:val="414042" w:themeColor="text1"/>
        </w:rPr>
      </w:pPr>
      <w:r w:rsidRPr="00F9716C">
        <w:rPr>
          <w:color w:val="414042" w:themeColor="text1"/>
        </w:rPr>
        <w:t xml:space="preserve">In April 2024 the </w:t>
      </w:r>
      <w:r w:rsidR="00D419D5" w:rsidRPr="00F9716C">
        <w:rPr>
          <w:color w:val="414042" w:themeColor="text1"/>
        </w:rPr>
        <w:t>CCC</w:t>
      </w:r>
      <w:r w:rsidRPr="00F9716C">
        <w:rPr>
          <w:color w:val="414042" w:themeColor="text1"/>
        </w:rPr>
        <w:t xml:space="preserve"> published a report on its review. It identified that the Act requires significant reform over </w:t>
      </w:r>
      <w:r w:rsidR="00C11532" w:rsidRPr="00F9716C">
        <w:rPr>
          <w:color w:val="414042" w:themeColor="text1"/>
        </w:rPr>
        <w:t>seven</w:t>
      </w:r>
      <w:r w:rsidRPr="00F9716C">
        <w:rPr>
          <w:color w:val="414042" w:themeColor="text1"/>
        </w:rPr>
        <w:t xml:space="preserve"> priority areas, </w:t>
      </w:r>
      <w:r w:rsidR="001B7A96" w:rsidRPr="00F9716C">
        <w:rPr>
          <w:color w:val="414042" w:themeColor="text1"/>
        </w:rPr>
        <w:t>and made</w:t>
      </w:r>
      <w:r w:rsidRPr="00F9716C">
        <w:rPr>
          <w:color w:val="414042" w:themeColor="text1"/>
        </w:rPr>
        <w:t xml:space="preserve"> 10 recommendations to modernise the legislative scheme, including the need to:</w:t>
      </w:r>
    </w:p>
    <w:p w14:paraId="65E25375" w14:textId="4574622A" w:rsidR="006852D9" w:rsidRPr="00F9716C" w:rsidRDefault="006852D9" w:rsidP="006900F6">
      <w:pPr>
        <w:pStyle w:val="Bulletpoints0"/>
      </w:pPr>
      <w:r w:rsidRPr="00F9716C">
        <w:t xml:space="preserve">clarify and improve the effectiveness of </w:t>
      </w:r>
      <w:r w:rsidR="003B7318" w:rsidRPr="00F9716C">
        <w:t xml:space="preserve">Queensland’s </w:t>
      </w:r>
      <w:r w:rsidRPr="00F9716C">
        <w:t>money laundering offence</w:t>
      </w:r>
    </w:p>
    <w:p w14:paraId="36A88C1E" w14:textId="77777777" w:rsidR="006852D9" w:rsidRPr="00F9716C" w:rsidRDefault="006852D9" w:rsidP="006900F6">
      <w:pPr>
        <w:pStyle w:val="Bulletpoints0"/>
      </w:pPr>
      <w:r w:rsidRPr="00F9716C">
        <w:t>introduce provisions to enable the effective seizure of digital assets</w:t>
      </w:r>
    </w:p>
    <w:p w14:paraId="7B1421DA" w14:textId="634A59F9" w:rsidR="006852D9" w:rsidRPr="00F9716C" w:rsidRDefault="006852D9" w:rsidP="006900F6">
      <w:pPr>
        <w:pStyle w:val="Bulletpoints0"/>
      </w:pPr>
      <w:r w:rsidRPr="00F9716C">
        <w:t>expand mechanisms for non-</w:t>
      </w:r>
      <w:r w:rsidR="007237ED" w:rsidRPr="00F9716C">
        <w:t>conviction-based</w:t>
      </w:r>
      <w:r w:rsidRPr="00F9716C">
        <w:t xml:space="preserve"> forfeiture of criminal proceeds, and clarify requirements for existing unexplained wealth and serious drug offender confiscation schemes</w:t>
      </w:r>
    </w:p>
    <w:p w14:paraId="4E63A8EC" w14:textId="488697CA" w:rsidR="006852D9" w:rsidRPr="00F9716C" w:rsidRDefault="006852D9" w:rsidP="006900F6">
      <w:pPr>
        <w:pStyle w:val="Bulletpoints0"/>
      </w:pPr>
      <w:r w:rsidRPr="00F9716C">
        <w:t>create a mechanism for the use of confiscated assets for purposes such as victim compensation, crime reduction or offender rehabilitation</w:t>
      </w:r>
      <w:r w:rsidR="001B7A96" w:rsidRPr="00F9716C">
        <w:t>, and</w:t>
      </w:r>
    </w:p>
    <w:p w14:paraId="605441F8" w14:textId="21717F82" w:rsidR="006852D9" w:rsidRPr="00F9716C" w:rsidRDefault="006852D9" w:rsidP="006900F6">
      <w:pPr>
        <w:pStyle w:val="Bulletpoints0"/>
      </w:pPr>
      <w:r w:rsidRPr="00F9716C">
        <w:t>consolidate and improve arrangements for the administration of the Act</w:t>
      </w:r>
      <w:r w:rsidR="00DA24C6" w:rsidRPr="00F9716C">
        <w:t>.</w:t>
      </w:r>
    </w:p>
    <w:p w14:paraId="1B73B7F0" w14:textId="77777777" w:rsidR="006852D9" w:rsidRPr="00F9716C" w:rsidRDefault="006852D9" w:rsidP="006852D9">
      <w:pPr>
        <w:rPr>
          <w:b/>
          <w:bCs/>
          <w:color w:val="414042" w:themeColor="text1"/>
        </w:rPr>
      </w:pPr>
    </w:p>
    <w:p w14:paraId="41643ACB" w14:textId="77777777" w:rsidR="006852D9" w:rsidRPr="00F9716C" w:rsidRDefault="006852D9" w:rsidP="006852D9">
      <w:pPr>
        <w:rPr>
          <w:color w:val="414042" w:themeColor="text1"/>
        </w:rPr>
        <w:sectPr w:rsidR="006852D9" w:rsidRPr="00F9716C" w:rsidSect="00A37605">
          <w:type w:val="continuous"/>
          <w:pgSz w:w="11906" w:h="16838" w:code="9"/>
          <w:pgMar w:top="2155" w:right="1134" w:bottom="964" w:left="1134" w:header="720" w:footer="284" w:gutter="0"/>
          <w:cols w:num="2" w:space="567"/>
          <w:noEndnote/>
          <w:docGrid w:linePitch="272"/>
        </w:sectPr>
      </w:pPr>
    </w:p>
    <w:p w14:paraId="3D3057F6" w14:textId="77777777" w:rsidR="006852D9" w:rsidRPr="00F9716C" w:rsidRDefault="006852D9" w:rsidP="006852D9">
      <w:pPr>
        <w:spacing w:before="120" w:after="0" w:line="260" w:lineRule="exact"/>
        <w:rPr>
          <w:color w:val="414042" w:themeColor="text1"/>
        </w:rPr>
      </w:pPr>
      <w:r w:rsidRPr="00F9716C">
        <w:rPr>
          <w:color w:val="414042" w:themeColor="text1"/>
        </w:rPr>
        <w:br w:type="page"/>
      </w:r>
    </w:p>
    <w:p w14:paraId="02AB4685" w14:textId="77777777" w:rsidR="006852D9" w:rsidRPr="00F9716C" w:rsidRDefault="006852D9" w:rsidP="006852D9">
      <w:pPr>
        <w:pStyle w:val="Openingparagraph"/>
        <w:rPr>
          <w:lang w:val="en-AU"/>
        </w:rPr>
        <w:sectPr w:rsidR="006852D9" w:rsidRPr="00F9716C" w:rsidSect="002A685C">
          <w:headerReference w:type="even" r:id="rId180"/>
          <w:headerReference w:type="default" r:id="rId181"/>
          <w:headerReference w:type="first" r:id="rId182"/>
          <w:type w:val="continuous"/>
          <w:pgSz w:w="11906" w:h="16838" w:code="9"/>
          <w:pgMar w:top="2155" w:right="1134" w:bottom="964" w:left="1134" w:header="720" w:footer="284" w:gutter="0"/>
          <w:cols w:space="567"/>
          <w:noEndnote/>
          <w:docGrid w:linePitch="272"/>
        </w:sectPr>
      </w:pPr>
      <w:bookmarkStart w:id="989" w:name="_Hlk108618630"/>
    </w:p>
    <w:p w14:paraId="30C708EA" w14:textId="495FAFF7" w:rsidR="004A6FE9" w:rsidRPr="00F9716C" w:rsidRDefault="006852D9" w:rsidP="00C903A2">
      <w:pPr>
        <w:pStyle w:val="3Heading-highlight"/>
      </w:pPr>
      <w:bookmarkStart w:id="990" w:name="_Hlk73713044"/>
      <w:bookmarkEnd w:id="989"/>
      <w:r w:rsidRPr="00F9716C">
        <w:t>Crimes involving loss of life or serious injury</w:t>
      </w:r>
      <w:r w:rsidR="004A6FE9">
        <w:br/>
      </w:r>
    </w:p>
    <w:p w14:paraId="7BC08BE6" w14:textId="401B1472" w:rsidR="00BF4AC1" w:rsidRPr="00F9716C" w:rsidRDefault="00BF4AC1" w:rsidP="00EF640E">
      <w:pPr>
        <w:pStyle w:val="Openingparagraph"/>
        <w:spacing w:after="120"/>
        <w:rPr>
          <w:b w:val="0"/>
          <w:bCs w:val="0"/>
        </w:rPr>
        <w:sectPr w:rsidR="00BF4AC1" w:rsidRPr="00F9716C" w:rsidSect="00BF4AC1">
          <w:type w:val="continuous"/>
          <w:pgSz w:w="11906" w:h="16838" w:code="9"/>
          <w:pgMar w:top="2155" w:right="1134" w:bottom="964" w:left="1134" w:header="720" w:footer="284" w:gutter="0"/>
          <w:cols w:space="567"/>
          <w:noEndnote/>
          <w:docGrid w:linePitch="272"/>
        </w:sectPr>
      </w:pPr>
    </w:p>
    <w:p w14:paraId="15ABB28D" w14:textId="77777777" w:rsidR="006852D9" w:rsidRPr="00F9716C" w:rsidRDefault="006852D9" w:rsidP="00A017EB">
      <w:pPr>
        <w:pStyle w:val="4H-Intro"/>
      </w:pPr>
      <w:r w:rsidRPr="00F9716C">
        <w:t>Investigations</w:t>
      </w:r>
    </w:p>
    <w:p w14:paraId="76ED7601" w14:textId="2CDC9DF6" w:rsidR="006852D9" w:rsidRPr="00F9716C" w:rsidRDefault="006852D9" w:rsidP="004F7978">
      <w:pPr>
        <w:spacing w:before="120"/>
        <w:rPr>
          <w:color w:val="414042" w:themeColor="text1"/>
        </w:rPr>
      </w:pPr>
      <w:r w:rsidRPr="00F9716C">
        <w:rPr>
          <w:color w:val="414042" w:themeColor="text1"/>
        </w:rPr>
        <w:t>The CCC works in cooperation with other agencies, including the QPS, to make optimal use of its available resources in responding to the most serious crimes that involve risk to life</w:t>
      </w:r>
      <w:r w:rsidR="003B7318" w:rsidRPr="00F9716C">
        <w:rPr>
          <w:color w:val="414042" w:themeColor="text1"/>
        </w:rPr>
        <w:t>,</w:t>
      </w:r>
      <w:r w:rsidRPr="00F9716C">
        <w:rPr>
          <w:color w:val="414042" w:themeColor="text1"/>
        </w:rPr>
        <w:t xml:space="preserve"> actual loss of life or serious injuries. </w:t>
      </w:r>
    </w:p>
    <w:p w14:paraId="0ED4F9B4" w14:textId="77777777" w:rsidR="006852D9" w:rsidRPr="00F9716C" w:rsidRDefault="006852D9" w:rsidP="004F7978">
      <w:pPr>
        <w:rPr>
          <w:color w:val="414042" w:themeColor="text1"/>
        </w:rPr>
      </w:pPr>
      <w:r w:rsidRPr="00F9716C">
        <w:rPr>
          <w:color w:val="414042" w:themeColor="text1"/>
        </w:rPr>
        <w:t>Our work in this area principally involves investigations referred from the QPS for assistance by way of undertaking investigative hearings. Investigations in this area of focus may be approved under the CCC Homicide, Sexual Offences, Terrorism or Organised Crime General Referral, or under a Specific Referral, depending on the circumstances of the case.</w:t>
      </w:r>
    </w:p>
    <w:bookmarkEnd w:id="990"/>
    <w:p w14:paraId="1B7C3341" w14:textId="3B472544" w:rsidR="006852D9" w:rsidRPr="00F9716C" w:rsidRDefault="006852D9" w:rsidP="004F7978">
      <w:pPr>
        <w:rPr>
          <w:color w:val="414042" w:themeColor="text1"/>
        </w:rPr>
      </w:pPr>
      <w:r w:rsidRPr="00F9716C">
        <w:rPr>
          <w:color w:val="414042" w:themeColor="text1"/>
        </w:rPr>
        <w:t xml:space="preserve">In 2023–24, we supported several QPS operations involving homicides and other serious violent crimes, assisting the QPS to progress </w:t>
      </w:r>
      <w:r w:rsidR="00E558F1" w:rsidRPr="00F9716C">
        <w:rPr>
          <w:color w:val="414042" w:themeColor="text1"/>
        </w:rPr>
        <w:t>13</w:t>
      </w:r>
      <w:r w:rsidRPr="00F9716C">
        <w:rPr>
          <w:color w:val="414042" w:themeColor="text1"/>
        </w:rPr>
        <w:t xml:space="preserve"> investigations (</w:t>
      </w:r>
      <w:r w:rsidR="002666E0" w:rsidRPr="00F9716C">
        <w:rPr>
          <w:color w:val="414042" w:themeColor="text1"/>
        </w:rPr>
        <w:t>one</w:t>
      </w:r>
      <w:r w:rsidRPr="00F9716C">
        <w:rPr>
          <w:color w:val="414042" w:themeColor="text1"/>
        </w:rPr>
        <w:t xml:space="preserve"> of which remain</w:t>
      </w:r>
      <w:r w:rsidR="002666E0" w:rsidRPr="00F9716C">
        <w:rPr>
          <w:color w:val="414042" w:themeColor="text1"/>
        </w:rPr>
        <w:t>s</w:t>
      </w:r>
      <w:r w:rsidRPr="00F9716C">
        <w:rPr>
          <w:color w:val="414042" w:themeColor="text1"/>
        </w:rPr>
        <w:t xml:space="preserve"> ongoing) by examining </w:t>
      </w:r>
      <w:r w:rsidR="002666E0" w:rsidRPr="00F9716C">
        <w:rPr>
          <w:color w:val="414042" w:themeColor="text1"/>
        </w:rPr>
        <w:t>59</w:t>
      </w:r>
      <w:r w:rsidRPr="00F9716C">
        <w:rPr>
          <w:color w:val="414042" w:themeColor="text1"/>
        </w:rPr>
        <w:t xml:space="preserve"> witnesses over 6</w:t>
      </w:r>
      <w:r w:rsidR="002666E0" w:rsidRPr="00F9716C">
        <w:rPr>
          <w:color w:val="414042" w:themeColor="text1"/>
        </w:rPr>
        <w:t>7</w:t>
      </w:r>
      <w:r w:rsidRPr="00F9716C">
        <w:rPr>
          <w:color w:val="414042" w:themeColor="text1"/>
        </w:rPr>
        <w:t xml:space="preserve"> days of hearings. Some investigative outcomes are summarised below.</w:t>
      </w:r>
    </w:p>
    <w:p w14:paraId="06C6F552" w14:textId="474F751D" w:rsidR="006852D9" w:rsidRPr="00F9716C" w:rsidRDefault="00881F31" w:rsidP="004F7978">
      <w:pPr>
        <w:rPr>
          <w:color w:val="414042" w:themeColor="text1"/>
        </w:rPr>
      </w:pPr>
      <w:r w:rsidRPr="00385B1E">
        <w:rPr>
          <w:rStyle w:val="ObjectiveitalicsChar"/>
          <w:b w:val="0"/>
          <w:bCs w:val="0"/>
          <w:sz w:val="22"/>
          <w:szCs w:val="22"/>
        </w:rPr>
        <w:t>Homicide of a 34-year-old man</w:t>
      </w:r>
      <w:r w:rsidR="009E5653" w:rsidRPr="00385B1E">
        <w:rPr>
          <w:rStyle w:val="ObjectiveitalicsChar"/>
          <w:b w:val="0"/>
          <w:bCs w:val="0"/>
          <w:sz w:val="22"/>
          <w:szCs w:val="22"/>
        </w:rPr>
        <w:t xml:space="preserve"> near Rockhampton</w:t>
      </w:r>
      <w:r w:rsidRPr="00385B1E">
        <w:rPr>
          <w:rStyle w:val="ObjectiveitalicsChar"/>
          <w:b w:val="0"/>
          <w:bCs w:val="0"/>
          <w:sz w:val="22"/>
          <w:szCs w:val="22"/>
        </w:rPr>
        <w:t>:</w:t>
      </w:r>
      <w:r w:rsidRPr="00F9716C">
        <w:rPr>
          <w:rFonts w:ascii="Calibri" w:hAnsi="Calibri" w:cs="Calibri"/>
          <w:color w:val="414042" w:themeColor="text1"/>
          <w:szCs w:val="20"/>
        </w:rPr>
        <w:t xml:space="preserve"> </w:t>
      </w:r>
      <w:r w:rsidRPr="00F9716C">
        <w:rPr>
          <w:color w:val="414042" w:themeColor="text1"/>
        </w:rPr>
        <w:t xml:space="preserve">Over four days, seven witnesses were examined about the </w:t>
      </w:r>
      <w:r w:rsidR="00DF1D4C" w:rsidRPr="00F9716C">
        <w:rPr>
          <w:color w:val="414042" w:themeColor="text1"/>
        </w:rPr>
        <w:t>h</w:t>
      </w:r>
      <w:r w:rsidRPr="00F9716C">
        <w:rPr>
          <w:color w:val="414042" w:themeColor="text1"/>
        </w:rPr>
        <w:t>omicide of a 34-year-old man near Rockhampton in November 2023. The hearing enabled</w:t>
      </w:r>
      <w:r w:rsidR="00751753" w:rsidRPr="00F9716C">
        <w:rPr>
          <w:color w:val="414042" w:themeColor="text1"/>
        </w:rPr>
        <w:t xml:space="preserve"> the</w:t>
      </w:r>
      <w:r w:rsidRPr="00F9716C">
        <w:rPr>
          <w:color w:val="414042" w:themeColor="text1"/>
        </w:rPr>
        <w:t xml:space="preserve"> discovery of the alleged motives for and the circumstances of the alleged arson of a vehicle used in the crime</w:t>
      </w:r>
      <w:r w:rsidR="00170C85" w:rsidRPr="00F9716C">
        <w:rPr>
          <w:color w:val="414042" w:themeColor="text1"/>
        </w:rPr>
        <w:t>.</w:t>
      </w:r>
    </w:p>
    <w:p w14:paraId="19BE00D1" w14:textId="6D017FDD" w:rsidR="006852D9" w:rsidRPr="00F9716C" w:rsidRDefault="00881F31" w:rsidP="004F7978">
      <w:pPr>
        <w:rPr>
          <w:color w:val="414042" w:themeColor="text1"/>
        </w:rPr>
      </w:pPr>
      <w:r w:rsidRPr="00385B1E">
        <w:rPr>
          <w:rStyle w:val="ObjectiveitalicsChar"/>
          <w:b w:val="0"/>
          <w:bCs w:val="0"/>
          <w:sz w:val="22"/>
          <w:szCs w:val="22"/>
        </w:rPr>
        <w:t>H</w:t>
      </w:r>
      <w:r w:rsidR="006852D9" w:rsidRPr="00385B1E">
        <w:rPr>
          <w:rStyle w:val="ObjectiveitalicsChar"/>
          <w:b w:val="0"/>
          <w:bCs w:val="0"/>
          <w:sz w:val="22"/>
          <w:szCs w:val="22"/>
        </w:rPr>
        <w:t>omicide of a 25-year-old man in Kuraby on 25 October 2017:</w:t>
      </w:r>
      <w:r w:rsidR="006852D9" w:rsidRPr="00F9716C">
        <w:rPr>
          <w:color w:val="414042" w:themeColor="text1"/>
        </w:rPr>
        <w:t xml:space="preserve"> We examined a witness in connection with the homicide of a 25-year-old man in Kuraby. The hearing gathered additional evidence of identification in relation to the person suspected of committing the offence.</w:t>
      </w:r>
    </w:p>
    <w:p w14:paraId="45E5B81F" w14:textId="77777777" w:rsidR="001C265A" w:rsidRDefault="006852D9" w:rsidP="001C265A">
      <w:pPr>
        <w:rPr>
          <w:color w:val="414042" w:themeColor="text1"/>
        </w:rPr>
      </w:pPr>
      <w:r w:rsidRPr="00385B1E">
        <w:rPr>
          <w:rFonts w:ascii="Calibri" w:hAnsi="Calibri" w:cs="Calibri"/>
          <w:i/>
          <w:iCs/>
          <w:color w:val="414042" w:themeColor="text1"/>
          <w:sz w:val="22"/>
        </w:rPr>
        <w:t xml:space="preserve">Homicide and robbery of a </w:t>
      </w:r>
      <w:r w:rsidR="001C6954" w:rsidRPr="00385B1E">
        <w:rPr>
          <w:rFonts w:ascii="Calibri" w:hAnsi="Calibri" w:cs="Calibri"/>
          <w:i/>
          <w:iCs/>
          <w:color w:val="414042" w:themeColor="text1"/>
          <w:sz w:val="22"/>
        </w:rPr>
        <w:t>52-year-old</w:t>
      </w:r>
      <w:r w:rsidRPr="00385B1E">
        <w:rPr>
          <w:rFonts w:ascii="Calibri" w:hAnsi="Calibri" w:cs="Calibri"/>
          <w:i/>
          <w:iCs/>
          <w:color w:val="414042" w:themeColor="text1"/>
          <w:sz w:val="22"/>
        </w:rPr>
        <w:t xml:space="preserve"> male at Pacific Haven on 18 February 2022:</w:t>
      </w:r>
      <w:r w:rsidRPr="00385B1E">
        <w:rPr>
          <w:rFonts w:ascii="Calibri" w:hAnsi="Calibri" w:cs="Calibri"/>
          <w:color w:val="414042" w:themeColor="text1"/>
          <w:sz w:val="22"/>
        </w:rPr>
        <w:t xml:space="preserve"> </w:t>
      </w:r>
      <w:r w:rsidRPr="00F9716C">
        <w:rPr>
          <w:color w:val="414042" w:themeColor="text1"/>
        </w:rPr>
        <w:t>Three witnesses were examined over three</w:t>
      </w:r>
      <w:r w:rsidR="001C6954" w:rsidRPr="00F9716C">
        <w:rPr>
          <w:color w:val="414042" w:themeColor="text1"/>
        </w:rPr>
        <w:t xml:space="preserve"> days</w:t>
      </w:r>
      <w:r w:rsidRPr="00F9716C">
        <w:rPr>
          <w:color w:val="414042" w:themeColor="text1"/>
        </w:rPr>
        <w:t xml:space="preserve"> regarding the human remains found during a house fire on 18 February 2022. The hearing enabled statements from additional witnesses, adding previously unknown information, and assisting to provide a clearer timeline of events.</w:t>
      </w:r>
    </w:p>
    <w:p w14:paraId="3ABEDF02" w14:textId="18D5480B" w:rsidR="001C265A" w:rsidRDefault="001C265A" w:rsidP="001C265A">
      <w:pPr>
        <w:rPr>
          <w:rFonts w:ascii="Calibri" w:hAnsi="Calibri" w:cs="Calibri"/>
          <w:i/>
          <w:iCs/>
          <w:color w:val="414042" w:themeColor="text1"/>
          <w:szCs w:val="20"/>
        </w:rPr>
      </w:pPr>
      <w:r w:rsidRPr="00385B1E">
        <w:rPr>
          <w:rFonts w:ascii="Calibri" w:hAnsi="Calibri" w:cs="Calibri"/>
          <w:i/>
          <w:iCs/>
          <w:color w:val="414042" w:themeColor="text1"/>
          <w:sz w:val="22"/>
        </w:rPr>
        <w:t>Extortion and homicide of a 32-year-old male at Capricornia Correctional Centre on 23 October 2022:</w:t>
      </w:r>
      <w:r w:rsidRPr="00385B1E">
        <w:rPr>
          <w:color w:val="414042" w:themeColor="text1"/>
          <w:sz w:val="22"/>
          <w:szCs w:val="24"/>
        </w:rPr>
        <w:t xml:space="preserve"> </w:t>
      </w:r>
      <w:r w:rsidRPr="00A017EB">
        <w:rPr>
          <w:rStyle w:val="newBODYTEXTChar"/>
        </w:rPr>
        <w:t>Twelve witnesses were examined over 16 days concerning an incident that resulted in the death of a 32-year-old male at Capricornia Correctional Centre in</w:t>
      </w:r>
      <w:r>
        <w:rPr>
          <w:color w:val="414042" w:themeColor="text1"/>
        </w:rPr>
        <w:t xml:space="preserve"> </w:t>
      </w:r>
      <w:r w:rsidRPr="00A017EB">
        <w:rPr>
          <w:color w:val="414042" w:themeColor="text1"/>
        </w:rPr>
        <w:t>2023. The hearing resulted in further witness statements and provided a corroborated outline of events, including the movements of suspects and other persons at the time of the incident.</w:t>
      </w:r>
    </w:p>
    <w:p w14:paraId="0714E74D" w14:textId="477E1988" w:rsidR="00A017EB" w:rsidRDefault="001C265A" w:rsidP="00A017EB">
      <w:pPr>
        <w:rPr>
          <w:color w:val="414042" w:themeColor="text1"/>
        </w:rPr>
      </w:pPr>
      <w:r>
        <w:rPr>
          <w:color w:val="414042" w:themeColor="text1"/>
        </w:rPr>
        <w:br w:type="column"/>
      </w:r>
    </w:p>
    <w:p w14:paraId="77B6F9D2" w14:textId="63A555AE" w:rsidR="006852D9" w:rsidRPr="00A017EB" w:rsidRDefault="006852D9" w:rsidP="00385B1E">
      <w:pPr>
        <w:ind w:right="140"/>
        <w:rPr>
          <w:rFonts w:ascii="Calibri" w:hAnsi="Calibri" w:cs="Calibri"/>
          <w:i/>
          <w:iCs/>
          <w:color w:val="414042" w:themeColor="text1"/>
          <w:szCs w:val="20"/>
        </w:rPr>
      </w:pPr>
      <w:r w:rsidRPr="00385B1E">
        <w:rPr>
          <w:rFonts w:ascii="Calibri" w:hAnsi="Calibri" w:cs="Calibri"/>
          <w:i/>
          <w:iCs/>
          <w:color w:val="414042" w:themeColor="text1"/>
          <w:sz w:val="22"/>
        </w:rPr>
        <w:t xml:space="preserve">Attempted </w:t>
      </w:r>
      <w:r w:rsidR="003B7318" w:rsidRPr="00385B1E">
        <w:rPr>
          <w:rFonts w:ascii="Calibri" w:hAnsi="Calibri" w:cs="Calibri"/>
          <w:i/>
          <w:iCs/>
          <w:color w:val="414042" w:themeColor="text1"/>
          <w:sz w:val="22"/>
        </w:rPr>
        <w:t>h</w:t>
      </w:r>
      <w:r w:rsidRPr="00385B1E">
        <w:rPr>
          <w:rFonts w:ascii="Calibri" w:hAnsi="Calibri" w:cs="Calibri"/>
          <w:i/>
          <w:iCs/>
          <w:color w:val="414042" w:themeColor="text1"/>
          <w:sz w:val="22"/>
        </w:rPr>
        <w:t xml:space="preserve">omicide of a man </w:t>
      </w:r>
      <w:r w:rsidR="00881F31" w:rsidRPr="00385B1E">
        <w:rPr>
          <w:rFonts w:ascii="Calibri" w:hAnsi="Calibri" w:cs="Calibri"/>
          <w:i/>
          <w:iCs/>
          <w:color w:val="414042" w:themeColor="text1"/>
          <w:sz w:val="22"/>
        </w:rPr>
        <w:t>at Coominya in April 2023</w:t>
      </w:r>
      <w:r w:rsidRPr="00385B1E">
        <w:rPr>
          <w:rFonts w:ascii="Calibri" w:hAnsi="Calibri" w:cs="Calibri"/>
          <w:color w:val="414042" w:themeColor="text1"/>
          <w:sz w:val="22"/>
        </w:rPr>
        <w:t xml:space="preserve">: </w:t>
      </w:r>
      <w:r w:rsidRPr="00F9716C">
        <w:rPr>
          <w:color w:val="414042" w:themeColor="text1"/>
        </w:rPr>
        <w:t xml:space="preserve">Five witnesses were examined over </w:t>
      </w:r>
      <w:r w:rsidR="001C6954" w:rsidRPr="00F9716C">
        <w:rPr>
          <w:color w:val="414042" w:themeColor="text1"/>
        </w:rPr>
        <w:t>three</w:t>
      </w:r>
      <w:r w:rsidRPr="00F9716C">
        <w:rPr>
          <w:color w:val="414042" w:themeColor="text1"/>
        </w:rPr>
        <w:t xml:space="preserve"> days about the attempted murder of a man at Coominya in April 2023. The man was alleged to have been shot six times over a </w:t>
      </w:r>
      <w:r w:rsidR="001C6954" w:rsidRPr="00F9716C">
        <w:rPr>
          <w:color w:val="414042" w:themeColor="text1"/>
        </w:rPr>
        <w:t>long-standing</w:t>
      </w:r>
      <w:r w:rsidRPr="00F9716C">
        <w:rPr>
          <w:color w:val="414042" w:themeColor="text1"/>
        </w:rPr>
        <w:t xml:space="preserve"> dispute. The hearing resulted in further information being obtained about the movement of suspects at the relevant time, and potential motive for the alleged offence. </w:t>
      </w:r>
    </w:p>
    <w:p w14:paraId="419ADAE9" w14:textId="59043600" w:rsidR="006852D9" w:rsidRPr="00F9716C" w:rsidRDefault="006852D9" w:rsidP="00385B1E">
      <w:pPr>
        <w:ind w:right="140"/>
        <w:rPr>
          <w:color w:val="414042" w:themeColor="text1"/>
        </w:rPr>
      </w:pPr>
      <w:r w:rsidRPr="00385B1E">
        <w:rPr>
          <w:rFonts w:ascii="Calibri" w:hAnsi="Calibri" w:cs="Calibri"/>
          <w:i/>
          <w:iCs/>
          <w:color w:val="414042" w:themeColor="text1"/>
          <w:sz w:val="22"/>
        </w:rPr>
        <w:t xml:space="preserve">Suspected </w:t>
      </w:r>
      <w:r w:rsidR="003B7318" w:rsidRPr="00385B1E">
        <w:rPr>
          <w:rFonts w:ascii="Calibri" w:hAnsi="Calibri" w:cs="Calibri"/>
          <w:i/>
          <w:iCs/>
          <w:color w:val="414042" w:themeColor="text1"/>
          <w:sz w:val="22"/>
        </w:rPr>
        <w:t>h</w:t>
      </w:r>
      <w:r w:rsidRPr="00385B1E">
        <w:rPr>
          <w:rFonts w:ascii="Calibri" w:hAnsi="Calibri" w:cs="Calibri"/>
          <w:i/>
          <w:iCs/>
          <w:color w:val="414042" w:themeColor="text1"/>
          <w:sz w:val="22"/>
        </w:rPr>
        <w:t xml:space="preserve">omicide of a </w:t>
      </w:r>
      <w:r w:rsidR="001C6954" w:rsidRPr="00385B1E">
        <w:rPr>
          <w:rFonts w:ascii="Calibri" w:hAnsi="Calibri" w:cs="Calibri"/>
          <w:i/>
          <w:iCs/>
          <w:color w:val="414042" w:themeColor="text1"/>
          <w:sz w:val="22"/>
        </w:rPr>
        <w:t>69-year-old</w:t>
      </w:r>
      <w:r w:rsidRPr="00385B1E">
        <w:rPr>
          <w:rFonts w:ascii="Calibri" w:hAnsi="Calibri" w:cs="Calibri"/>
          <w:i/>
          <w:iCs/>
          <w:color w:val="414042" w:themeColor="text1"/>
          <w:sz w:val="22"/>
        </w:rPr>
        <w:t xml:space="preserve"> man</w:t>
      </w:r>
      <w:r w:rsidRPr="00385B1E">
        <w:rPr>
          <w:rFonts w:ascii="Calibri" w:hAnsi="Calibri" w:cs="Calibri"/>
          <w:color w:val="414042" w:themeColor="text1"/>
          <w:sz w:val="22"/>
        </w:rPr>
        <w:t xml:space="preserve">: </w:t>
      </w:r>
      <w:r w:rsidR="00385B1E">
        <w:rPr>
          <w:rFonts w:ascii="Calibri" w:hAnsi="Calibri" w:cs="Calibri"/>
          <w:color w:val="414042" w:themeColor="text1"/>
          <w:sz w:val="22"/>
        </w:rPr>
        <w:br/>
      </w:r>
      <w:r w:rsidRPr="00F9716C">
        <w:rPr>
          <w:color w:val="414042" w:themeColor="text1"/>
        </w:rPr>
        <w:t xml:space="preserve">A hearing held over </w:t>
      </w:r>
      <w:r w:rsidR="001C6954" w:rsidRPr="00F9716C">
        <w:rPr>
          <w:color w:val="414042" w:themeColor="text1"/>
        </w:rPr>
        <w:t>three</w:t>
      </w:r>
      <w:r w:rsidRPr="00F9716C">
        <w:rPr>
          <w:color w:val="414042" w:themeColor="text1"/>
        </w:rPr>
        <w:t xml:space="preserve"> days into the suspected homicide of a </w:t>
      </w:r>
      <w:r w:rsidR="001C6954" w:rsidRPr="00F9716C">
        <w:rPr>
          <w:color w:val="414042" w:themeColor="text1"/>
        </w:rPr>
        <w:t>69-year-old</w:t>
      </w:r>
      <w:r w:rsidRPr="00F9716C">
        <w:rPr>
          <w:color w:val="414042" w:themeColor="text1"/>
        </w:rPr>
        <w:t xml:space="preserve"> man in Benowa in 2020, resulted in a witness providing a more fulsome account of the events and treatment of the man leading to his death. </w:t>
      </w:r>
    </w:p>
    <w:p w14:paraId="6CCCEC97" w14:textId="20753ACD" w:rsidR="006852D9" w:rsidRPr="00F9716C" w:rsidRDefault="006852D9" w:rsidP="00385B1E">
      <w:pPr>
        <w:ind w:right="140"/>
        <w:rPr>
          <w:color w:val="414042" w:themeColor="text1"/>
        </w:rPr>
      </w:pPr>
      <w:r w:rsidRPr="00385B1E">
        <w:rPr>
          <w:rFonts w:ascii="Calibri" w:hAnsi="Calibri" w:cs="Calibri"/>
          <w:i/>
          <w:iCs/>
          <w:color w:val="414042" w:themeColor="text1"/>
          <w:sz w:val="22"/>
        </w:rPr>
        <w:t xml:space="preserve">Homicide of a </w:t>
      </w:r>
      <w:r w:rsidR="001C6954" w:rsidRPr="00385B1E">
        <w:rPr>
          <w:rFonts w:ascii="Calibri" w:hAnsi="Calibri" w:cs="Calibri"/>
          <w:i/>
          <w:iCs/>
          <w:color w:val="414042" w:themeColor="text1"/>
          <w:sz w:val="22"/>
        </w:rPr>
        <w:t>37-year-old</w:t>
      </w:r>
      <w:r w:rsidRPr="00385B1E">
        <w:rPr>
          <w:rFonts w:ascii="Calibri" w:hAnsi="Calibri" w:cs="Calibri"/>
          <w:i/>
          <w:iCs/>
          <w:color w:val="414042" w:themeColor="text1"/>
          <w:sz w:val="22"/>
        </w:rPr>
        <w:t xml:space="preserve"> male</w:t>
      </w:r>
      <w:r w:rsidRPr="00F9716C">
        <w:rPr>
          <w:rFonts w:ascii="Calibri" w:hAnsi="Calibri" w:cs="Calibri"/>
          <w:color w:val="414042" w:themeColor="text1"/>
          <w:szCs w:val="20"/>
        </w:rPr>
        <w:t xml:space="preserve">: </w:t>
      </w:r>
      <w:r w:rsidRPr="00F9716C">
        <w:rPr>
          <w:color w:val="414042" w:themeColor="text1"/>
        </w:rPr>
        <w:t xml:space="preserve">Three witnesses were examined over </w:t>
      </w:r>
      <w:r w:rsidR="001C6954" w:rsidRPr="00F9716C">
        <w:rPr>
          <w:color w:val="414042" w:themeColor="text1"/>
        </w:rPr>
        <w:t>three</w:t>
      </w:r>
      <w:r w:rsidRPr="00F9716C">
        <w:rPr>
          <w:color w:val="414042" w:themeColor="text1"/>
        </w:rPr>
        <w:t xml:space="preserve"> days into the homicide of a </w:t>
      </w:r>
      <w:r w:rsidR="001C6954" w:rsidRPr="00F9716C">
        <w:rPr>
          <w:color w:val="414042" w:themeColor="text1"/>
        </w:rPr>
        <w:t>37-</w:t>
      </w:r>
      <w:r w:rsidR="004C4CDB" w:rsidRPr="00F9716C">
        <w:rPr>
          <w:color w:val="414042" w:themeColor="text1"/>
        </w:rPr>
        <w:t> y</w:t>
      </w:r>
      <w:r w:rsidR="001C6954" w:rsidRPr="00F9716C">
        <w:rPr>
          <w:color w:val="414042" w:themeColor="text1"/>
        </w:rPr>
        <w:t>ear-old</w:t>
      </w:r>
      <w:r w:rsidRPr="00F9716C">
        <w:rPr>
          <w:color w:val="414042" w:themeColor="text1"/>
        </w:rPr>
        <w:t xml:space="preserve"> man at a private residence at Tamborine Mountain in June 2023. The hearing enabled the movement of persons of interest to be identified as well as the possible motive for the alleged offence. </w:t>
      </w:r>
    </w:p>
    <w:p w14:paraId="0C9D55CB" w14:textId="6D134AA5" w:rsidR="006852D9" w:rsidRPr="00F9716C" w:rsidRDefault="00881F31" w:rsidP="00385B1E">
      <w:pPr>
        <w:autoSpaceDE w:val="0"/>
        <w:autoSpaceDN w:val="0"/>
        <w:adjustRightInd w:val="0"/>
        <w:ind w:right="140"/>
        <w:rPr>
          <w:color w:val="414042" w:themeColor="text1"/>
        </w:rPr>
      </w:pPr>
      <w:r w:rsidRPr="00385B1E">
        <w:rPr>
          <w:rFonts w:ascii="Calibri" w:hAnsi="Calibri" w:cs="Calibri"/>
          <w:i/>
          <w:iCs/>
          <w:color w:val="414042" w:themeColor="text1"/>
          <w:sz w:val="22"/>
        </w:rPr>
        <w:t>Homicide</w:t>
      </w:r>
      <w:r w:rsidR="006852D9" w:rsidRPr="00385B1E">
        <w:rPr>
          <w:rFonts w:ascii="Calibri" w:hAnsi="Calibri" w:cs="Calibri"/>
          <w:i/>
          <w:iCs/>
          <w:color w:val="414042" w:themeColor="text1"/>
          <w:sz w:val="22"/>
        </w:rPr>
        <w:t xml:space="preserve"> of a </w:t>
      </w:r>
      <w:r w:rsidR="001C6954" w:rsidRPr="00385B1E">
        <w:rPr>
          <w:rFonts w:ascii="Calibri" w:hAnsi="Calibri" w:cs="Calibri"/>
          <w:i/>
          <w:iCs/>
          <w:color w:val="414042" w:themeColor="text1"/>
          <w:sz w:val="22"/>
        </w:rPr>
        <w:t>39-year-old</w:t>
      </w:r>
      <w:r w:rsidR="006852D9" w:rsidRPr="00385B1E">
        <w:rPr>
          <w:rFonts w:ascii="Calibri" w:hAnsi="Calibri" w:cs="Calibri"/>
          <w:i/>
          <w:iCs/>
          <w:color w:val="414042" w:themeColor="text1"/>
          <w:sz w:val="22"/>
        </w:rPr>
        <w:t xml:space="preserve"> male</w:t>
      </w:r>
      <w:r w:rsidRPr="00385B1E">
        <w:rPr>
          <w:rFonts w:ascii="Calibri" w:hAnsi="Calibri" w:cs="Calibri"/>
          <w:i/>
          <w:iCs/>
          <w:color w:val="414042" w:themeColor="text1"/>
          <w:sz w:val="22"/>
        </w:rPr>
        <w:t xml:space="preserve"> at Hope Island in May 2023</w:t>
      </w:r>
      <w:r w:rsidR="006852D9" w:rsidRPr="00385B1E">
        <w:rPr>
          <w:rFonts w:ascii="Calibri" w:hAnsi="Calibri" w:cs="Calibri"/>
          <w:color w:val="414042" w:themeColor="text1"/>
          <w:sz w:val="22"/>
        </w:rPr>
        <w:t xml:space="preserve">: </w:t>
      </w:r>
      <w:r w:rsidR="006852D9" w:rsidRPr="00F9716C">
        <w:rPr>
          <w:color w:val="414042" w:themeColor="text1"/>
        </w:rPr>
        <w:t>Five witnesses were examined over</w:t>
      </w:r>
      <w:r w:rsidR="006852D9" w:rsidRPr="00F9716C">
        <w:rPr>
          <w:rFonts w:ascii="Calibri" w:hAnsi="Calibri" w:cs="Calibri"/>
          <w:color w:val="414042" w:themeColor="text1"/>
          <w:szCs w:val="20"/>
        </w:rPr>
        <w:t xml:space="preserve"> </w:t>
      </w:r>
      <w:r w:rsidR="001C6954" w:rsidRPr="00F9716C">
        <w:rPr>
          <w:color w:val="414042" w:themeColor="text1"/>
        </w:rPr>
        <w:t>five</w:t>
      </w:r>
      <w:r w:rsidR="006852D9" w:rsidRPr="00F9716C">
        <w:rPr>
          <w:color w:val="414042" w:themeColor="text1"/>
        </w:rPr>
        <w:t xml:space="preserve"> days in 2023 in relation to the death of a </w:t>
      </w:r>
      <w:r w:rsidR="001C6954" w:rsidRPr="00F9716C">
        <w:rPr>
          <w:color w:val="414042" w:themeColor="text1"/>
        </w:rPr>
        <w:t>39-year-old</w:t>
      </w:r>
      <w:r w:rsidR="006852D9" w:rsidRPr="00F9716C">
        <w:rPr>
          <w:color w:val="414042" w:themeColor="text1"/>
        </w:rPr>
        <w:t xml:space="preserve"> man at Hope Island in May 2023.  The hearing assisted in confirming the movements of witnesses and a person of interest at the crime scene on the day of the offence. </w:t>
      </w:r>
    </w:p>
    <w:p w14:paraId="505613DA" w14:textId="38BDFD73" w:rsidR="00881F31" w:rsidRPr="00F9716C" w:rsidRDefault="00881F31" w:rsidP="00385B1E">
      <w:pPr>
        <w:autoSpaceDE w:val="0"/>
        <w:autoSpaceDN w:val="0"/>
        <w:adjustRightInd w:val="0"/>
        <w:ind w:right="140"/>
        <w:rPr>
          <w:color w:val="414042" w:themeColor="text1"/>
        </w:rPr>
      </w:pPr>
      <w:r w:rsidRPr="00385B1E">
        <w:rPr>
          <w:rFonts w:ascii="Calibri" w:hAnsi="Calibri" w:cs="Calibri"/>
          <w:i/>
          <w:iCs/>
          <w:color w:val="414042" w:themeColor="text1"/>
          <w:sz w:val="22"/>
        </w:rPr>
        <w:t xml:space="preserve">Cold </w:t>
      </w:r>
      <w:r w:rsidR="003B7318" w:rsidRPr="00385B1E">
        <w:rPr>
          <w:rFonts w:ascii="Calibri" w:hAnsi="Calibri" w:cs="Calibri"/>
          <w:i/>
          <w:iCs/>
          <w:color w:val="414042" w:themeColor="text1"/>
          <w:sz w:val="22"/>
        </w:rPr>
        <w:t>c</w:t>
      </w:r>
      <w:r w:rsidRPr="00385B1E">
        <w:rPr>
          <w:rFonts w:ascii="Calibri" w:hAnsi="Calibri" w:cs="Calibri"/>
          <w:i/>
          <w:iCs/>
          <w:color w:val="414042" w:themeColor="text1"/>
          <w:sz w:val="22"/>
        </w:rPr>
        <w:t xml:space="preserve">ase investigation into the </w:t>
      </w:r>
      <w:r w:rsidR="003B7318" w:rsidRPr="00385B1E">
        <w:rPr>
          <w:rFonts w:ascii="Calibri" w:hAnsi="Calibri" w:cs="Calibri"/>
          <w:i/>
          <w:iCs/>
          <w:color w:val="414042" w:themeColor="text1"/>
          <w:sz w:val="22"/>
        </w:rPr>
        <w:t>h</w:t>
      </w:r>
      <w:r w:rsidRPr="00385B1E">
        <w:rPr>
          <w:rFonts w:ascii="Calibri" w:hAnsi="Calibri" w:cs="Calibri"/>
          <w:i/>
          <w:iCs/>
          <w:color w:val="414042" w:themeColor="text1"/>
          <w:sz w:val="22"/>
        </w:rPr>
        <w:t>omicide of a 45-year-old man</w:t>
      </w:r>
      <w:r w:rsidRPr="00385B1E">
        <w:rPr>
          <w:rFonts w:ascii="Calibri" w:hAnsi="Calibri" w:cs="Calibri"/>
          <w:color w:val="414042" w:themeColor="text1"/>
          <w:sz w:val="22"/>
        </w:rPr>
        <w:t xml:space="preserve">: </w:t>
      </w:r>
      <w:r w:rsidRPr="00F9716C">
        <w:rPr>
          <w:color w:val="414042" w:themeColor="text1"/>
        </w:rPr>
        <w:t>We examined 11 witnesses over 19 days in connection with the disappearance and suspected murder of a 45-year-old man. The hearing revealed information and evidence to police which was previously unknown, and provided evidence which assisted police in establishing a timeline of events</w:t>
      </w:r>
      <w:r w:rsidR="00170C85" w:rsidRPr="00F9716C">
        <w:rPr>
          <w:color w:val="414042" w:themeColor="text1"/>
        </w:rPr>
        <w:t>.</w:t>
      </w:r>
    </w:p>
    <w:p w14:paraId="5245568E" w14:textId="4A6AD213" w:rsidR="006852D9" w:rsidRPr="000A3011" w:rsidRDefault="006852D9" w:rsidP="00385B1E">
      <w:pPr>
        <w:autoSpaceDE w:val="0"/>
        <w:autoSpaceDN w:val="0"/>
        <w:adjustRightInd w:val="0"/>
        <w:ind w:right="140"/>
        <w:rPr>
          <w:color w:val="414042" w:themeColor="text1"/>
        </w:rPr>
        <w:sectPr w:rsidR="006852D9" w:rsidRPr="000A3011" w:rsidSect="002A685C">
          <w:type w:val="continuous"/>
          <w:pgSz w:w="11906" w:h="16838" w:code="9"/>
          <w:pgMar w:top="2155" w:right="1134" w:bottom="964" w:left="1134" w:header="720" w:footer="284" w:gutter="0"/>
          <w:cols w:num="2" w:space="567"/>
          <w:noEndnote/>
          <w:docGrid w:linePitch="272"/>
        </w:sectPr>
      </w:pPr>
      <w:r w:rsidRPr="00385B1E">
        <w:rPr>
          <w:rFonts w:ascii="Calibri" w:hAnsi="Calibri" w:cs="Calibri"/>
          <w:i/>
          <w:iCs/>
          <w:color w:val="414042" w:themeColor="text1"/>
          <w:sz w:val="22"/>
        </w:rPr>
        <w:t xml:space="preserve">Cold case homicide of a </w:t>
      </w:r>
      <w:r w:rsidR="001C6954" w:rsidRPr="00385B1E">
        <w:rPr>
          <w:rFonts w:ascii="Calibri" w:hAnsi="Calibri" w:cs="Calibri"/>
          <w:i/>
          <w:iCs/>
          <w:color w:val="414042" w:themeColor="text1"/>
          <w:sz w:val="22"/>
        </w:rPr>
        <w:t>52-year-old</w:t>
      </w:r>
      <w:r w:rsidRPr="00385B1E">
        <w:rPr>
          <w:rFonts w:ascii="Calibri" w:hAnsi="Calibri" w:cs="Calibri"/>
          <w:i/>
          <w:iCs/>
          <w:color w:val="414042" w:themeColor="text1"/>
          <w:sz w:val="22"/>
        </w:rPr>
        <w:t xml:space="preserve"> female</w:t>
      </w:r>
      <w:r w:rsidRPr="00385B1E">
        <w:rPr>
          <w:rFonts w:ascii="Calibri" w:hAnsi="Calibri" w:cs="Calibri"/>
          <w:color w:val="414042" w:themeColor="text1"/>
          <w:sz w:val="22"/>
        </w:rPr>
        <w:t xml:space="preserve">: </w:t>
      </w:r>
      <w:r w:rsidR="00B520D0">
        <w:rPr>
          <w:rFonts w:ascii="Calibri" w:hAnsi="Calibri" w:cs="Calibri"/>
          <w:color w:val="414042" w:themeColor="text1"/>
          <w:szCs w:val="20"/>
        </w:rPr>
        <w:br/>
      </w:r>
      <w:r w:rsidRPr="00F9716C">
        <w:rPr>
          <w:color w:val="414042" w:themeColor="text1"/>
        </w:rPr>
        <w:t xml:space="preserve">Two witnesses were examined over </w:t>
      </w:r>
      <w:r w:rsidR="00E37BF6" w:rsidRPr="00F9716C">
        <w:rPr>
          <w:color w:val="414042" w:themeColor="text1"/>
        </w:rPr>
        <w:t>three</w:t>
      </w:r>
      <w:r w:rsidRPr="00F9716C">
        <w:rPr>
          <w:color w:val="414042" w:themeColor="text1"/>
        </w:rPr>
        <w:t xml:space="preserve"> days in 2023 and 2024 in relation to a cold case homicide of a </w:t>
      </w:r>
      <w:r w:rsidR="001C6954" w:rsidRPr="00F9716C">
        <w:rPr>
          <w:color w:val="414042" w:themeColor="text1"/>
        </w:rPr>
        <w:t>52-year-old</w:t>
      </w:r>
      <w:r w:rsidRPr="00F9716C">
        <w:rPr>
          <w:color w:val="414042" w:themeColor="text1"/>
        </w:rPr>
        <w:t xml:space="preserve"> female. The hearing enabled lines of inquiry to be closed, with further evidence and background information </w:t>
      </w:r>
      <w:r w:rsidR="001C1DEE" w:rsidRPr="00F9716C">
        <w:rPr>
          <w:color w:val="414042" w:themeColor="text1"/>
        </w:rPr>
        <w:t xml:space="preserve">on </w:t>
      </w:r>
      <w:r w:rsidRPr="00F9716C">
        <w:rPr>
          <w:color w:val="414042" w:themeColor="text1"/>
        </w:rPr>
        <w:t>persons of interest obtained</w:t>
      </w:r>
      <w:r w:rsidR="00B520D0">
        <w:rPr>
          <w:color w:val="414042" w:themeColor="text1"/>
        </w:rPr>
        <w:t>.</w:t>
      </w:r>
    </w:p>
    <w:p w14:paraId="6823BC34" w14:textId="6E15C836" w:rsidR="0019614B" w:rsidRPr="004A6FE9" w:rsidRDefault="006852D9" w:rsidP="004A6FE9">
      <w:pPr>
        <w:pStyle w:val="Heading3"/>
        <w:sectPr w:rsidR="0019614B" w:rsidRPr="004A6FE9" w:rsidSect="00EF640E">
          <w:headerReference w:type="even" r:id="rId183"/>
          <w:headerReference w:type="default" r:id="rId184"/>
          <w:footerReference w:type="even" r:id="rId185"/>
          <w:headerReference w:type="first" r:id="rId186"/>
          <w:type w:val="continuous"/>
          <w:pgSz w:w="11906" w:h="16838" w:code="9"/>
          <w:pgMar w:top="2155" w:right="1134" w:bottom="964" w:left="1134" w:header="720" w:footer="284" w:gutter="0"/>
          <w:cols w:space="567"/>
          <w:noEndnote/>
          <w:docGrid w:linePitch="272"/>
        </w:sectPr>
      </w:pPr>
      <w:r w:rsidRPr="00F9716C">
        <w:t>Crimes against children and vulnerable people</w:t>
      </w:r>
      <w:r w:rsidR="00056918">
        <w:br/>
      </w:r>
    </w:p>
    <w:p w14:paraId="29AA3A64" w14:textId="77777777" w:rsidR="006852D9" w:rsidRPr="00DD573E" w:rsidRDefault="006852D9" w:rsidP="00B520D0">
      <w:pPr>
        <w:pStyle w:val="4H-Intro"/>
        <w:ind w:right="282"/>
      </w:pPr>
      <w:r w:rsidRPr="00DD573E">
        <w:t>I</w:t>
      </w:r>
      <w:r w:rsidRPr="004A6FE9">
        <w:t>nvestigations</w:t>
      </w:r>
    </w:p>
    <w:p w14:paraId="028EDE5B" w14:textId="6BAFE520" w:rsidR="006852D9" w:rsidRPr="00F9716C" w:rsidRDefault="006852D9" w:rsidP="00B520D0">
      <w:pPr>
        <w:spacing w:before="120"/>
        <w:ind w:right="282"/>
        <w:rPr>
          <w:color w:val="414042" w:themeColor="text1"/>
        </w:rPr>
      </w:pPr>
      <w:r w:rsidRPr="00F9716C">
        <w:rPr>
          <w:color w:val="414042" w:themeColor="text1"/>
        </w:rPr>
        <w:t>The CCC works with the QPS to respond to the most serious crimes involving the death or physical or sexual abuse of children or other vulnerable people. The CCC helps the QPS solve or prevent these crimes through the use of our investigative hearing powers. Investigations in this area of focus may be approved under the CCC Vulnerable Victims or Criminal Paedophilia General Referral.</w:t>
      </w:r>
    </w:p>
    <w:p w14:paraId="6627DD50" w14:textId="5103AEB2" w:rsidR="00716D57" w:rsidRPr="00F9716C" w:rsidRDefault="00716D57" w:rsidP="00B520D0">
      <w:pPr>
        <w:ind w:right="282"/>
        <w:rPr>
          <w:color w:val="414042" w:themeColor="text1"/>
        </w:rPr>
      </w:pPr>
      <w:r w:rsidRPr="00F9716C">
        <w:rPr>
          <w:color w:val="414042" w:themeColor="text1"/>
        </w:rPr>
        <w:t>In 2023–24, we supported several QPS investigations involving homicides and other alleged serious crimes against children, assisting the QPS to progress six investigations by examining 13 witnesses over 22 days</w:t>
      </w:r>
      <w:r w:rsidR="00E75B9A" w:rsidRPr="00F9716C">
        <w:rPr>
          <w:color w:val="414042" w:themeColor="text1"/>
        </w:rPr>
        <w:t>.</w:t>
      </w:r>
      <w:r w:rsidRPr="00F9716C">
        <w:rPr>
          <w:color w:val="414042" w:themeColor="text1"/>
        </w:rPr>
        <w:t xml:space="preserve"> Some investigative outcomes are summarised below.</w:t>
      </w:r>
    </w:p>
    <w:p w14:paraId="7A7D65F5" w14:textId="5F484F69" w:rsidR="006852D9" w:rsidRPr="00F9716C" w:rsidRDefault="006852D9" w:rsidP="00B520D0">
      <w:pPr>
        <w:ind w:right="282"/>
        <w:rPr>
          <w:color w:val="414042" w:themeColor="text1"/>
        </w:rPr>
      </w:pPr>
      <w:r w:rsidRPr="00385B1E">
        <w:rPr>
          <w:rFonts w:ascii="Calibri" w:hAnsi="Calibri" w:cs="Calibri"/>
          <w:i/>
          <w:iCs/>
          <w:color w:val="414042" w:themeColor="text1"/>
          <w:sz w:val="22"/>
        </w:rPr>
        <w:t xml:space="preserve">Grievous bodily harm of a </w:t>
      </w:r>
      <w:r w:rsidR="00B7611D" w:rsidRPr="00385B1E">
        <w:rPr>
          <w:rFonts w:ascii="Calibri" w:hAnsi="Calibri" w:cs="Calibri"/>
          <w:i/>
          <w:iCs/>
          <w:color w:val="414042" w:themeColor="text1"/>
          <w:sz w:val="22"/>
        </w:rPr>
        <w:t>seven-month-old</w:t>
      </w:r>
      <w:r w:rsidRPr="00385B1E">
        <w:rPr>
          <w:rFonts w:ascii="Calibri" w:hAnsi="Calibri" w:cs="Calibri"/>
          <w:i/>
          <w:iCs/>
          <w:color w:val="414042" w:themeColor="text1"/>
          <w:sz w:val="22"/>
        </w:rPr>
        <w:t xml:space="preserve"> boy:</w:t>
      </w:r>
      <w:r w:rsidRPr="00F9716C">
        <w:rPr>
          <w:color w:val="414042" w:themeColor="text1"/>
        </w:rPr>
        <w:t xml:space="preserve"> Three witnesses were examined over </w:t>
      </w:r>
      <w:r w:rsidR="00972747" w:rsidRPr="00F9716C">
        <w:rPr>
          <w:color w:val="414042" w:themeColor="text1"/>
        </w:rPr>
        <w:t>six</w:t>
      </w:r>
      <w:r w:rsidRPr="00F9716C">
        <w:rPr>
          <w:color w:val="414042" w:themeColor="text1"/>
        </w:rPr>
        <w:t xml:space="preserve"> days about grievous bodily harm believed to have been sustained by a </w:t>
      </w:r>
      <w:r w:rsidR="00B7611D" w:rsidRPr="00F9716C">
        <w:rPr>
          <w:color w:val="414042" w:themeColor="text1"/>
        </w:rPr>
        <w:t>seven-month-old</w:t>
      </w:r>
      <w:r w:rsidRPr="00F9716C">
        <w:rPr>
          <w:color w:val="414042" w:themeColor="text1"/>
        </w:rPr>
        <w:t xml:space="preserve"> boy between in 2021</w:t>
      </w:r>
      <w:r w:rsidR="00716D57" w:rsidRPr="00F9716C">
        <w:rPr>
          <w:color w:val="414042" w:themeColor="text1"/>
        </w:rPr>
        <w:t>–</w:t>
      </w:r>
      <w:r w:rsidRPr="00F9716C">
        <w:rPr>
          <w:color w:val="414042" w:themeColor="text1"/>
        </w:rPr>
        <w:t>2022. The hearing provided investigators with</w:t>
      </w:r>
      <w:r w:rsidR="00BA2818" w:rsidRPr="00F9716C">
        <w:rPr>
          <w:color w:val="414042" w:themeColor="text1"/>
        </w:rPr>
        <w:t xml:space="preserve"> a</w:t>
      </w:r>
      <w:r w:rsidRPr="00F9716C">
        <w:rPr>
          <w:color w:val="414042" w:themeColor="text1"/>
        </w:rPr>
        <w:t xml:space="preserve"> more detailed timeline of events in relation to the alleged offending, and an understanding of </w:t>
      </w:r>
      <w:r w:rsidR="00F872E3" w:rsidRPr="00F9716C">
        <w:rPr>
          <w:color w:val="414042" w:themeColor="text1"/>
        </w:rPr>
        <w:t xml:space="preserve">the </w:t>
      </w:r>
      <w:r w:rsidRPr="00F9716C">
        <w:rPr>
          <w:color w:val="414042" w:themeColor="text1"/>
        </w:rPr>
        <w:t>surrounding circumstances.</w:t>
      </w:r>
    </w:p>
    <w:p w14:paraId="37BD68E2" w14:textId="10DF4A27" w:rsidR="006852D9" w:rsidRPr="00F9716C" w:rsidRDefault="006852D9" w:rsidP="00B520D0">
      <w:pPr>
        <w:ind w:right="282"/>
        <w:rPr>
          <w:color w:val="414042" w:themeColor="text1"/>
        </w:rPr>
      </w:pPr>
      <w:r w:rsidRPr="00385B1E">
        <w:rPr>
          <w:rFonts w:ascii="Calibri" w:hAnsi="Calibri" w:cs="Calibri"/>
          <w:i/>
          <w:iCs/>
          <w:color w:val="414042" w:themeColor="text1"/>
          <w:sz w:val="22"/>
        </w:rPr>
        <w:t>Grievous bodily harm of a</w:t>
      </w:r>
      <w:r w:rsidR="00972747" w:rsidRPr="00385B1E">
        <w:rPr>
          <w:rFonts w:ascii="Calibri" w:hAnsi="Calibri" w:cs="Calibri"/>
          <w:i/>
          <w:iCs/>
          <w:color w:val="414042" w:themeColor="text1"/>
          <w:sz w:val="22"/>
        </w:rPr>
        <w:t>n</w:t>
      </w:r>
      <w:r w:rsidRPr="00385B1E">
        <w:rPr>
          <w:rFonts w:ascii="Calibri" w:hAnsi="Calibri" w:cs="Calibri"/>
          <w:i/>
          <w:iCs/>
          <w:color w:val="414042" w:themeColor="text1"/>
          <w:sz w:val="22"/>
        </w:rPr>
        <w:t xml:space="preserve"> </w:t>
      </w:r>
      <w:r w:rsidR="00972747" w:rsidRPr="00385B1E">
        <w:rPr>
          <w:rFonts w:ascii="Calibri" w:hAnsi="Calibri" w:cs="Calibri"/>
          <w:i/>
          <w:iCs/>
          <w:color w:val="414042" w:themeColor="text1"/>
          <w:sz w:val="22"/>
        </w:rPr>
        <w:t>eight-week-old</w:t>
      </w:r>
      <w:r w:rsidRPr="00385B1E">
        <w:rPr>
          <w:rFonts w:ascii="Calibri" w:hAnsi="Calibri" w:cs="Calibri"/>
          <w:i/>
          <w:iCs/>
          <w:color w:val="414042" w:themeColor="text1"/>
          <w:sz w:val="22"/>
        </w:rPr>
        <w:t xml:space="preserve"> girl: </w:t>
      </w:r>
      <w:r w:rsidR="00144A5B">
        <w:rPr>
          <w:color w:val="414042" w:themeColor="text1"/>
        </w:rPr>
        <w:br/>
      </w:r>
      <w:r w:rsidRPr="00F9716C">
        <w:rPr>
          <w:color w:val="414042" w:themeColor="text1"/>
        </w:rPr>
        <w:t xml:space="preserve">In late 2023, we held a hearing concerning multiple injuries sustained by an </w:t>
      </w:r>
      <w:r w:rsidR="00972747" w:rsidRPr="00F9716C">
        <w:rPr>
          <w:color w:val="414042" w:themeColor="text1"/>
        </w:rPr>
        <w:t>eight-week-old</w:t>
      </w:r>
      <w:r w:rsidRPr="00F9716C">
        <w:rPr>
          <w:color w:val="414042" w:themeColor="text1"/>
        </w:rPr>
        <w:t xml:space="preserve"> child in 2023 </w:t>
      </w:r>
      <w:r w:rsidR="00C93A71" w:rsidRPr="00F9716C">
        <w:rPr>
          <w:color w:val="414042" w:themeColor="text1"/>
        </w:rPr>
        <w:t xml:space="preserve">which </w:t>
      </w:r>
      <w:r w:rsidRPr="00F9716C">
        <w:rPr>
          <w:color w:val="414042" w:themeColor="text1"/>
        </w:rPr>
        <w:t>result</w:t>
      </w:r>
      <w:r w:rsidR="00C93A71" w:rsidRPr="00F9716C">
        <w:rPr>
          <w:color w:val="414042" w:themeColor="text1"/>
        </w:rPr>
        <w:t>ed</w:t>
      </w:r>
      <w:r w:rsidRPr="00F9716C">
        <w:rPr>
          <w:color w:val="414042" w:themeColor="text1"/>
        </w:rPr>
        <w:t xml:space="preserve"> in evidence being obtained from previously reluctant witnesses </w:t>
      </w:r>
      <w:r w:rsidR="000B5A7F" w:rsidRPr="00F9716C">
        <w:rPr>
          <w:color w:val="414042" w:themeColor="text1"/>
        </w:rPr>
        <w:t>and</w:t>
      </w:r>
      <w:r w:rsidRPr="00F9716C">
        <w:rPr>
          <w:color w:val="414042" w:themeColor="text1"/>
        </w:rPr>
        <w:t xml:space="preserve"> ultimately resulted in the arrest of a suspect. </w:t>
      </w:r>
    </w:p>
    <w:p w14:paraId="175BDEAC" w14:textId="612C862E" w:rsidR="00144A5B" w:rsidRDefault="006852D9" w:rsidP="00B520D0">
      <w:pPr>
        <w:ind w:right="282"/>
        <w:rPr>
          <w:color w:val="414042" w:themeColor="text1"/>
        </w:rPr>
      </w:pPr>
      <w:r w:rsidRPr="00385B1E">
        <w:rPr>
          <w:rFonts w:ascii="Calibri" w:hAnsi="Calibri" w:cs="Calibri"/>
          <w:i/>
          <w:iCs/>
          <w:color w:val="414042" w:themeColor="text1"/>
          <w:sz w:val="22"/>
        </w:rPr>
        <w:t xml:space="preserve">Grievous bodily harm of a </w:t>
      </w:r>
      <w:r w:rsidR="00B7611D" w:rsidRPr="00385B1E">
        <w:rPr>
          <w:rFonts w:ascii="Calibri" w:hAnsi="Calibri" w:cs="Calibri"/>
          <w:i/>
          <w:iCs/>
          <w:color w:val="414042" w:themeColor="text1"/>
          <w:sz w:val="22"/>
        </w:rPr>
        <w:t>seven-week-old</w:t>
      </w:r>
      <w:r w:rsidRPr="00385B1E">
        <w:rPr>
          <w:rFonts w:ascii="Calibri" w:hAnsi="Calibri" w:cs="Calibri"/>
          <w:i/>
          <w:iCs/>
          <w:color w:val="414042" w:themeColor="text1"/>
          <w:sz w:val="22"/>
        </w:rPr>
        <w:t xml:space="preserve"> infant</w:t>
      </w:r>
      <w:r w:rsidRPr="00F9716C">
        <w:rPr>
          <w:i/>
          <w:iCs/>
          <w:color w:val="414042" w:themeColor="text1"/>
        </w:rPr>
        <w:t>:</w:t>
      </w:r>
      <w:r w:rsidRPr="00F9716C">
        <w:rPr>
          <w:color w:val="414042" w:themeColor="text1"/>
        </w:rPr>
        <w:t xml:space="preserve"> </w:t>
      </w:r>
      <w:r w:rsidR="00144A5B">
        <w:rPr>
          <w:color w:val="414042" w:themeColor="text1"/>
        </w:rPr>
        <w:br/>
      </w:r>
      <w:r w:rsidRPr="00F9716C">
        <w:rPr>
          <w:color w:val="414042" w:themeColor="text1"/>
        </w:rPr>
        <w:t xml:space="preserve">A witness was examined in connection with injuries sustained by a </w:t>
      </w:r>
      <w:r w:rsidR="00972747" w:rsidRPr="00F9716C">
        <w:rPr>
          <w:color w:val="414042" w:themeColor="text1"/>
        </w:rPr>
        <w:t>seven-week-old</w:t>
      </w:r>
      <w:r w:rsidRPr="00F9716C">
        <w:rPr>
          <w:color w:val="414042" w:themeColor="text1"/>
        </w:rPr>
        <w:t xml:space="preserve"> child in July 2023. The hearing enabled all lines of inquiry to be exhausted, and a detailed timeline of relevant events to be identified</w:t>
      </w:r>
      <w:r w:rsidR="00144A5B">
        <w:rPr>
          <w:color w:val="414042" w:themeColor="text1"/>
        </w:rPr>
        <w:t>.</w:t>
      </w:r>
    </w:p>
    <w:p w14:paraId="63A77E9C" w14:textId="02C6081D" w:rsidR="006852D9" w:rsidRPr="00F9716C" w:rsidRDefault="00144A5B" w:rsidP="00385B1E">
      <w:pPr>
        <w:spacing w:after="80"/>
        <w:ind w:right="282"/>
      </w:pPr>
      <w:r w:rsidRPr="00385B1E">
        <w:rPr>
          <w:rFonts w:ascii="Calibri" w:hAnsi="Calibri" w:cs="Calibri"/>
          <w:i/>
          <w:iCs/>
          <w:color w:val="414042" w:themeColor="text1"/>
          <w:sz w:val="22"/>
        </w:rPr>
        <w:t>Grievous bodily harm of a four-week-old infant</w:t>
      </w:r>
      <w:r w:rsidRPr="000A3011">
        <w:rPr>
          <w:b/>
          <w:bCs/>
          <w:i/>
          <w:iCs/>
          <w:color w:val="414042" w:themeColor="text1"/>
        </w:rPr>
        <w:t>:</w:t>
      </w:r>
      <w:r w:rsidRPr="00F9716C">
        <w:rPr>
          <w:color w:val="414042" w:themeColor="text1"/>
        </w:rPr>
        <w:t xml:space="preserve"> </w:t>
      </w:r>
      <w:r>
        <w:rPr>
          <w:color w:val="414042" w:themeColor="text1"/>
        </w:rPr>
        <w:br/>
      </w:r>
      <w:r w:rsidRPr="00F9716C">
        <w:rPr>
          <w:color w:val="414042" w:themeColor="text1"/>
        </w:rPr>
        <w:t>Three witnesses were examined over five days in connection with alleged grievous bodily harm to a four-week-old infant in April 2023 at Forest Hill.</w:t>
      </w:r>
      <w:r w:rsidR="006852D9" w:rsidRPr="00F9716C">
        <w:rPr>
          <w:color w:val="414042" w:themeColor="text1"/>
        </w:rPr>
        <w:t xml:space="preserve"> </w:t>
      </w:r>
      <w:r w:rsidR="00A94C65" w:rsidRPr="00F9716C">
        <w:rPr>
          <w:color w:val="414042" w:themeColor="text1"/>
        </w:rPr>
        <w:br w:type="column"/>
      </w:r>
      <w:bookmarkStart w:id="991" w:name="_Hlk173755479"/>
      <w:r w:rsidR="006852D9" w:rsidRPr="00B520D0">
        <w:rPr>
          <w:rFonts w:ascii="Calibri" w:hAnsi="Calibri"/>
          <w:b/>
          <w:bCs/>
          <w:color w:val="414042" w:themeColor="text1"/>
          <w:sz w:val="24"/>
          <w:szCs w:val="28"/>
        </w:rPr>
        <w:t>Strategic projects</w:t>
      </w:r>
    </w:p>
    <w:p w14:paraId="2BB10708" w14:textId="77777777" w:rsidR="006852D9" w:rsidRPr="00F9716C" w:rsidRDefault="006852D9" w:rsidP="00385B1E">
      <w:pPr>
        <w:ind w:right="140"/>
        <w:rPr>
          <w:color w:val="414042" w:themeColor="text1"/>
        </w:rPr>
      </w:pPr>
      <w:r w:rsidRPr="00F9716C">
        <w:rPr>
          <w:color w:val="414042" w:themeColor="text1"/>
        </w:rPr>
        <w:t xml:space="preserve">Section 879 of the </w:t>
      </w:r>
      <w:r w:rsidRPr="00F9716C">
        <w:rPr>
          <w:i/>
          <w:iCs/>
          <w:color w:val="414042" w:themeColor="text1"/>
        </w:rPr>
        <w:t>Police Powers and Responsibilities Act 2000</w:t>
      </w:r>
      <w:r w:rsidRPr="00F9716C">
        <w:rPr>
          <w:color w:val="414042" w:themeColor="text1"/>
        </w:rPr>
        <w:t xml:space="preserve"> (Qld) requires the CCC to review the relevant provisions in the PPRA that provide police with powers in missing persons investigations where the person is a ‘high-risk missing person’. </w:t>
      </w:r>
    </w:p>
    <w:p w14:paraId="0437D200" w14:textId="77777777" w:rsidR="00F46EEA" w:rsidRPr="00F9716C" w:rsidRDefault="00F46EEA" w:rsidP="00385B1E">
      <w:pPr>
        <w:ind w:right="140"/>
        <w:rPr>
          <w:color w:val="414042" w:themeColor="text1"/>
        </w:rPr>
      </w:pPr>
      <w:r w:rsidRPr="00F9716C">
        <w:rPr>
          <w:color w:val="414042" w:themeColor="text1"/>
        </w:rPr>
        <w:t xml:space="preserve">This review commenced in September 2023, and the Chairperson has corresponded with the Minister for Police and Corrective Services and the QPS Commissioner about this review. </w:t>
      </w:r>
    </w:p>
    <w:p w14:paraId="042C2E82" w14:textId="6151E24C" w:rsidR="00F46EEA" w:rsidRPr="00F9716C" w:rsidRDefault="00F46EEA" w:rsidP="00385B1E">
      <w:pPr>
        <w:ind w:right="140"/>
        <w:rPr>
          <w:color w:val="414042" w:themeColor="text1"/>
        </w:rPr>
      </w:pPr>
      <w:r w:rsidRPr="00F9716C">
        <w:rPr>
          <w:color w:val="414042" w:themeColor="text1"/>
        </w:rPr>
        <w:t xml:space="preserve">The data collection phase has concluded. It involved conducting research interviews with Queensland </w:t>
      </w:r>
      <w:r w:rsidR="003B7318" w:rsidRPr="00F9716C">
        <w:rPr>
          <w:color w:val="414042" w:themeColor="text1"/>
        </w:rPr>
        <w:t>p</w:t>
      </w:r>
      <w:r w:rsidRPr="00F9716C">
        <w:rPr>
          <w:color w:val="414042" w:themeColor="text1"/>
        </w:rPr>
        <w:t xml:space="preserve">olice officers, obtaining administrative data about cases where these powers were used, seeking submissions on the provisions, reviewing police training and policy, and reviewing Queensland Coroner’s Court </w:t>
      </w:r>
      <w:r w:rsidR="003B7318" w:rsidRPr="00F9716C">
        <w:rPr>
          <w:color w:val="414042" w:themeColor="text1"/>
        </w:rPr>
        <w:t>i</w:t>
      </w:r>
      <w:r w:rsidRPr="00F9716C">
        <w:rPr>
          <w:color w:val="414042" w:themeColor="text1"/>
        </w:rPr>
        <w:t xml:space="preserve">nquests that considered the conduct of missing person investigations. </w:t>
      </w:r>
    </w:p>
    <w:p w14:paraId="3BD9A738" w14:textId="21744997" w:rsidR="006852D9" w:rsidRPr="00F9716C" w:rsidRDefault="00C14D90" w:rsidP="00385B1E">
      <w:pPr>
        <w:ind w:right="140"/>
        <w:rPr>
          <w:color w:val="414042" w:themeColor="text1"/>
        </w:rPr>
      </w:pPr>
      <w:r w:rsidRPr="00F9716C">
        <w:rPr>
          <w:color w:val="414042" w:themeColor="text1"/>
        </w:rPr>
        <w:t xml:space="preserve">The CCC is now preparing its report and will consult with the Minister in the course of finalising the report. It is expected </w:t>
      </w:r>
      <w:r w:rsidR="006852D9" w:rsidRPr="00F9716C">
        <w:rPr>
          <w:color w:val="414042" w:themeColor="text1"/>
        </w:rPr>
        <w:t>the CCC will table its report in Parliament</w:t>
      </w:r>
      <w:r w:rsidRPr="00F9716C">
        <w:rPr>
          <w:color w:val="414042" w:themeColor="text1"/>
        </w:rPr>
        <w:t xml:space="preserve"> by the end of 2024. </w:t>
      </w:r>
    </w:p>
    <w:bookmarkEnd w:id="991"/>
    <w:p w14:paraId="27F0D7CD" w14:textId="77777777" w:rsidR="006852D9" w:rsidRPr="00F9716C" w:rsidRDefault="006852D9" w:rsidP="006852D9">
      <w:pPr>
        <w:rPr>
          <w:strike/>
          <w:color w:val="414042" w:themeColor="text1"/>
        </w:rPr>
      </w:pPr>
    </w:p>
    <w:p w14:paraId="5D939FC0" w14:textId="77777777" w:rsidR="006852D9" w:rsidRPr="00F9716C" w:rsidRDefault="006852D9" w:rsidP="006852D9">
      <w:pPr>
        <w:rPr>
          <w:strike/>
          <w:color w:val="414042" w:themeColor="text1"/>
        </w:rPr>
        <w:sectPr w:rsidR="006852D9" w:rsidRPr="00F9716C" w:rsidSect="0062643C">
          <w:type w:val="continuous"/>
          <w:pgSz w:w="11906" w:h="16838" w:code="9"/>
          <w:pgMar w:top="2155" w:right="1134" w:bottom="964" w:left="1134" w:header="720" w:footer="284" w:gutter="0"/>
          <w:cols w:num="2" w:space="567"/>
          <w:noEndnote/>
          <w:docGrid w:linePitch="272"/>
        </w:sectPr>
      </w:pPr>
    </w:p>
    <w:p w14:paraId="00F2B009" w14:textId="1FE9C35A" w:rsidR="004A315A" w:rsidRPr="00F9716C" w:rsidRDefault="006852D9" w:rsidP="00C903A2">
      <w:pPr>
        <w:pStyle w:val="3Heading-highlight"/>
      </w:pPr>
      <w:r w:rsidRPr="00F9716C">
        <w:br w:type="page"/>
      </w:r>
      <w:r w:rsidR="00702BA3" w:rsidRPr="00F9716C">
        <w:t xml:space="preserve">Reducing </w:t>
      </w:r>
      <w:r w:rsidR="00CA22FB" w:rsidRPr="00F9716C">
        <w:t>corruption and improving integrity in the public sector</w:t>
      </w:r>
      <w:r w:rsidR="00056918">
        <w:br/>
      </w:r>
    </w:p>
    <w:p w14:paraId="025AFA47" w14:textId="77777777" w:rsidR="0062643C" w:rsidRPr="00F9716C" w:rsidRDefault="0062643C" w:rsidP="0070546D">
      <w:pPr>
        <w:pStyle w:val="Openingparagraph"/>
        <w:ind w:right="-285"/>
        <w:rPr>
          <w:strike/>
          <w:lang w:val="en-AU"/>
        </w:rPr>
        <w:sectPr w:rsidR="0062643C" w:rsidRPr="00F9716C" w:rsidSect="0062643C">
          <w:headerReference w:type="even" r:id="rId187"/>
          <w:headerReference w:type="default" r:id="rId188"/>
          <w:headerReference w:type="first" r:id="rId189"/>
          <w:type w:val="continuous"/>
          <w:pgSz w:w="11906" w:h="16838" w:code="9"/>
          <w:pgMar w:top="2155" w:right="1134" w:bottom="964" w:left="1134" w:header="720" w:footer="284" w:gutter="0"/>
          <w:cols w:space="567"/>
          <w:noEndnote/>
          <w:docGrid w:linePitch="272"/>
        </w:sectPr>
      </w:pPr>
    </w:p>
    <w:p w14:paraId="10F6C0FD" w14:textId="77777777" w:rsidR="000127CB" w:rsidRPr="00F9716C" w:rsidRDefault="000127CB" w:rsidP="00B520D0">
      <w:pPr>
        <w:spacing w:after="80"/>
        <w:ind w:right="140"/>
        <w:rPr>
          <w:color w:val="414042" w:themeColor="text1"/>
        </w:rPr>
      </w:pPr>
      <w:r w:rsidRPr="00F9716C">
        <w:rPr>
          <w:color w:val="414042" w:themeColor="text1"/>
        </w:rPr>
        <w:t>The major components of the CCC’s corruption function, and its oversight of the public sector, are:</w:t>
      </w:r>
    </w:p>
    <w:p w14:paraId="655652BE" w14:textId="77777777" w:rsidR="000127CB" w:rsidRPr="00F9716C" w:rsidRDefault="000127CB" w:rsidP="00B520D0">
      <w:pPr>
        <w:pStyle w:val="Bulletpoints0"/>
      </w:pPr>
      <w:r w:rsidRPr="00F9716C">
        <w:t>receiving and assessing allegations of corruption</w:t>
      </w:r>
    </w:p>
    <w:p w14:paraId="3BB14300" w14:textId="77777777" w:rsidR="000127CB" w:rsidRPr="00F9716C" w:rsidRDefault="000127CB" w:rsidP="00B520D0">
      <w:pPr>
        <w:pStyle w:val="Bulletpoints0"/>
      </w:pPr>
      <w:r w:rsidRPr="00F9716C">
        <w:t>monitoring, through reviews and audits, how agencies manage allegations</w:t>
      </w:r>
    </w:p>
    <w:p w14:paraId="1A643A22" w14:textId="3DC79BF6" w:rsidR="000127CB" w:rsidRPr="00F9716C" w:rsidRDefault="000127CB" w:rsidP="00B520D0">
      <w:pPr>
        <w:pStyle w:val="Bulletpoints0"/>
      </w:pPr>
      <w:r w:rsidRPr="00F9716C">
        <w:t>building the capacity of agencies to prevent and deal with corruption</w:t>
      </w:r>
      <w:r w:rsidR="003B7318" w:rsidRPr="00F9716C">
        <w:t>,</w:t>
      </w:r>
      <w:r w:rsidRPr="00F9716C">
        <w:t xml:space="preserve"> and</w:t>
      </w:r>
    </w:p>
    <w:p w14:paraId="1216E9BE" w14:textId="77777777" w:rsidR="000127CB" w:rsidRPr="00F9716C" w:rsidRDefault="000127CB" w:rsidP="00B520D0">
      <w:pPr>
        <w:pStyle w:val="Bulletpoints0"/>
      </w:pPr>
      <w:r w:rsidRPr="00F9716C">
        <w:t>conducting investigations.</w:t>
      </w:r>
    </w:p>
    <w:p w14:paraId="1411EB21" w14:textId="2F865077" w:rsidR="000127CB" w:rsidRPr="00F9716C" w:rsidRDefault="000127CB" w:rsidP="00B520D0">
      <w:pPr>
        <w:keepNext/>
        <w:spacing w:before="120" w:after="120"/>
        <w:ind w:left="40" w:right="140"/>
        <w:rPr>
          <w:color w:val="414042" w:themeColor="text1"/>
        </w:rPr>
      </w:pPr>
      <w:r w:rsidRPr="00F9716C">
        <w:rPr>
          <w:color w:val="414042" w:themeColor="text1"/>
        </w:rPr>
        <w:t xml:space="preserve">The CC Act does not put sole responsibility for preventing and dealing with corruption onto the CCC. </w:t>
      </w:r>
      <w:r w:rsidR="0070546D">
        <w:rPr>
          <w:color w:val="414042" w:themeColor="text1"/>
        </w:rPr>
        <w:br/>
      </w:r>
      <w:r w:rsidRPr="00F9716C">
        <w:rPr>
          <w:color w:val="414042" w:themeColor="text1"/>
        </w:rPr>
        <w:t>It recognises that reducing corruption must be core business for all public sector agencies, including the Queensland Police Service.</w:t>
      </w:r>
    </w:p>
    <w:p w14:paraId="119A6F96" w14:textId="61735ABF" w:rsidR="00243C0B" w:rsidRPr="00F9716C" w:rsidRDefault="00243C0B" w:rsidP="00B520D0">
      <w:pPr>
        <w:spacing w:after="120"/>
        <w:ind w:left="42" w:right="140"/>
        <w:rPr>
          <w:color w:val="414042" w:themeColor="text1"/>
        </w:rPr>
      </w:pPr>
      <w:r w:rsidRPr="00F9716C">
        <w:rPr>
          <w:color w:val="414042" w:themeColor="text1"/>
        </w:rPr>
        <w:t>In 2023–24, we received 5,025 complaints of suspected corruption. As one complaint may be comprised of multiple allegations, often against more than one person and describing various types of conduct, we received a total of 13,917 allegations.</w:t>
      </w:r>
    </w:p>
    <w:p w14:paraId="578A2BB2" w14:textId="7ED5D003" w:rsidR="00243C0B" w:rsidRPr="00F9716C" w:rsidRDefault="00243C0B" w:rsidP="00B520D0">
      <w:pPr>
        <w:spacing w:after="120"/>
        <w:ind w:left="42" w:right="140"/>
        <w:rPr>
          <w:color w:val="414042" w:themeColor="text1"/>
          <w:lang w:val="en-GB"/>
        </w:rPr>
      </w:pPr>
      <w:r w:rsidRPr="00F9716C">
        <w:rPr>
          <w:color w:val="414042" w:themeColor="text1"/>
          <w:spacing w:val="-4"/>
        </w:rPr>
        <w:t>The number of complaints we receive has been steadily increasing since 2015–16, with a 28 per cent increase this year (up from 3,931 last year). A 20</w:t>
      </w:r>
      <w:r w:rsidRPr="00F9716C">
        <w:rPr>
          <w:color w:val="414042" w:themeColor="text1"/>
          <w:lang w:val="en-GB"/>
        </w:rPr>
        <w:t xml:space="preserve"> per cent </w:t>
      </w:r>
      <w:r w:rsidRPr="00F9716C">
        <w:rPr>
          <w:color w:val="414042" w:themeColor="text1"/>
          <w:spacing w:val="-4"/>
        </w:rPr>
        <w:t xml:space="preserve">increase in complaints against the QPS is largely attributable to an increase in notifications regarding domestic and family violence matters, as a result of the </w:t>
      </w:r>
      <w:r w:rsidRPr="00F9716C">
        <w:rPr>
          <w:i/>
          <w:iCs/>
          <w:color w:val="414042" w:themeColor="text1"/>
          <w:spacing w:val="-4"/>
        </w:rPr>
        <w:t>DFV Inquiry</w:t>
      </w:r>
      <w:r w:rsidRPr="00F9716C">
        <w:rPr>
          <w:color w:val="414042" w:themeColor="text1"/>
          <w:spacing w:val="-4"/>
        </w:rPr>
        <w:t>,</w:t>
      </w:r>
      <w:r w:rsidRPr="00F9716C">
        <w:rPr>
          <w:color w:val="414042" w:themeColor="text1"/>
          <w:lang w:val="en-GB"/>
        </w:rPr>
        <w:t xml:space="preserve"> as well as complaints relating to police culture (including bullying, harassment and discrimination).</w:t>
      </w:r>
    </w:p>
    <w:p w14:paraId="1094AE07" w14:textId="77777777" w:rsidR="00A4560B" w:rsidRPr="00F9716C" w:rsidRDefault="00A4560B" w:rsidP="00B520D0">
      <w:pPr>
        <w:spacing w:after="120"/>
        <w:ind w:left="42" w:right="140"/>
        <w:rPr>
          <w:color w:val="414042" w:themeColor="text1"/>
          <w:lang w:val="en-GB"/>
        </w:rPr>
      </w:pPr>
      <w:r w:rsidRPr="00F9716C">
        <w:rPr>
          <w:color w:val="414042" w:themeColor="text1"/>
          <w:lang w:val="en-GB"/>
        </w:rPr>
        <w:t>Overall, complaints involving local governments increased by 60 per cent when compared to 2022</w:t>
      </w:r>
      <w:r w:rsidRPr="00F9716C">
        <w:rPr>
          <w:color w:val="414042" w:themeColor="text1"/>
          <w:spacing w:val="-4"/>
        </w:rPr>
        <w:t>–</w:t>
      </w:r>
      <w:r w:rsidRPr="00F9716C">
        <w:rPr>
          <w:color w:val="414042" w:themeColor="text1"/>
          <w:lang w:val="en-GB"/>
        </w:rPr>
        <w:t>23 (up from 248 complaints to 396 complaints). The increase reflects the low base number of complaints received in 2022-23.</w:t>
      </w:r>
    </w:p>
    <w:p w14:paraId="60573C4E" w14:textId="77777777" w:rsidR="00A4560B" w:rsidRPr="00F9716C" w:rsidRDefault="00A4560B" w:rsidP="00B520D0">
      <w:pPr>
        <w:spacing w:after="120"/>
        <w:ind w:left="42" w:right="140"/>
        <w:rPr>
          <w:color w:val="414042" w:themeColor="text1"/>
          <w:lang w:val="en-GB"/>
        </w:rPr>
      </w:pPr>
      <w:r w:rsidRPr="00F9716C">
        <w:rPr>
          <w:color w:val="414042" w:themeColor="text1"/>
          <w:lang w:val="en-GB"/>
        </w:rPr>
        <w:t>Complaints about other UPAs (excluding QPS and local government) have increased 51 per cent when compared to 2022</w:t>
      </w:r>
      <w:r w:rsidRPr="00F9716C">
        <w:rPr>
          <w:color w:val="414042" w:themeColor="text1"/>
          <w:spacing w:val="-4"/>
        </w:rPr>
        <w:t>–</w:t>
      </w:r>
      <w:r w:rsidRPr="00F9716C">
        <w:rPr>
          <w:color w:val="414042" w:themeColor="text1"/>
          <w:lang w:val="en-GB"/>
        </w:rPr>
        <w:t xml:space="preserve">23. While it is not clear what has led to this increase, initiatives within our new </w:t>
      </w:r>
      <w:r w:rsidRPr="00F9716C">
        <w:rPr>
          <w:i/>
          <w:iCs/>
          <w:color w:val="414042" w:themeColor="text1"/>
          <w:lang w:val="en-GB"/>
        </w:rPr>
        <w:t xml:space="preserve">Corruption Strategy </w:t>
      </w:r>
      <w:r w:rsidRPr="00F9716C">
        <w:rPr>
          <w:i/>
          <w:iCs/>
          <w:color w:val="414042" w:themeColor="text1"/>
        </w:rPr>
        <w:t>2023</w:t>
      </w:r>
      <w:r w:rsidRPr="00F9716C">
        <w:rPr>
          <w:i/>
          <w:iCs/>
          <w:color w:val="414042" w:themeColor="text1"/>
          <w:spacing w:val="-4"/>
        </w:rPr>
        <w:t>–</w:t>
      </w:r>
      <w:r w:rsidRPr="00F9716C">
        <w:rPr>
          <w:i/>
          <w:iCs/>
          <w:color w:val="414042" w:themeColor="text1"/>
        </w:rPr>
        <w:t>27</w:t>
      </w:r>
      <w:r w:rsidRPr="00F9716C">
        <w:rPr>
          <w:color w:val="414042" w:themeColor="text1"/>
        </w:rPr>
        <w:t xml:space="preserve"> </w:t>
      </w:r>
      <w:r w:rsidRPr="00F9716C">
        <w:rPr>
          <w:color w:val="414042" w:themeColor="text1"/>
          <w:lang w:val="en-GB"/>
        </w:rPr>
        <w:t xml:space="preserve">include projects designed to allow us to better understand trends in reporting. </w:t>
      </w:r>
    </w:p>
    <w:p w14:paraId="126E825B" w14:textId="19687B6D" w:rsidR="00B7611D" w:rsidRPr="00F9716C" w:rsidRDefault="00A4560B" w:rsidP="00B520D0">
      <w:pPr>
        <w:spacing w:after="120"/>
        <w:ind w:left="40" w:right="140"/>
        <w:rPr>
          <w:color w:val="414042" w:themeColor="text1"/>
        </w:rPr>
      </w:pPr>
      <w:r w:rsidRPr="00F9716C">
        <w:rPr>
          <w:color w:val="414042" w:themeColor="text1"/>
          <w:lang w:val="en-GB"/>
        </w:rPr>
        <w:t>There has been a decrease in timeliness of our assessments. This is due to the significant increase of complaints, and recruitment and resourcing challenges</w:t>
      </w:r>
      <w:r w:rsidR="00B520D0">
        <w:rPr>
          <w:color w:val="414042" w:themeColor="text1"/>
          <w:lang w:val="en-GB"/>
        </w:rPr>
        <w:t>.</w:t>
      </w:r>
      <w:r w:rsidR="0070546D">
        <w:rPr>
          <w:color w:val="414042" w:themeColor="text1"/>
          <w:lang w:val="en-GB"/>
        </w:rPr>
        <w:br w:type="column"/>
      </w:r>
      <w:r w:rsidR="00B7611D" w:rsidRPr="00F9716C">
        <w:rPr>
          <w:color w:val="414042" w:themeColor="text1"/>
        </w:rPr>
        <w:t xml:space="preserve">Of the matters that fell within our jurisdiction, we commenced </w:t>
      </w:r>
      <w:r w:rsidRPr="00F9716C">
        <w:rPr>
          <w:color w:val="414042" w:themeColor="text1"/>
        </w:rPr>
        <w:t>43</w:t>
      </w:r>
      <w:r w:rsidR="00B7611D" w:rsidRPr="00F9716C">
        <w:rPr>
          <w:color w:val="414042" w:themeColor="text1"/>
        </w:rPr>
        <w:t xml:space="preserve"> investigations and finalised </w:t>
      </w:r>
      <w:r w:rsidRPr="00F9716C">
        <w:rPr>
          <w:color w:val="414042" w:themeColor="text1"/>
        </w:rPr>
        <w:t>46</w:t>
      </w:r>
      <w:r w:rsidR="00B7611D" w:rsidRPr="00F9716C">
        <w:rPr>
          <w:color w:val="414042" w:themeColor="text1"/>
        </w:rPr>
        <w:t xml:space="preserve"> investigations (some having commenced in previous years) resulting in:</w:t>
      </w:r>
    </w:p>
    <w:p w14:paraId="7AAD857D" w14:textId="77777777" w:rsidR="009F4D1F" w:rsidRPr="00F9716C" w:rsidRDefault="00DB089A" w:rsidP="00B520D0">
      <w:pPr>
        <w:pStyle w:val="Bulletpoints0"/>
      </w:pPr>
      <w:r w:rsidRPr="00F9716C">
        <w:t>nine</w:t>
      </w:r>
      <w:r w:rsidR="00B7611D" w:rsidRPr="00F9716C">
        <w:t xml:space="preserve"> criminal charges against one person</w:t>
      </w:r>
      <w:r w:rsidR="004A315A" w:rsidRPr="00F9716C">
        <w:t xml:space="preserve"> </w:t>
      </w:r>
    </w:p>
    <w:p w14:paraId="6A513CA3" w14:textId="5B408E2B" w:rsidR="00B7611D" w:rsidRPr="00F9716C" w:rsidRDefault="00DB089A" w:rsidP="00B520D0">
      <w:pPr>
        <w:pStyle w:val="Bulletpoints0"/>
      </w:pPr>
      <w:r w:rsidRPr="00F9716C">
        <w:t>two</w:t>
      </w:r>
      <w:r w:rsidR="00B7611D" w:rsidRPr="00F9716C">
        <w:t xml:space="preserve"> recommendations for disciplinary action involving </w:t>
      </w:r>
      <w:r w:rsidR="009F4D1F" w:rsidRPr="00F9716C">
        <w:t>one person</w:t>
      </w:r>
      <w:r w:rsidR="00B7611D" w:rsidRPr="00F9716C">
        <w:t>, and</w:t>
      </w:r>
    </w:p>
    <w:p w14:paraId="4990209E" w14:textId="22BA23D2" w:rsidR="00B7611D" w:rsidRPr="00F9716C" w:rsidRDefault="00DB089A" w:rsidP="00B520D0">
      <w:pPr>
        <w:pStyle w:val="Bulletpoints0"/>
      </w:pPr>
      <w:r w:rsidRPr="00F9716C">
        <w:t xml:space="preserve">47 </w:t>
      </w:r>
      <w:r w:rsidR="00B7611D" w:rsidRPr="00F9716C">
        <w:t>prevention recommendations.</w:t>
      </w:r>
    </w:p>
    <w:p w14:paraId="39401A5A" w14:textId="4EDE39BF" w:rsidR="00B7611D" w:rsidRPr="00F9716C" w:rsidRDefault="00B7611D" w:rsidP="00B520D0">
      <w:pPr>
        <w:spacing w:before="80" w:after="80"/>
        <w:ind w:left="40" w:right="140"/>
        <w:rPr>
          <w:color w:val="414042" w:themeColor="text1"/>
        </w:rPr>
      </w:pPr>
      <w:r w:rsidRPr="00F9716C">
        <w:rPr>
          <w:color w:val="414042" w:themeColor="text1"/>
        </w:rPr>
        <w:t xml:space="preserve">We referred </w:t>
      </w:r>
      <w:r w:rsidR="00DB089A" w:rsidRPr="00F9716C">
        <w:rPr>
          <w:color w:val="414042" w:themeColor="text1"/>
        </w:rPr>
        <w:t>4,025</w:t>
      </w:r>
      <w:r w:rsidRPr="00F9716C">
        <w:rPr>
          <w:color w:val="414042" w:themeColor="text1"/>
        </w:rPr>
        <w:t xml:space="preserve"> complaints to other agencies for investigation; of those, we identified </w:t>
      </w:r>
      <w:r w:rsidR="00DB089A" w:rsidRPr="00F9716C">
        <w:rPr>
          <w:color w:val="414042" w:themeColor="text1"/>
        </w:rPr>
        <w:t>103</w:t>
      </w:r>
      <w:r w:rsidRPr="00F9716C">
        <w:rPr>
          <w:color w:val="414042" w:themeColor="text1"/>
        </w:rPr>
        <w:t xml:space="preserve"> matters as requiring oversight (monitoring and review). </w:t>
      </w:r>
    </w:p>
    <w:p w14:paraId="2FD40830" w14:textId="68B1A55C" w:rsidR="000127CB" w:rsidRPr="00F9716C" w:rsidRDefault="000127CB" w:rsidP="00B520D0">
      <w:pPr>
        <w:spacing w:after="80"/>
        <w:ind w:left="40" w:right="140"/>
        <w:rPr>
          <w:color w:val="414042" w:themeColor="text1"/>
        </w:rPr>
      </w:pPr>
      <w:r w:rsidRPr="00F9716C">
        <w:rPr>
          <w:color w:val="414042" w:themeColor="text1"/>
        </w:rPr>
        <w:t>In 2023–24, we assessed 5,139</w:t>
      </w:r>
      <w:r w:rsidRPr="00F9716C">
        <w:rPr>
          <w:rStyle w:val="FootnoteReference"/>
          <w:color w:val="414042" w:themeColor="text1"/>
        </w:rPr>
        <w:footnoteReference w:id="4"/>
      </w:r>
      <w:r w:rsidRPr="00F9716C">
        <w:rPr>
          <w:color w:val="414042" w:themeColor="text1"/>
        </w:rPr>
        <w:t xml:space="preserve"> matters. We referred 4,025 complaints to other agencies for investigation; and of those, we identified 103 matters as requiring oversight (monitoring and review). </w:t>
      </w:r>
    </w:p>
    <w:p w14:paraId="6B3FB713" w14:textId="3504FEA9" w:rsidR="00B7611D" w:rsidRDefault="00B7611D" w:rsidP="00B520D0">
      <w:pPr>
        <w:spacing w:after="0"/>
        <w:ind w:left="40" w:right="140"/>
        <w:rPr>
          <w:color w:val="414042" w:themeColor="text1"/>
          <w:szCs w:val="20"/>
        </w:rPr>
      </w:pPr>
      <w:r w:rsidRPr="00F9716C">
        <w:rPr>
          <w:color w:val="414042" w:themeColor="text1"/>
        </w:rPr>
        <w:t xml:space="preserve">This year, we invested considerable resources to continue </w:t>
      </w:r>
      <w:r w:rsidRPr="00F9716C">
        <w:rPr>
          <w:color w:val="414042" w:themeColor="text1"/>
          <w:szCs w:val="20"/>
        </w:rPr>
        <w:t>improving our service delivery, our capabilities, and our ways of working.</w:t>
      </w:r>
    </w:p>
    <w:p w14:paraId="077F9D68" w14:textId="77777777" w:rsidR="00E13A2A" w:rsidRPr="00F9716C" w:rsidRDefault="00E13A2A" w:rsidP="00B520D0">
      <w:pPr>
        <w:spacing w:after="0"/>
        <w:ind w:left="40" w:right="140"/>
        <w:rPr>
          <w:b/>
          <w:bCs/>
          <w:color w:val="414042" w:themeColor="text1"/>
        </w:rPr>
      </w:pPr>
    </w:p>
    <w:p w14:paraId="638E932F" w14:textId="77777777" w:rsidR="00E13A2A" w:rsidRDefault="00E13A2A" w:rsidP="00E13A2A">
      <w:pPr>
        <w:spacing w:after="80"/>
        <w:ind w:right="282"/>
        <w:rPr>
          <w:rFonts w:ascii="Calibri" w:hAnsi="Calibri"/>
          <w:b/>
          <w:bCs/>
          <w:color w:val="414042" w:themeColor="text1"/>
          <w:sz w:val="24"/>
          <w:szCs w:val="28"/>
        </w:rPr>
        <w:sectPr w:rsidR="00E13A2A" w:rsidSect="001C265A">
          <w:headerReference w:type="even" r:id="rId190"/>
          <w:headerReference w:type="default" r:id="rId191"/>
          <w:headerReference w:type="first" r:id="rId192"/>
          <w:type w:val="continuous"/>
          <w:pgSz w:w="11906" w:h="16838" w:code="9"/>
          <w:pgMar w:top="2155" w:right="1134" w:bottom="964" w:left="1134" w:header="720" w:footer="284" w:gutter="0"/>
          <w:cols w:num="2" w:space="567"/>
          <w:noEndnote/>
          <w:docGrid w:linePitch="272"/>
          <w15:footnoteColumns w:val="1"/>
        </w:sectPr>
      </w:pPr>
      <w:r>
        <w:rPr>
          <w:rFonts w:ascii="Calibri" w:hAnsi="Calibri"/>
          <w:b/>
          <w:bCs/>
          <w:color w:val="414042" w:themeColor="text1"/>
          <w:sz w:val="24"/>
          <w:szCs w:val="28"/>
        </w:rPr>
        <w:br w:type="column"/>
      </w:r>
    </w:p>
    <w:p w14:paraId="4D98374E" w14:textId="77777777" w:rsidR="00E13A2A" w:rsidRDefault="00B7611D" w:rsidP="00E13A2A">
      <w:pPr>
        <w:spacing w:after="240"/>
        <w:ind w:right="284"/>
        <w:rPr>
          <w:rFonts w:ascii="Calibri" w:hAnsi="Calibri"/>
          <w:b/>
          <w:bCs/>
          <w:color w:val="414042" w:themeColor="text1"/>
          <w:sz w:val="24"/>
          <w:szCs w:val="28"/>
        </w:rPr>
        <w:sectPr w:rsidR="00E13A2A" w:rsidSect="00E13A2A">
          <w:type w:val="continuous"/>
          <w:pgSz w:w="11906" w:h="16838" w:code="9"/>
          <w:pgMar w:top="2155" w:right="1134" w:bottom="964" w:left="1134" w:header="720" w:footer="284" w:gutter="0"/>
          <w:cols w:space="567"/>
          <w:noEndnote/>
          <w:docGrid w:linePitch="272"/>
          <w15:footnoteColumns w:val="1"/>
        </w:sectPr>
      </w:pPr>
      <w:r w:rsidRPr="00E13A2A">
        <w:rPr>
          <w:rFonts w:ascii="Calibri" w:hAnsi="Calibri"/>
          <w:b/>
          <w:bCs/>
          <w:color w:val="414042" w:themeColor="text1"/>
          <w:sz w:val="24"/>
          <w:szCs w:val="28"/>
        </w:rPr>
        <w:t>Complaints assessed as serious, systemic and strategic</w:t>
      </w:r>
    </w:p>
    <w:p w14:paraId="0F16C4FE" w14:textId="77777777" w:rsidR="00B7611D" w:rsidRPr="00F9716C" w:rsidRDefault="00B7611D" w:rsidP="00B520D0">
      <w:pPr>
        <w:spacing w:before="100" w:after="80"/>
        <w:ind w:left="22" w:right="140" w:hanging="11"/>
        <w:rPr>
          <w:color w:val="414042" w:themeColor="text1"/>
        </w:rPr>
      </w:pPr>
      <w:r w:rsidRPr="00F9716C">
        <w:rPr>
          <w:color w:val="414042" w:themeColor="text1"/>
        </w:rPr>
        <w:t>In February 2023, the CCC’s Intake and Assessment Unit commenced operating under a revised complaints assessment model (CAM). Under the CAM, all matters received by us are now triaged by a senior officer who applies specific criteria to identify matters involving alleged conduct assessed as serious, systemic and/or of strategic importance (SSS).</w:t>
      </w:r>
    </w:p>
    <w:p w14:paraId="77900EE6" w14:textId="77777777" w:rsidR="00B7611D" w:rsidRDefault="00B7611D" w:rsidP="00B520D0">
      <w:pPr>
        <w:spacing w:after="80"/>
        <w:ind w:left="22" w:right="140" w:hanging="11"/>
        <w:rPr>
          <w:color w:val="414042" w:themeColor="text1"/>
        </w:rPr>
      </w:pPr>
      <w:r w:rsidRPr="00F9716C">
        <w:rPr>
          <w:color w:val="414042" w:themeColor="text1"/>
        </w:rPr>
        <w:t xml:space="preserve">Matters which do not meet these criteria are referred to a team for assessment and are finalised by referral to the relevant Unit of Public Administration (UPA) or as requiring no further action. </w:t>
      </w:r>
    </w:p>
    <w:p w14:paraId="739F82D4" w14:textId="77777777" w:rsidR="00E13A2A" w:rsidRDefault="00B7611D" w:rsidP="00E13A2A">
      <w:pPr>
        <w:spacing w:after="120"/>
        <w:ind w:left="22" w:hanging="11"/>
        <w:rPr>
          <w:color w:val="414042" w:themeColor="text1"/>
        </w:rPr>
      </w:pPr>
      <w:r w:rsidRPr="00F9716C">
        <w:rPr>
          <w:color w:val="414042" w:themeColor="text1"/>
        </w:rPr>
        <w:t>Matters which meet these criteria are referred to a team to review and, where appropriate, conduct preliminary enquiries to better understand the alleged conduct and identify evidence that supports the conduct has or has not occurred. The matter is then briefed to the Executive Leadership Team (ELT)</w:t>
      </w:r>
      <w:r w:rsidR="00B22CA5" w:rsidRPr="00F9716C">
        <w:rPr>
          <w:color w:val="414042" w:themeColor="text1"/>
        </w:rPr>
        <w:t>, which must include the Chairperson or SEO (Corruption),</w:t>
      </w:r>
      <w:r w:rsidR="003B43E7" w:rsidRPr="00F9716C">
        <w:rPr>
          <w:color w:val="414042" w:themeColor="text1"/>
        </w:rPr>
        <w:t xml:space="preserve"> </w:t>
      </w:r>
      <w:r w:rsidRPr="00F9716C">
        <w:rPr>
          <w:color w:val="414042" w:themeColor="text1"/>
        </w:rPr>
        <w:t xml:space="preserve">for an assessment decision. The ELT may assess matters as requiring no further action, appropriate for referral to a UPA to deal with – subject to outcome advice, appropriate to refer to a UPA – subject to monitoring, or appropriate for the CCC to investigate, including jointly with a UPA. </w:t>
      </w:r>
    </w:p>
    <w:p w14:paraId="6A88348C" w14:textId="769445E3" w:rsidR="00E13A2A" w:rsidRDefault="00E13A2A" w:rsidP="00E13A2A">
      <w:pPr>
        <w:spacing w:after="120"/>
        <w:ind w:left="22" w:hanging="11"/>
        <w:rPr>
          <w:color w:val="414042" w:themeColor="text1"/>
        </w:rPr>
        <w:sectPr w:rsidR="00E13A2A" w:rsidSect="00E13A2A">
          <w:type w:val="continuous"/>
          <w:pgSz w:w="11906" w:h="16838" w:code="9"/>
          <w:pgMar w:top="2155" w:right="1134" w:bottom="964" w:left="1134" w:header="720" w:footer="284" w:gutter="0"/>
          <w:cols w:num="2" w:space="567"/>
          <w:noEndnote/>
          <w:docGrid w:linePitch="272"/>
        </w:sectPr>
      </w:pPr>
      <w:r w:rsidRPr="00F9716C">
        <w:rPr>
          <w:color w:val="414042" w:themeColor="text1"/>
        </w:rPr>
        <w:t>In 2023–24, we received 5,025 complaints, notifications and matters identified as falling within our jurisdiction. Of these, 623 were triaged as meeting the criteria of serious, systemic and strategic</w:t>
      </w:r>
      <w:r>
        <w:rPr>
          <w:color w:val="414042" w:themeColor="text1"/>
        </w:rPr>
        <w:t>.</w:t>
      </w:r>
    </w:p>
    <w:p w14:paraId="2EDFC0A6" w14:textId="0654CA3C" w:rsidR="001C265A" w:rsidRDefault="001C265A" w:rsidP="00E13A2A">
      <w:pPr>
        <w:spacing w:after="80"/>
        <w:ind w:right="140"/>
        <w:rPr>
          <w:color w:val="414042" w:themeColor="text1"/>
        </w:rPr>
        <w:sectPr w:rsidR="001C265A" w:rsidSect="001C265A">
          <w:type w:val="continuous"/>
          <w:pgSz w:w="11906" w:h="16838" w:code="9"/>
          <w:pgMar w:top="2155" w:right="1134" w:bottom="964" w:left="1134" w:header="720" w:footer="284" w:gutter="0"/>
          <w:cols w:num="2" w:space="567"/>
          <w:noEndnote/>
          <w:docGrid w:linePitch="272"/>
          <w15:footnoteColumns w:val="1"/>
        </w:sectPr>
      </w:pPr>
    </w:p>
    <w:p w14:paraId="6FF9113A" w14:textId="706C1CC8" w:rsidR="00B7611D" w:rsidRPr="00DE44C1" w:rsidRDefault="00B7611D" w:rsidP="00E41B49">
      <w:pPr>
        <w:pStyle w:val="Figuretableheading0"/>
      </w:pPr>
      <w:r w:rsidRPr="00F9716C">
        <w:t xml:space="preserve">Table </w:t>
      </w:r>
      <w:r w:rsidR="00167332" w:rsidRPr="00F9716C">
        <w:t>2</w:t>
      </w:r>
      <w:r w:rsidRPr="00F9716C">
        <w:t>: Outcomes of complaints assessed</w:t>
      </w:r>
      <w:r w:rsidR="007B41DC" w:rsidRPr="00F9716C">
        <w:t xml:space="preserve"> 2023–24</w:t>
      </w:r>
    </w:p>
    <w:tbl>
      <w:tblPr>
        <w:tblStyle w:val="TableGrid6"/>
        <w:tblW w:w="5003" w:type="pct"/>
        <w:tblInd w:w="0" w:type="dxa"/>
        <w:tblLook w:val="04A0" w:firstRow="1" w:lastRow="0" w:firstColumn="1" w:lastColumn="0" w:noHBand="0" w:noVBand="1"/>
      </w:tblPr>
      <w:tblGrid>
        <w:gridCol w:w="8256"/>
        <w:gridCol w:w="1378"/>
      </w:tblGrid>
      <w:tr w:rsidR="00F9716C" w:rsidRPr="00DE44C1" w14:paraId="1F29738B" w14:textId="77777777" w:rsidTr="00DE44C1">
        <w:tc>
          <w:tcPr>
            <w:tcW w:w="4285" w:type="pct"/>
            <w:shd w:val="clear" w:color="auto" w:fill="414042" w:themeFill="text1"/>
            <w:vAlign w:val="center"/>
          </w:tcPr>
          <w:p w14:paraId="4116CDF0" w14:textId="77777777" w:rsidR="00B7611D" w:rsidRPr="0041749C" w:rsidRDefault="00B7611D" w:rsidP="009A4D54">
            <w:pPr>
              <w:spacing w:before="40" w:after="40" w:line="276" w:lineRule="auto"/>
              <w:rPr>
                <w:rFonts w:asciiTheme="minorHAnsi" w:hAnsiTheme="minorHAnsi" w:cstheme="minorHAnsi"/>
                <w:color w:val="FFFFFF" w:themeColor="background1"/>
                <w:sz w:val="18"/>
                <w:szCs w:val="18"/>
              </w:rPr>
            </w:pPr>
            <w:r w:rsidRPr="0041749C">
              <w:rPr>
                <w:rFonts w:asciiTheme="minorHAnsi" w:hAnsiTheme="minorHAnsi" w:cstheme="minorHAnsi"/>
                <w:b/>
                <w:bCs/>
                <w:color w:val="FFFFFF" w:themeColor="background1"/>
                <w:sz w:val="18"/>
                <w:szCs w:val="18"/>
                <w:lang w:eastAsia="en-AU"/>
              </w:rPr>
              <w:t>Description</w:t>
            </w:r>
            <w:r w:rsidRPr="0041749C">
              <w:rPr>
                <w:rFonts w:asciiTheme="minorHAnsi" w:hAnsiTheme="minorHAnsi" w:cstheme="minorHAnsi"/>
                <w:b/>
                <w:color w:val="FFFFFF" w:themeColor="background1"/>
                <w:sz w:val="18"/>
                <w:szCs w:val="18"/>
              </w:rPr>
              <w:t xml:space="preserve"> </w:t>
            </w:r>
          </w:p>
        </w:tc>
        <w:tc>
          <w:tcPr>
            <w:tcW w:w="715" w:type="pct"/>
            <w:shd w:val="clear" w:color="auto" w:fill="414042" w:themeFill="text1"/>
            <w:vAlign w:val="center"/>
          </w:tcPr>
          <w:p w14:paraId="22E7515F" w14:textId="77777777" w:rsidR="00B7611D" w:rsidRPr="0041749C" w:rsidRDefault="00B7611D" w:rsidP="009A4D54">
            <w:pPr>
              <w:spacing w:before="40" w:after="40" w:line="276" w:lineRule="auto"/>
              <w:jc w:val="center"/>
              <w:rPr>
                <w:rFonts w:asciiTheme="minorHAnsi" w:hAnsiTheme="minorHAnsi" w:cstheme="minorHAnsi"/>
                <w:b/>
                <w:color w:val="FFFFFF" w:themeColor="background1"/>
                <w:sz w:val="18"/>
                <w:szCs w:val="18"/>
              </w:rPr>
            </w:pPr>
            <w:r w:rsidRPr="0041749C">
              <w:rPr>
                <w:rFonts w:asciiTheme="minorHAnsi" w:hAnsiTheme="minorHAnsi" w:cstheme="minorHAnsi"/>
                <w:b/>
                <w:bCs/>
                <w:color w:val="FFFFFF" w:themeColor="background1"/>
                <w:sz w:val="18"/>
                <w:szCs w:val="18"/>
                <w:lang w:eastAsia="en-AU"/>
              </w:rPr>
              <w:t>Number</w:t>
            </w:r>
          </w:p>
        </w:tc>
      </w:tr>
      <w:tr w:rsidR="00F9716C" w:rsidRPr="00F9716C" w14:paraId="23E30194" w14:textId="77777777" w:rsidTr="006F5B74">
        <w:tc>
          <w:tcPr>
            <w:tcW w:w="4285" w:type="pct"/>
            <w:shd w:val="clear" w:color="auto" w:fill="FFFFFF" w:themeFill="background1"/>
            <w:vAlign w:val="center"/>
          </w:tcPr>
          <w:p w14:paraId="144260A8" w14:textId="77777777" w:rsidR="007235F7" w:rsidRPr="0041749C" w:rsidRDefault="007235F7" w:rsidP="007235F7">
            <w:pPr>
              <w:spacing w:before="40" w:after="40" w:line="276" w:lineRule="auto"/>
              <w:rPr>
                <w:rFonts w:cs="Calibri Light"/>
                <w:color w:val="414042" w:themeColor="text1"/>
                <w:sz w:val="18"/>
                <w:szCs w:val="18"/>
              </w:rPr>
            </w:pPr>
            <w:r w:rsidRPr="0041749C">
              <w:rPr>
                <w:rFonts w:cs="Calibri Light"/>
                <w:color w:val="414042" w:themeColor="text1"/>
                <w:sz w:val="18"/>
                <w:szCs w:val="18"/>
              </w:rPr>
              <w:t>Retained for CCC investigation</w:t>
            </w:r>
          </w:p>
        </w:tc>
        <w:tc>
          <w:tcPr>
            <w:tcW w:w="715" w:type="pct"/>
            <w:shd w:val="clear" w:color="auto" w:fill="FFFFFF" w:themeFill="background1"/>
            <w:vAlign w:val="center"/>
          </w:tcPr>
          <w:p w14:paraId="5182D99B" w14:textId="48E628F3" w:rsidR="007235F7" w:rsidRPr="0041749C" w:rsidRDefault="007235F7" w:rsidP="007235F7">
            <w:pPr>
              <w:spacing w:before="40" w:after="40" w:line="276" w:lineRule="auto"/>
              <w:jc w:val="center"/>
              <w:rPr>
                <w:rFonts w:cs="Calibri Light"/>
                <w:color w:val="414042" w:themeColor="text1"/>
                <w:sz w:val="18"/>
                <w:szCs w:val="18"/>
              </w:rPr>
            </w:pPr>
            <w:r w:rsidRPr="0041749C">
              <w:rPr>
                <w:rFonts w:cs="Calibri Light"/>
                <w:color w:val="414042" w:themeColor="text1"/>
                <w:sz w:val="18"/>
                <w:szCs w:val="18"/>
              </w:rPr>
              <w:t>43</w:t>
            </w:r>
          </w:p>
        </w:tc>
      </w:tr>
      <w:tr w:rsidR="00F9716C" w:rsidRPr="00F9716C" w14:paraId="75419B71" w14:textId="77777777" w:rsidTr="00DE44C1">
        <w:tc>
          <w:tcPr>
            <w:tcW w:w="4285" w:type="pct"/>
            <w:shd w:val="clear" w:color="auto" w:fill="F2F2F2" w:themeFill="background1" w:themeFillShade="F2"/>
            <w:vAlign w:val="center"/>
          </w:tcPr>
          <w:p w14:paraId="56C03E51" w14:textId="77777777" w:rsidR="007235F7" w:rsidRPr="0041749C" w:rsidRDefault="007235F7" w:rsidP="007235F7">
            <w:pPr>
              <w:spacing w:before="40" w:after="40" w:line="276" w:lineRule="auto"/>
              <w:rPr>
                <w:rFonts w:cs="Calibri Light"/>
                <w:color w:val="414042" w:themeColor="text1"/>
                <w:sz w:val="18"/>
                <w:szCs w:val="18"/>
              </w:rPr>
            </w:pPr>
            <w:r w:rsidRPr="0041749C">
              <w:rPr>
                <w:rFonts w:cs="Calibri Light"/>
                <w:color w:val="414042" w:themeColor="text1"/>
                <w:sz w:val="18"/>
                <w:szCs w:val="18"/>
              </w:rPr>
              <w:t>Referred to the appropriate agency, subject to the CCC’s monitoring role</w:t>
            </w:r>
          </w:p>
        </w:tc>
        <w:tc>
          <w:tcPr>
            <w:tcW w:w="715" w:type="pct"/>
            <w:shd w:val="clear" w:color="auto" w:fill="F2F2F2" w:themeFill="background1" w:themeFillShade="F2"/>
            <w:vAlign w:val="center"/>
          </w:tcPr>
          <w:p w14:paraId="28238211" w14:textId="4DAB1CCB" w:rsidR="007235F7" w:rsidRPr="0041749C" w:rsidRDefault="007235F7" w:rsidP="007235F7">
            <w:pPr>
              <w:spacing w:before="40" w:after="40" w:line="276" w:lineRule="auto"/>
              <w:jc w:val="center"/>
              <w:rPr>
                <w:rFonts w:cs="Calibri Light"/>
                <w:color w:val="414042" w:themeColor="text1"/>
                <w:sz w:val="18"/>
                <w:szCs w:val="18"/>
              </w:rPr>
            </w:pPr>
            <w:r w:rsidRPr="0041749C">
              <w:rPr>
                <w:rFonts w:cs="Calibri Light"/>
                <w:color w:val="414042" w:themeColor="text1"/>
                <w:sz w:val="18"/>
                <w:szCs w:val="18"/>
              </w:rPr>
              <w:t>103</w:t>
            </w:r>
          </w:p>
        </w:tc>
      </w:tr>
      <w:tr w:rsidR="00F9716C" w:rsidRPr="00F9716C" w14:paraId="2F983F42" w14:textId="77777777" w:rsidTr="006F5B74">
        <w:tc>
          <w:tcPr>
            <w:tcW w:w="4285" w:type="pct"/>
            <w:shd w:val="clear" w:color="auto" w:fill="FFFFFF" w:themeFill="background1"/>
            <w:vAlign w:val="center"/>
          </w:tcPr>
          <w:p w14:paraId="70F53303" w14:textId="77777777" w:rsidR="007235F7" w:rsidRPr="0041749C" w:rsidRDefault="007235F7" w:rsidP="007235F7">
            <w:pPr>
              <w:spacing w:before="40" w:after="40" w:line="276" w:lineRule="auto"/>
              <w:rPr>
                <w:rFonts w:cs="Calibri Light"/>
                <w:color w:val="414042" w:themeColor="text1"/>
                <w:sz w:val="18"/>
                <w:szCs w:val="18"/>
              </w:rPr>
            </w:pPr>
            <w:r w:rsidRPr="0041749C">
              <w:rPr>
                <w:rFonts w:cs="Calibri Light"/>
                <w:color w:val="414042" w:themeColor="text1"/>
                <w:sz w:val="18"/>
                <w:szCs w:val="18"/>
              </w:rPr>
              <w:t>Referred to the appropriate agency, outcome advice required by the CCC</w:t>
            </w:r>
          </w:p>
        </w:tc>
        <w:tc>
          <w:tcPr>
            <w:tcW w:w="715" w:type="pct"/>
            <w:shd w:val="clear" w:color="auto" w:fill="FFFFFF" w:themeFill="background1"/>
            <w:vAlign w:val="center"/>
          </w:tcPr>
          <w:p w14:paraId="09B2E8C3" w14:textId="1871E0ED" w:rsidR="007235F7" w:rsidRPr="0041749C" w:rsidRDefault="007235F7" w:rsidP="007235F7">
            <w:pPr>
              <w:spacing w:before="40" w:after="40" w:line="276" w:lineRule="auto"/>
              <w:jc w:val="center"/>
              <w:rPr>
                <w:rFonts w:cs="Calibri Light"/>
                <w:color w:val="414042" w:themeColor="text1"/>
                <w:sz w:val="18"/>
                <w:szCs w:val="18"/>
              </w:rPr>
            </w:pPr>
            <w:r w:rsidRPr="0041749C">
              <w:rPr>
                <w:rFonts w:cs="Calibri Light"/>
                <w:color w:val="414042" w:themeColor="text1"/>
                <w:sz w:val="18"/>
                <w:szCs w:val="18"/>
              </w:rPr>
              <w:t>694</w:t>
            </w:r>
          </w:p>
        </w:tc>
      </w:tr>
      <w:tr w:rsidR="00F9716C" w:rsidRPr="00F9716C" w14:paraId="794E46DC" w14:textId="77777777" w:rsidTr="00DE44C1">
        <w:tc>
          <w:tcPr>
            <w:tcW w:w="4285" w:type="pct"/>
            <w:shd w:val="clear" w:color="auto" w:fill="F2F2F2" w:themeFill="background1" w:themeFillShade="F2"/>
            <w:vAlign w:val="center"/>
          </w:tcPr>
          <w:p w14:paraId="7EBF8636" w14:textId="77777777" w:rsidR="007235F7" w:rsidRPr="0041749C" w:rsidRDefault="007235F7" w:rsidP="007235F7">
            <w:pPr>
              <w:spacing w:before="40" w:after="40" w:line="276" w:lineRule="auto"/>
              <w:rPr>
                <w:rFonts w:cs="Calibri Light"/>
                <w:color w:val="414042" w:themeColor="text1"/>
                <w:sz w:val="18"/>
                <w:szCs w:val="18"/>
              </w:rPr>
            </w:pPr>
            <w:r w:rsidRPr="0041749C">
              <w:rPr>
                <w:rFonts w:cs="Calibri Light"/>
                <w:color w:val="414042" w:themeColor="text1"/>
                <w:sz w:val="18"/>
                <w:szCs w:val="18"/>
              </w:rPr>
              <w:t>Referred to the appropriate agency, with no further advice required by the CCC</w:t>
            </w:r>
          </w:p>
        </w:tc>
        <w:tc>
          <w:tcPr>
            <w:tcW w:w="715" w:type="pct"/>
            <w:shd w:val="clear" w:color="auto" w:fill="F2F2F2" w:themeFill="background1" w:themeFillShade="F2"/>
            <w:vAlign w:val="center"/>
          </w:tcPr>
          <w:p w14:paraId="148CD183" w14:textId="0A17D75E" w:rsidR="007235F7" w:rsidRPr="0041749C" w:rsidRDefault="007235F7" w:rsidP="007235F7">
            <w:pPr>
              <w:spacing w:before="40" w:after="40" w:line="276" w:lineRule="auto"/>
              <w:jc w:val="center"/>
              <w:rPr>
                <w:rFonts w:cs="Calibri Light"/>
                <w:color w:val="414042" w:themeColor="text1"/>
                <w:sz w:val="18"/>
                <w:szCs w:val="18"/>
              </w:rPr>
            </w:pPr>
            <w:r w:rsidRPr="0041749C">
              <w:rPr>
                <w:rFonts w:cs="Calibri Light"/>
                <w:color w:val="414042" w:themeColor="text1"/>
                <w:sz w:val="18"/>
                <w:szCs w:val="18"/>
              </w:rPr>
              <w:t>3,228</w:t>
            </w:r>
          </w:p>
        </w:tc>
      </w:tr>
      <w:tr w:rsidR="00F9716C" w:rsidRPr="00F9716C" w14:paraId="6B6E9AA6" w14:textId="77777777" w:rsidTr="00DE44C1">
        <w:tc>
          <w:tcPr>
            <w:tcW w:w="4285" w:type="pct"/>
            <w:shd w:val="clear" w:color="auto" w:fill="FFFFFF" w:themeFill="background1"/>
            <w:vAlign w:val="center"/>
          </w:tcPr>
          <w:p w14:paraId="4B014F92" w14:textId="77777777" w:rsidR="007235F7" w:rsidRPr="0041749C" w:rsidRDefault="007235F7" w:rsidP="007235F7">
            <w:pPr>
              <w:spacing w:before="40" w:after="40" w:line="276" w:lineRule="auto"/>
              <w:rPr>
                <w:rFonts w:cs="Calibri Light"/>
                <w:color w:val="414042" w:themeColor="text1"/>
                <w:sz w:val="18"/>
                <w:szCs w:val="18"/>
              </w:rPr>
            </w:pPr>
            <w:r w:rsidRPr="0041749C">
              <w:rPr>
                <w:rFonts w:cs="Calibri Light"/>
                <w:color w:val="414042" w:themeColor="text1"/>
                <w:sz w:val="18"/>
                <w:szCs w:val="18"/>
              </w:rPr>
              <w:t>Requiring no further action</w:t>
            </w:r>
          </w:p>
        </w:tc>
        <w:tc>
          <w:tcPr>
            <w:tcW w:w="715" w:type="pct"/>
            <w:shd w:val="clear" w:color="auto" w:fill="FFFFFF" w:themeFill="background1"/>
            <w:vAlign w:val="center"/>
          </w:tcPr>
          <w:p w14:paraId="0C567261" w14:textId="5DF7967C" w:rsidR="007235F7" w:rsidRPr="0041749C" w:rsidRDefault="007235F7" w:rsidP="007235F7">
            <w:pPr>
              <w:spacing w:before="40" w:after="40" w:line="276" w:lineRule="auto"/>
              <w:jc w:val="center"/>
              <w:rPr>
                <w:rFonts w:cs="Calibri Light"/>
                <w:color w:val="414042" w:themeColor="text1"/>
                <w:sz w:val="18"/>
                <w:szCs w:val="18"/>
              </w:rPr>
            </w:pPr>
            <w:r w:rsidRPr="0041749C">
              <w:rPr>
                <w:rFonts w:cs="Calibri Light"/>
                <w:color w:val="414042" w:themeColor="text1"/>
                <w:sz w:val="18"/>
                <w:szCs w:val="18"/>
              </w:rPr>
              <w:t>1,071</w:t>
            </w:r>
          </w:p>
        </w:tc>
      </w:tr>
      <w:tr w:rsidR="00F9716C" w:rsidRPr="00F9716C" w14:paraId="4B6EE466" w14:textId="77777777" w:rsidTr="00DE44C1">
        <w:tc>
          <w:tcPr>
            <w:tcW w:w="4285" w:type="pct"/>
            <w:shd w:val="clear" w:color="auto" w:fill="E6E7E8" w:themeFill="accent6"/>
            <w:vAlign w:val="center"/>
          </w:tcPr>
          <w:p w14:paraId="0D2FC0FA" w14:textId="638B57F0" w:rsidR="007235F7" w:rsidRPr="0041749C" w:rsidRDefault="007235F7" w:rsidP="007235F7">
            <w:pPr>
              <w:spacing w:before="40" w:after="40" w:line="276" w:lineRule="auto"/>
              <w:rPr>
                <w:rFonts w:asciiTheme="minorHAnsi" w:hAnsiTheme="minorHAnsi" w:cstheme="minorHAnsi"/>
                <w:b/>
                <w:bCs/>
                <w:color w:val="414042" w:themeColor="text1"/>
                <w:sz w:val="18"/>
                <w:szCs w:val="18"/>
              </w:rPr>
            </w:pPr>
            <w:r w:rsidRPr="0041749C">
              <w:rPr>
                <w:rFonts w:asciiTheme="minorHAnsi" w:hAnsiTheme="minorHAnsi" w:cstheme="minorHAnsi"/>
                <w:b/>
                <w:bCs/>
                <w:color w:val="414042" w:themeColor="text1"/>
                <w:sz w:val="18"/>
                <w:szCs w:val="18"/>
              </w:rPr>
              <w:t>Total complaints assessed</w:t>
            </w:r>
          </w:p>
        </w:tc>
        <w:tc>
          <w:tcPr>
            <w:tcW w:w="715" w:type="pct"/>
            <w:shd w:val="clear" w:color="auto" w:fill="E6E7E8" w:themeFill="accent6"/>
            <w:vAlign w:val="center"/>
          </w:tcPr>
          <w:p w14:paraId="7C0AF53B" w14:textId="1C864154" w:rsidR="007235F7" w:rsidRPr="0041749C" w:rsidRDefault="007235F7" w:rsidP="007235F7">
            <w:pPr>
              <w:spacing w:before="40" w:after="40" w:line="276" w:lineRule="auto"/>
              <w:jc w:val="center"/>
              <w:rPr>
                <w:rFonts w:asciiTheme="minorHAnsi" w:hAnsiTheme="minorHAnsi" w:cstheme="minorHAnsi"/>
                <w:b/>
                <w:color w:val="414042" w:themeColor="text1"/>
                <w:sz w:val="18"/>
                <w:szCs w:val="18"/>
              </w:rPr>
            </w:pPr>
            <w:r w:rsidRPr="0041749C">
              <w:rPr>
                <w:rFonts w:asciiTheme="minorHAnsi" w:hAnsiTheme="minorHAnsi" w:cstheme="minorHAnsi"/>
                <w:b/>
                <w:color w:val="414042" w:themeColor="text1"/>
                <w:sz w:val="18"/>
                <w:szCs w:val="18"/>
              </w:rPr>
              <w:t>5,139</w:t>
            </w:r>
          </w:p>
        </w:tc>
      </w:tr>
    </w:tbl>
    <w:p w14:paraId="1AD40409" w14:textId="77777777" w:rsidR="009201DD" w:rsidRPr="00F9716C" w:rsidRDefault="009201DD" w:rsidP="00B7611D">
      <w:pPr>
        <w:rPr>
          <w:color w:val="414042" w:themeColor="text1"/>
        </w:rPr>
      </w:pPr>
    </w:p>
    <w:p w14:paraId="7F6532F0" w14:textId="03FE06F5" w:rsidR="00B7611D" w:rsidRDefault="00E13A2A" w:rsidP="00B7611D">
      <w:pPr>
        <w:rPr>
          <w:b/>
          <w:bCs/>
          <w:color w:val="414042" w:themeColor="text1"/>
        </w:rPr>
      </w:pPr>
      <w:r>
        <w:rPr>
          <w:noProof/>
        </w:rPr>
        <mc:AlternateContent>
          <mc:Choice Requires="wps">
            <w:drawing>
              <wp:anchor distT="71755" distB="71755" distL="114300" distR="114300" simplePos="0" relativeHeight="252546048" behindDoc="1" locked="0" layoutInCell="1" allowOverlap="1" wp14:anchorId="16AC321A" wp14:editId="57B3CC4D">
                <wp:simplePos x="0" y="0"/>
                <wp:positionH relativeFrom="column">
                  <wp:posOffset>3245485</wp:posOffset>
                </wp:positionH>
                <wp:positionV relativeFrom="paragraph">
                  <wp:posOffset>410210</wp:posOffset>
                </wp:positionV>
                <wp:extent cx="2901600" cy="0"/>
                <wp:effectExtent l="0" t="0" r="0" b="0"/>
                <wp:wrapTight wrapText="bothSides">
                  <wp:wrapPolygon edited="0">
                    <wp:start x="0" y="0"/>
                    <wp:lineTo x="0" y="21600"/>
                    <wp:lineTo x="21600" y="21600"/>
                    <wp:lineTo x="21600" y="0"/>
                  </wp:wrapPolygon>
                </wp:wrapTight>
                <wp:docPr id="1430625587" name="Straight Connector 4"/>
                <wp:cNvGraphicFramePr/>
                <a:graphic xmlns:a="http://schemas.openxmlformats.org/drawingml/2006/main">
                  <a:graphicData uri="http://schemas.microsoft.com/office/word/2010/wordprocessingShape">
                    <wps:wsp>
                      <wps:cNvCnPr/>
                      <wps:spPr>
                        <a:xfrm>
                          <a:off x="0" y="0"/>
                          <a:ext cx="2901600" cy="0"/>
                        </a:xfrm>
                        <a:prstGeom prst="line">
                          <a:avLst/>
                        </a:prstGeom>
                        <a:ln w="76200">
                          <a:no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A11C9C" id="Straight Connector 4" o:spid="_x0000_s1026" style="position:absolute;z-index:-250770432;visibility:visible;mso-wrap-style:square;mso-width-percent:0;mso-wrap-distance-left:9pt;mso-wrap-distance-top:5.65pt;mso-wrap-distance-right:9pt;mso-wrap-distance-bottom:5.65pt;mso-position-horizontal:absolute;mso-position-horizontal-relative:text;mso-position-vertical:absolute;mso-position-vertical-relative:text;mso-width-percent:0;mso-width-relative:margin" from="255.55pt,32.3pt" to="48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" stroked="f" strokeweight="6pt">
                <v:stroke joinstyle="miter"/>
                <w10:wrap type="tight"/>
              </v:line>
            </w:pict>
          </mc:Fallback>
        </mc:AlternateContent>
      </w:r>
    </w:p>
    <w:p w14:paraId="7E9132E6" w14:textId="77777777" w:rsidR="00E13A2A" w:rsidRPr="00F9716C" w:rsidRDefault="00E13A2A" w:rsidP="00B7611D">
      <w:pPr>
        <w:rPr>
          <w:b/>
          <w:bCs/>
          <w:color w:val="414042" w:themeColor="text1"/>
        </w:rPr>
        <w:sectPr w:rsidR="00E13A2A" w:rsidRPr="00F9716C" w:rsidSect="0062643C">
          <w:type w:val="continuous"/>
          <w:pgSz w:w="11906" w:h="16838" w:code="9"/>
          <w:pgMar w:top="2155" w:right="1134" w:bottom="964" w:left="1134" w:header="720" w:footer="284" w:gutter="0"/>
          <w:cols w:space="567"/>
          <w:noEndnote/>
          <w:docGrid w:linePitch="272"/>
        </w:sectPr>
      </w:pPr>
    </w:p>
    <w:p w14:paraId="5798ECB0" w14:textId="723C07A4" w:rsidR="00B7611D" w:rsidRPr="00DD573E" w:rsidRDefault="00B7611D" w:rsidP="00C903A2">
      <w:pPr>
        <w:pStyle w:val="Heading3"/>
      </w:pPr>
      <w:r w:rsidRPr="00DD573E">
        <w:t>Corruption investigations</w:t>
      </w:r>
    </w:p>
    <w:p w14:paraId="1613A16C" w14:textId="77777777" w:rsidR="007235F7" w:rsidRPr="00F9716C" w:rsidRDefault="007235F7" w:rsidP="00975C26">
      <w:pPr>
        <w:pStyle w:val="newBODYTEXT"/>
      </w:pPr>
      <w:bookmarkStart w:id="992" w:name="_Hlk164082371"/>
      <w:r w:rsidRPr="00F9716C">
        <w:t xml:space="preserve">The CCC does not investigate every complaint it receives. The large number of complaints we receive each year means that we cannot investigate them all. In performing its corruption function, the CCC must focus on more serious cases of corrupt conduct and cases of systemic corrupt conduct within an agency. </w:t>
      </w:r>
    </w:p>
    <w:p w14:paraId="40ECAA93" w14:textId="46175410" w:rsidR="00795D67" w:rsidRPr="00F9716C" w:rsidRDefault="007235F7" w:rsidP="00975C26">
      <w:pPr>
        <w:pStyle w:val="newBODYTEXT"/>
      </w:pPr>
      <w:r w:rsidRPr="00F9716C">
        <w:t>When we investigate a matter, we do not determine guilt, nor do we discipline anyone. Only a court can decide if someone is guilty or not guilty of a criminal offence, and only a CEO of a public sector agency, or a tribunal, has the power to impose a disciplinary sanction on a public sector officer.</w:t>
      </w:r>
    </w:p>
    <w:p w14:paraId="0A246123" w14:textId="6B052F18" w:rsidR="007235F7" w:rsidRPr="00F9716C" w:rsidRDefault="007235F7" w:rsidP="001332D3">
      <w:pPr>
        <w:keepNext/>
        <w:spacing w:before="120"/>
        <w:ind w:left="42"/>
        <w:rPr>
          <w:color w:val="414042" w:themeColor="text1"/>
          <w:szCs w:val="20"/>
        </w:rPr>
      </w:pPr>
      <w:r w:rsidRPr="00F9716C">
        <w:rPr>
          <w:color w:val="414042" w:themeColor="text1"/>
          <w:szCs w:val="20"/>
        </w:rPr>
        <w:t xml:space="preserve">Therefore, if we investigate a complaint, we collect and assess the evidence and, if this is considered sufficient, send a report to: </w:t>
      </w:r>
    </w:p>
    <w:p w14:paraId="30AF3855" w14:textId="77777777" w:rsidR="007235F7" w:rsidRPr="001332D3" w:rsidRDefault="007235F7" w:rsidP="001332D3">
      <w:pPr>
        <w:pStyle w:val="Bulletpoints0"/>
      </w:pPr>
      <w:r w:rsidRPr="001332D3">
        <w:t>a prosecuting body to consider any prosecution action warranted, and/or</w:t>
      </w:r>
    </w:p>
    <w:p w14:paraId="6A1C2BFA" w14:textId="4D10ECB2" w:rsidR="007235F7" w:rsidRPr="001332D3" w:rsidRDefault="007235F7" w:rsidP="001332D3">
      <w:pPr>
        <w:pStyle w:val="Bulletpoints0"/>
      </w:pPr>
      <w:r w:rsidRPr="001332D3">
        <w:t>the agency involved so it can consider any disciplinary charges warranted and/or modify its processes to avoid repetition of the problem.</w:t>
      </w:r>
    </w:p>
    <w:p w14:paraId="20BCFEC5" w14:textId="785A4C31" w:rsidR="00B7611D" w:rsidRPr="00F9716C" w:rsidRDefault="00B7611D" w:rsidP="001332D3">
      <w:pPr>
        <w:keepNext/>
        <w:ind w:left="42"/>
        <w:rPr>
          <w:color w:val="414042" w:themeColor="text1"/>
          <w:szCs w:val="20"/>
        </w:rPr>
      </w:pPr>
      <w:r w:rsidRPr="00F9716C">
        <w:rPr>
          <w:color w:val="414042" w:themeColor="text1"/>
          <w:szCs w:val="20"/>
        </w:rPr>
        <w:t xml:space="preserve">As at 30 June 2024, the CCC is conducting </w:t>
      </w:r>
      <w:r w:rsidR="007235F7" w:rsidRPr="00F9716C">
        <w:rPr>
          <w:color w:val="414042" w:themeColor="text1"/>
          <w:szCs w:val="20"/>
        </w:rPr>
        <w:t>29</w:t>
      </w:r>
      <w:r w:rsidRPr="00F9716C">
        <w:rPr>
          <w:color w:val="414042" w:themeColor="text1"/>
          <w:szCs w:val="20"/>
        </w:rPr>
        <w:t xml:space="preserve"> corruption investigations</w:t>
      </w:r>
      <w:bookmarkEnd w:id="992"/>
      <w:r w:rsidRPr="00F9716C">
        <w:rPr>
          <w:color w:val="414042" w:themeColor="text1"/>
          <w:szCs w:val="20"/>
        </w:rPr>
        <w:t xml:space="preserve">. </w:t>
      </w:r>
    </w:p>
    <w:p w14:paraId="58E25AEF" w14:textId="799B8581" w:rsidR="000127CB" w:rsidRPr="00F9716C" w:rsidRDefault="000127CB" w:rsidP="00991051">
      <w:pPr>
        <w:spacing w:after="320"/>
        <w:ind w:left="56"/>
        <w:rPr>
          <w:color w:val="414042" w:themeColor="text1"/>
          <w:szCs w:val="20"/>
        </w:rPr>
      </w:pPr>
      <w:r w:rsidRPr="00F9716C">
        <w:rPr>
          <w:color w:val="414042" w:themeColor="text1"/>
          <w:szCs w:val="20"/>
        </w:rPr>
        <w:br w:type="column"/>
      </w:r>
    </w:p>
    <w:p w14:paraId="0D869573" w14:textId="4E6CBD44" w:rsidR="00B7611D" w:rsidRPr="00F9716C" w:rsidRDefault="00B7611D" w:rsidP="00B756EE">
      <w:pPr>
        <w:ind w:left="56"/>
        <w:rPr>
          <w:color w:val="414042" w:themeColor="text1"/>
          <w:szCs w:val="20"/>
        </w:rPr>
      </w:pPr>
      <w:r w:rsidRPr="00F9716C">
        <w:rPr>
          <w:color w:val="414042" w:themeColor="text1"/>
          <w:szCs w:val="20"/>
        </w:rPr>
        <w:t>In 2023</w:t>
      </w:r>
      <w:r w:rsidR="00DC27CB" w:rsidRPr="00F9716C">
        <w:rPr>
          <w:color w:val="414042" w:themeColor="text1"/>
          <w:szCs w:val="20"/>
        </w:rPr>
        <w:t>–</w:t>
      </w:r>
      <w:r w:rsidRPr="00F9716C">
        <w:rPr>
          <w:color w:val="414042" w:themeColor="text1"/>
          <w:szCs w:val="20"/>
        </w:rPr>
        <w:t xml:space="preserve">24, the CCC finalised </w:t>
      </w:r>
      <w:r w:rsidR="007235F7" w:rsidRPr="00F9716C">
        <w:rPr>
          <w:color w:val="414042" w:themeColor="text1"/>
          <w:szCs w:val="20"/>
        </w:rPr>
        <w:t>46</w:t>
      </w:r>
      <w:r w:rsidRPr="00F9716C">
        <w:rPr>
          <w:color w:val="414042" w:themeColor="text1"/>
          <w:szCs w:val="20"/>
        </w:rPr>
        <w:t xml:space="preserve"> investigations. </w:t>
      </w:r>
      <w:r w:rsidR="00975C26">
        <w:rPr>
          <w:color w:val="414042" w:themeColor="text1"/>
          <w:szCs w:val="20"/>
        </w:rPr>
        <w:br/>
      </w:r>
      <w:r w:rsidRPr="00F9716C">
        <w:rPr>
          <w:color w:val="414042" w:themeColor="text1"/>
          <w:szCs w:val="20"/>
        </w:rPr>
        <w:t>In summary:</w:t>
      </w:r>
    </w:p>
    <w:p w14:paraId="7F2013FF" w14:textId="77777777" w:rsidR="00B7611D" w:rsidRPr="00F9716C" w:rsidRDefault="00B7611D" w:rsidP="006900F6">
      <w:pPr>
        <w:pStyle w:val="Bulletpoints0"/>
      </w:pPr>
      <w:r w:rsidRPr="00F9716C">
        <w:t>One joint QPS and CCC investigation has been finalised, as the QPS no longer required the CCC’s assistance.</w:t>
      </w:r>
    </w:p>
    <w:p w14:paraId="0CAC18D3" w14:textId="77777777" w:rsidR="00B7611D" w:rsidRPr="00F9716C" w:rsidRDefault="00B7611D" w:rsidP="006900F6">
      <w:pPr>
        <w:pStyle w:val="Bulletpoints0"/>
      </w:pPr>
      <w:r w:rsidRPr="00F9716C">
        <w:t>Seven investigations found the allegations were not substantiated in relation to allegations of a misuse of authority and improper influence. These investigations concerned alleged conduct involving several officers in one UPA.</w:t>
      </w:r>
    </w:p>
    <w:p w14:paraId="4140FB71" w14:textId="0F605F8A" w:rsidR="00B7611D" w:rsidRPr="00F9716C" w:rsidRDefault="00B7611D" w:rsidP="006900F6">
      <w:pPr>
        <w:pStyle w:val="Bulletpoints0"/>
      </w:pPr>
      <w:r w:rsidRPr="00F9716C">
        <w:t xml:space="preserve">One investigation resulted in a brief of evidence relating to multiple computer hacking offences being referred to the </w:t>
      </w:r>
      <w:r w:rsidR="00465748" w:rsidRPr="00F9716C">
        <w:t>ODPP</w:t>
      </w:r>
      <w:r w:rsidRPr="00F9716C">
        <w:t xml:space="preserve"> for advice as to the suitability of a criminal prosecution.</w:t>
      </w:r>
    </w:p>
    <w:p w14:paraId="74FAFF01" w14:textId="77777777" w:rsidR="00B7611D" w:rsidRPr="00F9716C" w:rsidRDefault="00B7611D" w:rsidP="006900F6">
      <w:pPr>
        <w:pStyle w:val="Bulletpoints0"/>
      </w:pPr>
      <w:r w:rsidRPr="00F9716C">
        <w:t>One investigation resulted in allegations being referred to the QPS for consideration of disciplinary action.</w:t>
      </w:r>
    </w:p>
    <w:p w14:paraId="16F9A86D" w14:textId="77777777" w:rsidR="00975C26" w:rsidRDefault="00B7611D" w:rsidP="00975C26">
      <w:pPr>
        <w:pStyle w:val="Bulletpoints0"/>
      </w:pPr>
      <w:r w:rsidRPr="00F9716C">
        <w:t>One investigation found the allegations could not be proven to amount to criminal offences in relation to misappropriation, misuse of resources and failure of duty. However, disciplinary action was taken against the officer by the UPA.</w:t>
      </w:r>
      <w:r w:rsidR="00975C26" w:rsidRPr="00975C26">
        <w:t xml:space="preserve"> </w:t>
      </w:r>
    </w:p>
    <w:p w14:paraId="01866D75" w14:textId="59C48AEB" w:rsidR="00262465" w:rsidRDefault="00975C26" w:rsidP="00262465">
      <w:pPr>
        <w:pStyle w:val="Bulletpoints0"/>
        <w:spacing w:before="80"/>
        <w:ind w:right="142"/>
      </w:pPr>
      <w:r w:rsidRPr="00F9716C">
        <w:t>One investigation resulted in a brief of evidence relating to misuse of information being referred to the ODPP for advice as to the suitability of a criminal prosecution, and the subject officer has been charged.</w:t>
      </w:r>
      <w:r w:rsidR="00C7285B">
        <w:br/>
      </w:r>
      <w:r w:rsidR="00C7285B">
        <w:br/>
      </w:r>
      <w:r w:rsidR="00C7285B">
        <w:br/>
      </w:r>
      <w:r w:rsidR="00C7285B">
        <w:br/>
      </w:r>
      <w:r w:rsidR="00C7285B">
        <w:br/>
      </w:r>
      <w:r w:rsidR="00C7285B">
        <w:br/>
      </w:r>
      <w:r>
        <w:br w:type="column"/>
      </w:r>
      <w:r w:rsidR="00262465">
        <w:br/>
      </w:r>
      <w:r w:rsidR="00262465">
        <w:br/>
      </w:r>
      <w:r w:rsidR="00262465">
        <w:br/>
      </w:r>
    </w:p>
    <w:p w14:paraId="3294DC34" w14:textId="30C7F172" w:rsidR="00975C26" w:rsidRDefault="00975C26" w:rsidP="00262465">
      <w:pPr>
        <w:pStyle w:val="Bulletpoints0"/>
        <w:spacing w:before="80"/>
        <w:ind w:right="142"/>
      </w:pPr>
      <w:r w:rsidRPr="00F9716C">
        <w:t>Twelve investigations were finalised in relation to allegations of misuse of office/authority, failure of duty, interfering or undermining an investigation, misappropriation of resources and misuse of information. The investigations did not substantiate any allegations of corrupt conduct, however the relevant agencies have been provided with information to support their ongoing management of risks in relation to recruitment, procurement, gifts and benefits and information management.</w:t>
      </w:r>
      <w:r w:rsidRPr="00975C26">
        <w:t xml:space="preserve"> </w:t>
      </w:r>
    </w:p>
    <w:p w14:paraId="78E10D7F" w14:textId="77777777" w:rsidR="00975C26" w:rsidRDefault="00975C26" w:rsidP="00975C26">
      <w:pPr>
        <w:pStyle w:val="Bulletpoints0"/>
      </w:pPr>
      <w:r w:rsidRPr="00F9716C">
        <w:t>Twenty-one investigations were finalised in relation to allegations of misuse of office/authority, misuse of information and fraud. The majority of the complaints were referred to the agency subject to monitoring, two were referred to the Office of the Independent Assessor and three were referred to the agency with no outcome required.</w:t>
      </w:r>
      <w:r w:rsidRPr="00975C26">
        <w:t xml:space="preserve"> </w:t>
      </w:r>
    </w:p>
    <w:p w14:paraId="14FA1CDF" w14:textId="6644CFB4" w:rsidR="00975C26" w:rsidRPr="00102CE4" w:rsidRDefault="00975C26" w:rsidP="00975C26">
      <w:pPr>
        <w:pStyle w:val="Bulletpoints0"/>
      </w:pPr>
      <w:r w:rsidRPr="00F9716C">
        <w:t>One investigation was finalised in relation to allegations of interfering with or undermining an investigation, legal process or conduct matter. This matter was referred to the agency subject to monitoring.</w:t>
      </w:r>
    </w:p>
    <w:p w14:paraId="2394F496" w14:textId="79F5F509" w:rsidR="000127CB" w:rsidRPr="00F9716C" w:rsidRDefault="000127CB" w:rsidP="009275C0">
      <w:pPr>
        <w:pStyle w:val="Bulletpoints0"/>
        <w:sectPr w:rsidR="000127CB" w:rsidRPr="00F9716C" w:rsidSect="00B7611D">
          <w:headerReference w:type="even" r:id="rId193"/>
          <w:type w:val="continuous"/>
          <w:pgSz w:w="11906" w:h="16838" w:code="9"/>
          <w:pgMar w:top="2155" w:right="1134" w:bottom="964" w:left="1134" w:header="720" w:footer="284" w:gutter="0"/>
          <w:cols w:num="2" w:space="567"/>
          <w:noEndnote/>
          <w:docGrid w:linePitch="272"/>
        </w:sectPr>
      </w:pPr>
    </w:p>
    <w:p w14:paraId="6B6A2EE1" w14:textId="71405993" w:rsidR="000127CB" w:rsidRPr="00F9716C" w:rsidRDefault="000127CB" w:rsidP="00C7285B">
      <w:pPr>
        <w:pStyle w:val="Bulletpoints0"/>
        <w:numPr>
          <w:ilvl w:val="0"/>
          <w:numId w:val="0"/>
        </w:numPr>
        <w:rPr>
          <w:rFonts w:eastAsia="Times New Roman"/>
          <w:szCs w:val="20"/>
        </w:rPr>
      </w:pPr>
    </w:p>
    <w:p w14:paraId="39F60779" w14:textId="43918FF9" w:rsidR="00B7611D" w:rsidRPr="00F9716C" w:rsidRDefault="00B7611D" w:rsidP="00E41B49">
      <w:pPr>
        <w:pStyle w:val="Figuretableheading0"/>
      </w:pPr>
      <w:r w:rsidRPr="00F9716C">
        <w:t xml:space="preserve">Table </w:t>
      </w:r>
      <w:r w:rsidR="00167332" w:rsidRPr="00F9716C">
        <w:t>3</w:t>
      </w:r>
      <w:r w:rsidRPr="00F9716C">
        <w:t>: Summary – CCC corruption investigations</w:t>
      </w:r>
    </w:p>
    <w:tbl>
      <w:tblPr>
        <w:tblStyle w:val="TableGrid6"/>
        <w:tblW w:w="5004" w:type="pct"/>
        <w:tblInd w:w="0" w:type="dxa"/>
        <w:tblLook w:val="04A0" w:firstRow="1" w:lastRow="0" w:firstColumn="1" w:lastColumn="0" w:noHBand="0" w:noVBand="1"/>
      </w:tblPr>
      <w:tblGrid>
        <w:gridCol w:w="8258"/>
        <w:gridCol w:w="1378"/>
      </w:tblGrid>
      <w:tr w:rsidR="00F9716C" w:rsidRPr="0041749C" w14:paraId="142761F8" w14:textId="77777777" w:rsidTr="00DE44C1">
        <w:trPr>
          <w:trHeight w:val="269"/>
        </w:trPr>
        <w:tc>
          <w:tcPr>
            <w:tcW w:w="4285" w:type="pct"/>
            <w:shd w:val="clear" w:color="auto" w:fill="414042" w:themeFill="text1"/>
            <w:vAlign w:val="center"/>
          </w:tcPr>
          <w:p w14:paraId="2E89836D" w14:textId="77777777" w:rsidR="00B7611D" w:rsidRPr="0041749C" w:rsidRDefault="00B7611D" w:rsidP="009A4D54">
            <w:pPr>
              <w:spacing w:before="40" w:after="40" w:line="276" w:lineRule="auto"/>
              <w:rPr>
                <w:rFonts w:asciiTheme="minorHAnsi" w:hAnsiTheme="minorHAnsi" w:cstheme="minorHAnsi"/>
                <w:color w:val="FFFFFF" w:themeColor="background1"/>
                <w:sz w:val="18"/>
                <w:szCs w:val="18"/>
              </w:rPr>
            </w:pPr>
            <w:r w:rsidRPr="0041749C">
              <w:rPr>
                <w:rFonts w:asciiTheme="minorHAnsi" w:hAnsiTheme="minorHAnsi" w:cstheme="minorHAnsi"/>
                <w:b/>
                <w:bCs/>
                <w:color w:val="FFFFFF" w:themeColor="background1"/>
                <w:sz w:val="18"/>
                <w:szCs w:val="18"/>
              </w:rPr>
              <w:t>Description</w:t>
            </w:r>
            <w:r w:rsidRPr="0041749C">
              <w:rPr>
                <w:rFonts w:asciiTheme="minorHAnsi" w:hAnsiTheme="minorHAnsi" w:cstheme="minorHAnsi"/>
                <w:b/>
                <w:color w:val="FFFFFF" w:themeColor="background1"/>
                <w:sz w:val="18"/>
                <w:szCs w:val="18"/>
              </w:rPr>
              <w:t xml:space="preserve"> </w:t>
            </w:r>
          </w:p>
        </w:tc>
        <w:tc>
          <w:tcPr>
            <w:tcW w:w="715" w:type="pct"/>
            <w:shd w:val="clear" w:color="auto" w:fill="414042" w:themeFill="text1"/>
            <w:vAlign w:val="center"/>
          </w:tcPr>
          <w:p w14:paraId="6C83B799" w14:textId="77777777" w:rsidR="00B7611D" w:rsidRPr="0041749C" w:rsidRDefault="00B7611D" w:rsidP="009A4D54">
            <w:pPr>
              <w:spacing w:before="40" w:after="40" w:line="276" w:lineRule="auto"/>
              <w:jc w:val="center"/>
              <w:rPr>
                <w:rFonts w:asciiTheme="minorHAnsi" w:hAnsiTheme="minorHAnsi" w:cstheme="minorHAnsi"/>
                <w:b/>
                <w:bCs/>
                <w:color w:val="FFFFFF" w:themeColor="background1"/>
                <w:sz w:val="18"/>
                <w:szCs w:val="18"/>
              </w:rPr>
            </w:pPr>
            <w:r w:rsidRPr="0041749C">
              <w:rPr>
                <w:rFonts w:asciiTheme="minorHAnsi" w:hAnsiTheme="minorHAnsi" w:cstheme="minorHAnsi"/>
                <w:b/>
                <w:bCs/>
                <w:color w:val="FFFFFF" w:themeColor="background1"/>
                <w:sz w:val="18"/>
                <w:szCs w:val="18"/>
              </w:rPr>
              <w:t>Number</w:t>
            </w:r>
          </w:p>
        </w:tc>
      </w:tr>
      <w:tr w:rsidR="00F9716C" w:rsidRPr="0041749C" w14:paraId="2259CD14" w14:textId="77777777" w:rsidTr="00DE44C1">
        <w:tc>
          <w:tcPr>
            <w:tcW w:w="4285" w:type="pct"/>
            <w:shd w:val="clear" w:color="auto" w:fill="E6E7E8" w:themeFill="accent6"/>
            <w:vAlign w:val="center"/>
          </w:tcPr>
          <w:p w14:paraId="45E62476" w14:textId="77777777" w:rsidR="00FB2C85" w:rsidRPr="0041749C" w:rsidRDefault="00FB2C85" w:rsidP="00FB2C85">
            <w:pPr>
              <w:spacing w:before="40" w:after="40" w:line="276" w:lineRule="auto"/>
              <w:rPr>
                <w:rFonts w:cs="Calibri Light"/>
                <w:color w:val="414042" w:themeColor="text1"/>
                <w:sz w:val="18"/>
                <w:szCs w:val="18"/>
              </w:rPr>
            </w:pPr>
            <w:r w:rsidRPr="0041749C">
              <w:rPr>
                <w:rFonts w:cs="Calibri Light"/>
                <w:color w:val="414042" w:themeColor="text1"/>
                <w:sz w:val="18"/>
                <w:szCs w:val="18"/>
              </w:rPr>
              <w:t>Total number of investigations commenced</w:t>
            </w:r>
          </w:p>
        </w:tc>
        <w:tc>
          <w:tcPr>
            <w:tcW w:w="715" w:type="pct"/>
            <w:shd w:val="clear" w:color="auto" w:fill="E6E7E8" w:themeFill="accent6"/>
            <w:vAlign w:val="center"/>
          </w:tcPr>
          <w:p w14:paraId="291193A4" w14:textId="0EEC0D20" w:rsidR="00FB2C85" w:rsidRPr="0041749C" w:rsidRDefault="00FB2C85" w:rsidP="00FB2C85">
            <w:pPr>
              <w:spacing w:before="40" w:after="40"/>
              <w:jc w:val="center"/>
              <w:rPr>
                <w:rFonts w:cs="Calibri Light"/>
                <w:color w:val="414042" w:themeColor="text1"/>
                <w:sz w:val="18"/>
                <w:szCs w:val="18"/>
              </w:rPr>
            </w:pPr>
            <w:r w:rsidRPr="0041749C">
              <w:rPr>
                <w:rFonts w:cs="Calibri Light"/>
                <w:color w:val="414042" w:themeColor="text1"/>
                <w:sz w:val="18"/>
                <w:szCs w:val="18"/>
              </w:rPr>
              <w:t>43</w:t>
            </w:r>
          </w:p>
        </w:tc>
      </w:tr>
      <w:tr w:rsidR="00F9716C" w:rsidRPr="0041749C" w14:paraId="04DC45D3" w14:textId="77777777" w:rsidTr="00C7285B">
        <w:tc>
          <w:tcPr>
            <w:tcW w:w="4285" w:type="pct"/>
            <w:shd w:val="clear" w:color="auto" w:fill="FFFFFF" w:themeFill="background1"/>
            <w:vAlign w:val="center"/>
          </w:tcPr>
          <w:p w14:paraId="6A1D2B37" w14:textId="77777777" w:rsidR="00FB2C85" w:rsidRPr="0041749C" w:rsidRDefault="00FB2C85" w:rsidP="00FB2C85">
            <w:pPr>
              <w:spacing w:before="40" w:after="40" w:line="276" w:lineRule="auto"/>
              <w:rPr>
                <w:rFonts w:cs="Calibri Light"/>
                <w:color w:val="414042" w:themeColor="text1"/>
                <w:sz w:val="18"/>
                <w:szCs w:val="18"/>
              </w:rPr>
            </w:pPr>
            <w:r w:rsidRPr="0041749C">
              <w:rPr>
                <w:rFonts w:cs="Calibri Light"/>
                <w:color w:val="414042" w:themeColor="text1"/>
                <w:sz w:val="18"/>
                <w:szCs w:val="18"/>
              </w:rPr>
              <w:t>Total number of Investigations finalised</w:t>
            </w:r>
          </w:p>
        </w:tc>
        <w:tc>
          <w:tcPr>
            <w:tcW w:w="715" w:type="pct"/>
            <w:shd w:val="clear" w:color="auto" w:fill="FFFFFF" w:themeFill="background1"/>
            <w:vAlign w:val="center"/>
          </w:tcPr>
          <w:p w14:paraId="7C0FCA99" w14:textId="3C8AC8B5" w:rsidR="00FB2C85" w:rsidRPr="0041749C" w:rsidRDefault="00FB2C85" w:rsidP="00FB2C85">
            <w:pPr>
              <w:spacing w:before="40" w:after="40"/>
              <w:jc w:val="center"/>
              <w:rPr>
                <w:rFonts w:cs="Calibri Light"/>
                <w:color w:val="414042" w:themeColor="text1"/>
                <w:sz w:val="18"/>
                <w:szCs w:val="18"/>
              </w:rPr>
            </w:pPr>
            <w:r w:rsidRPr="0041749C">
              <w:rPr>
                <w:rFonts w:cs="Calibri Light"/>
                <w:color w:val="414042" w:themeColor="text1"/>
                <w:sz w:val="18"/>
                <w:szCs w:val="18"/>
              </w:rPr>
              <w:t>46</w:t>
            </w:r>
          </w:p>
        </w:tc>
      </w:tr>
      <w:tr w:rsidR="00F9716C" w:rsidRPr="0041749C" w14:paraId="6161FB56" w14:textId="77777777" w:rsidTr="00DE44C1">
        <w:tc>
          <w:tcPr>
            <w:tcW w:w="4285" w:type="pct"/>
            <w:shd w:val="clear" w:color="auto" w:fill="E6E7E8" w:themeFill="accent6"/>
            <w:vAlign w:val="center"/>
          </w:tcPr>
          <w:p w14:paraId="116F550B" w14:textId="77777777" w:rsidR="00FB2C85" w:rsidRPr="0041749C" w:rsidRDefault="00FB2C85" w:rsidP="00FB2C85">
            <w:pPr>
              <w:spacing w:before="40" w:after="40" w:line="276" w:lineRule="auto"/>
              <w:rPr>
                <w:rFonts w:cs="Calibri Light"/>
                <w:color w:val="414042" w:themeColor="text1"/>
                <w:sz w:val="18"/>
                <w:szCs w:val="18"/>
              </w:rPr>
            </w:pPr>
            <w:r w:rsidRPr="0041749C">
              <w:rPr>
                <w:rFonts w:cs="Calibri Light"/>
                <w:color w:val="414042" w:themeColor="text1"/>
                <w:sz w:val="18"/>
                <w:szCs w:val="18"/>
              </w:rPr>
              <w:t>People charged</w:t>
            </w:r>
          </w:p>
        </w:tc>
        <w:tc>
          <w:tcPr>
            <w:tcW w:w="715" w:type="pct"/>
            <w:shd w:val="clear" w:color="auto" w:fill="E6E7E8" w:themeFill="accent6"/>
            <w:vAlign w:val="center"/>
          </w:tcPr>
          <w:p w14:paraId="771E52F8" w14:textId="1EB9B055" w:rsidR="00FB2C85" w:rsidRPr="0041749C" w:rsidRDefault="00FB2C85" w:rsidP="00FB2C85">
            <w:pPr>
              <w:spacing w:before="40" w:after="40"/>
              <w:jc w:val="center"/>
              <w:rPr>
                <w:rFonts w:cs="Calibri Light"/>
                <w:color w:val="414042" w:themeColor="text1"/>
                <w:sz w:val="18"/>
                <w:szCs w:val="18"/>
              </w:rPr>
            </w:pPr>
            <w:r w:rsidRPr="0041749C">
              <w:rPr>
                <w:rFonts w:cs="Calibri Light"/>
                <w:color w:val="414042" w:themeColor="text1"/>
                <w:sz w:val="18"/>
                <w:szCs w:val="18"/>
              </w:rPr>
              <w:t>1</w:t>
            </w:r>
          </w:p>
        </w:tc>
      </w:tr>
      <w:tr w:rsidR="00F9716C" w:rsidRPr="0041749C" w14:paraId="52E23E09" w14:textId="77777777" w:rsidTr="00C7285B">
        <w:tc>
          <w:tcPr>
            <w:tcW w:w="4285" w:type="pct"/>
            <w:tcBorders>
              <w:bottom w:val="single" w:sz="4" w:space="0" w:color="auto"/>
            </w:tcBorders>
            <w:shd w:val="clear" w:color="auto" w:fill="FFFFFF" w:themeFill="background1"/>
            <w:vAlign w:val="center"/>
          </w:tcPr>
          <w:p w14:paraId="06F40D34" w14:textId="77777777" w:rsidR="00FB2C85" w:rsidRPr="0041749C" w:rsidRDefault="00FB2C85" w:rsidP="00FB2C85">
            <w:pPr>
              <w:spacing w:before="40" w:after="40" w:line="276" w:lineRule="auto"/>
              <w:rPr>
                <w:rFonts w:cs="Calibri Light"/>
                <w:color w:val="414042" w:themeColor="text1"/>
                <w:sz w:val="18"/>
                <w:szCs w:val="18"/>
              </w:rPr>
            </w:pPr>
            <w:r w:rsidRPr="0041749C">
              <w:rPr>
                <w:rFonts w:cs="Calibri Light"/>
                <w:color w:val="414042" w:themeColor="text1"/>
                <w:sz w:val="18"/>
                <w:szCs w:val="18"/>
              </w:rPr>
              <w:t>Charges laid</w:t>
            </w:r>
          </w:p>
        </w:tc>
        <w:tc>
          <w:tcPr>
            <w:tcW w:w="715" w:type="pct"/>
            <w:tcBorders>
              <w:bottom w:val="single" w:sz="4" w:space="0" w:color="auto"/>
            </w:tcBorders>
            <w:shd w:val="clear" w:color="auto" w:fill="FFFFFF" w:themeFill="background1"/>
            <w:vAlign w:val="center"/>
          </w:tcPr>
          <w:p w14:paraId="5BAB3A23" w14:textId="42D29C4A" w:rsidR="00FB2C85" w:rsidRPr="0041749C" w:rsidRDefault="00FB2C85" w:rsidP="00FB2C85">
            <w:pPr>
              <w:spacing w:before="40" w:after="40"/>
              <w:jc w:val="center"/>
              <w:rPr>
                <w:rFonts w:cs="Calibri Light"/>
                <w:color w:val="414042" w:themeColor="text1"/>
                <w:sz w:val="18"/>
                <w:szCs w:val="18"/>
              </w:rPr>
            </w:pPr>
            <w:r w:rsidRPr="0041749C">
              <w:rPr>
                <w:rFonts w:cs="Calibri Light"/>
                <w:color w:val="414042" w:themeColor="text1"/>
                <w:sz w:val="18"/>
                <w:szCs w:val="18"/>
              </w:rPr>
              <w:t>9</w:t>
            </w:r>
          </w:p>
        </w:tc>
      </w:tr>
      <w:tr w:rsidR="00F9716C" w:rsidRPr="0041749C" w14:paraId="3A627518" w14:textId="77777777" w:rsidTr="00DE44C1">
        <w:tc>
          <w:tcPr>
            <w:tcW w:w="4285" w:type="pct"/>
            <w:tcBorders>
              <w:bottom w:val="nil"/>
            </w:tcBorders>
            <w:shd w:val="clear" w:color="auto" w:fill="E6E7E8" w:themeFill="accent6"/>
            <w:vAlign w:val="center"/>
          </w:tcPr>
          <w:p w14:paraId="4C72B9A2" w14:textId="77777777" w:rsidR="00FB2C85" w:rsidRPr="0041749C" w:rsidRDefault="00FB2C85" w:rsidP="00FB2C85">
            <w:pPr>
              <w:spacing w:before="40" w:after="40" w:line="276" w:lineRule="auto"/>
              <w:rPr>
                <w:rFonts w:cs="Calibri Light"/>
                <w:color w:val="414042" w:themeColor="text1"/>
                <w:sz w:val="18"/>
                <w:szCs w:val="18"/>
              </w:rPr>
            </w:pPr>
            <w:r w:rsidRPr="0041749C">
              <w:rPr>
                <w:rFonts w:cs="Calibri Light"/>
                <w:color w:val="414042" w:themeColor="text1"/>
                <w:sz w:val="18"/>
                <w:szCs w:val="18"/>
              </w:rPr>
              <w:t>Recommendations for disciplinary action</w:t>
            </w:r>
          </w:p>
        </w:tc>
        <w:tc>
          <w:tcPr>
            <w:tcW w:w="715" w:type="pct"/>
            <w:tcBorders>
              <w:bottom w:val="nil"/>
            </w:tcBorders>
            <w:shd w:val="clear" w:color="auto" w:fill="E6E7E8" w:themeFill="accent6"/>
            <w:vAlign w:val="center"/>
          </w:tcPr>
          <w:p w14:paraId="684857F0" w14:textId="57346BB3" w:rsidR="00FB2C85" w:rsidRPr="0041749C" w:rsidRDefault="00FB2C85" w:rsidP="00FB2C85">
            <w:pPr>
              <w:spacing w:before="40" w:after="40"/>
              <w:jc w:val="center"/>
              <w:rPr>
                <w:rFonts w:cs="Calibri Light"/>
                <w:color w:val="414042" w:themeColor="text1"/>
                <w:sz w:val="18"/>
                <w:szCs w:val="18"/>
              </w:rPr>
            </w:pPr>
            <w:r w:rsidRPr="0041749C">
              <w:rPr>
                <w:rFonts w:cs="Calibri Light"/>
                <w:color w:val="414042" w:themeColor="text1"/>
                <w:sz w:val="18"/>
                <w:szCs w:val="18"/>
              </w:rPr>
              <w:t>2</w:t>
            </w:r>
          </w:p>
        </w:tc>
      </w:tr>
      <w:tr w:rsidR="00F9716C" w:rsidRPr="0041749C" w14:paraId="4B55B86C" w14:textId="77777777" w:rsidTr="00DE44C1">
        <w:tc>
          <w:tcPr>
            <w:tcW w:w="4285" w:type="pct"/>
            <w:tcBorders>
              <w:top w:val="nil"/>
            </w:tcBorders>
            <w:shd w:val="clear" w:color="auto" w:fill="E6E7E8" w:themeFill="accent6"/>
            <w:vAlign w:val="center"/>
          </w:tcPr>
          <w:p w14:paraId="6E32EA90" w14:textId="77777777" w:rsidR="00FB2C85" w:rsidRPr="0041749C" w:rsidRDefault="00FB2C85" w:rsidP="00102CE4">
            <w:pPr>
              <w:spacing w:before="40" w:after="40" w:line="276" w:lineRule="auto"/>
              <w:ind w:firstLine="174"/>
              <w:rPr>
                <w:rFonts w:cs="Calibri Light"/>
                <w:color w:val="414042" w:themeColor="text1"/>
                <w:sz w:val="18"/>
                <w:szCs w:val="18"/>
              </w:rPr>
            </w:pPr>
            <w:r w:rsidRPr="0041749C">
              <w:rPr>
                <w:rFonts w:cs="Calibri Light"/>
                <w:color w:val="414042" w:themeColor="text1"/>
                <w:sz w:val="18"/>
                <w:szCs w:val="18"/>
              </w:rPr>
              <w:t>No. of people</w:t>
            </w:r>
          </w:p>
        </w:tc>
        <w:tc>
          <w:tcPr>
            <w:tcW w:w="715" w:type="pct"/>
            <w:tcBorders>
              <w:top w:val="nil"/>
            </w:tcBorders>
            <w:shd w:val="clear" w:color="auto" w:fill="E6E7E8" w:themeFill="accent6"/>
            <w:vAlign w:val="center"/>
          </w:tcPr>
          <w:p w14:paraId="325D9624" w14:textId="5DE76291" w:rsidR="00FB2C85" w:rsidRPr="0041749C" w:rsidRDefault="00FB2C85" w:rsidP="00FB2C85">
            <w:pPr>
              <w:spacing w:before="40" w:after="40"/>
              <w:jc w:val="center"/>
              <w:rPr>
                <w:rFonts w:cs="Calibri Light"/>
                <w:color w:val="414042" w:themeColor="text1"/>
                <w:sz w:val="18"/>
                <w:szCs w:val="18"/>
              </w:rPr>
            </w:pPr>
            <w:r w:rsidRPr="0041749C">
              <w:rPr>
                <w:rFonts w:cs="Calibri Light"/>
                <w:color w:val="414042" w:themeColor="text1"/>
                <w:sz w:val="18"/>
                <w:szCs w:val="18"/>
              </w:rPr>
              <w:t>1</w:t>
            </w:r>
          </w:p>
        </w:tc>
      </w:tr>
      <w:tr w:rsidR="00F9716C" w:rsidRPr="0041749C" w14:paraId="3E3FB806" w14:textId="77777777" w:rsidTr="00C7285B">
        <w:tc>
          <w:tcPr>
            <w:tcW w:w="4285" w:type="pct"/>
            <w:shd w:val="clear" w:color="auto" w:fill="FFFFFF" w:themeFill="background1"/>
            <w:vAlign w:val="center"/>
          </w:tcPr>
          <w:p w14:paraId="3290DCCE" w14:textId="77777777" w:rsidR="00FB2C85" w:rsidRPr="0041749C" w:rsidRDefault="00FB2C85" w:rsidP="00FB2C85">
            <w:pPr>
              <w:spacing w:before="40" w:after="40" w:line="276" w:lineRule="auto"/>
              <w:rPr>
                <w:rFonts w:cs="Calibri Light"/>
                <w:color w:val="414042" w:themeColor="text1"/>
                <w:sz w:val="18"/>
                <w:szCs w:val="18"/>
              </w:rPr>
            </w:pPr>
            <w:r w:rsidRPr="0041749C">
              <w:rPr>
                <w:rFonts w:cs="Calibri Light"/>
                <w:color w:val="414042" w:themeColor="text1"/>
                <w:sz w:val="18"/>
                <w:szCs w:val="18"/>
              </w:rPr>
              <w:t>Prevention recommendations</w:t>
            </w:r>
          </w:p>
        </w:tc>
        <w:tc>
          <w:tcPr>
            <w:tcW w:w="715" w:type="pct"/>
            <w:shd w:val="clear" w:color="auto" w:fill="FFFFFF" w:themeFill="background1"/>
            <w:vAlign w:val="center"/>
          </w:tcPr>
          <w:p w14:paraId="7A738EF1" w14:textId="470CD456" w:rsidR="00FB2C85" w:rsidRPr="0041749C" w:rsidRDefault="00FB2C85" w:rsidP="00FB2C85">
            <w:pPr>
              <w:spacing w:before="40" w:after="40"/>
              <w:jc w:val="center"/>
              <w:rPr>
                <w:rFonts w:cs="Calibri Light"/>
                <w:color w:val="414042" w:themeColor="text1"/>
                <w:sz w:val="18"/>
                <w:szCs w:val="18"/>
              </w:rPr>
            </w:pPr>
            <w:r w:rsidRPr="0041749C">
              <w:rPr>
                <w:rFonts w:cs="Calibri Light"/>
                <w:color w:val="414042" w:themeColor="text1"/>
                <w:sz w:val="18"/>
                <w:szCs w:val="18"/>
              </w:rPr>
              <w:t>47</w:t>
            </w:r>
          </w:p>
        </w:tc>
      </w:tr>
    </w:tbl>
    <w:p w14:paraId="46C5897C" w14:textId="70843E85" w:rsidR="00101E90" w:rsidRPr="00F9716C" w:rsidRDefault="00101E90" w:rsidP="00B7611D">
      <w:pPr>
        <w:rPr>
          <w:color w:val="414042" w:themeColor="text1"/>
        </w:rPr>
        <w:sectPr w:rsidR="00101E90" w:rsidRPr="00F9716C" w:rsidSect="0062643C">
          <w:type w:val="continuous"/>
          <w:pgSz w:w="11906" w:h="16838" w:code="9"/>
          <w:pgMar w:top="2155" w:right="1134" w:bottom="964" w:left="1134" w:header="720" w:footer="284" w:gutter="0"/>
          <w:cols w:space="567"/>
          <w:noEndnote/>
          <w:docGrid w:linePitch="272"/>
        </w:sectPr>
      </w:pPr>
    </w:p>
    <w:p w14:paraId="78912FDE" w14:textId="324D73EE" w:rsidR="00101E90" w:rsidRPr="00F9716C" w:rsidRDefault="00C7285B" w:rsidP="00D8781B">
      <w:pPr>
        <w:pStyle w:val="Heading4"/>
        <w:ind w:right="140"/>
      </w:pPr>
      <w:r>
        <w:br w:type="column"/>
      </w:r>
      <w:r>
        <w:br w:type="column"/>
      </w:r>
      <w:r w:rsidR="00101E90" w:rsidRPr="00F9716C">
        <w:t>Corruption monitoring program</w:t>
      </w:r>
    </w:p>
    <w:p w14:paraId="74E64DA8" w14:textId="3BA40D7A" w:rsidR="00101E90" w:rsidRPr="00F9716C" w:rsidRDefault="00101E90" w:rsidP="00D8781B">
      <w:pPr>
        <w:spacing w:before="120"/>
        <w:ind w:right="140"/>
        <w:rPr>
          <w:color w:val="414042" w:themeColor="text1"/>
        </w:rPr>
      </w:pPr>
      <w:r w:rsidRPr="00F9716C">
        <w:rPr>
          <w:color w:val="414042" w:themeColor="text1"/>
        </w:rPr>
        <w:t xml:space="preserve">The CCC’s functions include monitoring the way in which UPAs manage allegations of serious and systemic corruption referred to them to deal with. </w:t>
      </w:r>
    </w:p>
    <w:p w14:paraId="51622FD3" w14:textId="77777777" w:rsidR="00D8781B" w:rsidRDefault="00101E90" w:rsidP="00D8781B">
      <w:pPr>
        <w:spacing w:after="120"/>
        <w:ind w:right="140"/>
        <w:rPr>
          <w:color w:val="414042" w:themeColor="text1"/>
        </w:rPr>
      </w:pPr>
      <w:r w:rsidRPr="00F9716C">
        <w:rPr>
          <w:color w:val="414042" w:themeColor="text1"/>
        </w:rPr>
        <w:t xml:space="preserve">In June 2023, the CCC implemented a new model for monitoring these types of complaints. This new operating model provides for greater engagement with UPAs to support them in dealing with and investigating matters, more flexibility on reporting timeframes based on the complexity of the matter, more structured engagement during the course of the investigation to enable the CCC to intervene if required, and greater focus on improving investigative quality and prevention outcomes. </w:t>
      </w:r>
    </w:p>
    <w:p w14:paraId="1694641F" w14:textId="3B9800C4" w:rsidR="00D8781B" w:rsidRPr="00F9716C" w:rsidRDefault="00D8781B" w:rsidP="00D8781B">
      <w:pPr>
        <w:spacing w:after="120"/>
        <w:ind w:right="140"/>
        <w:rPr>
          <w:color w:val="414042" w:themeColor="text1"/>
        </w:rPr>
      </w:pPr>
      <w:r w:rsidRPr="00F9716C">
        <w:rPr>
          <w:color w:val="414042" w:themeColor="text1"/>
        </w:rPr>
        <w:t xml:space="preserve">In addition to these enhancements, the Review Unit was organisationally realigned to sit within the Corruption Prevention and Engagement unit to enable improved engagement, increased integration of data into prevention activities and to inform a broader strategic focus on the delivery of the monitoring </w:t>
      </w:r>
      <w:r>
        <w:rPr>
          <w:color w:val="414042" w:themeColor="text1"/>
        </w:rPr>
        <w:t>program.</w:t>
      </w:r>
    </w:p>
    <w:p w14:paraId="55D1A58B" w14:textId="77777777" w:rsidR="00D8781B" w:rsidRPr="00F9716C" w:rsidRDefault="00D8781B" w:rsidP="00D8781B">
      <w:pPr>
        <w:rPr>
          <w:color w:val="414042" w:themeColor="text1"/>
        </w:rPr>
      </w:pPr>
      <w:r w:rsidRPr="00F9716C">
        <w:rPr>
          <w:color w:val="414042" w:themeColor="text1"/>
        </w:rPr>
        <w:t>In 2023–24, a total of 103 new matters were referred for monitoring and 50 monitored matters were finalised. As at 30 June 2024, 105 matters were being monitored by the CCC.</w:t>
      </w:r>
    </w:p>
    <w:p w14:paraId="2CFE9988" w14:textId="77777777" w:rsidR="00D8781B" w:rsidRPr="00F9716C" w:rsidRDefault="00D8781B" w:rsidP="00D8781B">
      <w:pPr>
        <w:pStyle w:val="Heading4"/>
        <w:ind w:right="140"/>
      </w:pPr>
      <w:r w:rsidRPr="00F9716C">
        <w:t>CCC–QPS joint oversight process</w:t>
      </w:r>
    </w:p>
    <w:p w14:paraId="3E54C621" w14:textId="77777777" w:rsidR="00D8781B" w:rsidRPr="00F9716C" w:rsidRDefault="00D8781B" w:rsidP="00D8781B">
      <w:pPr>
        <w:spacing w:before="120"/>
        <w:ind w:right="140"/>
        <w:rPr>
          <w:color w:val="414042" w:themeColor="text1"/>
        </w:rPr>
      </w:pPr>
      <w:r w:rsidRPr="00F9716C">
        <w:rPr>
          <w:color w:val="414042" w:themeColor="text1"/>
        </w:rPr>
        <w:t>The Joint Assessment and Monitoring Committee (JAMC) includes representatives from our agency and the QPS Ethical Standards Command. The JAMC enables mutually beneficial collaboration between the QPS and the CCC in accordance with the principles outlined in section 34 of the CC Act.</w:t>
      </w:r>
    </w:p>
    <w:p w14:paraId="5541C404" w14:textId="77777777" w:rsidR="00D8781B" w:rsidRPr="00F9716C" w:rsidRDefault="00D8781B" w:rsidP="00D8781B">
      <w:pPr>
        <w:ind w:right="140"/>
        <w:rPr>
          <w:color w:val="414042" w:themeColor="text1"/>
        </w:rPr>
      </w:pPr>
      <w:r w:rsidRPr="00F9716C">
        <w:rPr>
          <w:color w:val="414042" w:themeColor="text1"/>
        </w:rPr>
        <w:t>The JAMC is responsible for supporting the joint oversight and delivery of effective and efficient police misconduct and corrupt conduct assessment, investigation and discipline management processes, practices, and systems, subject to oversight by the CCC under the CC Act. The committee provides a regular forum for inter-agency relationship building and information sharing on matters of mutual interest. An important objective of the committee includes sharing insights and intelligence on current and emerging complaint and allegation trends to support each agency to better understand the corruption risk environment and develop prevention solutions.</w:t>
      </w:r>
    </w:p>
    <w:p w14:paraId="0B85AC36" w14:textId="66C8ACBF" w:rsidR="00661774" w:rsidRDefault="00661774" w:rsidP="00C7285B">
      <w:pPr>
        <w:spacing w:after="120"/>
        <w:ind w:left="28" w:right="140"/>
        <w:rPr>
          <w:color w:val="414042" w:themeColor="text1"/>
        </w:rPr>
      </w:pPr>
    </w:p>
    <w:p w14:paraId="47C54943" w14:textId="77777777" w:rsidR="00D8781B" w:rsidRDefault="00D8781B" w:rsidP="00C7285B">
      <w:pPr>
        <w:spacing w:after="120"/>
        <w:ind w:left="28" w:right="140"/>
        <w:rPr>
          <w:color w:val="414042" w:themeColor="text1"/>
        </w:rPr>
      </w:pPr>
    </w:p>
    <w:p w14:paraId="679263DB" w14:textId="482BAE9C" w:rsidR="000746C2" w:rsidRPr="00DD573E" w:rsidRDefault="000746C2" w:rsidP="00E4224F">
      <w:pPr>
        <w:pStyle w:val="Heading3"/>
      </w:pPr>
      <w:r w:rsidRPr="00DD573E">
        <w:t>Preventing corruption</w:t>
      </w:r>
    </w:p>
    <w:p w14:paraId="7B1D57C6" w14:textId="0F05B920" w:rsidR="003575B0" w:rsidRPr="00DD573E" w:rsidRDefault="000746C2" w:rsidP="00164349">
      <w:pPr>
        <w:ind w:right="140"/>
        <w:rPr>
          <w:rFonts w:asciiTheme="minorHAnsi" w:hAnsiTheme="minorHAnsi" w:cstheme="minorHAnsi"/>
          <w:b/>
          <w:bCs/>
          <w:color w:val="414042" w:themeColor="text1"/>
          <w:szCs w:val="18"/>
        </w:rPr>
      </w:pPr>
      <w:r w:rsidRPr="00DD573E">
        <w:rPr>
          <w:rFonts w:asciiTheme="minorHAnsi" w:hAnsiTheme="minorHAnsi" w:cstheme="minorHAnsi"/>
          <w:b/>
          <w:bCs/>
          <w:color w:val="414042" w:themeColor="text1"/>
          <w:szCs w:val="18"/>
        </w:rPr>
        <w:t>Targeting significant corruption risks: lobbying and influence</w:t>
      </w:r>
    </w:p>
    <w:p w14:paraId="067D5950" w14:textId="22503C13" w:rsidR="000746C2" w:rsidRPr="00F9716C" w:rsidRDefault="000746C2" w:rsidP="00164349">
      <w:pPr>
        <w:spacing w:before="120"/>
        <w:ind w:right="140"/>
        <w:rPr>
          <w:color w:val="414042" w:themeColor="text1"/>
        </w:rPr>
      </w:pPr>
      <w:r w:rsidRPr="00F9716C">
        <w:rPr>
          <w:color w:val="414042" w:themeColor="text1"/>
        </w:rPr>
        <w:t xml:space="preserve">Work continued throughout 2023–24 in relation to possible corruption risks surrounding lobbying and influence, which builds on our earlier work where we published a corruption prevention report summarising insights into the risks associated with influencing practices. </w:t>
      </w:r>
    </w:p>
    <w:p w14:paraId="11D80DEF" w14:textId="1A1DB309" w:rsidR="000746C2" w:rsidRPr="00F9716C" w:rsidRDefault="000746C2" w:rsidP="00164349">
      <w:pPr>
        <w:ind w:right="140"/>
        <w:rPr>
          <w:color w:val="414042" w:themeColor="text1"/>
        </w:rPr>
      </w:pPr>
      <w:r w:rsidRPr="00F9716C">
        <w:rPr>
          <w:color w:val="414042" w:themeColor="text1"/>
        </w:rPr>
        <w:t xml:space="preserve">Further to this work we conducted an audit to identify areas where frameworks for managing and recording contact between government representatives and lobbyists could be enhanced. On 28 September 2023, we published a summary of key observations from that audit, </w:t>
      </w:r>
      <w:r w:rsidRPr="00F9716C">
        <w:rPr>
          <w:i/>
          <w:iCs/>
          <w:color w:val="414042" w:themeColor="text1"/>
        </w:rPr>
        <w:t>Meetings with lobbyists: are you adequately minimising corruption risks?</w:t>
      </w:r>
    </w:p>
    <w:p w14:paraId="289B4252" w14:textId="77777777" w:rsidR="000746C2" w:rsidRPr="00F9716C" w:rsidRDefault="000746C2" w:rsidP="00164349">
      <w:pPr>
        <w:ind w:right="140"/>
        <w:rPr>
          <w:color w:val="414042" w:themeColor="text1"/>
        </w:rPr>
      </w:pPr>
      <w:r w:rsidRPr="00F9716C">
        <w:rPr>
          <w:color w:val="414042" w:themeColor="text1"/>
        </w:rPr>
        <w:t>This publication has been prepared to assist all public authorities to be aware of the corruption risks relating to regulated lobbying and ensure they have suitable frameworks in place to prevent these risks. The findings from the audit were shared with the participating public authorities to support the strengthening of their frameworks to manage lobbying activities.</w:t>
      </w:r>
    </w:p>
    <w:p w14:paraId="1570EA36" w14:textId="77777777" w:rsidR="00DD573E" w:rsidRPr="00DD573E" w:rsidRDefault="000746C2" w:rsidP="00164349">
      <w:pPr>
        <w:ind w:right="140"/>
        <w:rPr>
          <w:color w:val="414042" w:themeColor="text1"/>
        </w:rPr>
      </w:pPr>
      <w:r w:rsidRPr="00DD573E">
        <w:rPr>
          <w:color w:val="414042" w:themeColor="text1"/>
        </w:rPr>
        <w:t>Since these reports were published, significant reforms to the regulation of lobbyists and lobbying activities in Queensland have been introduced. Throughout 2024</w:t>
      </w:r>
      <w:r w:rsidR="00E746AE" w:rsidRPr="00DD573E">
        <w:rPr>
          <w:color w:val="414042" w:themeColor="text1"/>
        </w:rPr>
        <w:t xml:space="preserve">– </w:t>
      </w:r>
      <w:r w:rsidRPr="00DD573E">
        <w:rPr>
          <w:color w:val="414042" w:themeColor="text1"/>
        </w:rPr>
        <w:t>25, we will be progressively updating our corruption prevention products to reflect these amendments.</w:t>
      </w:r>
    </w:p>
    <w:p w14:paraId="2034A3E5" w14:textId="5C2BBFFB" w:rsidR="000746C2" w:rsidRPr="00DD573E" w:rsidRDefault="000746C2" w:rsidP="00164349">
      <w:pPr>
        <w:ind w:right="140"/>
        <w:rPr>
          <w:i/>
          <w:iCs/>
          <w:color w:val="414042" w:themeColor="text1"/>
        </w:rPr>
      </w:pPr>
      <w:r w:rsidRPr="00DD573E">
        <w:rPr>
          <w:rFonts w:asciiTheme="minorHAnsi" w:eastAsia="Times New Roman" w:hAnsiTheme="minorHAnsi" w:cstheme="majorHAnsi"/>
          <w:b/>
          <w:noProof/>
          <w:color w:val="414042" w:themeColor="text1"/>
          <w:szCs w:val="18"/>
          <w:lang w:eastAsia="en-AU"/>
        </w:rPr>
        <w:t>Focus on Person-Centred Practice</w:t>
      </w:r>
    </w:p>
    <w:p w14:paraId="62994CDA" w14:textId="1D1944FD" w:rsidR="00101E90" w:rsidRPr="00F9716C" w:rsidRDefault="000746C2" w:rsidP="00164349">
      <w:pPr>
        <w:ind w:right="140"/>
        <w:rPr>
          <w:color w:val="414042" w:themeColor="text1"/>
        </w:rPr>
      </w:pPr>
      <w:r w:rsidRPr="00F9716C">
        <w:rPr>
          <w:color w:val="414042" w:themeColor="text1"/>
        </w:rPr>
        <w:t>This year a project was undertaken in line with our strategic objective to enable a person-centred approach that reflects the perspectives of our diverse community, including First Nations peoples. Work was commissioned to explore how the CCC could align with international and national best practice in providing services that recognise a person-centred trauma-informed approach. The CCC recognises that trauma is prevalent in our community and that our interactions must show an understanding of trauma and how this impacts how people interact with us and how we interact with the public. Ongoing work will continue as the CCC commits to implementing a trauma-informed approach across our service delivery.</w:t>
      </w:r>
    </w:p>
    <w:p w14:paraId="160EC566" w14:textId="77777777" w:rsidR="00101E90" w:rsidRPr="00F9716C" w:rsidRDefault="00101E90" w:rsidP="00101E90">
      <w:pPr>
        <w:ind w:left="28"/>
        <w:rPr>
          <w:color w:val="414042" w:themeColor="text1"/>
        </w:rPr>
      </w:pPr>
    </w:p>
    <w:p w14:paraId="021B0D97" w14:textId="77777777" w:rsidR="00101E90" w:rsidRPr="00F9716C" w:rsidRDefault="00101E90" w:rsidP="00B7611D">
      <w:pPr>
        <w:rPr>
          <w:color w:val="414042" w:themeColor="text1"/>
        </w:rPr>
        <w:sectPr w:rsidR="00101E90" w:rsidRPr="00F9716C" w:rsidSect="00101E90">
          <w:type w:val="continuous"/>
          <w:pgSz w:w="11906" w:h="16838" w:code="9"/>
          <w:pgMar w:top="2155" w:right="1134" w:bottom="964" w:left="1134" w:header="720" w:footer="284" w:gutter="0"/>
          <w:cols w:num="2" w:space="567"/>
          <w:noEndnote/>
          <w:docGrid w:linePitch="272"/>
        </w:sectPr>
      </w:pPr>
    </w:p>
    <w:p w14:paraId="2DB24614" w14:textId="17887297" w:rsidR="00B740E3" w:rsidRPr="00F9716C" w:rsidRDefault="00B740E3" w:rsidP="00B740E3">
      <w:pPr>
        <w:pStyle w:val="Bullets"/>
        <w:rPr>
          <w:color w:val="414042" w:themeColor="text1"/>
        </w:rPr>
        <w:sectPr w:rsidR="00B740E3" w:rsidRPr="00F9716C" w:rsidSect="00B740E3">
          <w:headerReference w:type="even" r:id="rId194"/>
          <w:headerReference w:type="default" r:id="rId195"/>
          <w:headerReference w:type="first" r:id="rId196"/>
          <w:type w:val="continuous"/>
          <w:pgSz w:w="11906" w:h="16838" w:code="9"/>
          <w:pgMar w:top="2155" w:right="1134" w:bottom="964" w:left="1134" w:header="720" w:footer="284" w:gutter="0"/>
          <w:cols w:space="567"/>
          <w:noEndnote/>
          <w:docGrid w:linePitch="272"/>
        </w:sectPr>
      </w:pPr>
    </w:p>
    <w:p w14:paraId="48E53468" w14:textId="1D5705AA" w:rsidR="00370F00" w:rsidRPr="00F9716C" w:rsidRDefault="004C1A3D" w:rsidP="006D51E2">
      <w:pPr>
        <w:pStyle w:val="Heading1"/>
      </w:pPr>
      <w:bookmarkStart w:id="993" w:name="_Objective:_Safe_and"/>
      <w:bookmarkStart w:id="994" w:name="ObjectiveSafeandCapable"/>
      <w:bookmarkEnd w:id="993"/>
      <w:r w:rsidRPr="00F9716C">
        <w:t xml:space="preserve">Objective: </w:t>
      </w:r>
      <w:r w:rsidR="00370F00" w:rsidRPr="00F9716C">
        <w:t>Safe and capable</w:t>
      </w:r>
      <w:r w:rsidR="00B62C45" w:rsidRPr="00F9716C">
        <w:rPr>
          <w:noProof/>
        </w:rPr>
        <w:t xml:space="preserve"> </w:t>
      </w:r>
      <w:r w:rsidR="00370F00" w:rsidRPr="00F9716C">
        <w:t xml:space="preserve"> </w:t>
      </w:r>
    </w:p>
    <w:bookmarkEnd w:id="994"/>
    <w:p w14:paraId="1C186215" w14:textId="77777777" w:rsidR="00370F00" w:rsidRPr="00F9716C" w:rsidRDefault="00370F00" w:rsidP="00370F00">
      <w:pPr>
        <w:keepNext/>
        <w:keepLines/>
        <w:spacing w:after="880"/>
        <w:outlineLvl w:val="0"/>
        <w:rPr>
          <w:rFonts w:eastAsiaTheme="majorEastAsia" w:cstheme="majorBidi"/>
          <w:color w:val="414042" w:themeColor="text1"/>
          <w:sz w:val="92"/>
          <w:szCs w:val="32"/>
        </w:rPr>
        <w:sectPr w:rsidR="00370F00" w:rsidRPr="00F9716C" w:rsidSect="00B740E3">
          <w:pgSz w:w="11906" w:h="16838" w:code="9"/>
          <w:pgMar w:top="2155" w:right="1134" w:bottom="964" w:left="1134" w:header="720" w:footer="284" w:gutter="0"/>
          <w:cols w:space="567"/>
          <w:noEndnote/>
          <w:docGrid w:linePitch="272"/>
        </w:sectPr>
      </w:pPr>
    </w:p>
    <w:tbl>
      <w:tblPr>
        <w:tblStyle w:val="TableGrid2"/>
        <w:tblW w:w="0" w:type="auto"/>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shd w:val="clear" w:color="auto" w:fill="F2F2F2" w:themeFill="background1" w:themeFillShade="F2"/>
        <w:tblLook w:val="04A0" w:firstRow="1" w:lastRow="0" w:firstColumn="1" w:lastColumn="0" w:noHBand="0" w:noVBand="1"/>
      </w:tblPr>
      <w:tblGrid>
        <w:gridCol w:w="4525"/>
      </w:tblGrid>
      <w:tr w:rsidR="00684A8A" w14:paraId="1861CDEE" w14:textId="77777777" w:rsidTr="00965915">
        <w:tc>
          <w:tcPr>
            <w:tcW w:w="4535" w:type="dxa"/>
            <w:shd w:val="clear" w:color="auto" w:fill="F2F2F2" w:themeFill="background1" w:themeFillShade="F2"/>
          </w:tcPr>
          <w:p w14:paraId="46AC3379" w14:textId="77777777" w:rsidR="00684A8A" w:rsidRPr="00F9716C" w:rsidRDefault="00684A8A" w:rsidP="00FA6988">
            <w:pPr>
              <w:pStyle w:val="Openingparagraph"/>
              <w:tabs>
                <w:tab w:val="left" w:pos="3848"/>
              </w:tabs>
              <w:spacing w:before="240"/>
              <w:ind w:right="175" w:firstLine="60"/>
            </w:pPr>
            <w:bookmarkStart w:id="995" w:name="_Hlk175779863"/>
            <w:r w:rsidRPr="00F9716C">
              <w:rPr>
                <w:snapToGrid w:val="0"/>
              </w:rPr>
              <w:t>Key strategies:</w:t>
            </w:r>
          </w:p>
          <w:p w14:paraId="76920772" w14:textId="77777777" w:rsidR="00684A8A" w:rsidRPr="00F9716C" w:rsidRDefault="00684A8A" w:rsidP="006900F6">
            <w:pPr>
              <w:pStyle w:val="Bulletbox"/>
            </w:pPr>
            <w:r w:rsidRPr="00F9716C">
              <w:t xml:space="preserve">Develop leadership and management capability to lead change, achieve high performance, and influence connection to agency purpose. </w:t>
            </w:r>
          </w:p>
          <w:p w14:paraId="5B34AA22" w14:textId="77777777" w:rsidR="00684A8A" w:rsidRPr="00F9716C" w:rsidRDefault="00684A8A" w:rsidP="006900F6">
            <w:pPr>
              <w:pStyle w:val="Bulletbox"/>
            </w:pPr>
            <w:r w:rsidRPr="00F9716C">
              <w:t xml:space="preserve">Nurture a safe and healthy workplace embedding a shared responsibility for the physical, psychological and cultural wellbeing of our workforce. </w:t>
            </w:r>
          </w:p>
          <w:p w14:paraId="0E6FAECD" w14:textId="77777777" w:rsidR="00684A8A" w:rsidRPr="00F9716C" w:rsidRDefault="00684A8A" w:rsidP="006900F6">
            <w:pPr>
              <w:pStyle w:val="Bulletbox"/>
            </w:pPr>
            <w:r w:rsidRPr="00F9716C">
              <w:t xml:space="preserve">Continue to enhance diversity and inclusion initiatives to harness different perspectives and build on our collective strengths. </w:t>
            </w:r>
          </w:p>
          <w:p w14:paraId="6D9196C8" w14:textId="77777777" w:rsidR="00684A8A" w:rsidRPr="00F9716C" w:rsidRDefault="00684A8A" w:rsidP="006900F6">
            <w:pPr>
              <w:pStyle w:val="Bulletbox"/>
            </w:pPr>
            <w:r w:rsidRPr="00F9716C">
              <w:t xml:space="preserve">Deliver talent attraction and retention initiatives that reflect the changing needs of the workforce and societal expectations. </w:t>
            </w:r>
          </w:p>
          <w:p w14:paraId="05526C39" w14:textId="77777777" w:rsidR="00684A8A" w:rsidRPr="00F9716C" w:rsidRDefault="00684A8A" w:rsidP="006900F6">
            <w:pPr>
              <w:pStyle w:val="Bulletbox"/>
            </w:pPr>
            <w:r w:rsidRPr="00F9716C">
              <w:t>Develop workforce capability to meet the operating needs within a complex and evolving working environment.</w:t>
            </w:r>
          </w:p>
          <w:p w14:paraId="460E7A08" w14:textId="77777777" w:rsidR="00684A8A" w:rsidRPr="00F9716C" w:rsidRDefault="00684A8A" w:rsidP="006900F6">
            <w:pPr>
              <w:pStyle w:val="Bulletbox"/>
            </w:pPr>
            <w:r w:rsidRPr="00F9716C">
              <w:t xml:space="preserve">Leverage and invest in technology to enhance digital capability and improve system cross-functionality. </w:t>
            </w:r>
          </w:p>
          <w:p w14:paraId="346C6F01" w14:textId="77777777" w:rsidR="00684A8A" w:rsidRPr="00F9716C" w:rsidRDefault="00684A8A" w:rsidP="006900F6">
            <w:pPr>
              <w:pStyle w:val="Bulletbox"/>
            </w:pPr>
            <w:r w:rsidRPr="00F9716C">
              <w:t>Invest wisely in robust information security measures to stay ahead of potential threats.</w:t>
            </w:r>
          </w:p>
          <w:p w14:paraId="73582A75" w14:textId="0FC629F1" w:rsidR="00684A8A" w:rsidRDefault="00684A8A" w:rsidP="006900F6">
            <w:pPr>
              <w:pStyle w:val="Bulletpoints0"/>
              <w:numPr>
                <w:ilvl w:val="0"/>
                <w:numId w:val="0"/>
              </w:numPr>
              <w:ind w:left="426"/>
            </w:pPr>
          </w:p>
        </w:tc>
      </w:tr>
      <w:bookmarkEnd w:id="995"/>
    </w:tbl>
    <w:p w14:paraId="5E4A9A8E" w14:textId="77777777" w:rsidR="00370F00" w:rsidRPr="00F9716C" w:rsidRDefault="00370F00" w:rsidP="00370F00">
      <w:pPr>
        <w:pStyle w:val="Openingparagraph"/>
      </w:pPr>
    </w:p>
    <w:p w14:paraId="6F181E49" w14:textId="77777777" w:rsidR="00370F00" w:rsidRPr="00F9716C" w:rsidRDefault="00370F00" w:rsidP="00370F00">
      <w:pPr>
        <w:pStyle w:val="Openingparagraph"/>
        <w:sectPr w:rsidR="00370F00" w:rsidRPr="00F9716C" w:rsidSect="00C77834">
          <w:type w:val="continuous"/>
          <w:pgSz w:w="11906" w:h="16838" w:code="9"/>
          <w:pgMar w:top="2155" w:right="1134" w:bottom="964" w:left="1134" w:header="720" w:footer="284" w:gutter="0"/>
          <w:cols w:num="2" w:space="567"/>
          <w:noEndnote/>
          <w:docGrid w:linePitch="272"/>
        </w:sectPr>
      </w:pPr>
    </w:p>
    <w:tbl>
      <w:tblPr>
        <w:tblStyle w:val="Annualreport2020-21"/>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9638"/>
      </w:tblGrid>
      <w:tr w:rsidR="00F9716C" w:rsidRPr="00F9716C" w14:paraId="6CC5830E" w14:textId="77777777" w:rsidTr="00144A5B">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F2F2F2" w:themeFill="background1" w:themeFillShade="F2"/>
          </w:tcPr>
          <w:p w14:paraId="4FAE4CCF" w14:textId="15BCC1EC" w:rsidR="00672A2D" w:rsidRPr="003D7D83" w:rsidRDefault="00E53496" w:rsidP="00FA6988">
            <w:pPr>
              <w:spacing w:before="240" w:after="240"/>
              <w:ind w:right="174" w:firstLine="71"/>
              <w:rPr>
                <w:rStyle w:val="Emphasis"/>
                <w:b w:val="0"/>
                <w:bCs w:val="0"/>
              </w:rPr>
            </w:pPr>
            <w:r w:rsidRPr="003D7D83">
              <w:rPr>
                <w:rStyle w:val="Emphasis"/>
                <w:b w:val="0"/>
                <w:bCs w:val="0"/>
              </w:rPr>
              <w:t xml:space="preserve">Developing the capability and managing the wellbeing of our people and </w:t>
            </w:r>
            <w:r w:rsidR="00FA6988" w:rsidRPr="003D7D83">
              <w:rPr>
                <w:rStyle w:val="Emphasis"/>
                <w:b w:val="0"/>
                <w:bCs w:val="0"/>
              </w:rPr>
              <w:br/>
            </w:r>
            <w:r w:rsidRPr="003D7D83">
              <w:rPr>
                <w:rStyle w:val="Emphasis"/>
                <w:b w:val="0"/>
                <w:bCs w:val="0"/>
              </w:rPr>
              <w:t xml:space="preserve">enabling their performance through access to high quality information and </w:t>
            </w:r>
            <w:r w:rsidR="00FA6988" w:rsidRPr="003D7D83">
              <w:rPr>
                <w:rStyle w:val="Emphasis"/>
                <w:b w:val="0"/>
                <w:bCs w:val="0"/>
              </w:rPr>
              <w:br/>
            </w:r>
            <w:r w:rsidRPr="003D7D83">
              <w:rPr>
                <w:rStyle w:val="Emphasis"/>
                <w:b w:val="0"/>
                <w:bCs w:val="0"/>
              </w:rPr>
              <w:t>fit-for-purpose systems.</w:t>
            </w:r>
          </w:p>
        </w:tc>
      </w:tr>
    </w:tbl>
    <w:p w14:paraId="5E508783" w14:textId="77777777" w:rsidR="00672A2D" w:rsidRPr="00F9716C" w:rsidRDefault="00672A2D" w:rsidP="00672A2D">
      <w:pPr>
        <w:rPr>
          <w:rStyle w:val="Emphasis"/>
          <w:rFonts w:asciiTheme="minorHAnsi" w:hAnsiTheme="minorHAnsi"/>
          <w:sz w:val="24"/>
        </w:rPr>
      </w:pPr>
    </w:p>
    <w:p w14:paraId="147E900C" w14:textId="77777777" w:rsidR="007D118E" w:rsidRPr="00F9716C" w:rsidRDefault="007D118E" w:rsidP="007D118E">
      <w:pPr>
        <w:rPr>
          <w:b/>
          <w:bCs/>
          <w:color w:val="414042" w:themeColor="text1"/>
        </w:rPr>
        <w:sectPr w:rsidR="007D118E" w:rsidRPr="00F9716C" w:rsidSect="00C77834">
          <w:headerReference w:type="even" r:id="rId197"/>
          <w:headerReference w:type="default" r:id="rId198"/>
          <w:headerReference w:type="first" r:id="rId199"/>
          <w:pgSz w:w="11906" w:h="16838" w:code="9"/>
          <w:pgMar w:top="2155" w:right="1134" w:bottom="964" w:left="1134" w:header="720" w:footer="284" w:gutter="0"/>
          <w:cols w:space="567"/>
          <w:noEndnote/>
          <w:docGrid w:linePitch="272"/>
        </w:sectPr>
      </w:pPr>
    </w:p>
    <w:p w14:paraId="6E508A3E" w14:textId="76EC1515" w:rsidR="00293F95" w:rsidRPr="00FA6988" w:rsidRDefault="00293F95" w:rsidP="00C903A2">
      <w:pPr>
        <w:pStyle w:val="3Heading-highlight"/>
      </w:pPr>
      <w:r w:rsidRPr="00FA6988">
        <w:t>I</w:t>
      </w:r>
      <w:r w:rsidRPr="003D7D83">
        <w:t xml:space="preserve">n 2023–24, our Workforce, Digital and Data and Analytics </w:t>
      </w:r>
      <w:r w:rsidR="00880DAA" w:rsidRPr="003D7D83">
        <w:t>s</w:t>
      </w:r>
      <w:r w:rsidRPr="003D7D83">
        <w:t>trategies continued to guide our investment in initiatives to build critical capabilities and connect our people, insights and technologies.</w:t>
      </w:r>
    </w:p>
    <w:p w14:paraId="6B76D5A7" w14:textId="5F1735DE" w:rsidR="0080529C" w:rsidRPr="00F9716C" w:rsidRDefault="0080529C" w:rsidP="0080529C">
      <w:pPr>
        <w:rPr>
          <w:color w:val="414042" w:themeColor="text1"/>
        </w:rPr>
      </w:pPr>
    </w:p>
    <w:p w14:paraId="48EF4A93" w14:textId="77777777" w:rsidR="0080529C" w:rsidRPr="00F9716C" w:rsidRDefault="0080529C" w:rsidP="0080529C">
      <w:pPr>
        <w:rPr>
          <w:color w:val="414042" w:themeColor="text1"/>
        </w:rPr>
        <w:sectPr w:rsidR="0080529C" w:rsidRPr="00F9716C" w:rsidSect="00C77834">
          <w:headerReference w:type="even" r:id="rId200"/>
          <w:headerReference w:type="default" r:id="rId201"/>
          <w:headerReference w:type="first" r:id="rId202"/>
          <w:type w:val="continuous"/>
          <w:pgSz w:w="11906" w:h="16838" w:code="9"/>
          <w:pgMar w:top="2155" w:right="1134" w:bottom="964" w:left="1134" w:header="720" w:footer="284" w:gutter="0"/>
          <w:cols w:space="567"/>
          <w:noEndnote/>
          <w:docGrid w:linePitch="272"/>
        </w:sectPr>
      </w:pPr>
    </w:p>
    <w:p w14:paraId="5AF41048" w14:textId="34FBD11C" w:rsidR="00293F95" w:rsidRPr="00C048C0" w:rsidRDefault="00293F95" w:rsidP="00E506D1">
      <w:pPr>
        <w:pStyle w:val="3Heading-highlight"/>
        <w:ind w:right="0"/>
      </w:pPr>
      <w:r w:rsidRPr="00C048C0">
        <w:t>Workforce Strategy 2023</w:t>
      </w:r>
      <w:r w:rsidR="00DC27CB" w:rsidRPr="00C048C0">
        <w:t>–2</w:t>
      </w:r>
      <w:r w:rsidRPr="00C048C0">
        <w:t>7</w:t>
      </w:r>
    </w:p>
    <w:p w14:paraId="3F545359" w14:textId="77777777" w:rsidR="00586639" w:rsidRDefault="00293F95" w:rsidP="00E506D1">
      <w:pPr>
        <w:rPr>
          <w:color w:val="414042" w:themeColor="text1"/>
        </w:rPr>
      </w:pPr>
      <w:r w:rsidRPr="00F9716C">
        <w:rPr>
          <w:color w:val="414042" w:themeColor="text1"/>
        </w:rPr>
        <w:t xml:space="preserve">Our workforce strategy was refreshed in 2023, involving analysis of external review findings, internal documents and data, informal employee inputs, survey responses and facilitated strategic planning processes with the extended leadership group.  </w:t>
      </w:r>
    </w:p>
    <w:p w14:paraId="646B2468" w14:textId="1455EC3B" w:rsidR="00293F95" w:rsidRPr="00F9716C" w:rsidRDefault="00293F95" w:rsidP="00E506D1">
      <w:pPr>
        <w:rPr>
          <w:color w:val="414042" w:themeColor="text1"/>
        </w:rPr>
      </w:pPr>
      <w:r w:rsidRPr="00F9716C">
        <w:rPr>
          <w:color w:val="414042" w:themeColor="text1"/>
        </w:rPr>
        <w:t>Our focus is on:</w:t>
      </w:r>
    </w:p>
    <w:p w14:paraId="7D6089B0" w14:textId="1F3B057D" w:rsidR="00293F95" w:rsidRPr="00F9716C" w:rsidRDefault="00293F95" w:rsidP="00E506D1">
      <w:pPr>
        <w:pStyle w:val="Bulletpoints0"/>
        <w:ind w:left="284" w:right="0" w:hanging="142"/>
      </w:pPr>
      <w:r w:rsidRPr="00F9716C">
        <w:rPr>
          <w:b/>
          <w:bCs/>
        </w:rPr>
        <w:t>Undertaking outcome-focussed work</w:t>
      </w:r>
      <w:r w:rsidRPr="00F9716C">
        <w:t xml:space="preserve"> which is enabled by insights, digital technology and innovation</w:t>
      </w:r>
      <w:r w:rsidR="00590586" w:rsidRPr="00F9716C">
        <w:t>.</w:t>
      </w:r>
    </w:p>
    <w:p w14:paraId="7B8F11F4" w14:textId="364E4129" w:rsidR="00293F95" w:rsidRPr="00F9716C" w:rsidRDefault="00293F95" w:rsidP="00E506D1">
      <w:pPr>
        <w:pStyle w:val="Bulletpoints0"/>
        <w:ind w:left="284" w:right="0" w:hanging="142"/>
      </w:pPr>
      <w:r w:rsidRPr="00F9716C">
        <w:t xml:space="preserve">Embracing a </w:t>
      </w:r>
      <w:r w:rsidRPr="00F9716C">
        <w:rPr>
          <w:b/>
          <w:bCs/>
        </w:rPr>
        <w:t xml:space="preserve">diverse, engaged and adaptable workforce </w:t>
      </w:r>
      <w:r w:rsidRPr="00F9716C">
        <w:t>with the right mix of experience, specialist skills and attributes, who embrace working in multi-disciplinary teams</w:t>
      </w:r>
      <w:r w:rsidR="00590586" w:rsidRPr="00F9716C">
        <w:t>.</w:t>
      </w:r>
    </w:p>
    <w:p w14:paraId="3AB0C8EF" w14:textId="6EE7CA8E" w:rsidR="00293F95" w:rsidRPr="00F9716C" w:rsidRDefault="00293F95" w:rsidP="00E506D1">
      <w:pPr>
        <w:pStyle w:val="Bulletpoints0"/>
        <w:ind w:left="284" w:right="0" w:hanging="142"/>
      </w:pPr>
      <w:r w:rsidRPr="00F9716C">
        <w:rPr>
          <w:b/>
          <w:bCs/>
        </w:rPr>
        <w:t xml:space="preserve">Fostering a </w:t>
      </w:r>
      <w:r w:rsidR="003575B0" w:rsidRPr="00F9716C">
        <w:rPr>
          <w:b/>
          <w:bCs/>
        </w:rPr>
        <w:t>‘</w:t>
      </w:r>
      <w:r w:rsidRPr="00F9716C">
        <w:rPr>
          <w:b/>
          <w:bCs/>
        </w:rPr>
        <w:t>greater place to work</w:t>
      </w:r>
      <w:r w:rsidR="003575B0" w:rsidRPr="00F9716C">
        <w:rPr>
          <w:b/>
          <w:bCs/>
        </w:rPr>
        <w:t>’</w:t>
      </w:r>
      <w:r w:rsidRPr="00F9716C">
        <w:t>, underpinned by organisational agility, role clarity, effective governance, a strong performance culture, robust workforce strategy and effective workforce management systems.</w:t>
      </w:r>
    </w:p>
    <w:p w14:paraId="2B194614" w14:textId="607555B6" w:rsidR="00293F95" w:rsidRPr="00F9716C" w:rsidRDefault="00293F95" w:rsidP="00E506D1">
      <w:pPr>
        <w:rPr>
          <w:color w:val="414042" w:themeColor="text1"/>
        </w:rPr>
      </w:pPr>
      <w:r w:rsidRPr="00F9716C">
        <w:rPr>
          <w:color w:val="414042" w:themeColor="text1"/>
        </w:rPr>
        <w:t>In support of this ambition in 2023–24, we invested significant effort in developing our people and delivering initiatives that are aligned with our workforce objectives.</w:t>
      </w:r>
    </w:p>
    <w:p w14:paraId="153B42BD" w14:textId="77777777" w:rsidR="00672A2D" w:rsidRPr="00F9716C" w:rsidRDefault="00672A2D" w:rsidP="00E506D1">
      <w:pPr>
        <w:pStyle w:val="4H-Intro"/>
      </w:pPr>
      <w:r w:rsidRPr="00F9716C">
        <w:t>Early Career Pathways</w:t>
      </w:r>
    </w:p>
    <w:p w14:paraId="1D7C1202" w14:textId="6B54D7AB" w:rsidR="00672A2D" w:rsidRPr="00F9716C" w:rsidRDefault="00672A2D" w:rsidP="00E506D1">
      <w:pPr>
        <w:spacing w:before="120"/>
        <w:rPr>
          <w:rFonts w:asciiTheme="minorHAnsi" w:hAnsiTheme="minorHAnsi"/>
          <w:color w:val="414042" w:themeColor="text1"/>
        </w:rPr>
      </w:pPr>
      <w:r w:rsidRPr="00F9716C">
        <w:rPr>
          <w:color w:val="414042" w:themeColor="text1"/>
        </w:rPr>
        <w:t xml:space="preserve">This year we welcomed graduates from Griffith University through participation in the Work Integrated Learning (WIL) Agreement/Griffith University Work Experience (WEXP) Agreement, which supports us to develop the CCC workforce through the Early Career Pathways Program. Through our participation, we continue to provide paid and unpaid opportunities for students and graduates studying intelligence, law, and financial investigations. The CCC will continue to participate in the Department of </w:t>
      </w:r>
      <w:r w:rsidR="003575B0" w:rsidRPr="00F9716C">
        <w:rPr>
          <w:color w:val="414042" w:themeColor="text1"/>
        </w:rPr>
        <w:t xml:space="preserve">The </w:t>
      </w:r>
      <w:r w:rsidRPr="00F9716C">
        <w:rPr>
          <w:color w:val="414042" w:themeColor="text1"/>
        </w:rPr>
        <w:t xml:space="preserve">Premier and Cabinet’s Policy Futures Graduate Program. </w:t>
      </w:r>
    </w:p>
    <w:p w14:paraId="1B87A689" w14:textId="166DC5D4" w:rsidR="00B33B86" w:rsidRPr="00F9716C" w:rsidRDefault="001331F3" w:rsidP="00E506D1">
      <w:pPr>
        <w:pStyle w:val="Heading4"/>
        <w:ind w:right="141"/>
      </w:pPr>
      <w:r w:rsidRPr="00F9716C">
        <w:br w:type="column"/>
      </w:r>
      <w:r w:rsidR="0041749C">
        <w:br/>
      </w:r>
      <w:r w:rsidR="0041749C">
        <w:br/>
      </w:r>
      <w:r w:rsidR="00B33B86" w:rsidRPr="00F9716C">
        <w:t>Attraction, recruitment and selection</w:t>
      </w:r>
    </w:p>
    <w:p w14:paraId="77C226A4" w14:textId="19A11287" w:rsidR="00B33B86" w:rsidRPr="00F9716C" w:rsidRDefault="00B33B86" w:rsidP="00E506D1">
      <w:pPr>
        <w:spacing w:before="120"/>
        <w:ind w:right="141"/>
        <w:rPr>
          <w:color w:val="414042" w:themeColor="text1"/>
        </w:rPr>
      </w:pPr>
      <w:bookmarkStart w:id="996" w:name="_Toc102038024"/>
      <w:bookmarkStart w:id="997" w:name="_Toc102038385"/>
      <w:bookmarkStart w:id="998" w:name="_Toc102038746"/>
      <w:bookmarkStart w:id="999" w:name="_Toc102039098"/>
      <w:bookmarkStart w:id="1000" w:name="_Toc102039447"/>
      <w:bookmarkStart w:id="1001" w:name="_Toc102039809"/>
      <w:bookmarkStart w:id="1002" w:name="_Toc102040166"/>
      <w:bookmarkStart w:id="1003" w:name="_Toc102040494"/>
      <w:bookmarkStart w:id="1004" w:name="_Toc102040828"/>
      <w:bookmarkStart w:id="1005" w:name="_Toc102041156"/>
      <w:bookmarkStart w:id="1006" w:name="_Toc102041485"/>
      <w:bookmarkStart w:id="1007" w:name="_Toc102041817"/>
      <w:bookmarkStart w:id="1008" w:name="_Toc102042144"/>
      <w:bookmarkStart w:id="1009" w:name="_Toc102042474"/>
      <w:bookmarkStart w:id="1010" w:name="_Toc102045604"/>
      <w:r w:rsidRPr="00F9716C">
        <w:rPr>
          <w:color w:val="414042" w:themeColor="text1"/>
        </w:rPr>
        <w:t>In response to Australia-wide talent shortages and increased workforce challenges, this year we actively reviewed and refined our approaches to talent attraction, recruitment, selection and onboarding processes focusing on enhancing the candidate experience. We highly value the delivery of a positive candidate experience in recognition of its importance to new starter engagement and ongoing performance and are proud to report that metrics associated with onboarding have risen 13</w:t>
      </w:r>
      <w:r w:rsidR="00514FDD" w:rsidRPr="00514FDD">
        <w:rPr>
          <w:color w:val="414042" w:themeColor="text1"/>
        </w:rPr>
        <w:t>–</w:t>
      </w:r>
      <w:r w:rsidRPr="00F9716C">
        <w:rPr>
          <w:color w:val="414042" w:themeColor="text1"/>
        </w:rPr>
        <w:t>22</w:t>
      </w:r>
      <w:r w:rsidR="00CB2C21" w:rsidRPr="00F9716C">
        <w:rPr>
          <w:color w:val="414042" w:themeColor="text1"/>
        </w:rPr>
        <w:t> </w:t>
      </w:r>
      <w:r w:rsidRPr="00F9716C">
        <w:rPr>
          <w:color w:val="414042" w:themeColor="text1"/>
        </w:rPr>
        <w:t>percentage points across all measures.</w:t>
      </w:r>
    </w:p>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14:paraId="57AE6040" w14:textId="77777777" w:rsidR="008121D6" w:rsidRPr="00F9716C" w:rsidRDefault="008121D6" w:rsidP="00E506D1">
      <w:pPr>
        <w:pStyle w:val="Heading4"/>
        <w:ind w:right="141"/>
      </w:pPr>
      <w:r w:rsidRPr="00F9716C">
        <w:t>Inducting new employees</w:t>
      </w:r>
    </w:p>
    <w:p w14:paraId="57AF616C" w14:textId="3D54D73E" w:rsidR="008121D6" w:rsidRPr="00F9716C" w:rsidRDefault="008121D6" w:rsidP="00E506D1">
      <w:pPr>
        <w:spacing w:before="120"/>
        <w:ind w:right="141"/>
        <w:rPr>
          <w:color w:val="414042" w:themeColor="text1"/>
        </w:rPr>
      </w:pPr>
      <w:r w:rsidRPr="00F9716C">
        <w:rPr>
          <w:color w:val="414042" w:themeColor="text1"/>
        </w:rPr>
        <w:t>We understand we only have one chance to make a first impression and that there is a lot to take in as a new starter with the CCC. It is for these reasons we have applied additional focus to streamlining corporate induction and onboarding processes and providing additional resources and tools to hiring managers to ensure a consistent and comprehensive new starter experience.</w:t>
      </w:r>
    </w:p>
    <w:p w14:paraId="61783626" w14:textId="34AD2A9E" w:rsidR="00953642" w:rsidRPr="00F9716C" w:rsidRDefault="00953642" w:rsidP="00E506D1">
      <w:pPr>
        <w:spacing w:before="120"/>
        <w:ind w:right="141"/>
        <w:rPr>
          <w:color w:val="414042" w:themeColor="text1"/>
        </w:rPr>
      </w:pPr>
      <w:r w:rsidRPr="00F9716C">
        <w:rPr>
          <w:color w:val="414042" w:themeColor="text1"/>
        </w:rPr>
        <w:t>Notably this year we have undertaken a redesign</w:t>
      </w:r>
      <w:r w:rsidR="00D90541" w:rsidRPr="00F9716C">
        <w:rPr>
          <w:color w:val="414042" w:themeColor="text1"/>
        </w:rPr>
        <w:t xml:space="preserve"> of our</w:t>
      </w:r>
      <w:r w:rsidRPr="00F9716C">
        <w:rPr>
          <w:color w:val="414042" w:themeColor="text1"/>
        </w:rPr>
        <w:t xml:space="preserve"> elearning modules, reinforcing the importance of accountability, governance and decision-making as an integrity agency and increasing learning and knowledge transfer to support new starters to better understand their role, responsibilities and ways of working at the CCC.</w:t>
      </w:r>
    </w:p>
    <w:p w14:paraId="123001A7" w14:textId="0805F36D" w:rsidR="001331F3" w:rsidRPr="00F9716C" w:rsidRDefault="00953642" w:rsidP="00E506D1">
      <w:pPr>
        <w:spacing w:before="120"/>
        <w:ind w:right="141"/>
        <w:rPr>
          <w:color w:val="414042" w:themeColor="text1"/>
        </w:rPr>
        <w:sectPr w:rsidR="001331F3" w:rsidRPr="00F9716C" w:rsidSect="000B43D8">
          <w:type w:val="continuous"/>
          <w:pgSz w:w="11906" w:h="16838" w:code="9"/>
          <w:pgMar w:top="2155" w:right="1134" w:bottom="964" w:left="1134" w:header="720" w:footer="284" w:gutter="0"/>
          <w:cols w:num="2" w:space="566"/>
          <w:noEndnote/>
          <w:docGrid w:linePitch="272"/>
        </w:sectPr>
      </w:pPr>
      <w:r w:rsidRPr="00F9716C">
        <w:rPr>
          <w:color w:val="414042" w:themeColor="text1"/>
        </w:rPr>
        <w:t xml:space="preserve">We continue to deliver a quarterly Corporate Induction Program, hosted by our Values and Culture Group (see page </w:t>
      </w:r>
      <w:r w:rsidR="009526D7" w:rsidRPr="00F9716C">
        <w:rPr>
          <w:color w:val="414042" w:themeColor="text1"/>
        </w:rPr>
        <w:t>46</w:t>
      </w:r>
      <w:r w:rsidRPr="00F9716C">
        <w:rPr>
          <w:color w:val="414042" w:themeColor="text1"/>
        </w:rPr>
        <w:t>), which provide an opportunity for our new starters to hear directly from our senior leaders.</w:t>
      </w:r>
    </w:p>
    <w:p w14:paraId="019A21F7" w14:textId="77777777" w:rsidR="00EB0C8D" w:rsidRPr="00F9716C" w:rsidRDefault="00EB0C8D" w:rsidP="00E506D1">
      <w:pPr>
        <w:pStyle w:val="Heading4"/>
        <w:ind w:right="141"/>
      </w:pPr>
      <w:r w:rsidRPr="00F9716C">
        <w:t>Employee experience</w:t>
      </w:r>
    </w:p>
    <w:p w14:paraId="1115C4EB" w14:textId="77777777" w:rsidR="00EB0C8D" w:rsidRPr="00F9716C" w:rsidRDefault="00EB0C8D" w:rsidP="00E506D1">
      <w:pPr>
        <w:spacing w:before="120"/>
        <w:ind w:right="141"/>
        <w:rPr>
          <w:color w:val="414042" w:themeColor="text1"/>
        </w:rPr>
      </w:pPr>
      <w:bookmarkStart w:id="1011" w:name="_Hlk169004519"/>
      <w:r w:rsidRPr="00F9716C">
        <w:rPr>
          <w:color w:val="414042" w:themeColor="text1"/>
        </w:rPr>
        <w:t xml:space="preserve">The CCC remains committed to using the Employee Experience Measurement platform to assess employee engagement and experiences at various stages of the employee lifecycle, such as recruitment, onboarding and offboarding. </w:t>
      </w:r>
    </w:p>
    <w:p w14:paraId="34111A27" w14:textId="0CCBF0C6" w:rsidR="001331F3" w:rsidRPr="00F9716C" w:rsidRDefault="00EB0C8D" w:rsidP="00E506D1">
      <w:pPr>
        <w:spacing w:before="120"/>
        <w:ind w:right="141"/>
        <w:rPr>
          <w:color w:val="414042" w:themeColor="text1"/>
        </w:rPr>
      </w:pPr>
      <w:r w:rsidRPr="00F9716C">
        <w:rPr>
          <w:color w:val="414042" w:themeColor="text1"/>
        </w:rPr>
        <w:t>Overall, survey outcomes have been positive with new and departing staff providing encouraging feedback pertaining to the recruitment, onboarding and offboarding process. Results revealed the majority of commission officers highly valued their experience working for the CCC</w:t>
      </w:r>
      <w:r w:rsidR="003575B0" w:rsidRPr="00F9716C">
        <w:rPr>
          <w:color w:val="414042" w:themeColor="text1"/>
        </w:rPr>
        <w:t>,</w:t>
      </w:r>
      <w:r w:rsidRPr="00F9716C">
        <w:rPr>
          <w:color w:val="414042" w:themeColor="text1"/>
        </w:rPr>
        <w:t xml:space="preserve"> with new staff experiencing a high level of candidate care during the recruitment and selection process. </w:t>
      </w:r>
      <w:bookmarkEnd w:id="1011"/>
    </w:p>
    <w:p w14:paraId="55825BBE" w14:textId="0BAAD745" w:rsidR="00136BE9" w:rsidRPr="00F9716C" w:rsidRDefault="00136BE9" w:rsidP="00E506D1">
      <w:pPr>
        <w:pStyle w:val="Heading4"/>
        <w:ind w:right="141"/>
      </w:pPr>
      <w:r w:rsidRPr="00F9716C">
        <w:t>Developing our people</w:t>
      </w:r>
    </w:p>
    <w:p w14:paraId="63ED4A0A" w14:textId="33F4F2FC" w:rsidR="00136BE9" w:rsidRPr="00F9716C" w:rsidRDefault="00136BE9" w:rsidP="00E506D1">
      <w:pPr>
        <w:spacing w:before="120"/>
        <w:ind w:right="141"/>
        <w:rPr>
          <w:color w:val="414042" w:themeColor="text1"/>
        </w:rPr>
      </w:pPr>
      <w:r w:rsidRPr="00F9716C">
        <w:rPr>
          <w:color w:val="414042" w:themeColor="text1"/>
        </w:rPr>
        <w:t xml:space="preserve">The biannual Performance and Development Agreement (PDA) process supports the development of our people through an opportunity to discuss career goals, development opportunities and set performance expectations with their line manager. Developing the capability of our people is provided through both formal and informal learning and development opportunities providing commission officers with the necessary knowledge, skills and resources to enhance their performance, productivity and foster professional growth. </w:t>
      </w:r>
    </w:p>
    <w:p w14:paraId="20546A21" w14:textId="5CAFD1B2" w:rsidR="00953642" w:rsidRPr="00F9716C" w:rsidRDefault="00136BE9" w:rsidP="00E506D1">
      <w:pPr>
        <w:spacing w:before="120"/>
        <w:ind w:right="141"/>
        <w:rPr>
          <w:color w:val="414042" w:themeColor="text1"/>
        </w:rPr>
      </w:pPr>
      <w:r w:rsidRPr="00F9716C">
        <w:rPr>
          <w:color w:val="414042" w:themeColor="text1"/>
        </w:rPr>
        <w:t xml:space="preserve">Work commenced this year to establish role-specific capability frameworks.  We recognise the importance of having a capable, empowered and adaptable workforce. The capability framework model is being applied to bring mutual benefit for our people, their leaders and the CCC, providing clarity of role, responsibilities and expectations, in addition to CCC ways of working. </w:t>
      </w:r>
    </w:p>
    <w:p w14:paraId="23A72916" w14:textId="47B921DC" w:rsidR="001D29E9" w:rsidRPr="00F9716C" w:rsidRDefault="001D29E9" w:rsidP="00E506D1">
      <w:pPr>
        <w:spacing w:before="120"/>
        <w:ind w:right="141"/>
        <w:rPr>
          <w:color w:val="414042" w:themeColor="text1"/>
        </w:rPr>
      </w:pPr>
      <w:bookmarkStart w:id="1012" w:name="_Toc102038027"/>
      <w:bookmarkStart w:id="1013" w:name="_Toc102038388"/>
      <w:bookmarkStart w:id="1014" w:name="_Toc102038749"/>
      <w:bookmarkStart w:id="1015" w:name="_Toc102039101"/>
      <w:bookmarkStart w:id="1016" w:name="_Toc102039450"/>
      <w:bookmarkStart w:id="1017" w:name="_Toc102039812"/>
      <w:bookmarkStart w:id="1018" w:name="_Toc102040169"/>
      <w:bookmarkStart w:id="1019" w:name="_Toc102040497"/>
      <w:bookmarkStart w:id="1020" w:name="_Toc102040831"/>
      <w:bookmarkStart w:id="1021" w:name="_Toc102041159"/>
      <w:bookmarkStart w:id="1022" w:name="_Toc102041488"/>
      <w:bookmarkStart w:id="1023" w:name="_Toc102041820"/>
      <w:bookmarkStart w:id="1024" w:name="_Toc102042147"/>
      <w:bookmarkStart w:id="1025" w:name="_Toc102042477"/>
      <w:bookmarkStart w:id="1026" w:name="_Toc102045607"/>
      <w:bookmarkStart w:id="1027" w:name="_Hlk109825222"/>
      <w:r w:rsidRPr="00F9716C">
        <w:rPr>
          <w:color w:val="414042" w:themeColor="text1"/>
        </w:rPr>
        <w:t>We continued to support the development of our critical capabilities and digital transformation by providing investment and training to:</w:t>
      </w:r>
    </w:p>
    <w:p w14:paraId="5EDFF04E" w14:textId="77777777" w:rsidR="001D29E9" w:rsidRPr="001332D3" w:rsidRDefault="001D29E9" w:rsidP="001332D3">
      <w:pPr>
        <w:pStyle w:val="Bulletpoints0"/>
      </w:pPr>
      <w:r w:rsidRPr="001332D3">
        <w:t>improve our crime and corruption investigations, legal, intelligence and finance capability.</w:t>
      </w:r>
    </w:p>
    <w:p w14:paraId="5012CCD5" w14:textId="77777777" w:rsidR="001D29E9" w:rsidRPr="001332D3" w:rsidRDefault="001D29E9" w:rsidP="001332D3">
      <w:pPr>
        <w:pStyle w:val="Bulletpoints0"/>
      </w:pPr>
      <w:r w:rsidRPr="001332D3">
        <w:t>maintain our strong governance, risk and compliance culture, and</w:t>
      </w:r>
    </w:p>
    <w:p w14:paraId="7C48E1D0" w14:textId="77777777" w:rsidR="001D29E9" w:rsidRPr="001332D3" w:rsidRDefault="001D29E9" w:rsidP="001332D3">
      <w:pPr>
        <w:pStyle w:val="Bulletpoints0"/>
      </w:pPr>
      <w:r w:rsidRPr="001332D3">
        <w:t>fully utilise our online workplace compliance training system (CCCLearning).</w:t>
      </w:r>
    </w:p>
    <w:p w14:paraId="130BF1FC" w14:textId="651AD5B7" w:rsidR="001D29E9" w:rsidRPr="001332D3" w:rsidRDefault="003D7D83" w:rsidP="003D7D83">
      <w:pPr>
        <w:pStyle w:val="Bulletpoints0"/>
        <w:numPr>
          <w:ilvl w:val="0"/>
          <w:numId w:val="0"/>
        </w:numPr>
      </w:pPr>
      <w:r>
        <w:br w:type="column"/>
      </w:r>
      <w:r w:rsidR="001D29E9" w:rsidRPr="001332D3">
        <w:t>We continued to support our people through:</w:t>
      </w:r>
    </w:p>
    <w:p w14:paraId="4C4F091E" w14:textId="5185CD15" w:rsidR="001D29E9" w:rsidRPr="00F9716C" w:rsidRDefault="001D29E9" w:rsidP="001332D3">
      <w:pPr>
        <w:pStyle w:val="Bulletpoints0"/>
      </w:pPr>
      <w:r w:rsidRPr="001332D3">
        <w:t>facilitat</w:t>
      </w:r>
      <w:r w:rsidR="003575B0" w:rsidRPr="001332D3">
        <w:t>ing</w:t>
      </w:r>
      <w:r w:rsidRPr="001332D3">
        <w:t xml:space="preserve"> access to self-directed discretionary learning through our IT-enabled platform, CCCLearning</w:t>
      </w:r>
    </w:p>
    <w:p w14:paraId="0F1DA310" w14:textId="4B1F3405" w:rsidR="001D29E9" w:rsidRPr="001332D3" w:rsidRDefault="001D29E9" w:rsidP="001332D3">
      <w:pPr>
        <w:pStyle w:val="Bulletpoints0"/>
      </w:pPr>
      <w:r w:rsidRPr="001332D3">
        <w:t>assist</w:t>
      </w:r>
      <w:r w:rsidR="003575B0" w:rsidRPr="001332D3">
        <w:t>ing</w:t>
      </w:r>
      <w:r w:rsidRPr="001332D3">
        <w:t xml:space="preserve"> our people with their ongoing professional development by supporting opportunities to attend a range of workshops, seminars and conferences</w:t>
      </w:r>
    </w:p>
    <w:p w14:paraId="7F054425" w14:textId="76446DC6" w:rsidR="001D29E9" w:rsidRPr="001332D3" w:rsidRDefault="001D29E9" w:rsidP="001332D3">
      <w:pPr>
        <w:pStyle w:val="Bulletpoints0"/>
      </w:pPr>
      <w:r w:rsidRPr="001332D3">
        <w:t>support</w:t>
      </w:r>
      <w:r w:rsidR="003575B0" w:rsidRPr="001332D3">
        <w:t>ing</w:t>
      </w:r>
      <w:r w:rsidRPr="001332D3">
        <w:t xml:space="preserve"> staff to undertake tertiary study by providing financial assistance toward their course fees and granting study leave (eleven employees), and</w:t>
      </w:r>
    </w:p>
    <w:p w14:paraId="08144D82" w14:textId="4F3C7843" w:rsidR="001D29E9" w:rsidRPr="001332D3" w:rsidRDefault="001D29E9" w:rsidP="001332D3">
      <w:pPr>
        <w:pStyle w:val="Bulletpoints0"/>
      </w:pPr>
      <w:r w:rsidRPr="001332D3">
        <w:t>support</w:t>
      </w:r>
      <w:r w:rsidR="003575B0" w:rsidRPr="001332D3">
        <w:t>ing</w:t>
      </w:r>
      <w:r w:rsidRPr="001332D3">
        <w:t xml:space="preserve"> our specialists by reimbursing between 50 and 100 per cent of their professional membership fees (16 employees).</w:t>
      </w:r>
    </w:p>
    <w:p w14:paraId="0DEE36B1" w14:textId="70E757DF" w:rsidR="001D29E9" w:rsidRPr="00F9716C" w:rsidRDefault="001D29E9" w:rsidP="001D29E9">
      <w:pPr>
        <w:pStyle w:val="Bullets"/>
        <w:rPr>
          <w:color w:val="414042" w:themeColor="text1"/>
        </w:rPr>
      </w:pPr>
      <w:bookmarkStart w:id="1028" w:name="_Hlk173237223"/>
      <w:r w:rsidRPr="00F9716C">
        <w:rPr>
          <w:color w:val="414042" w:themeColor="text1"/>
        </w:rPr>
        <w:t>Throughout the year, the CCC delivered workshops and presentations in response to emerging trends including:</w:t>
      </w:r>
    </w:p>
    <w:p w14:paraId="06B4DC33" w14:textId="77777777" w:rsidR="001D29E9" w:rsidRPr="00F9716C" w:rsidRDefault="001D29E9" w:rsidP="006900F6">
      <w:pPr>
        <w:pStyle w:val="Bulletpoints0"/>
      </w:pPr>
      <w:r w:rsidRPr="00F9716C">
        <w:t>cryptocurrency</w:t>
      </w:r>
    </w:p>
    <w:p w14:paraId="63705755" w14:textId="77777777" w:rsidR="001D29E9" w:rsidRPr="00F9716C" w:rsidRDefault="001D29E9" w:rsidP="006900F6">
      <w:pPr>
        <w:pStyle w:val="Bulletpoints0"/>
      </w:pPr>
      <w:r w:rsidRPr="00F9716C">
        <w:t>public interest disclosures</w:t>
      </w:r>
    </w:p>
    <w:p w14:paraId="67D34AAB" w14:textId="77777777" w:rsidR="001D29E9" w:rsidRPr="00F9716C" w:rsidRDefault="001D29E9" w:rsidP="006900F6">
      <w:pPr>
        <w:pStyle w:val="Bulletpoints0"/>
      </w:pPr>
      <w:r w:rsidRPr="00F9716C">
        <w:t>procurement fraud</w:t>
      </w:r>
    </w:p>
    <w:p w14:paraId="683B2BEE" w14:textId="77777777" w:rsidR="001D29E9" w:rsidRPr="00F9716C" w:rsidRDefault="001D29E9" w:rsidP="006900F6">
      <w:pPr>
        <w:pStyle w:val="Bulletpoints0"/>
      </w:pPr>
      <w:r w:rsidRPr="00F9716C">
        <w:t>human rights</w:t>
      </w:r>
    </w:p>
    <w:p w14:paraId="411147B7" w14:textId="12BF40AA" w:rsidR="001D29E9" w:rsidRPr="00F9716C" w:rsidRDefault="001D29E9" w:rsidP="001332D3">
      <w:pPr>
        <w:pStyle w:val="Bulletpoints0"/>
      </w:pPr>
      <w:r w:rsidRPr="00F9716C">
        <w:t>procedural fairness</w:t>
      </w:r>
      <w:r w:rsidR="00AF0675" w:rsidRPr="00F9716C">
        <w:t>.</w:t>
      </w:r>
      <w:r w:rsidR="0041749C">
        <w:br/>
      </w:r>
    </w:p>
    <w:bookmarkEnd w:id="1028"/>
    <w:p w14:paraId="4F68F585" w14:textId="2454CEEA" w:rsidR="0080529C" w:rsidRPr="00F9716C" w:rsidRDefault="0080529C" w:rsidP="001332D3">
      <w:pPr>
        <w:pStyle w:val="Heading4"/>
        <w:ind w:right="140"/>
      </w:pPr>
      <w:r w:rsidRPr="00F9716C">
        <w:t>Developing great leaders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6C519322" w14:textId="4B7A409A" w:rsidR="00B77ED6" w:rsidRPr="00F9716C" w:rsidRDefault="00B77ED6" w:rsidP="001332D3">
      <w:pPr>
        <w:spacing w:before="120" w:after="120"/>
        <w:ind w:right="140"/>
        <w:rPr>
          <w:color w:val="414042" w:themeColor="text1"/>
        </w:rPr>
      </w:pPr>
      <w:r w:rsidRPr="00F9716C">
        <w:rPr>
          <w:color w:val="414042" w:themeColor="text1"/>
        </w:rPr>
        <w:t>We provide continuous support to our leaders, empowering them to exhibit adaptive leadership amidst an evolving environment. We anticipate that our leaders will exemplify the behaviours aligned with organisational values</w:t>
      </w:r>
      <w:r w:rsidR="00C71768" w:rsidRPr="00F9716C">
        <w:rPr>
          <w:color w:val="414042" w:themeColor="text1"/>
        </w:rPr>
        <w:t>.</w:t>
      </w:r>
    </w:p>
    <w:p w14:paraId="777B981A" w14:textId="4A710174" w:rsidR="0080529C" w:rsidRPr="00F9716C" w:rsidRDefault="0080529C" w:rsidP="001332D3">
      <w:pPr>
        <w:spacing w:before="120" w:after="120"/>
        <w:ind w:right="140"/>
        <w:rPr>
          <w:color w:val="414042" w:themeColor="text1"/>
        </w:rPr>
      </w:pPr>
      <w:r w:rsidRPr="00F9716C">
        <w:rPr>
          <w:color w:val="414042" w:themeColor="text1"/>
        </w:rPr>
        <w:t>This year, we supported:</w:t>
      </w:r>
    </w:p>
    <w:bookmarkEnd w:id="1027"/>
    <w:p w14:paraId="562A7E15" w14:textId="6506BBB7" w:rsidR="00B77ED6" w:rsidRPr="00F9716C" w:rsidRDefault="003575B0" w:rsidP="001332D3">
      <w:pPr>
        <w:pStyle w:val="Bulletpoints0"/>
      </w:pPr>
      <w:r w:rsidRPr="00F9716C">
        <w:t>f</w:t>
      </w:r>
      <w:r w:rsidR="00F97255" w:rsidRPr="00F9716C">
        <w:t>ifty</w:t>
      </w:r>
      <w:r w:rsidR="00B77ED6" w:rsidRPr="00F9716C">
        <w:t xml:space="preserve"> of our leaders to undertake a program to develop personal, business and team leadership capabilities</w:t>
      </w:r>
      <w:r w:rsidRPr="00F9716C">
        <w:t xml:space="preserve">, </w:t>
      </w:r>
      <w:r w:rsidR="00B77ED6" w:rsidRPr="00F9716C">
        <w:t>and</w:t>
      </w:r>
    </w:p>
    <w:p w14:paraId="3733D774" w14:textId="4853D841" w:rsidR="00B77ED6" w:rsidRPr="00F9716C" w:rsidRDefault="003575B0" w:rsidP="001332D3">
      <w:pPr>
        <w:pStyle w:val="Bulletpoints0"/>
      </w:pPr>
      <w:r w:rsidRPr="00F9716C">
        <w:t>e</w:t>
      </w:r>
      <w:r w:rsidR="00F97255" w:rsidRPr="00F9716C">
        <w:t>leven</w:t>
      </w:r>
      <w:r w:rsidR="00B77ED6" w:rsidRPr="00F9716C">
        <w:t xml:space="preserve"> of our employees to undertake a program to develop and build their capability in emotional intelligence.</w:t>
      </w:r>
    </w:p>
    <w:p w14:paraId="4CD0ED9E" w14:textId="3F6C06DC" w:rsidR="002431DF" w:rsidRPr="00F9716C" w:rsidRDefault="002431DF" w:rsidP="001332D3">
      <w:pPr>
        <w:spacing w:after="120"/>
        <w:ind w:left="28" w:right="140"/>
        <w:rPr>
          <w:color w:val="414042" w:themeColor="text1"/>
        </w:rPr>
      </w:pPr>
      <w:r w:rsidRPr="00F9716C">
        <w:rPr>
          <w:color w:val="414042" w:themeColor="text1"/>
        </w:rPr>
        <w:t>In response to CCC critical skills identified through workforce strategy planning processes</w:t>
      </w:r>
      <w:r w:rsidR="00F50A28" w:rsidRPr="00F9716C">
        <w:rPr>
          <w:color w:val="414042" w:themeColor="text1"/>
        </w:rPr>
        <w:t>,</w:t>
      </w:r>
      <w:r w:rsidRPr="00F9716C">
        <w:rPr>
          <w:color w:val="414042" w:themeColor="text1"/>
        </w:rPr>
        <w:t xml:space="preserve"> a new panel of providers has been established to deliver customised leadership and management development to further extend leader capability across the CCC.</w:t>
      </w:r>
    </w:p>
    <w:p w14:paraId="5DCFA9F4" w14:textId="77777777" w:rsidR="00EB0C8D" w:rsidRPr="00F9716C" w:rsidRDefault="00EB0C8D" w:rsidP="001332D3">
      <w:pPr>
        <w:spacing w:after="120"/>
        <w:ind w:right="140"/>
        <w:rPr>
          <w:color w:val="414042" w:themeColor="text1"/>
        </w:rPr>
      </w:pPr>
    </w:p>
    <w:p w14:paraId="5177B552" w14:textId="77777777" w:rsidR="00A55411" w:rsidRPr="00F9716C" w:rsidRDefault="00A55411" w:rsidP="002431DF">
      <w:pPr>
        <w:spacing w:after="120"/>
        <w:ind w:right="-285"/>
        <w:rPr>
          <w:color w:val="414042" w:themeColor="text1"/>
        </w:rPr>
        <w:sectPr w:rsidR="00A55411" w:rsidRPr="00F9716C" w:rsidSect="00EB0C8D">
          <w:pgSz w:w="11906" w:h="16838" w:code="9"/>
          <w:pgMar w:top="2155" w:right="1134" w:bottom="964" w:left="1134" w:header="720" w:footer="284" w:gutter="0"/>
          <w:cols w:num="2" w:space="566"/>
          <w:noEndnote/>
          <w:docGrid w:linePitch="272"/>
        </w:sectPr>
      </w:pPr>
    </w:p>
    <w:p w14:paraId="681AAEC2" w14:textId="77777777" w:rsidR="00EB0C8D" w:rsidRPr="00F9716C" w:rsidRDefault="00EB0C8D" w:rsidP="00E41B49">
      <w:pPr>
        <w:pStyle w:val="Figuretableheading0"/>
        <w:sectPr w:rsidR="00EB0C8D" w:rsidRPr="00F9716C" w:rsidSect="00EB0C8D">
          <w:pgSz w:w="11906" w:h="16838" w:code="9"/>
          <w:pgMar w:top="2155" w:right="1134" w:bottom="964" w:left="1134" w:header="720" w:footer="284" w:gutter="0"/>
          <w:cols w:num="2" w:space="566"/>
          <w:noEndnote/>
          <w:docGrid w:linePitch="272"/>
        </w:sectPr>
      </w:pPr>
      <w:bookmarkStart w:id="1029" w:name="_Hlk172030086"/>
    </w:p>
    <w:p w14:paraId="3AD53D4D" w14:textId="529D212C" w:rsidR="00EB5A70" w:rsidRPr="00F9716C" w:rsidRDefault="00BB2647" w:rsidP="00E41B49">
      <w:pPr>
        <w:pStyle w:val="Figuretableheading0"/>
      </w:pPr>
      <w:r w:rsidRPr="00F9716C">
        <w:t xml:space="preserve">Figure </w:t>
      </w:r>
      <w:r w:rsidR="000242E9" w:rsidRPr="00F9716C">
        <w:t>20</w:t>
      </w:r>
      <w:r w:rsidR="002F5959" w:rsidRPr="00F9716C">
        <w:t>:</w:t>
      </w:r>
      <w:r w:rsidRPr="00F9716C">
        <w:t xml:space="preserve"> Investment in the training and development of our people from 2019–20 to 2023–24</w:t>
      </w:r>
    </w:p>
    <w:p w14:paraId="1E556E1A" w14:textId="77777777" w:rsidR="00BB2647" w:rsidRPr="00F9716C" w:rsidRDefault="00BB2647" w:rsidP="00BB2647">
      <w:pPr>
        <w:rPr>
          <w:color w:val="414042" w:themeColor="text1"/>
        </w:rPr>
        <w:sectPr w:rsidR="00BB2647" w:rsidRPr="00F9716C" w:rsidSect="002C1DDB">
          <w:headerReference w:type="even" r:id="rId203"/>
          <w:headerReference w:type="default" r:id="rId204"/>
          <w:headerReference w:type="first" r:id="rId205"/>
          <w:type w:val="continuous"/>
          <w:pgSz w:w="11906" w:h="16838" w:code="9"/>
          <w:pgMar w:top="2155" w:right="1134" w:bottom="964" w:left="1134" w:header="720" w:footer="284" w:gutter="0"/>
          <w:cols w:space="567"/>
          <w:noEndnote/>
          <w:docGrid w:linePitch="272"/>
        </w:sectPr>
      </w:pPr>
    </w:p>
    <w:p w14:paraId="5E07E5C7" w14:textId="50098D66" w:rsidR="00BB2647" w:rsidRPr="00F9716C" w:rsidRDefault="00F02C45" w:rsidP="00BB2647">
      <w:pPr>
        <w:rPr>
          <w:color w:val="414042" w:themeColor="text1"/>
        </w:rPr>
        <w:sectPr w:rsidR="00BB2647" w:rsidRPr="00F9716C" w:rsidSect="002C1DDB">
          <w:type w:val="continuous"/>
          <w:pgSz w:w="11906" w:h="16838" w:code="9"/>
          <w:pgMar w:top="2155" w:right="1134" w:bottom="964" w:left="1134" w:header="720" w:footer="284" w:gutter="0"/>
          <w:cols w:space="567"/>
          <w:noEndnote/>
          <w:docGrid w:linePitch="272"/>
        </w:sectPr>
      </w:pPr>
      <w:r w:rsidRPr="0047525A">
        <w:rPr>
          <w:noProof/>
          <w:color w:val="414042" w:themeColor="text1"/>
        </w:rPr>
        <w:drawing>
          <wp:inline distT="0" distB="0" distL="0" distR="0" wp14:anchorId="4E4F7657" wp14:editId="46448567">
            <wp:extent cx="6120130" cy="1927225"/>
            <wp:effectExtent l="0" t="0" r="0" b="0"/>
            <wp:docPr id="34" name="Chart 34">
              <a:extLst xmlns:a="http://schemas.openxmlformats.org/drawingml/2006/main">
                <a:ext uri="{FF2B5EF4-FFF2-40B4-BE49-F238E27FC236}">
                  <a16:creationId xmlns:a16="http://schemas.microsoft.com/office/drawing/2014/main" id="{E80E61D7-8BA1-45C1-8FDC-B4B6E854D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bookmarkEnd w:id="1029"/>
    <w:p w14:paraId="7E423C30" w14:textId="5184F5BF" w:rsidR="0080529C" w:rsidRPr="00586639" w:rsidRDefault="00F97255" w:rsidP="00586639">
      <w:pPr>
        <w:pStyle w:val="Notes1"/>
      </w:pPr>
      <w:r w:rsidRPr="00586639">
        <w:t>Notes:</w:t>
      </w:r>
    </w:p>
    <w:p w14:paraId="176D28B8" w14:textId="258E260F" w:rsidR="00F97255" w:rsidRPr="00586639" w:rsidRDefault="00F97255" w:rsidP="002F23D4">
      <w:pPr>
        <w:pStyle w:val="Notes1"/>
        <w:numPr>
          <w:ilvl w:val="0"/>
          <w:numId w:val="67"/>
        </w:numPr>
      </w:pPr>
      <w:r w:rsidRPr="00586639">
        <w:t>23–24 figures include direct professional development and training cost, plus Study Assistance and Professional Membership payments.</w:t>
      </w:r>
    </w:p>
    <w:p w14:paraId="07DD33DE" w14:textId="78C72369" w:rsidR="00F97255" w:rsidRPr="00586639" w:rsidRDefault="00F97255" w:rsidP="002F23D4">
      <w:pPr>
        <w:pStyle w:val="Notes1"/>
        <w:numPr>
          <w:ilvl w:val="0"/>
          <w:numId w:val="67"/>
        </w:numPr>
      </w:pPr>
      <w:r w:rsidRPr="00586639">
        <w:t>21–22 previously reported figure does not include Professional Membership payments</w:t>
      </w:r>
      <w:r w:rsidR="00F178A7" w:rsidRPr="00586639">
        <w:t>.</w:t>
      </w:r>
    </w:p>
    <w:p w14:paraId="7793EC3D" w14:textId="72927CB5" w:rsidR="00F97255" w:rsidRPr="00586639" w:rsidRDefault="00F97255" w:rsidP="002F23D4">
      <w:pPr>
        <w:pStyle w:val="Notes1"/>
        <w:numPr>
          <w:ilvl w:val="0"/>
          <w:numId w:val="67"/>
        </w:numPr>
      </w:pPr>
      <w:r w:rsidRPr="00586639">
        <w:t xml:space="preserve">20–21 previously </w:t>
      </w:r>
      <w:r w:rsidR="00F178A7" w:rsidRPr="00586639">
        <w:t>reported figure does not include Study Assistance or Professional Membership payments.</w:t>
      </w:r>
    </w:p>
    <w:p w14:paraId="1EA13320" w14:textId="77777777" w:rsidR="00F97255" w:rsidRPr="00F9716C" w:rsidRDefault="00F97255" w:rsidP="0080529C">
      <w:pPr>
        <w:rPr>
          <w:color w:val="414042" w:themeColor="text1"/>
        </w:rPr>
        <w:sectPr w:rsidR="00F97255" w:rsidRPr="00F9716C" w:rsidSect="00F97255">
          <w:headerReference w:type="even" r:id="rId207"/>
          <w:headerReference w:type="default" r:id="rId208"/>
          <w:headerReference w:type="first" r:id="rId209"/>
          <w:type w:val="continuous"/>
          <w:pgSz w:w="11906" w:h="16838" w:code="9"/>
          <w:pgMar w:top="2155" w:right="1134" w:bottom="964" w:left="1134" w:header="720" w:footer="284" w:gutter="0"/>
          <w:cols w:space="567"/>
          <w:noEndnote/>
          <w:docGrid w:linePitch="272"/>
        </w:sectPr>
      </w:pPr>
    </w:p>
    <w:p w14:paraId="065FA748" w14:textId="77777777" w:rsidR="00F97255" w:rsidRPr="00F9716C" w:rsidRDefault="00F97255" w:rsidP="00B02BC4">
      <w:pPr>
        <w:pStyle w:val="Heading4"/>
        <w:sectPr w:rsidR="00F97255" w:rsidRPr="00F9716C" w:rsidSect="00C16602">
          <w:headerReference w:type="even" r:id="rId210"/>
          <w:headerReference w:type="default" r:id="rId211"/>
          <w:headerReference w:type="first" r:id="rId212"/>
          <w:type w:val="continuous"/>
          <w:pgSz w:w="11906" w:h="16838" w:code="9"/>
          <w:pgMar w:top="2155" w:right="1134" w:bottom="964" w:left="1134" w:header="720" w:footer="284" w:gutter="0"/>
          <w:cols w:num="2" w:space="567"/>
          <w:noEndnote/>
          <w:docGrid w:linePitch="272"/>
        </w:sectPr>
      </w:pPr>
    </w:p>
    <w:p w14:paraId="5BCDDD9F" w14:textId="77777777" w:rsidR="0080529C" w:rsidRPr="00F9716C" w:rsidRDefault="0080529C" w:rsidP="00C048C0">
      <w:pPr>
        <w:pStyle w:val="Heading4"/>
        <w:ind w:right="283"/>
      </w:pPr>
      <w:r w:rsidRPr="00F9716C">
        <w:t>Supporting reconciliation</w:t>
      </w:r>
    </w:p>
    <w:p w14:paraId="209D76F9" w14:textId="0972F0F4" w:rsidR="00D20741" w:rsidRPr="00F9716C" w:rsidRDefault="00D20741" w:rsidP="00C048C0">
      <w:pPr>
        <w:spacing w:before="120"/>
        <w:ind w:right="283"/>
        <w:rPr>
          <w:color w:val="414042" w:themeColor="text1"/>
        </w:rPr>
      </w:pPr>
      <w:r w:rsidRPr="00F9716C">
        <w:rPr>
          <w:color w:val="414042" w:themeColor="text1"/>
        </w:rPr>
        <w:t xml:space="preserve">The CCC has made a commitment to reconciliation in Australia through the development and implementation of its own </w:t>
      </w:r>
      <w:r w:rsidRPr="00F9716C">
        <w:rPr>
          <w:i/>
          <w:iCs/>
          <w:color w:val="414042" w:themeColor="text1"/>
        </w:rPr>
        <w:t>Reconciliation Action Plan</w:t>
      </w:r>
      <w:r w:rsidRPr="00F9716C">
        <w:rPr>
          <w:color w:val="414042" w:themeColor="text1"/>
        </w:rPr>
        <w:t xml:space="preserve"> (RAP) in partnership with Reconciliation Australia. The CCC’s RAP is a living document that implements actions to build on respectful relationships and create opportunities with Aboriginal and Torres Strait </w:t>
      </w:r>
      <w:r w:rsidR="00D7062D" w:rsidRPr="00F9716C">
        <w:rPr>
          <w:color w:val="414042" w:themeColor="text1"/>
        </w:rPr>
        <w:t>Islander peoples</w:t>
      </w:r>
      <w:r w:rsidRPr="00F9716C">
        <w:rPr>
          <w:color w:val="414042" w:themeColor="text1"/>
        </w:rPr>
        <w:t>.</w:t>
      </w:r>
    </w:p>
    <w:p w14:paraId="790989CC" w14:textId="77777777" w:rsidR="005C6ACE" w:rsidRPr="00F9716C" w:rsidRDefault="005C6ACE" w:rsidP="00C048C0">
      <w:pPr>
        <w:spacing w:before="120"/>
        <w:ind w:right="283"/>
        <w:rPr>
          <w:color w:val="414042" w:themeColor="text1"/>
        </w:rPr>
      </w:pPr>
      <w:r w:rsidRPr="00F9716C">
        <w:rPr>
          <w:color w:val="414042" w:themeColor="text1"/>
        </w:rPr>
        <w:t xml:space="preserve">Our focus is on advancing our contribution to reconciliation through fostering an inclusive culture that promotes employee well-being, collaboration, innovation, and engagement.  </w:t>
      </w:r>
    </w:p>
    <w:p w14:paraId="53E9FDBB" w14:textId="23ED6405" w:rsidR="00D20741" w:rsidRPr="00F9716C" w:rsidRDefault="00D20741" w:rsidP="00C048C0">
      <w:pPr>
        <w:spacing w:before="120"/>
        <w:ind w:right="283"/>
        <w:rPr>
          <w:color w:val="414042" w:themeColor="text1"/>
        </w:rPr>
      </w:pPr>
      <w:r w:rsidRPr="00F9716C">
        <w:rPr>
          <w:color w:val="414042" w:themeColor="text1"/>
        </w:rPr>
        <w:t>The CCC</w:t>
      </w:r>
      <w:r w:rsidR="005C6ACE" w:rsidRPr="00F9716C">
        <w:rPr>
          <w:color w:val="414042" w:themeColor="text1"/>
        </w:rPr>
        <w:t xml:space="preserve">’s aim is to </w:t>
      </w:r>
      <w:r w:rsidRPr="00F9716C">
        <w:rPr>
          <w:color w:val="414042" w:themeColor="text1"/>
        </w:rPr>
        <w:t xml:space="preserve">strengthen long and ongoing relationships with </w:t>
      </w:r>
      <w:r w:rsidR="0029547B" w:rsidRPr="00F9716C">
        <w:rPr>
          <w:color w:val="414042" w:themeColor="text1"/>
        </w:rPr>
        <w:t xml:space="preserve">Aboriginal and Torres Strait </w:t>
      </w:r>
      <w:r w:rsidR="00D7062D" w:rsidRPr="00F9716C">
        <w:rPr>
          <w:color w:val="414042" w:themeColor="text1"/>
        </w:rPr>
        <w:t>Islander peoples</w:t>
      </w:r>
      <w:r w:rsidR="0029547B" w:rsidRPr="00F9716C">
        <w:rPr>
          <w:color w:val="414042" w:themeColor="text1"/>
        </w:rPr>
        <w:t xml:space="preserve"> </w:t>
      </w:r>
      <w:r w:rsidRPr="00F9716C">
        <w:rPr>
          <w:color w:val="414042" w:themeColor="text1"/>
        </w:rPr>
        <w:t>and their communities. The CCC serves an important function in responding to the needs and concerns</w:t>
      </w:r>
      <w:r w:rsidR="005C6ACE" w:rsidRPr="00F9716C">
        <w:rPr>
          <w:color w:val="414042" w:themeColor="text1"/>
        </w:rPr>
        <w:t xml:space="preserve"> of </w:t>
      </w:r>
      <w:r w:rsidR="0029547B" w:rsidRPr="00F9716C">
        <w:rPr>
          <w:color w:val="414042" w:themeColor="text1"/>
        </w:rPr>
        <w:t>Aboriginal and Torres Strait Islander</w:t>
      </w:r>
      <w:r w:rsidR="005C6ACE" w:rsidRPr="00F9716C">
        <w:rPr>
          <w:color w:val="414042" w:themeColor="text1"/>
        </w:rPr>
        <w:t xml:space="preserve"> peoples</w:t>
      </w:r>
      <w:r w:rsidRPr="00F9716C">
        <w:rPr>
          <w:color w:val="414042" w:themeColor="text1"/>
        </w:rPr>
        <w:t xml:space="preserve">, </w:t>
      </w:r>
      <w:r w:rsidR="005C6ACE" w:rsidRPr="00F9716C">
        <w:rPr>
          <w:color w:val="414042" w:themeColor="text1"/>
        </w:rPr>
        <w:t>i</w:t>
      </w:r>
      <w:r w:rsidRPr="00F9716C">
        <w:rPr>
          <w:color w:val="414042" w:themeColor="text1"/>
        </w:rPr>
        <w:t>n relation to criminal justice issues and good governance of public sector agencies.</w:t>
      </w:r>
    </w:p>
    <w:p w14:paraId="52B7CF84" w14:textId="77777777" w:rsidR="00D20741" w:rsidRPr="00F9716C" w:rsidRDefault="00D20741" w:rsidP="00C048C0">
      <w:pPr>
        <w:spacing w:before="120"/>
        <w:ind w:right="283"/>
        <w:rPr>
          <w:color w:val="414042" w:themeColor="text1"/>
        </w:rPr>
      </w:pPr>
      <w:r w:rsidRPr="00F9716C">
        <w:rPr>
          <w:color w:val="414042" w:themeColor="text1"/>
        </w:rPr>
        <w:t>Our vision is to partner with Aboriginal and Torres Strait Islander peoples to form lasting relationships based on mutual trust, respect and understanding in order to support our commitment for all Queenslanders to feel safe in the communities in which they live.</w:t>
      </w:r>
    </w:p>
    <w:p w14:paraId="646CC59C" w14:textId="03A30A25" w:rsidR="00A43BA5" w:rsidRDefault="00D20741" w:rsidP="00C048C0">
      <w:pPr>
        <w:spacing w:before="120"/>
        <w:ind w:right="283"/>
        <w:rPr>
          <w:color w:val="414042" w:themeColor="text1"/>
        </w:rPr>
      </w:pPr>
      <w:r w:rsidRPr="00F9716C">
        <w:rPr>
          <w:color w:val="414042" w:themeColor="text1"/>
        </w:rPr>
        <w:t xml:space="preserve">The </w:t>
      </w:r>
      <w:r w:rsidR="0029547B" w:rsidRPr="00F9716C">
        <w:rPr>
          <w:color w:val="414042" w:themeColor="text1"/>
        </w:rPr>
        <w:t xml:space="preserve">Aboriginal and Torres Strait </w:t>
      </w:r>
      <w:r w:rsidR="00D7062D" w:rsidRPr="00F9716C">
        <w:rPr>
          <w:color w:val="414042" w:themeColor="text1"/>
        </w:rPr>
        <w:t>Islander peoples</w:t>
      </w:r>
      <w:r w:rsidRPr="00F9716C">
        <w:rPr>
          <w:color w:val="414042" w:themeColor="text1"/>
        </w:rPr>
        <w:t xml:space="preserve"> Cultural Advisory Group </w:t>
      </w:r>
      <w:r w:rsidR="009B446D" w:rsidRPr="00F9716C">
        <w:rPr>
          <w:color w:val="414042" w:themeColor="text1"/>
        </w:rPr>
        <w:t>i</w:t>
      </w:r>
      <w:r w:rsidRPr="00F9716C">
        <w:rPr>
          <w:color w:val="414042" w:themeColor="text1"/>
        </w:rPr>
        <w:t xml:space="preserve">s a CCC Operational Committee established under the RAP to provide expert First Nations of Australia cultural advice to the CCC, to assist its delivery on RAP actions.  </w:t>
      </w:r>
      <w:r w:rsidR="00A43BA5">
        <w:rPr>
          <w:color w:val="414042" w:themeColor="text1"/>
        </w:rPr>
        <w:br w:type="column"/>
      </w:r>
    </w:p>
    <w:p w14:paraId="65D6987E" w14:textId="6A2339C9" w:rsidR="00D20741" w:rsidRPr="00F9716C" w:rsidRDefault="00D20741" w:rsidP="00C048C0">
      <w:pPr>
        <w:spacing w:before="120"/>
        <w:ind w:left="42" w:right="142"/>
        <w:rPr>
          <w:color w:val="414042" w:themeColor="text1"/>
        </w:rPr>
      </w:pPr>
      <w:r w:rsidRPr="00F9716C">
        <w:rPr>
          <w:color w:val="414042" w:themeColor="text1"/>
        </w:rPr>
        <w:t xml:space="preserve">This year, the Cultural Advisory Group met and established conversations regarding the continued development of our next </w:t>
      </w:r>
      <w:r w:rsidRPr="00F9716C">
        <w:rPr>
          <w:i/>
          <w:iCs/>
          <w:color w:val="414042" w:themeColor="text1"/>
        </w:rPr>
        <w:t>Reconciliation Action Plan</w:t>
      </w:r>
      <w:r w:rsidRPr="00F9716C">
        <w:rPr>
          <w:color w:val="414042" w:themeColor="text1"/>
        </w:rPr>
        <w:t>.</w:t>
      </w:r>
    </w:p>
    <w:p w14:paraId="0F5379D6" w14:textId="5C7AA5E4" w:rsidR="0080529C" w:rsidRPr="00F9716C" w:rsidRDefault="0080529C" w:rsidP="00C048C0">
      <w:pPr>
        <w:spacing w:before="120"/>
        <w:ind w:left="42" w:right="142"/>
        <w:rPr>
          <w:color w:val="414042" w:themeColor="text1"/>
        </w:rPr>
      </w:pPr>
      <w:r w:rsidRPr="00F9716C">
        <w:rPr>
          <w:color w:val="414042" w:themeColor="text1"/>
        </w:rPr>
        <w:t xml:space="preserve">As part of our cultural capability strategy, all CCC staff </w:t>
      </w:r>
      <w:r w:rsidR="00FC7CE7" w:rsidRPr="00F9716C">
        <w:rPr>
          <w:color w:val="414042" w:themeColor="text1"/>
        </w:rPr>
        <w:t>have</w:t>
      </w:r>
      <w:r w:rsidR="00D71975" w:rsidRPr="00F9716C">
        <w:rPr>
          <w:color w:val="414042" w:themeColor="text1"/>
        </w:rPr>
        <w:t xml:space="preserve"> complete</w:t>
      </w:r>
      <w:r w:rsidR="00FC7CE7" w:rsidRPr="00F9716C">
        <w:rPr>
          <w:color w:val="414042" w:themeColor="text1"/>
        </w:rPr>
        <w:t>d</w:t>
      </w:r>
      <w:r w:rsidRPr="00F9716C">
        <w:rPr>
          <w:color w:val="414042" w:themeColor="text1"/>
        </w:rPr>
        <w:t xml:space="preserve"> </w:t>
      </w:r>
      <w:r w:rsidR="009D7894" w:rsidRPr="00F9716C">
        <w:rPr>
          <w:color w:val="414042" w:themeColor="text1"/>
        </w:rPr>
        <w:t>the</w:t>
      </w:r>
      <w:r w:rsidR="00FC7CE7" w:rsidRPr="00F9716C">
        <w:rPr>
          <w:color w:val="414042" w:themeColor="text1"/>
        </w:rPr>
        <w:t xml:space="preserve"> mandatory</w:t>
      </w:r>
      <w:r w:rsidRPr="00F9716C">
        <w:rPr>
          <w:color w:val="414042" w:themeColor="text1"/>
        </w:rPr>
        <w:t xml:space="preserve"> cultural awareness training module based on Evolve Communities’ </w:t>
      </w:r>
      <w:r w:rsidRPr="00F9716C">
        <w:rPr>
          <w:i/>
          <w:iCs/>
          <w:color w:val="414042" w:themeColor="text1"/>
        </w:rPr>
        <w:t>7 Steps To Reconciliation’ Program</w:t>
      </w:r>
      <w:r w:rsidRPr="00F9716C">
        <w:rPr>
          <w:color w:val="414042" w:themeColor="text1"/>
        </w:rPr>
        <w:t xml:space="preserve">, aiming to: </w:t>
      </w:r>
    </w:p>
    <w:p w14:paraId="1075B7F9" w14:textId="5BCABD55" w:rsidR="0080529C" w:rsidRPr="006900F6" w:rsidRDefault="00D71975" w:rsidP="00C048C0">
      <w:pPr>
        <w:pStyle w:val="Bulletpoints0"/>
        <w:ind w:right="283"/>
      </w:pPr>
      <w:r w:rsidRPr="006900F6">
        <w:t>d</w:t>
      </w:r>
      <w:r w:rsidR="0080529C" w:rsidRPr="006900F6">
        <w:t>evelop appreciation and respect for Aboriginal and Torres Strait Islander history, traditions and culture</w:t>
      </w:r>
    </w:p>
    <w:p w14:paraId="0F1F8BE6" w14:textId="0BCE3B27" w:rsidR="0080529C" w:rsidRPr="006900F6" w:rsidRDefault="00D71975" w:rsidP="00C048C0">
      <w:pPr>
        <w:pStyle w:val="Bulletpoints0"/>
        <w:ind w:right="283"/>
      </w:pPr>
      <w:r w:rsidRPr="006900F6">
        <w:t>i</w:t>
      </w:r>
      <w:r w:rsidR="0080529C" w:rsidRPr="006900F6">
        <w:t>mprove understanding of the relevance of reconciliation in our workplace and how it is important to building and maintaining relationships with Aboriginal and Torres Strait Islander stakeholders</w:t>
      </w:r>
    </w:p>
    <w:p w14:paraId="4846B21F" w14:textId="0BD3F43B" w:rsidR="0080529C" w:rsidRPr="006900F6" w:rsidRDefault="00D71975" w:rsidP="00C048C0">
      <w:pPr>
        <w:pStyle w:val="Bulletpoints0"/>
        <w:ind w:right="283"/>
      </w:pPr>
      <w:r w:rsidRPr="006900F6">
        <w:t>i</w:t>
      </w:r>
      <w:r w:rsidR="0080529C" w:rsidRPr="006900F6">
        <w:t>ncrease cultural safety within our organisation to attract and retain Indigenous persons</w:t>
      </w:r>
    </w:p>
    <w:p w14:paraId="5B2C389C" w14:textId="0C3C995B" w:rsidR="0080529C" w:rsidRPr="006900F6" w:rsidRDefault="00D71975" w:rsidP="00C048C0">
      <w:pPr>
        <w:pStyle w:val="Bulletpoints0"/>
        <w:ind w:right="283"/>
      </w:pPr>
      <w:r w:rsidRPr="006900F6">
        <w:t>b</w:t>
      </w:r>
      <w:r w:rsidR="0080529C" w:rsidRPr="006900F6">
        <w:t>e, and be known as, a great place to work for all people, and be recognised as an organisation that values both its team and clients</w:t>
      </w:r>
    </w:p>
    <w:p w14:paraId="4A84A159" w14:textId="77777777" w:rsidR="0080529C" w:rsidRPr="006900F6" w:rsidRDefault="0080529C" w:rsidP="00C048C0">
      <w:pPr>
        <w:pStyle w:val="Bulletpoints0"/>
        <w:ind w:right="283"/>
      </w:pPr>
      <w:r w:rsidRPr="006900F6">
        <w:t>build individual confidence to work within Aboriginal and Torres Strait Islander communities in a culturally appropriate manner, and</w:t>
      </w:r>
    </w:p>
    <w:p w14:paraId="5D2EA3A7" w14:textId="77777777" w:rsidR="0080529C" w:rsidRPr="006900F6" w:rsidRDefault="0080529C" w:rsidP="00C048C0">
      <w:pPr>
        <w:pStyle w:val="Bulletpoints0"/>
        <w:ind w:right="283"/>
      </w:pPr>
      <w:r w:rsidRPr="006900F6">
        <w:t>inform individual perspectives of how culture shapes values, attitudes and behaviours.</w:t>
      </w:r>
    </w:p>
    <w:p w14:paraId="61493314" w14:textId="799B951A" w:rsidR="0080529C" w:rsidRPr="00F9716C" w:rsidRDefault="0080529C" w:rsidP="00A43BA5">
      <w:pPr>
        <w:spacing w:after="120"/>
        <w:ind w:right="142"/>
        <w:rPr>
          <w:color w:val="414042" w:themeColor="text1"/>
        </w:rPr>
      </w:pPr>
      <w:r w:rsidRPr="00F9716C">
        <w:rPr>
          <w:color w:val="414042" w:themeColor="text1"/>
        </w:rPr>
        <w:t>This program has also been incorporated into our ongoing training schedule for new staff.</w:t>
      </w:r>
    </w:p>
    <w:p w14:paraId="0E3E207B" w14:textId="04DC34F1" w:rsidR="006B21A6" w:rsidRPr="00F9716C" w:rsidRDefault="00210A29" w:rsidP="00C048C0">
      <w:pPr>
        <w:spacing w:after="120"/>
        <w:ind w:right="142"/>
        <w:rPr>
          <w:color w:val="414042" w:themeColor="text1"/>
        </w:rPr>
      </w:pPr>
      <w:r>
        <w:rPr>
          <w:color w:val="414042" w:themeColor="text1"/>
        </w:rPr>
        <w:br w:type="column"/>
      </w:r>
      <w:r w:rsidR="006B21A6" w:rsidRPr="00F9716C">
        <w:rPr>
          <w:color w:val="414042" w:themeColor="text1"/>
        </w:rPr>
        <w:t>In line with this year’s National Reconciliation Week theme ‘Now More Than Ever’, CCC staff were encouraged to be a voice for reconciliation in tangible ways in our everyday lives – including where we live, work and socialise.</w:t>
      </w:r>
    </w:p>
    <w:p w14:paraId="0763D9BF" w14:textId="17557666" w:rsidR="00D35CB6" w:rsidRPr="00F9716C" w:rsidRDefault="006B21A6" w:rsidP="00C048C0">
      <w:pPr>
        <w:spacing w:after="120"/>
        <w:ind w:right="142"/>
        <w:rPr>
          <w:color w:val="414042" w:themeColor="text1"/>
        </w:rPr>
      </w:pPr>
      <w:r w:rsidRPr="00F9716C">
        <w:rPr>
          <w:color w:val="414042" w:themeColor="text1"/>
        </w:rPr>
        <w:t>We have installed custom artwork throughout our workplace as a constant reminder and</w:t>
      </w:r>
      <w:r w:rsidR="003D7D83">
        <w:rPr>
          <w:color w:val="414042" w:themeColor="text1"/>
        </w:rPr>
        <w:t xml:space="preserve"> </w:t>
      </w:r>
      <w:r w:rsidRPr="00F9716C">
        <w:rPr>
          <w:color w:val="414042" w:themeColor="text1"/>
        </w:rPr>
        <w:t xml:space="preserve">acknowledgement of our ongoing work to respect </w:t>
      </w:r>
      <w:r w:rsidR="003D7D83">
        <w:rPr>
          <w:color w:val="414042" w:themeColor="text1"/>
        </w:rPr>
        <w:br/>
      </w:r>
      <w:r w:rsidRPr="00F9716C">
        <w:rPr>
          <w:color w:val="414042" w:themeColor="text1"/>
        </w:rPr>
        <w:t>First Nations peoples.</w:t>
      </w:r>
    </w:p>
    <w:p w14:paraId="2AA65DEE" w14:textId="7498077A" w:rsidR="0080529C" w:rsidRPr="00F9716C" w:rsidRDefault="0080529C" w:rsidP="00C048C0">
      <w:pPr>
        <w:pStyle w:val="Heading4"/>
        <w:ind w:right="142"/>
      </w:pPr>
      <w:r w:rsidRPr="00F9716C">
        <w:t>Respecting, promoting and protecting human rights</w:t>
      </w:r>
      <w:r w:rsidR="005B295D" w:rsidRPr="00F9716C">
        <w:t xml:space="preserve"> </w:t>
      </w:r>
    </w:p>
    <w:p w14:paraId="4B6E2CC8" w14:textId="77777777" w:rsidR="0080529C" w:rsidRPr="00F9716C" w:rsidRDefault="0080529C" w:rsidP="00C048C0">
      <w:pPr>
        <w:spacing w:before="120" w:after="120"/>
        <w:ind w:right="142"/>
        <w:rPr>
          <w:color w:val="414042" w:themeColor="text1"/>
        </w:rPr>
      </w:pPr>
      <w:r w:rsidRPr="00F9716C">
        <w:rPr>
          <w:color w:val="414042" w:themeColor="text1"/>
        </w:rPr>
        <w:t xml:space="preserve">In January 2020, the </w:t>
      </w:r>
      <w:r w:rsidRPr="00F9716C">
        <w:rPr>
          <w:i/>
          <w:iCs/>
          <w:color w:val="414042" w:themeColor="text1"/>
        </w:rPr>
        <w:t>Human Rights Act 2019</w:t>
      </w:r>
      <w:r w:rsidRPr="00F9716C">
        <w:rPr>
          <w:color w:val="414042" w:themeColor="text1"/>
        </w:rPr>
        <w:t xml:space="preserve"> (Qld) came into full effect. Since then, we have taken steps to ensure our actions and decisions comply with the requirements of the Act, including the 23 human rights.</w:t>
      </w:r>
    </w:p>
    <w:p w14:paraId="380F755B" w14:textId="6E53E018" w:rsidR="001D6760" w:rsidRPr="00F9716C" w:rsidRDefault="0080529C" w:rsidP="00C048C0">
      <w:pPr>
        <w:spacing w:before="120" w:after="120"/>
        <w:ind w:right="142"/>
        <w:rPr>
          <w:color w:val="414042" w:themeColor="text1"/>
        </w:rPr>
      </w:pPr>
      <w:bookmarkStart w:id="1030" w:name="_Hlk141812411"/>
      <w:r w:rsidRPr="00F9716C">
        <w:rPr>
          <w:color w:val="414042" w:themeColor="text1"/>
        </w:rPr>
        <w:t>In 202</w:t>
      </w:r>
      <w:r w:rsidR="001D6760" w:rsidRPr="00F9716C">
        <w:rPr>
          <w:color w:val="414042" w:themeColor="text1"/>
        </w:rPr>
        <w:t>3</w:t>
      </w:r>
      <w:r w:rsidRPr="00F9716C">
        <w:rPr>
          <w:color w:val="414042" w:themeColor="text1"/>
        </w:rPr>
        <w:t>–2</w:t>
      </w:r>
      <w:r w:rsidR="001D6760" w:rsidRPr="00F9716C">
        <w:rPr>
          <w:color w:val="414042" w:themeColor="text1"/>
        </w:rPr>
        <w:t>4</w:t>
      </w:r>
      <w:r w:rsidRPr="00F9716C">
        <w:rPr>
          <w:color w:val="414042" w:themeColor="text1"/>
        </w:rPr>
        <w:t xml:space="preserve">, </w:t>
      </w:r>
      <w:r w:rsidR="00295360" w:rsidRPr="00F9716C">
        <w:rPr>
          <w:color w:val="414042" w:themeColor="text1"/>
        </w:rPr>
        <w:t>no</w:t>
      </w:r>
      <w:r w:rsidRPr="00F9716C">
        <w:rPr>
          <w:color w:val="414042" w:themeColor="text1"/>
        </w:rPr>
        <w:t xml:space="preserve"> human rights complaints were notified to the </w:t>
      </w:r>
      <w:r w:rsidR="00295360" w:rsidRPr="00F9716C">
        <w:rPr>
          <w:color w:val="414042" w:themeColor="text1"/>
        </w:rPr>
        <w:t>CCC.</w:t>
      </w:r>
    </w:p>
    <w:bookmarkEnd w:id="1030"/>
    <w:p w14:paraId="389492C9" w14:textId="77777777" w:rsidR="0080529C" w:rsidRPr="00F9716C" w:rsidRDefault="0080529C" w:rsidP="00C048C0">
      <w:pPr>
        <w:spacing w:before="120" w:after="120"/>
        <w:ind w:right="142"/>
        <w:rPr>
          <w:color w:val="414042" w:themeColor="text1"/>
        </w:rPr>
      </w:pPr>
      <w:r w:rsidRPr="00F9716C">
        <w:rPr>
          <w:color w:val="414042" w:themeColor="text1"/>
        </w:rPr>
        <w:t>Throughout the reporting period, we continued to demonstrate our ongoing commitment to human rights by:</w:t>
      </w:r>
    </w:p>
    <w:p w14:paraId="36CFEE1B" w14:textId="77777777" w:rsidR="0080529C" w:rsidRPr="00F9716C" w:rsidRDefault="0080529C" w:rsidP="00A43BA5">
      <w:pPr>
        <w:pStyle w:val="Bulletpoints0"/>
        <w:ind w:right="142"/>
      </w:pPr>
      <w:r w:rsidRPr="00F9716C">
        <w:t xml:space="preserve">continuing our regular human rights training to ensure our people remain aware of their obligations under the </w:t>
      </w:r>
      <w:r w:rsidRPr="00F9716C">
        <w:rPr>
          <w:i/>
          <w:iCs/>
        </w:rPr>
        <w:t>Human Rights Act 2019</w:t>
      </w:r>
    </w:p>
    <w:p w14:paraId="61EE476A" w14:textId="77777777" w:rsidR="0080529C" w:rsidRPr="00F9716C" w:rsidRDefault="0080529C" w:rsidP="00A43BA5">
      <w:pPr>
        <w:pStyle w:val="Bulletpoints0"/>
        <w:ind w:right="142"/>
      </w:pPr>
      <w:r w:rsidRPr="00F9716C">
        <w:t>considering human rights in our strategic and operational planning activities</w:t>
      </w:r>
    </w:p>
    <w:p w14:paraId="0D36A3E6" w14:textId="244A29F0" w:rsidR="0080529C" w:rsidRPr="00F9716C" w:rsidRDefault="0080529C" w:rsidP="00A43BA5">
      <w:pPr>
        <w:pStyle w:val="Bulletpoints0"/>
        <w:ind w:right="142"/>
      </w:pPr>
      <w:r w:rsidRPr="00F9716C">
        <w:t xml:space="preserve">reflecting our commitment within our </w:t>
      </w:r>
      <w:r w:rsidRPr="00F9716C">
        <w:rPr>
          <w:i/>
          <w:iCs/>
        </w:rPr>
        <w:t>Strategic Plan 202</w:t>
      </w:r>
      <w:r w:rsidR="00132FAE" w:rsidRPr="00F9716C">
        <w:rPr>
          <w:i/>
          <w:iCs/>
        </w:rPr>
        <w:t>3</w:t>
      </w:r>
      <w:r w:rsidRPr="00F9716C">
        <w:rPr>
          <w:i/>
          <w:iCs/>
        </w:rPr>
        <w:t>–2</w:t>
      </w:r>
      <w:r w:rsidR="00132FAE" w:rsidRPr="00F9716C">
        <w:rPr>
          <w:i/>
          <w:iCs/>
        </w:rPr>
        <w:t>7</w:t>
      </w:r>
    </w:p>
    <w:p w14:paraId="043A61BC" w14:textId="77777777" w:rsidR="0080529C" w:rsidRPr="00F9716C" w:rsidRDefault="0080529C" w:rsidP="00A43BA5">
      <w:pPr>
        <w:pStyle w:val="Bulletpoints0"/>
        <w:ind w:right="142"/>
      </w:pPr>
      <w:r w:rsidRPr="00F9716C">
        <w:t>incorporating human rights considerations into our processes for handling complaints, making decisions and developing, amending or rescinding policies and procedures, and</w:t>
      </w:r>
    </w:p>
    <w:p w14:paraId="4EC41F18" w14:textId="77777777" w:rsidR="0080529C" w:rsidRPr="00F9716C" w:rsidRDefault="0080529C" w:rsidP="00A43BA5">
      <w:pPr>
        <w:pStyle w:val="Bulletpoints0"/>
        <w:ind w:right="142"/>
      </w:pPr>
      <w:r w:rsidRPr="00F9716C">
        <w:t xml:space="preserve">providing resources and guidance material that support our </w:t>
      </w:r>
      <w:r w:rsidRPr="00F9716C">
        <w:rPr>
          <w:i/>
          <w:iCs/>
        </w:rPr>
        <w:t>Human Rights Policy and Procedure.</w:t>
      </w:r>
    </w:p>
    <w:p w14:paraId="54E9C597" w14:textId="44ABE89E" w:rsidR="0080529C" w:rsidRPr="00F9716C" w:rsidRDefault="0080529C" w:rsidP="00A43BA5">
      <w:pPr>
        <w:spacing w:after="120"/>
        <w:ind w:left="28" w:right="142"/>
        <w:rPr>
          <w:color w:val="414042" w:themeColor="text1"/>
        </w:rPr>
      </w:pPr>
      <w:r w:rsidRPr="00F9716C">
        <w:rPr>
          <w:color w:val="414042" w:themeColor="text1"/>
        </w:rPr>
        <w:t>We continued to ensure that our acts and decisions did not limit human rights, or limit human rights only to the extent that was reasonable and demonstrably</w:t>
      </w:r>
      <w:r w:rsidR="00EB6817">
        <w:rPr>
          <w:color w:val="414042" w:themeColor="text1"/>
        </w:rPr>
        <w:t xml:space="preserve"> </w:t>
      </w:r>
      <w:r w:rsidRPr="00F9716C">
        <w:rPr>
          <w:color w:val="414042" w:themeColor="text1"/>
        </w:rPr>
        <w:t xml:space="preserve">justifiable, in accordance with section 13 of the </w:t>
      </w:r>
      <w:r w:rsidR="003D7D83">
        <w:rPr>
          <w:color w:val="414042" w:themeColor="text1"/>
        </w:rPr>
        <w:br/>
      </w:r>
      <w:r w:rsidRPr="00F9716C">
        <w:rPr>
          <w:i/>
          <w:iCs/>
          <w:color w:val="414042" w:themeColor="text1"/>
        </w:rPr>
        <w:t>Human Rights Act 2019</w:t>
      </w:r>
      <w:r w:rsidRPr="00F9716C">
        <w:rPr>
          <w:color w:val="414042" w:themeColor="text1"/>
        </w:rPr>
        <w:t>, for example:</w:t>
      </w:r>
    </w:p>
    <w:p w14:paraId="274E24F2" w14:textId="77777777" w:rsidR="0080529C" w:rsidRPr="00F9716C" w:rsidRDefault="0080529C" w:rsidP="00A43BA5">
      <w:pPr>
        <w:pStyle w:val="Bulletpoints0"/>
        <w:ind w:right="142"/>
      </w:pPr>
      <w:r w:rsidRPr="00F9716C">
        <w:t>decisions about the use of coercive powers and acting under coercive powers</w:t>
      </w:r>
    </w:p>
    <w:p w14:paraId="7BEC31C0" w14:textId="77777777" w:rsidR="0080529C" w:rsidRPr="00F9716C" w:rsidRDefault="0080529C" w:rsidP="00A43BA5">
      <w:pPr>
        <w:pStyle w:val="Bulletpoints0"/>
        <w:ind w:right="142"/>
      </w:pPr>
      <w:r w:rsidRPr="00F9716C">
        <w:t>decisions and actions in relation to corruption complaints and police misconduct complaints</w:t>
      </w:r>
    </w:p>
    <w:p w14:paraId="2F3D8AC9" w14:textId="77777777" w:rsidR="0080529C" w:rsidRPr="00F9716C" w:rsidRDefault="0080529C" w:rsidP="00A43BA5">
      <w:pPr>
        <w:pStyle w:val="Bulletpoints0"/>
        <w:ind w:right="142"/>
      </w:pPr>
      <w:r w:rsidRPr="00F9716C">
        <w:t>decisions and actions in relation to crime investigations and confiscation-related investigations, and</w:t>
      </w:r>
    </w:p>
    <w:p w14:paraId="74006477" w14:textId="77777777" w:rsidR="00974E3D" w:rsidRPr="00F9716C" w:rsidRDefault="0080529C" w:rsidP="00A43BA5">
      <w:pPr>
        <w:pStyle w:val="Bulletpoints0"/>
        <w:ind w:right="142"/>
      </w:pPr>
      <w:r w:rsidRPr="00F9716C">
        <w:t>developing, amending and rescinding policies and procedures.</w:t>
      </w:r>
      <w:bookmarkStart w:id="1031" w:name="_Toc102038016"/>
      <w:bookmarkStart w:id="1032" w:name="_Toc102038377"/>
      <w:bookmarkStart w:id="1033" w:name="_Toc102038738"/>
      <w:bookmarkStart w:id="1034" w:name="_Toc102039090"/>
      <w:bookmarkStart w:id="1035" w:name="_Toc102039439"/>
      <w:bookmarkStart w:id="1036" w:name="_Toc102039801"/>
      <w:bookmarkStart w:id="1037" w:name="_Toc102040158"/>
      <w:bookmarkStart w:id="1038" w:name="_Toc102040486"/>
      <w:bookmarkStart w:id="1039" w:name="_Toc102040820"/>
      <w:bookmarkStart w:id="1040" w:name="_Toc102041148"/>
      <w:bookmarkStart w:id="1041" w:name="_Toc102041477"/>
      <w:bookmarkStart w:id="1042" w:name="_Toc102041809"/>
      <w:bookmarkStart w:id="1043" w:name="_Toc102042136"/>
      <w:bookmarkStart w:id="1044" w:name="_Toc102042466"/>
      <w:bookmarkStart w:id="1045" w:name="_Toc102045596"/>
      <w:bookmarkStart w:id="1046" w:name="_Hlk74305195"/>
    </w:p>
    <w:p w14:paraId="56C1BC1C" w14:textId="7B407CCB" w:rsidR="0080529C" w:rsidRPr="00F9716C" w:rsidRDefault="0080529C" w:rsidP="00EB6817">
      <w:pPr>
        <w:pStyle w:val="Heading4"/>
        <w:ind w:left="284"/>
      </w:pPr>
      <w:r w:rsidRPr="00F9716C">
        <w:t>Focusing on wellbeing</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3768DE2E" w14:textId="4000A00F" w:rsidR="009B446D" w:rsidRPr="00F9716C" w:rsidRDefault="002001A8" w:rsidP="00EB6817">
      <w:pPr>
        <w:spacing w:before="80" w:after="80"/>
        <w:ind w:left="284" w:firstLine="11"/>
        <w:rPr>
          <w:color w:val="414042" w:themeColor="text1"/>
        </w:rPr>
      </w:pPr>
      <w:bookmarkStart w:id="1047" w:name="_Toc102038017"/>
      <w:bookmarkStart w:id="1048" w:name="_Toc102038378"/>
      <w:bookmarkStart w:id="1049" w:name="_Toc102038739"/>
      <w:bookmarkStart w:id="1050" w:name="_Toc102039091"/>
      <w:bookmarkStart w:id="1051" w:name="_Toc102039440"/>
      <w:bookmarkStart w:id="1052" w:name="_Toc102039802"/>
      <w:bookmarkStart w:id="1053" w:name="_Toc102040159"/>
      <w:bookmarkStart w:id="1054" w:name="_Toc102040487"/>
      <w:bookmarkStart w:id="1055" w:name="_Toc102040821"/>
      <w:bookmarkStart w:id="1056" w:name="_Toc102041149"/>
      <w:bookmarkStart w:id="1057" w:name="_Toc102041478"/>
      <w:bookmarkStart w:id="1058" w:name="_Toc102041810"/>
      <w:bookmarkStart w:id="1059" w:name="_Toc102042137"/>
      <w:bookmarkStart w:id="1060" w:name="_Toc102042467"/>
      <w:bookmarkStart w:id="1061" w:name="_Toc102045597"/>
      <w:bookmarkStart w:id="1062" w:name="_Hlk79497901"/>
      <w:r w:rsidRPr="00F9716C">
        <w:rPr>
          <w:color w:val="414042" w:themeColor="text1"/>
        </w:rPr>
        <w:t xml:space="preserve">The focus </w:t>
      </w:r>
      <w:r w:rsidR="006C0CD5" w:rsidRPr="00F9716C">
        <w:rPr>
          <w:color w:val="414042" w:themeColor="text1"/>
        </w:rPr>
        <w:t>on</w:t>
      </w:r>
      <w:r w:rsidRPr="00F9716C">
        <w:rPr>
          <w:color w:val="414042" w:themeColor="text1"/>
        </w:rPr>
        <w:t xml:space="preserve"> workplace wellbeing of our people, supporting the achievement of productivity, agility and resilience in the challenging work that we do is an ongoing commitment and focus. </w:t>
      </w:r>
    </w:p>
    <w:p w14:paraId="1C5BFA86" w14:textId="14EF3249" w:rsidR="002001A8" w:rsidRPr="00F9716C" w:rsidRDefault="002001A8" w:rsidP="00EB6817">
      <w:pPr>
        <w:spacing w:before="120" w:after="120"/>
        <w:ind w:left="284" w:firstLine="11"/>
        <w:rPr>
          <w:color w:val="414042" w:themeColor="text1"/>
        </w:rPr>
      </w:pPr>
      <w:r w:rsidRPr="00F9716C">
        <w:rPr>
          <w:color w:val="414042" w:themeColor="text1"/>
        </w:rPr>
        <w:t xml:space="preserve">Our </w:t>
      </w:r>
      <w:r w:rsidRPr="00F9716C">
        <w:rPr>
          <w:i/>
          <w:iCs/>
          <w:color w:val="414042" w:themeColor="text1"/>
        </w:rPr>
        <w:t>Wellbeing Plan 2023–24</w:t>
      </w:r>
      <w:r w:rsidRPr="00F9716C">
        <w:rPr>
          <w:color w:val="414042" w:themeColor="text1"/>
        </w:rPr>
        <w:t xml:space="preserve"> continues on previous plans to ensure our people have the right level of support to meet their needs when and how they require it. The plan promoted a range of solutions for professional, peer-to-peer, and resource support, and was delivered by Human Resources and our Wellbeing Group.</w:t>
      </w:r>
    </w:p>
    <w:p w14:paraId="0FA69BE2" w14:textId="63250486" w:rsidR="002001A8" w:rsidRPr="00F9716C" w:rsidRDefault="002001A8" w:rsidP="00EB6817">
      <w:pPr>
        <w:spacing w:after="120"/>
        <w:ind w:left="284" w:firstLine="11"/>
        <w:rPr>
          <w:color w:val="414042" w:themeColor="text1"/>
        </w:rPr>
      </w:pPr>
      <w:bookmarkStart w:id="1063" w:name="_Hlk143512555"/>
      <w:r w:rsidRPr="00F9716C">
        <w:rPr>
          <w:color w:val="414042" w:themeColor="text1"/>
        </w:rPr>
        <w:t>We continued to focus on mental health as an integral part of people’s wellbeing. Through an internal program, we trained 132 officers in Mental Health First Aid (MHFA), 76 of which were accredited MHFAiders.</w:t>
      </w:r>
    </w:p>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3"/>
    <w:p w14:paraId="02F526BC" w14:textId="2403E262" w:rsidR="00E5300B" w:rsidRPr="00F9716C" w:rsidRDefault="00E5300B" w:rsidP="00EB6817">
      <w:pPr>
        <w:spacing w:after="120"/>
        <w:ind w:left="284" w:firstLine="11"/>
        <w:rPr>
          <w:color w:val="414042" w:themeColor="text1"/>
        </w:rPr>
      </w:pPr>
      <w:r w:rsidRPr="00F9716C">
        <w:rPr>
          <w:color w:val="414042" w:themeColor="text1"/>
        </w:rPr>
        <w:t xml:space="preserve">We continued to partner with Converge International to provide an Employee Assistance Program </w:t>
      </w:r>
      <w:r w:rsidR="006C0CD5" w:rsidRPr="00F9716C">
        <w:rPr>
          <w:color w:val="414042" w:themeColor="text1"/>
        </w:rPr>
        <w:t xml:space="preserve">to enable </w:t>
      </w:r>
      <w:r w:rsidRPr="00F9716C">
        <w:rPr>
          <w:color w:val="414042" w:themeColor="text1"/>
        </w:rPr>
        <w:t xml:space="preserve">CCC officers, and their immediate family members, </w:t>
      </w:r>
      <w:r w:rsidR="006C0CD5" w:rsidRPr="00F9716C">
        <w:rPr>
          <w:color w:val="414042" w:themeColor="text1"/>
        </w:rPr>
        <w:t xml:space="preserve">to </w:t>
      </w:r>
      <w:r w:rsidRPr="00F9716C">
        <w:rPr>
          <w:color w:val="414042" w:themeColor="text1"/>
        </w:rPr>
        <w:t>access wellbeing services (including confidential personal coaching and counselling). Ongoing promotion of the</w:t>
      </w:r>
      <w:r w:rsidR="006C0CD5" w:rsidRPr="00F9716C">
        <w:rPr>
          <w:color w:val="414042" w:themeColor="text1"/>
        </w:rPr>
        <w:t xml:space="preserve"> availability of the</w:t>
      </w:r>
      <w:r w:rsidRPr="00F9716C">
        <w:rPr>
          <w:color w:val="414042" w:themeColor="text1"/>
        </w:rPr>
        <w:t>se services occurs through our induction program and published online materials.</w:t>
      </w:r>
    </w:p>
    <w:p w14:paraId="11DB9D4B" w14:textId="761FB440" w:rsidR="00E5300B" w:rsidRPr="00F9716C" w:rsidRDefault="00E5300B" w:rsidP="00EB6817">
      <w:pPr>
        <w:spacing w:after="120"/>
        <w:ind w:left="284" w:firstLine="11"/>
        <w:rPr>
          <w:color w:val="414042" w:themeColor="text1"/>
        </w:rPr>
      </w:pPr>
      <w:r w:rsidRPr="00F9716C">
        <w:rPr>
          <w:color w:val="414042" w:themeColor="text1"/>
        </w:rPr>
        <w:t xml:space="preserve">We updated and continued to maintain a regular and proactive psychological health screening program </w:t>
      </w:r>
      <w:r w:rsidR="00EB6817" w:rsidRPr="00F9716C">
        <w:rPr>
          <w:color w:val="414042" w:themeColor="text1"/>
        </w:rPr>
        <w:t>for officers</w:t>
      </w:r>
      <w:r w:rsidRPr="00F9716C">
        <w:rPr>
          <w:color w:val="414042" w:themeColor="text1"/>
        </w:rPr>
        <w:t xml:space="preserve"> deemed to be at higher risk of psychological injury because of the work they undertake.</w:t>
      </w:r>
    </w:p>
    <w:p w14:paraId="312DF30F" w14:textId="1C4B14A6" w:rsidR="00E5300B" w:rsidRPr="00F9716C" w:rsidRDefault="00E5300B" w:rsidP="00EB6817">
      <w:pPr>
        <w:spacing w:after="120"/>
        <w:ind w:left="284" w:firstLine="11"/>
        <w:rPr>
          <w:color w:val="414042" w:themeColor="text1"/>
        </w:rPr>
      </w:pPr>
      <w:r w:rsidRPr="00F9716C">
        <w:rPr>
          <w:color w:val="414042" w:themeColor="text1"/>
        </w:rPr>
        <w:t xml:space="preserve">To further support </w:t>
      </w:r>
      <w:r w:rsidR="006C0CD5" w:rsidRPr="00F9716C">
        <w:rPr>
          <w:color w:val="414042" w:themeColor="text1"/>
        </w:rPr>
        <w:t>staff</w:t>
      </w:r>
      <w:r w:rsidRPr="00F9716C">
        <w:rPr>
          <w:color w:val="414042" w:themeColor="text1"/>
        </w:rPr>
        <w:t xml:space="preserve"> wellbeing, we provide flexible work arrangements, including compressed working hours, accumulated hours, flexible start and finish times, and part-time/job-share arrangements.</w:t>
      </w:r>
    </w:p>
    <w:p w14:paraId="160FB198" w14:textId="77777777" w:rsidR="0080529C" w:rsidRPr="00F9716C" w:rsidRDefault="0080529C" w:rsidP="00EB6817">
      <w:pPr>
        <w:pStyle w:val="Heading4"/>
        <w:ind w:left="284"/>
      </w:pPr>
      <w:r w:rsidRPr="00F9716C">
        <w:t>Values and culture</w:t>
      </w:r>
    </w:p>
    <w:p w14:paraId="34982928" w14:textId="77777777" w:rsidR="00142DF0" w:rsidRPr="00F9716C" w:rsidRDefault="00142DF0" w:rsidP="00EB6817">
      <w:pPr>
        <w:spacing w:before="120" w:after="120"/>
        <w:ind w:left="284" w:firstLine="11"/>
        <w:rPr>
          <w:color w:val="414042" w:themeColor="text1"/>
        </w:rPr>
      </w:pPr>
      <w:r w:rsidRPr="00F9716C">
        <w:rPr>
          <w:color w:val="414042" w:themeColor="text1"/>
        </w:rPr>
        <w:t>Our Values and Culture Group (VCG), consisting of representatives from each of our business units, continues to lead initiatives to embed and support our organisational values of People, Accountability, Integrity, Courage and Excellence (PAICE).</w:t>
      </w:r>
    </w:p>
    <w:p w14:paraId="4C6FC3E3" w14:textId="1A736939" w:rsidR="00142DF0" w:rsidRPr="00F9716C" w:rsidRDefault="00142DF0" w:rsidP="00EB6817">
      <w:pPr>
        <w:spacing w:before="120" w:after="120"/>
        <w:ind w:left="284" w:firstLine="11"/>
        <w:rPr>
          <w:color w:val="414042" w:themeColor="text1"/>
        </w:rPr>
      </w:pPr>
      <w:r w:rsidRPr="00F9716C">
        <w:rPr>
          <w:color w:val="414042" w:themeColor="text1"/>
        </w:rPr>
        <w:t xml:space="preserve">On 11 October 2023, our VCG coordinated the seventh annual </w:t>
      </w:r>
      <w:r w:rsidRPr="00F9716C">
        <w:rPr>
          <w:i/>
          <w:iCs/>
          <w:color w:val="414042" w:themeColor="text1"/>
        </w:rPr>
        <w:t>Team CCC Day</w:t>
      </w:r>
      <w:r w:rsidRPr="00F9716C">
        <w:rPr>
          <w:color w:val="414042" w:themeColor="text1"/>
        </w:rPr>
        <w:t xml:space="preserve"> — a day our people come together to participate in fun employee-led activities, strengthen workplace relationships and celebrate our value of ‘People’.</w:t>
      </w:r>
    </w:p>
    <w:p w14:paraId="1069CBD5" w14:textId="77777777" w:rsidR="00807305" w:rsidRPr="00F9716C" w:rsidRDefault="00807305" w:rsidP="00EB6817">
      <w:pPr>
        <w:spacing w:before="120" w:after="120"/>
        <w:ind w:left="284" w:firstLine="11"/>
        <w:rPr>
          <w:color w:val="414042" w:themeColor="text1"/>
        </w:rPr>
      </w:pPr>
      <w:r w:rsidRPr="00F9716C">
        <w:rPr>
          <w:color w:val="414042" w:themeColor="text1"/>
        </w:rPr>
        <w:t>The VCG also hosts our annual 1CCC PAICE Awards ceremony. The 1CCC PAICE Awards provide an opportunity to recognise and celebrate our staff for displaying our CCC values in action. We also recognise staff contribution to reconciliation at this annual event.</w:t>
      </w:r>
    </w:p>
    <w:p w14:paraId="704431E7" w14:textId="6704C5F5" w:rsidR="00D35CB6" w:rsidRPr="00F9716C" w:rsidRDefault="00807305" w:rsidP="00C048C0">
      <w:pPr>
        <w:tabs>
          <w:tab w:val="left" w:pos="4253"/>
        </w:tabs>
        <w:spacing w:before="120" w:after="80"/>
        <w:ind w:left="40" w:right="142"/>
        <w:rPr>
          <w:color w:val="414042" w:themeColor="text1"/>
        </w:rPr>
      </w:pPr>
      <w:r w:rsidRPr="00F9716C">
        <w:rPr>
          <w:color w:val="414042" w:themeColor="text1"/>
        </w:rPr>
        <w:t>The annual 1CCC PAICE Awards ceremony to recognise and celebrate staff who had been nominated by their peer</w:t>
      </w:r>
      <w:r w:rsidR="006C0CD5" w:rsidRPr="00F9716C">
        <w:rPr>
          <w:color w:val="414042" w:themeColor="text1"/>
        </w:rPr>
        <w:t>s</w:t>
      </w:r>
      <w:r w:rsidRPr="00F9716C">
        <w:rPr>
          <w:color w:val="414042" w:themeColor="text1"/>
        </w:rPr>
        <w:t xml:space="preserve"> will be held in </w:t>
      </w:r>
      <w:r w:rsidR="00B83A3A" w:rsidRPr="00F9716C">
        <w:rPr>
          <w:color w:val="414042" w:themeColor="text1"/>
        </w:rPr>
        <w:t xml:space="preserve">October </w:t>
      </w:r>
      <w:r w:rsidRPr="00F9716C">
        <w:rPr>
          <w:color w:val="414042" w:themeColor="text1"/>
        </w:rPr>
        <w:t xml:space="preserve">2024. </w:t>
      </w:r>
      <w:bookmarkStart w:id="1064" w:name="_Toc102038019"/>
      <w:bookmarkStart w:id="1065" w:name="_Toc102038380"/>
      <w:bookmarkStart w:id="1066" w:name="_Toc102038741"/>
      <w:bookmarkStart w:id="1067" w:name="_Toc102039093"/>
      <w:bookmarkStart w:id="1068" w:name="_Toc102039442"/>
      <w:bookmarkStart w:id="1069" w:name="_Toc102039804"/>
      <w:bookmarkStart w:id="1070" w:name="_Toc102040161"/>
      <w:bookmarkStart w:id="1071" w:name="_Toc102040489"/>
      <w:bookmarkStart w:id="1072" w:name="_Toc102040823"/>
      <w:bookmarkStart w:id="1073" w:name="_Toc102041151"/>
      <w:bookmarkStart w:id="1074" w:name="_Toc102041480"/>
      <w:bookmarkStart w:id="1075" w:name="_Toc102041812"/>
      <w:bookmarkStart w:id="1076" w:name="_Toc102042139"/>
      <w:bookmarkStart w:id="1077" w:name="_Toc102042469"/>
      <w:bookmarkStart w:id="1078" w:name="_Toc102045599"/>
    </w:p>
    <w:p w14:paraId="1A793519" w14:textId="73FCD270" w:rsidR="0080529C" w:rsidRPr="00F9716C" w:rsidRDefault="0080529C" w:rsidP="00C048C0">
      <w:pPr>
        <w:pStyle w:val="Heading4"/>
        <w:tabs>
          <w:tab w:val="left" w:pos="4253"/>
        </w:tabs>
        <w:ind w:right="283"/>
      </w:pPr>
      <w:r w:rsidRPr="00F9716C">
        <w:t>Ensuring ethical conduct</w:t>
      </w:r>
    </w:p>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14:paraId="36F6B6B5" w14:textId="2C4808A5" w:rsidR="0080529C" w:rsidRPr="00F9716C" w:rsidRDefault="0080529C" w:rsidP="00C048C0">
      <w:pPr>
        <w:tabs>
          <w:tab w:val="left" w:pos="4253"/>
        </w:tabs>
        <w:spacing w:before="80" w:after="80"/>
        <w:ind w:left="42" w:right="283"/>
        <w:rPr>
          <w:color w:val="414042" w:themeColor="text1"/>
        </w:rPr>
      </w:pPr>
      <w:r w:rsidRPr="00F9716C">
        <w:rPr>
          <w:color w:val="414042" w:themeColor="text1"/>
        </w:rPr>
        <w:t>The CCC’s Code of Conduct sets the standard of conduct expected of our staff</w:t>
      </w:r>
      <w:r w:rsidR="006811C6" w:rsidRPr="00F9716C">
        <w:rPr>
          <w:color w:val="414042" w:themeColor="text1"/>
        </w:rPr>
        <w:t xml:space="preserve"> and is</w:t>
      </w:r>
      <w:r w:rsidRPr="00F9716C">
        <w:rPr>
          <w:color w:val="414042" w:themeColor="text1"/>
        </w:rPr>
        <w:t xml:space="preserve"> consistent with the ethics principles and values outlined in the</w:t>
      </w:r>
      <w:r w:rsidRPr="00F9716C">
        <w:rPr>
          <w:i/>
          <w:iCs/>
          <w:color w:val="414042" w:themeColor="text1"/>
        </w:rPr>
        <w:t xml:space="preserve"> </w:t>
      </w:r>
      <w:r w:rsidRPr="00F9716C">
        <w:rPr>
          <w:i/>
          <w:iCs/>
          <w:color w:val="414042" w:themeColor="text1"/>
          <w:spacing w:val="2"/>
        </w:rPr>
        <w:t>Public Sector Ethics Act 1994</w:t>
      </w:r>
      <w:r w:rsidRPr="00F9716C">
        <w:rPr>
          <w:color w:val="414042" w:themeColor="text1"/>
        </w:rPr>
        <w:t>:</w:t>
      </w:r>
    </w:p>
    <w:p w14:paraId="31CC1832" w14:textId="77777777" w:rsidR="0080529C" w:rsidRPr="00F9716C" w:rsidRDefault="0080529C" w:rsidP="00C048C0">
      <w:pPr>
        <w:pStyle w:val="Bulletpoints0"/>
        <w:tabs>
          <w:tab w:val="left" w:pos="4253"/>
        </w:tabs>
        <w:ind w:right="283"/>
      </w:pPr>
      <w:r w:rsidRPr="00F9716C">
        <w:t>integrity and impartiality</w:t>
      </w:r>
    </w:p>
    <w:p w14:paraId="7DC8F2DA" w14:textId="77777777" w:rsidR="0080529C" w:rsidRPr="00F9716C" w:rsidRDefault="0080529C" w:rsidP="00C048C0">
      <w:pPr>
        <w:pStyle w:val="Bulletpoints0"/>
        <w:tabs>
          <w:tab w:val="left" w:pos="4253"/>
        </w:tabs>
        <w:ind w:right="283"/>
      </w:pPr>
      <w:r w:rsidRPr="00F9716C">
        <w:t>promoting the public good</w:t>
      </w:r>
    </w:p>
    <w:p w14:paraId="21199A58" w14:textId="77777777" w:rsidR="0080529C" w:rsidRPr="00F9716C" w:rsidRDefault="0080529C" w:rsidP="00C048C0">
      <w:pPr>
        <w:pStyle w:val="Bulletpoints0"/>
        <w:tabs>
          <w:tab w:val="left" w:pos="4253"/>
        </w:tabs>
        <w:ind w:right="283"/>
      </w:pPr>
      <w:r w:rsidRPr="00F9716C">
        <w:t>commitment to the system of government, and</w:t>
      </w:r>
    </w:p>
    <w:p w14:paraId="6E42F343" w14:textId="77777777" w:rsidR="0080529C" w:rsidRPr="00F9716C" w:rsidRDefault="0080529C" w:rsidP="00C048C0">
      <w:pPr>
        <w:pStyle w:val="Bulletpoints0"/>
        <w:tabs>
          <w:tab w:val="left" w:pos="4253"/>
        </w:tabs>
        <w:ind w:right="283"/>
      </w:pPr>
      <w:r w:rsidRPr="00F9716C">
        <w:t>accountability and transparency.</w:t>
      </w:r>
    </w:p>
    <w:p w14:paraId="197B549E" w14:textId="03537FCC" w:rsidR="0080529C" w:rsidRPr="00F9716C" w:rsidRDefault="0080529C" w:rsidP="00C048C0">
      <w:pPr>
        <w:tabs>
          <w:tab w:val="left" w:pos="4253"/>
        </w:tabs>
        <w:spacing w:after="80"/>
        <w:ind w:left="28" w:right="283"/>
        <w:rPr>
          <w:color w:val="414042" w:themeColor="text1"/>
        </w:rPr>
      </w:pPr>
      <w:r w:rsidRPr="00F9716C">
        <w:rPr>
          <w:color w:val="414042" w:themeColor="text1"/>
        </w:rPr>
        <w:t xml:space="preserve">These principles underpin our values (see page </w:t>
      </w:r>
      <w:r w:rsidR="00EF68BB" w:rsidRPr="00F9716C">
        <w:rPr>
          <w:color w:val="414042" w:themeColor="text1"/>
        </w:rPr>
        <w:t>1</w:t>
      </w:r>
      <w:r w:rsidR="00D85CC0" w:rsidRPr="00F9716C">
        <w:rPr>
          <w:color w:val="414042" w:themeColor="text1"/>
        </w:rPr>
        <w:t>0</w:t>
      </w:r>
      <w:r w:rsidRPr="00F9716C">
        <w:rPr>
          <w:color w:val="414042" w:themeColor="text1"/>
        </w:rPr>
        <w:t>), and they are embedded within individual PDAs.</w:t>
      </w:r>
    </w:p>
    <w:p w14:paraId="2B69EDDE" w14:textId="77777777" w:rsidR="0080529C" w:rsidRPr="00F9716C" w:rsidRDefault="0080529C" w:rsidP="00C048C0">
      <w:pPr>
        <w:tabs>
          <w:tab w:val="left" w:pos="4253"/>
        </w:tabs>
        <w:spacing w:after="80"/>
        <w:ind w:left="28" w:right="283"/>
        <w:rPr>
          <w:color w:val="414042" w:themeColor="text1"/>
        </w:rPr>
      </w:pPr>
      <w:r w:rsidRPr="00F9716C">
        <w:rPr>
          <w:color w:val="414042" w:themeColor="text1"/>
        </w:rPr>
        <w:t>The CCC Code of Conduct guides and assists us to identify and resolve ethical dilemmas that may rise in the course of our duties, foster and maintain an ethical culture and promote public confidence in the CCC.</w:t>
      </w:r>
    </w:p>
    <w:p w14:paraId="59696E38" w14:textId="77777777" w:rsidR="006811C6" w:rsidRPr="00F9716C" w:rsidRDefault="006811C6" w:rsidP="00C048C0">
      <w:pPr>
        <w:tabs>
          <w:tab w:val="left" w:pos="4253"/>
        </w:tabs>
        <w:spacing w:after="80"/>
        <w:ind w:left="28" w:right="283"/>
        <w:rPr>
          <w:color w:val="414042" w:themeColor="text1"/>
          <w:szCs w:val="20"/>
        </w:rPr>
      </w:pPr>
      <w:r w:rsidRPr="00F9716C">
        <w:rPr>
          <w:color w:val="414042" w:themeColor="text1"/>
          <w:szCs w:val="20"/>
        </w:rPr>
        <w:t>In 2023, we relaunched the CCC’s Code of Conduct to ensure it remains relevant and aligns with our current work practices and behaviours.</w:t>
      </w:r>
    </w:p>
    <w:p w14:paraId="6FBF537E" w14:textId="29878467" w:rsidR="006811C6" w:rsidRPr="00F9716C" w:rsidRDefault="0080529C" w:rsidP="00C048C0">
      <w:pPr>
        <w:tabs>
          <w:tab w:val="left" w:pos="4253"/>
        </w:tabs>
        <w:spacing w:after="80"/>
        <w:ind w:left="28" w:right="283"/>
        <w:rPr>
          <w:color w:val="414042" w:themeColor="text1"/>
        </w:rPr>
      </w:pPr>
      <w:r w:rsidRPr="00F9716C">
        <w:rPr>
          <w:color w:val="414042" w:themeColor="text1"/>
        </w:rPr>
        <w:t xml:space="preserve">Each new staff member is provided with a copy of our Code of Conduct upon their commencement and </w:t>
      </w:r>
      <w:r w:rsidR="006811C6" w:rsidRPr="00F9716C">
        <w:rPr>
          <w:color w:val="414042" w:themeColor="text1"/>
        </w:rPr>
        <w:t>is</w:t>
      </w:r>
      <w:r w:rsidRPr="00F9716C">
        <w:rPr>
          <w:color w:val="414042" w:themeColor="text1"/>
        </w:rPr>
        <w:t xml:space="preserve"> required to complete a Code of Conduct eLearning module in their first week of employment</w:t>
      </w:r>
      <w:r w:rsidR="00A739A3" w:rsidRPr="00F9716C">
        <w:rPr>
          <w:color w:val="414042" w:themeColor="text1"/>
        </w:rPr>
        <w:t>, and ongoing every two years</w:t>
      </w:r>
      <w:r w:rsidRPr="00F9716C">
        <w:rPr>
          <w:color w:val="414042" w:themeColor="text1"/>
        </w:rPr>
        <w:t xml:space="preserve">. </w:t>
      </w:r>
    </w:p>
    <w:p w14:paraId="1B8F71DD" w14:textId="45490232" w:rsidR="006811C6" w:rsidRPr="00F9716C" w:rsidRDefault="006811C6" w:rsidP="00C048C0">
      <w:pPr>
        <w:tabs>
          <w:tab w:val="left" w:pos="4253"/>
        </w:tabs>
        <w:spacing w:after="80"/>
        <w:ind w:left="28" w:right="283"/>
        <w:rPr>
          <w:color w:val="414042" w:themeColor="text1"/>
        </w:rPr>
      </w:pPr>
      <w:r w:rsidRPr="00F9716C">
        <w:rPr>
          <w:color w:val="414042" w:themeColor="text1"/>
        </w:rPr>
        <w:t>This year the module underwent a major redesign to improve learning transfer and engagement with content.</w:t>
      </w:r>
    </w:p>
    <w:p w14:paraId="19D72788" w14:textId="1FB4A233" w:rsidR="0080529C" w:rsidRPr="00F9716C" w:rsidRDefault="0080529C" w:rsidP="00C048C0">
      <w:pPr>
        <w:tabs>
          <w:tab w:val="left" w:pos="4253"/>
        </w:tabs>
        <w:spacing w:after="80"/>
        <w:ind w:left="28" w:right="283"/>
        <w:rPr>
          <w:color w:val="414042" w:themeColor="text1"/>
        </w:rPr>
      </w:pPr>
      <w:r w:rsidRPr="00F9716C">
        <w:rPr>
          <w:color w:val="414042" w:themeColor="text1"/>
        </w:rPr>
        <w:t>The module covers the following topics:</w:t>
      </w:r>
    </w:p>
    <w:p w14:paraId="6E1443A0" w14:textId="2BBE1906" w:rsidR="0080529C" w:rsidRPr="00F9716C" w:rsidRDefault="006C0CD5" w:rsidP="00C048C0">
      <w:pPr>
        <w:pStyle w:val="Bulletpoints0"/>
        <w:tabs>
          <w:tab w:val="left" w:pos="4253"/>
        </w:tabs>
        <w:ind w:right="283"/>
      </w:pPr>
      <w:r w:rsidRPr="00F9716C">
        <w:t>o</w:t>
      </w:r>
      <w:r w:rsidR="0080529C" w:rsidRPr="00F9716C">
        <w:t xml:space="preserve">peration of the </w:t>
      </w:r>
      <w:r w:rsidR="0080529C" w:rsidRPr="00F9716C">
        <w:rPr>
          <w:i/>
          <w:iCs/>
        </w:rPr>
        <w:t>Public Sector Ethics Act 1994</w:t>
      </w:r>
      <w:r w:rsidR="0080529C" w:rsidRPr="00F9716C">
        <w:t xml:space="preserve">, </w:t>
      </w:r>
      <w:r w:rsidR="00A43BA5">
        <w:br/>
      </w:r>
      <w:r w:rsidR="0080529C" w:rsidRPr="00F9716C">
        <w:t>the application of ethics principles, and their obligations as public officials</w:t>
      </w:r>
    </w:p>
    <w:p w14:paraId="1A734C4F" w14:textId="058A23E4" w:rsidR="0080529C" w:rsidRPr="00F9716C" w:rsidRDefault="006C0CD5" w:rsidP="00C048C0">
      <w:pPr>
        <w:pStyle w:val="Bulletpoints0"/>
        <w:tabs>
          <w:tab w:val="left" w:pos="4253"/>
        </w:tabs>
        <w:ind w:right="283"/>
      </w:pPr>
      <w:r w:rsidRPr="00F9716C">
        <w:t>t</w:t>
      </w:r>
      <w:r w:rsidR="0080529C" w:rsidRPr="00F9716C">
        <w:t>he contents of our Code of Conduct, and the rights and obligations they have in relation to contraventions of our Code of Conduct.</w:t>
      </w:r>
    </w:p>
    <w:p w14:paraId="54433DDA" w14:textId="157C227B" w:rsidR="0080529C" w:rsidRPr="00F9716C" w:rsidRDefault="0080529C" w:rsidP="00C048C0">
      <w:pPr>
        <w:tabs>
          <w:tab w:val="left" w:pos="4253"/>
        </w:tabs>
        <w:spacing w:after="80"/>
        <w:ind w:left="28" w:right="283"/>
        <w:rPr>
          <w:color w:val="414042" w:themeColor="text1"/>
        </w:rPr>
      </w:pPr>
      <w:r w:rsidRPr="00F9716C">
        <w:rPr>
          <w:color w:val="414042" w:themeColor="text1"/>
        </w:rPr>
        <w:t xml:space="preserve">Existing staff are required to complete regular Code </w:t>
      </w:r>
      <w:r w:rsidR="003D7D83">
        <w:rPr>
          <w:color w:val="414042" w:themeColor="text1"/>
        </w:rPr>
        <w:br/>
      </w:r>
      <w:r w:rsidRPr="00F9716C">
        <w:rPr>
          <w:color w:val="414042" w:themeColor="text1"/>
        </w:rPr>
        <w:t>of Conduct refresher training.</w:t>
      </w:r>
    </w:p>
    <w:p w14:paraId="32A8B527" w14:textId="1191EFB7" w:rsidR="0080529C" w:rsidRPr="00F9716C" w:rsidRDefault="0080529C" w:rsidP="00C048C0">
      <w:pPr>
        <w:tabs>
          <w:tab w:val="left" w:pos="4253"/>
        </w:tabs>
        <w:spacing w:after="80"/>
        <w:ind w:left="28" w:right="283"/>
        <w:rPr>
          <w:color w:val="414042" w:themeColor="text1"/>
        </w:rPr>
      </w:pPr>
      <w:r w:rsidRPr="00F9716C">
        <w:rPr>
          <w:color w:val="414042" w:themeColor="text1"/>
        </w:rPr>
        <w:t xml:space="preserve">Our </w:t>
      </w:r>
      <w:r w:rsidRPr="00F9716C">
        <w:rPr>
          <w:i/>
          <w:iCs/>
          <w:color w:val="414042" w:themeColor="text1"/>
        </w:rPr>
        <w:t>Governance Framework</w:t>
      </w:r>
      <w:r w:rsidRPr="00F9716C">
        <w:rPr>
          <w:color w:val="414042" w:themeColor="text1"/>
        </w:rPr>
        <w:t xml:space="preserve"> </w:t>
      </w:r>
      <w:r w:rsidR="00586314" w:rsidRPr="00F9716C">
        <w:rPr>
          <w:color w:val="414042" w:themeColor="text1"/>
        </w:rPr>
        <w:t xml:space="preserve">(see page 64) </w:t>
      </w:r>
      <w:r w:rsidRPr="00F9716C">
        <w:rPr>
          <w:color w:val="414042" w:themeColor="text1"/>
        </w:rPr>
        <w:t xml:space="preserve">outlines the values, attitudes and behaviours expected of all staff, in alignment with international standards of best practice and the principles of the </w:t>
      </w:r>
      <w:r w:rsidRPr="00F9716C">
        <w:rPr>
          <w:i/>
          <w:iCs/>
          <w:color w:val="414042" w:themeColor="text1"/>
        </w:rPr>
        <w:t>Public Sector Ethics Act 1994</w:t>
      </w:r>
      <w:r w:rsidRPr="00F9716C">
        <w:rPr>
          <w:color w:val="414042" w:themeColor="text1"/>
        </w:rPr>
        <w:t>.</w:t>
      </w:r>
    </w:p>
    <w:p w14:paraId="0509D860" w14:textId="77777777" w:rsidR="00331A70" w:rsidRPr="00F9716C" w:rsidRDefault="0080529C" w:rsidP="00C048C0">
      <w:pPr>
        <w:tabs>
          <w:tab w:val="left" w:pos="4253"/>
        </w:tabs>
        <w:spacing w:after="80"/>
        <w:ind w:left="28" w:right="283"/>
        <w:rPr>
          <w:color w:val="414042" w:themeColor="text1"/>
          <w:spacing w:val="-4"/>
        </w:rPr>
      </w:pPr>
      <w:r w:rsidRPr="00F9716C">
        <w:rPr>
          <w:color w:val="414042" w:themeColor="text1"/>
          <w:spacing w:val="-4"/>
        </w:rPr>
        <w:t xml:space="preserve">Our </w:t>
      </w:r>
      <w:r w:rsidRPr="00F9716C">
        <w:rPr>
          <w:i/>
          <w:iCs/>
          <w:color w:val="414042" w:themeColor="text1"/>
          <w:spacing w:val="-4"/>
        </w:rPr>
        <w:t>Policy Framework</w:t>
      </w:r>
      <w:r w:rsidRPr="00F9716C">
        <w:rPr>
          <w:color w:val="414042" w:themeColor="text1"/>
          <w:spacing w:val="-4"/>
        </w:rPr>
        <w:t xml:space="preserve"> sits within our broader </w:t>
      </w:r>
      <w:r w:rsidRPr="00F9716C">
        <w:rPr>
          <w:i/>
          <w:iCs/>
          <w:color w:val="414042" w:themeColor="text1"/>
          <w:spacing w:val="-4"/>
        </w:rPr>
        <w:t>Governance Framework</w:t>
      </w:r>
      <w:r w:rsidRPr="00F9716C">
        <w:rPr>
          <w:color w:val="414042" w:themeColor="text1"/>
          <w:spacing w:val="-4"/>
        </w:rPr>
        <w:t xml:space="preserve"> and ensures our policies and procedures align with the principles and values of the Act.</w:t>
      </w:r>
      <w:bookmarkEnd w:id="1046"/>
      <w:bookmarkEnd w:id="1062"/>
    </w:p>
    <w:p w14:paraId="169A228E" w14:textId="7B553610" w:rsidR="0080529C" w:rsidRPr="00F9716C" w:rsidRDefault="0080529C" w:rsidP="00EB6817">
      <w:pPr>
        <w:pStyle w:val="Heading4"/>
      </w:pPr>
      <w:r w:rsidRPr="00F9716C">
        <w:t>Engaging with our people</w:t>
      </w:r>
    </w:p>
    <w:p w14:paraId="2465EC02" w14:textId="0714F240" w:rsidR="00807305" w:rsidRPr="00F9716C" w:rsidRDefault="00807305" w:rsidP="00EB6817">
      <w:pPr>
        <w:spacing w:before="40" w:after="80"/>
        <w:rPr>
          <w:color w:val="414042" w:themeColor="text1"/>
        </w:rPr>
      </w:pPr>
      <w:r w:rsidRPr="00F9716C">
        <w:rPr>
          <w:color w:val="414042" w:themeColor="text1"/>
        </w:rPr>
        <w:t xml:space="preserve">Each year we participate in the </w:t>
      </w:r>
      <w:r w:rsidRPr="00F9716C">
        <w:rPr>
          <w:i/>
          <w:iCs/>
          <w:color w:val="414042" w:themeColor="text1"/>
        </w:rPr>
        <w:t xml:space="preserve">Working for Queensland Survey </w:t>
      </w:r>
      <w:r w:rsidRPr="00F9716C">
        <w:rPr>
          <w:color w:val="414042" w:themeColor="text1"/>
        </w:rPr>
        <w:t>for our people to have their say about the workplace climate. This reporting period, the survey was conducted between 21 August and 17 September 2023. We continued to have a strong</w:t>
      </w:r>
      <w:r w:rsidR="00524EFF">
        <w:rPr>
          <w:color w:val="414042" w:themeColor="text1"/>
        </w:rPr>
        <w:t xml:space="preserve"> </w:t>
      </w:r>
      <w:r w:rsidRPr="00F9716C">
        <w:rPr>
          <w:color w:val="414042" w:themeColor="text1"/>
        </w:rPr>
        <w:t>participation rate, with 62 per cent of our people providing valuable feedback through this mechanism.</w:t>
      </w:r>
    </w:p>
    <w:p w14:paraId="48CEB65C" w14:textId="77777777" w:rsidR="0057460F" w:rsidRPr="00F9716C" w:rsidRDefault="00807305" w:rsidP="00EB6817">
      <w:pPr>
        <w:spacing w:before="40" w:after="0" w:line="260" w:lineRule="exact"/>
        <w:rPr>
          <w:color w:val="414042" w:themeColor="text1"/>
          <w:szCs w:val="20"/>
        </w:rPr>
      </w:pPr>
      <w:r w:rsidRPr="00F9716C">
        <w:rPr>
          <w:color w:val="414042" w:themeColor="text1"/>
        </w:rPr>
        <w:t xml:space="preserve">This year we received a significant increase in favourable responses across most categories and questions. The results show our people are confident in their jobs, teams and managers. There have been important improvements in people’s perception of leadership, fairness and flexibility.  Our improved results provide evidence of the great work that has been done </w:t>
      </w:r>
      <w:r w:rsidRPr="00F9716C">
        <w:rPr>
          <w:color w:val="414042" w:themeColor="text1"/>
          <w:szCs w:val="20"/>
        </w:rPr>
        <w:t>by many people during the previous 12 months to contribute to strengthening employee engagement</w:t>
      </w:r>
      <w:r w:rsidR="0057460F" w:rsidRPr="00F9716C">
        <w:rPr>
          <w:color w:val="414042" w:themeColor="text1"/>
          <w:szCs w:val="20"/>
        </w:rPr>
        <w:t>.</w:t>
      </w:r>
    </w:p>
    <w:p w14:paraId="0676355E" w14:textId="406C30EA" w:rsidR="00920B8A" w:rsidRPr="00F9716C" w:rsidRDefault="00B64CF6" w:rsidP="00EB6817">
      <w:pPr>
        <w:pStyle w:val="Heading4"/>
      </w:pPr>
      <w:r w:rsidRPr="00F9716C">
        <w:t xml:space="preserve">CCC Employee Value Proposition </w:t>
      </w:r>
    </w:p>
    <w:p w14:paraId="154AEBA9" w14:textId="77777777" w:rsidR="00B64CF6" w:rsidRPr="00F9716C" w:rsidRDefault="00B64CF6" w:rsidP="00EB6817">
      <w:pPr>
        <w:spacing w:before="80" w:after="80"/>
        <w:rPr>
          <w:color w:val="414042" w:themeColor="text1"/>
          <w:lang w:val="en-US"/>
        </w:rPr>
      </w:pPr>
      <w:r w:rsidRPr="00F9716C">
        <w:rPr>
          <w:color w:val="414042" w:themeColor="text1"/>
          <w:lang w:val="en-US"/>
        </w:rPr>
        <w:t>This year the CCC completed an Employee Value Proposition (EVP) project to assist in mitigating our strategic risk associated with talent shortages, gaps in workforce skills, the changing nature of the workforce and challenges in delivering specialist capabilities in a small-scale agency.</w:t>
      </w:r>
    </w:p>
    <w:p w14:paraId="763F73BB" w14:textId="75D8C1AC" w:rsidR="00B64CF6" w:rsidRPr="00F9716C" w:rsidRDefault="00B64CF6" w:rsidP="00EB6817">
      <w:pPr>
        <w:spacing w:before="80" w:after="80"/>
        <w:rPr>
          <w:color w:val="414042" w:themeColor="text1"/>
          <w:lang w:val="en-US"/>
        </w:rPr>
      </w:pPr>
      <w:r w:rsidRPr="00F9716C">
        <w:rPr>
          <w:color w:val="414042" w:themeColor="text1"/>
          <w:lang w:val="en-US"/>
        </w:rPr>
        <w:t>Market analysis for critical roles was undertaken to identify the competitive features of an EVP. This data was used to conduct a gap analysis of our current workforce. Informed by these findings and the changing needs of the workforce and societal expectations</w:t>
      </w:r>
      <w:r w:rsidR="00FC50EA" w:rsidRPr="00F9716C">
        <w:rPr>
          <w:color w:val="414042" w:themeColor="text1"/>
          <w:lang w:val="en-US"/>
        </w:rPr>
        <w:t>,</w:t>
      </w:r>
      <w:r w:rsidRPr="00F9716C">
        <w:rPr>
          <w:color w:val="414042" w:themeColor="text1"/>
          <w:lang w:val="en-US"/>
        </w:rPr>
        <w:t xml:space="preserve"> an Attraction and Retention Incentive policy was developed. In addition, advertising materials were created to describe the CCC’s EVP to potential applicants.</w:t>
      </w:r>
    </w:p>
    <w:p w14:paraId="74BDD010" w14:textId="121F3F54" w:rsidR="001C595A" w:rsidRPr="00C048C0" w:rsidRDefault="001C595A" w:rsidP="00C048C0">
      <w:pPr>
        <w:pStyle w:val="3Heading-highlight"/>
        <w:ind w:right="-142"/>
        <w:rPr>
          <w:sz w:val="24"/>
          <w:szCs w:val="24"/>
        </w:rPr>
      </w:pPr>
      <w:r w:rsidRPr="00C048C0">
        <w:rPr>
          <w:sz w:val="24"/>
          <w:szCs w:val="24"/>
        </w:rPr>
        <w:t xml:space="preserve">Digital </w:t>
      </w:r>
      <w:r w:rsidR="00C16602" w:rsidRPr="00C048C0">
        <w:rPr>
          <w:sz w:val="24"/>
          <w:szCs w:val="24"/>
        </w:rPr>
        <w:t xml:space="preserve">and Data &amp; Analytics </w:t>
      </w:r>
      <w:r w:rsidRPr="00C048C0">
        <w:rPr>
          <w:sz w:val="24"/>
          <w:szCs w:val="24"/>
        </w:rPr>
        <w:t>Strateg</w:t>
      </w:r>
      <w:r w:rsidR="00C16602" w:rsidRPr="00C048C0">
        <w:rPr>
          <w:sz w:val="24"/>
          <w:szCs w:val="24"/>
        </w:rPr>
        <w:t>ies</w:t>
      </w:r>
      <w:r w:rsidRPr="00C048C0">
        <w:rPr>
          <w:sz w:val="24"/>
          <w:szCs w:val="24"/>
        </w:rPr>
        <w:t xml:space="preserve"> 2023–27</w:t>
      </w:r>
    </w:p>
    <w:p w14:paraId="30E3FEDC" w14:textId="3AA16335" w:rsidR="001C595A" w:rsidRPr="00F9716C" w:rsidRDefault="00C16602" w:rsidP="00C048C0">
      <w:pPr>
        <w:spacing w:after="40"/>
        <w:ind w:right="142"/>
        <w:rPr>
          <w:color w:val="414042" w:themeColor="text1"/>
        </w:rPr>
      </w:pPr>
      <w:r w:rsidRPr="00F9716C">
        <w:rPr>
          <w:color w:val="414042" w:themeColor="text1"/>
        </w:rPr>
        <w:t>In 2023 these strategies were refreshed</w:t>
      </w:r>
      <w:r w:rsidR="001C595A" w:rsidRPr="00F9716C">
        <w:rPr>
          <w:color w:val="414042" w:themeColor="text1"/>
        </w:rPr>
        <w:t xml:space="preserve"> to focus on:</w:t>
      </w:r>
    </w:p>
    <w:p w14:paraId="35B50794" w14:textId="77777777" w:rsidR="001C595A" w:rsidRPr="00F9716C" w:rsidRDefault="001C595A" w:rsidP="00C048C0">
      <w:pPr>
        <w:pStyle w:val="Bulletpoints0"/>
        <w:ind w:right="0"/>
      </w:pPr>
      <w:r w:rsidRPr="00F9716C">
        <w:rPr>
          <w:b/>
          <w:bCs/>
        </w:rPr>
        <w:t>maximising digital investments</w:t>
      </w:r>
      <w:r w:rsidRPr="00F9716C">
        <w:t xml:space="preserve"> through leveraging new technology that improves our efficiency and effectiveness </w:t>
      </w:r>
    </w:p>
    <w:p w14:paraId="7CF08171" w14:textId="77777777" w:rsidR="001C595A" w:rsidRPr="00F9716C" w:rsidRDefault="001C595A" w:rsidP="00C048C0">
      <w:pPr>
        <w:pStyle w:val="Bulletpoints0"/>
        <w:ind w:right="0"/>
      </w:pPr>
      <w:r w:rsidRPr="00F9716C">
        <w:t xml:space="preserve">adopting a holistic view to continually </w:t>
      </w:r>
      <w:r w:rsidRPr="00F9716C">
        <w:rPr>
          <w:b/>
          <w:bCs/>
        </w:rPr>
        <w:t xml:space="preserve">enhance our digital operating model </w:t>
      </w:r>
      <w:r w:rsidRPr="00F9716C">
        <w:t>driving our digital transformation</w:t>
      </w:r>
    </w:p>
    <w:p w14:paraId="2AF4039F" w14:textId="3CF77F44" w:rsidR="00C16602" w:rsidRPr="00F9716C" w:rsidRDefault="006C0CD5" w:rsidP="00C048C0">
      <w:pPr>
        <w:pStyle w:val="Bulletpoints0"/>
        <w:ind w:right="0"/>
      </w:pPr>
      <w:r w:rsidRPr="00F9716C">
        <w:rPr>
          <w:b/>
          <w:bCs/>
        </w:rPr>
        <w:t>c</w:t>
      </w:r>
      <w:r w:rsidR="00C16602" w:rsidRPr="00F9716C">
        <w:rPr>
          <w:b/>
          <w:bCs/>
        </w:rPr>
        <w:t>reating high-value datasets</w:t>
      </w:r>
      <w:r w:rsidR="00C16602" w:rsidRPr="00F9716C">
        <w:t xml:space="preserve"> to create datasets that support the CCC’s strategic priorities, and</w:t>
      </w:r>
    </w:p>
    <w:p w14:paraId="145EE2C0" w14:textId="77777777" w:rsidR="00C048C0" w:rsidRDefault="00FC50EA" w:rsidP="00C048C0">
      <w:pPr>
        <w:pStyle w:val="Bulletpoints0"/>
        <w:spacing w:before="120"/>
        <w:ind w:right="0"/>
      </w:pPr>
      <w:r w:rsidRPr="00F9716C">
        <w:rPr>
          <w:b/>
          <w:bCs/>
        </w:rPr>
        <w:t>e</w:t>
      </w:r>
      <w:r w:rsidR="00C16602" w:rsidRPr="00F9716C">
        <w:rPr>
          <w:b/>
          <w:bCs/>
        </w:rPr>
        <w:t>mbedding and empowering</w:t>
      </w:r>
      <w:r w:rsidR="00C16602" w:rsidRPr="00F9716C">
        <w:t xml:space="preserve"> to improve data literacy, embed data-driven decision making and use innovative analytics to deliver value to the CCC, stakeholders and partners.</w:t>
      </w:r>
    </w:p>
    <w:p w14:paraId="7183E06C" w14:textId="7322AD4A" w:rsidR="00C16602" w:rsidRPr="00C048C0" w:rsidRDefault="00B64CF6" w:rsidP="00C048C0">
      <w:pPr>
        <w:pStyle w:val="Bulletpoints0"/>
        <w:numPr>
          <w:ilvl w:val="0"/>
          <w:numId w:val="0"/>
        </w:numPr>
        <w:spacing w:before="120"/>
        <w:ind w:right="0"/>
        <w:sectPr w:rsidR="00C16602" w:rsidRPr="00C048C0" w:rsidSect="007328EB">
          <w:type w:val="continuous"/>
          <w:pgSz w:w="11906" w:h="16838" w:code="9"/>
          <w:pgMar w:top="2155" w:right="1133" w:bottom="964" w:left="1134" w:header="720" w:footer="284" w:gutter="0"/>
          <w:cols w:num="2" w:space="282"/>
          <w:noEndnote/>
          <w:docGrid w:linePitch="272"/>
        </w:sectPr>
      </w:pPr>
      <w:r w:rsidRPr="00C048C0">
        <w:rPr>
          <w:i/>
          <w:iCs/>
        </w:rPr>
        <w:t xml:space="preserve">For more information on the progress of </w:t>
      </w:r>
      <w:r w:rsidR="00043E14" w:rsidRPr="00C048C0">
        <w:rPr>
          <w:i/>
          <w:iCs/>
        </w:rPr>
        <w:t>these strategies</w:t>
      </w:r>
      <w:r w:rsidRPr="00C048C0">
        <w:rPr>
          <w:i/>
          <w:iCs/>
        </w:rPr>
        <w:t xml:space="preserve"> see page</w:t>
      </w:r>
      <w:r w:rsidR="00C16602" w:rsidRPr="00C048C0">
        <w:rPr>
          <w:i/>
          <w:iCs/>
        </w:rPr>
        <w:t>s</w:t>
      </w:r>
      <w:r w:rsidRPr="00C048C0">
        <w:rPr>
          <w:i/>
          <w:iCs/>
        </w:rPr>
        <w:t xml:space="preserve"> </w:t>
      </w:r>
      <w:r w:rsidR="009526D7" w:rsidRPr="00C048C0">
        <w:rPr>
          <w:i/>
          <w:iCs/>
        </w:rPr>
        <w:t>54-55.</w:t>
      </w:r>
    </w:p>
    <w:p w14:paraId="19745E6F" w14:textId="7A03CE89" w:rsidR="00370F00" w:rsidRPr="00F9716C" w:rsidRDefault="004C1A3D" w:rsidP="006D51E2">
      <w:pPr>
        <w:pStyle w:val="Heading1"/>
      </w:pPr>
      <w:bookmarkStart w:id="1079" w:name="ObjectiveAssessibleAccountableCollaborat"/>
      <w:r w:rsidRPr="00F9716C">
        <w:t xml:space="preserve">Objective: </w:t>
      </w:r>
      <w:r w:rsidR="00880E9F" w:rsidRPr="00F9716C">
        <w:t>Accessible, accountable and collaborative</w:t>
      </w:r>
      <w:r w:rsidR="00370F00" w:rsidRPr="00F9716C">
        <w:t xml:space="preserve"> </w:t>
      </w:r>
    </w:p>
    <w:bookmarkEnd w:id="1079"/>
    <w:p w14:paraId="20578000" w14:textId="77777777" w:rsidR="00370F00" w:rsidRPr="00F9716C" w:rsidRDefault="00370F00" w:rsidP="00370F00">
      <w:pPr>
        <w:keepNext/>
        <w:keepLines/>
        <w:spacing w:after="880"/>
        <w:outlineLvl w:val="0"/>
        <w:rPr>
          <w:rFonts w:eastAsiaTheme="majorEastAsia" w:cstheme="majorBidi"/>
          <w:color w:val="414042" w:themeColor="text1"/>
          <w:sz w:val="92"/>
          <w:szCs w:val="32"/>
        </w:rPr>
        <w:sectPr w:rsidR="00370F00" w:rsidRPr="00F9716C" w:rsidSect="00D07CB2">
          <w:headerReference w:type="even" r:id="rId213"/>
          <w:footerReference w:type="even" r:id="rId214"/>
          <w:pgSz w:w="11906" w:h="16838" w:code="9"/>
          <w:pgMar w:top="2155" w:right="1134" w:bottom="964" w:left="1134" w:header="720" w:footer="284" w:gutter="0"/>
          <w:cols w:space="567"/>
          <w:noEndnote/>
          <w:docGrid w:linePitch="272"/>
        </w:sectPr>
      </w:pPr>
    </w:p>
    <w:tbl>
      <w:tblPr>
        <w:tblStyle w:val="TableGrid2"/>
        <w:tblW w:w="0" w:type="auto"/>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shd w:val="clear" w:color="auto" w:fill="F2F2F2" w:themeFill="background1" w:themeFillShade="F2"/>
        <w:tblLook w:val="04A0" w:firstRow="1" w:lastRow="0" w:firstColumn="1" w:lastColumn="0" w:noHBand="0" w:noVBand="1"/>
      </w:tblPr>
      <w:tblGrid>
        <w:gridCol w:w="4525"/>
      </w:tblGrid>
      <w:tr w:rsidR="00524EFF" w14:paraId="5570A1B0" w14:textId="77777777" w:rsidTr="00965915">
        <w:tc>
          <w:tcPr>
            <w:tcW w:w="4535" w:type="dxa"/>
            <w:shd w:val="clear" w:color="auto" w:fill="F2F2F2" w:themeFill="background1" w:themeFillShade="F2"/>
          </w:tcPr>
          <w:p w14:paraId="6BEC7F33" w14:textId="77777777" w:rsidR="00524EFF" w:rsidRPr="00F9716C" w:rsidRDefault="00524EFF" w:rsidP="00D7062D">
            <w:pPr>
              <w:pStyle w:val="Openingparagraph"/>
              <w:tabs>
                <w:tab w:val="left" w:pos="3859"/>
              </w:tabs>
              <w:spacing w:before="240"/>
              <w:ind w:right="175" w:firstLine="30"/>
            </w:pPr>
            <w:r w:rsidRPr="00F9716C">
              <w:rPr>
                <w:snapToGrid w:val="0"/>
              </w:rPr>
              <w:t>Key strategies:</w:t>
            </w:r>
          </w:p>
          <w:p w14:paraId="258B062D" w14:textId="77777777" w:rsidR="00524EFF" w:rsidRPr="00F9716C" w:rsidRDefault="00524EFF" w:rsidP="006900F6">
            <w:pPr>
              <w:pStyle w:val="Bulletpoints0"/>
            </w:pPr>
            <w:r w:rsidRPr="00F9716C">
              <w:t xml:space="preserve">Strengthen partnerships to facilitate coordination and information sharing across agencies and jurisdictions for mutual benefit. </w:t>
            </w:r>
          </w:p>
          <w:p w14:paraId="6178B7B9" w14:textId="77777777" w:rsidR="00524EFF" w:rsidRPr="00F9716C" w:rsidRDefault="00524EFF" w:rsidP="006900F6">
            <w:pPr>
              <w:pStyle w:val="Bulletpoints0"/>
            </w:pPr>
            <w:r w:rsidRPr="00F9716C">
              <w:t>Ensure effective communication and timely dissemination of information to promote transparency, accountability and confidence.</w:t>
            </w:r>
          </w:p>
          <w:p w14:paraId="6F2D2A11" w14:textId="56438D8B" w:rsidR="00524EFF" w:rsidRPr="00F9716C" w:rsidRDefault="00524EFF" w:rsidP="006900F6">
            <w:pPr>
              <w:pStyle w:val="Bulletpoints0"/>
            </w:pPr>
            <w:r w:rsidRPr="00F9716C">
              <w:t xml:space="preserve">Establish greater connection and new operating models with government, </w:t>
            </w:r>
            <w:r w:rsidR="003D7D83">
              <w:br/>
            </w:r>
            <w:r w:rsidRPr="00F9716C">
              <w:t>non-government organisations, private sector and universities to ensure responsible spending, access to specialist capabilities and enhance information sharing.</w:t>
            </w:r>
          </w:p>
          <w:p w14:paraId="32B3C3AA" w14:textId="77777777" w:rsidR="00524EFF" w:rsidRPr="00F9716C" w:rsidRDefault="00524EFF" w:rsidP="006900F6">
            <w:pPr>
              <w:pStyle w:val="Bulletpoints0"/>
            </w:pPr>
            <w:r w:rsidRPr="00F9716C">
              <w:t>Maximise opportunities with our partners to collectively use data and insights in a meaningful way.</w:t>
            </w:r>
          </w:p>
          <w:p w14:paraId="0DB0DF3B" w14:textId="77777777" w:rsidR="00524EFF" w:rsidRDefault="00524EFF" w:rsidP="00EB6817">
            <w:pPr>
              <w:pStyle w:val="Bulletpoints0"/>
              <w:numPr>
                <w:ilvl w:val="0"/>
                <w:numId w:val="0"/>
              </w:numPr>
            </w:pPr>
          </w:p>
        </w:tc>
      </w:tr>
    </w:tbl>
    <w:p w14:paraId="06F283A0" w14:textId="77777777" w:rsidR="00370F00" w:rsidRPr="00F9716C" w:rsidRDefault="00370F00" w:rsidP="00370F00">
      <w:pPr>
        <w:pStyle w:val="Openingparagraph"/>
      </w:pPr>
    </w:p>
    <w:p w14:paraId="5368C477" w14:textId="77777777" w:rsidR="00370F00" w:rsidRPr="00F9716C" w:rsidRDefault="00370F00" w:rsidP="00370F00">
      <w:pPr>
        <w:pStyle w:val="Openingparagraph"/>
        <w:sectPr w:rsidR="00370F00" w:rsidRPr="00F9716C" w:rsidSect="00C77834">
          <w:type w:val="continuous"/>
          <w:pgSz w:w="11906" w:h="16838" w:code="9"/>
          <w:pgMar w:top="2155" w:right="1134" w:bottom="964" w:left="1134" w:header="720" w:footer="284" w:gutter="0"/>
          <w:cols w:num="2" w:space="567"/>
          <w:noEndnote/>
          <w:docGrid w:linePitch="272"/>
        </w:sectPr>
      </w:pPr>
    </w:p>
    <w:tbl>
      <w:tblPr>
        <w:tblStyle w:val="Annualreport2020-21"/>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9638"/>
      </w:tblGrid>
      <w:tr w:rsidR="00F9716C" w:rsidRPr="00F9716C" w14:paraId="2A7D5C70" w14:textId="77777777" w:rsidTr="00524EFF">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F2F2F2" w:themeFill="background1" w:themeFillShade="F2"/>
          </w:tcPr>
          <w:p w14:paraId="50AD7C10" w14:textId="2C689D83" w:rsidR="00027058" w:rsidRPr="003D7D83" w:rsidRDefault="00B64CF6" w:rsidP="00D7062D">
            <w:pPr>
              <w:spacing w:before="240" w:after="240"/>
              <w:ind w:right="169"/>
              <w:rPr>
                <w:rStyle w:val="Emphasis"/>
                <w:b w:val="0"/>
                <w:bCs w:val="0"/>
              </w:rPr>
            </w:pPr>
            <w:bookmarkStart w:id="1080" w:name="_Toc155347771"/>
            <w:r w:rsidRPr="003D7D83">
              <w:rPr>
                <w:rStyle w:val="Emphasis"/>
                <w:b w:val="0"/>
                <w:bCs w:val="0"/>
              </w:rPr>
              <w:t>Being accessible and engaging with our community in a meaningful way that demonstrates our accountability and promotes confidence in our functions and the services we provide.</w:t>
            </w:r>
          </w:p>
        </w:tc>
      </w:tr>
    </w:tbl>
    <w:p w14:paraId="0A6C857D" w14:textId="77777777" w:rsidR="00CF2BD9" w:rsidRPr="00F9716C" w:rsidRDefault="00CF2BD9" w:rsidP="00EA140D">
      <w:pPr>
        <w:spacing w:after="100"/>
        <w:rPr>
          <w:rFonts w:ascii="Calibri" w:hAnsi="Calibri" w:cs="Calibri"/>
          <w:b/>
          <w:bCs/>
          <w:color w:val="414042" w:themeColor="text1"/>
          <w:highlight w:val="yellow"/>
        </w:rPr>
        <w:sectPr w:rsidR="00CF2BD9" w:rsidRPr="00F9716C" w:rsidSect="00CF2BD9">
          <w:headerReference w:type="even" r:id="rId215"/>
          <w:headerReference w:type="default" r:id="rId216"/>
          <w:headerReference w:type="first" r:id="rId217"/>
          <w:pgSz w:w="11906" w:h="16838" w:code="9"/>
          <w:pgMar w:top="2155" w:right="1134" w:bottom="964" w:left="1134" w:header="720" w:footer="284" w:gutter="0"/>
          <w:cols w:space="567"/>
          <w:noEndnote/>
          <w:docGrid w:linePitch="272"/>
        </w:sectPr>
      </w:pPr>
    </w:p>
    <w:p w14:paraId="2E8B6FFF" w14:textId="3AE261F3" w:rsidR="0093679F" w:rsidRPr="00F9716C" w:rsidRDefault="00A20D6A" w:rsidP="00C048C0">
      <w:pPr>
        <w:pStyle w:val="3Heading-highlight"/>
      </w:pPr>
      <w:r w:rsidRPr="00F9716C">
        <w:t>E</w:t>
      </w:r>
      <w:r w:rsidR="0093679F" w:rsidRPr="00F9716C">
        <w:t>ngaging with our crime stakeholders</w:t>
      </w:r>
      <w:r w:rsidR="00210948">
        <w:br/>
      </w:r>
    </w:p>
    <w:p w14:paraId="365464CA" w14:textId="42222D7E" w:rsidR="0093679F" w:rsidRPr="00F9716C" w:rsidRDefault="0093679F" w:rsidP="00FA0C2D">
      <w:pPr>
        <w:ind w:right="-143"/>
        <w:rPr>
          <w:color w:val="414042" w:themeColor="text1"/>
        </w:rPr>
      </w:pPr>
      <w:r w:rsidRPr="00F9716C">
        <w:rPr>
          <w:color w:val="414042" w:themeColor="text1"/>
        </w:rPr>
        <w:t xml:space="preserve">The substantial and rapid transformation of our operating environment continues to challenge basic assumptions that underpin our law enforcement and criminal justice systems. Technology is changing the way we work, as well as the critical capabilities required for effective responses to the increasingly complex, global and technical crime environment. This means we need to be focused on </w:t>
      </w:r>
      <w:r w:rsidR="00B83A3A" w:rsidRPr="00F9716C">
        <w:rPr>
          <w:color w:val="414042" w:themeColor="text1"/>
        </w:rPr>
        <w:t xml:space="preserve">utilising </w:t>
      </w:r>
      <w:r w:rsidRPr="00F9716C">
        <w:rPr>
          <w:color w:val="414042" w:themeColor="text1"/>
        </w:rPr>
        <w:t>our resources for most impact and responding to the most relevant issues and concerns.</w:t>
      </w:r>
    </w:p>
    <w:p w14:paraId="5EAB5EBA" w14:textId="77777777" w:rsidR="0093679F" w:rsidRPr="00F9716C" w:rsidRDefault="0093679F" w:rsidP="00FA0C2D">
      <w:pPr>
        <w:ind w:right="-143"/>
        <w:rPr>
          <w:color w:val="414042" w:themeColor="text1"/>
        </w:rPr>
      </w:pPr>
      <w:r w:rsidRPr="00F9716C">
        <w:rPr>
          <w:color w:val="414042" w:themeColor="text1"/>
        </w:rPr>
        <w:t>Meaningful engagement with our stakeholders ensures we are better positioned to manage these strategic risks, learn from them, and pool our resources and capabilities to solve problems that we could not achieve alone.</w:t>
      </w:r>
    </w:p>
    <w:p w14:paraId="6F5DF6B6" w14:textId="77777777" w:rsidR="0093679F" w:rsidRPr="00F9716C" w:rsidRDefault="0093679F" w:rsidP="00EB6817">
      <w:pPr>
        <w:pStyle w:val="4H-Intro"/>
      </w:pPr>
      <w:r w:rsidRPr="00F9716C">
        <w:t>Crime stakeholder engagement strategy</w:t>
      </w:r>
    </w:p>
    <w:p w14:paraId="02CE889A" w14:textId="77777777" w:rsidR="0093679F" w:rsidRPr="00F9716C" w:rsidRDefault="0093679F" w:rsidP="00FA0C2D">
      <w:pPr>
        <w:spacing w:before="120"/>
        <w:ind w:right="-143"/>
        <w:rPr>
          <w:color w:val="414042" w:themeColor="text1"/>
        </w:rPr>
      </w:pPr>
      <w:r w:rsidRPr="00F9716C">
        <w:rPr>
          <w:color w:val="414042" w:themeColor="text1"/>
        </w:rPr>
        <w:t xml:space="preserve">We engage closely with the QPS and partner Commonwealth law enforcement agencies to remain informed and responsive to emerging major crime threats and issues, to optimise the value of collaborative opportunities and the use of resources, coordinate activities and avoid duplication of effort. </w:t>
      </w:r>
    </w:p>
    <w:p w14:paraId="485B1F63" w14:textId="77777777" w:rsidR="0093679F" w:rsidRPr="00F9716C" w:rsidRDefault="0093679F" w:rsidP="00FA0C2D">
      <w:pPr>
        <w:rPr>
          <w:color w:val="414042" w:themeColor="text1"/>
        </w:rPr>
      </w:pPr>
      <w:r w:rsidRPr="00F9716C">
        <w:rPr>
          <w:color w:val="414042" w:themeColor="text1"/>
        </w:rPr>
        <w:t>Since 2022, our stakeholder engagement strategy has been supported by a digital solution that enables the Crime Division senior management group, its intelligence team, and strategy and performance team, to capture, evaluate and communicate outcomes from stakeholder engagement, and to integrate their feedback into our strategic planning and operational decision-making</w:t>
      </w:r>
      <w:r w:rsidRPr="00F9716C">
        <w:rPr>
          <w:i/>
          <w:iCs/>
          <w:color w:val="414042" w:themeColor="text1"/>
        </w:rPr>
        <w:t>.</w:t>
      </w:r>
    </w:p>
    <w:p w14:paraId="6ACFEF95" w14:textId="19D47488" w:rsidR="0093679F" w:rsidRPr="00F9716C" w:rsidRDefault="00524EFF" w:rsidP="00EB6817">
      <w:pPr>
        <w:pStyle w:val="4H-Intro"/>
      </w:pPr>
      <w:r>
        <w:br w:type="column"/>
      </w:r>
      <w:r w:rsidR="00FB19FC">
        <w:br/>
      </w:r>
      <w:r w:rsidR="00D7062D">
        <w:br/>
      </w:r>
      <w:r w:rsidR="00210948">
        <w:br/>
      </w:r>
      <w:r w:rsidR="0093679F" w:rsidRPr="00F9716C">
        <w:t>Prioritising our crime work</w:t>
      </w:r>
    </w:p>
    <w:p w14:paraId="46271712" w14:textId="25B596AA" w:rsidR="0093679F" w:rsidRPr="00F9716C" w:rsidRDefault="0093679F" w:rsidP="00FA0C2D">
      <w:pPr>
        <w:spacing w:before="120"/>
        <w:rPr>
          <w:color w:val="414042" w:themeColor="text1"/>
        </w:rPr>
      </w:pPr>
      <w:r w:rsidRPr="00F9716C">
        <w:rPr>
          <w:color w:val="414042" w:themeColor="text1"/>
        </w:rPr>
        <w:t xml:space="preserve">The QPS’ priorities for serious and organised crime have particular significance for our major crime work. This alignment ensures that our major crime work complements and supports broader strategic objectives for reducing the incidence and impact of crime on the Queensland community. </w:t>
      </w:r>
    </w:p>
    <w:p w14:paraId="64ACF5C3" w14:textId="019FB558" w:rsidR="0093679F" w:rsidRPr="00F9716C" w:rsidRDefault="0093679F" w:rsidP="00FA0C2D">
      <w:pPr>
        <w:rPr>
          <w:color w:val="414042" w:themeColor="text1"/>
        </w:rPr>
      </w:pPr>
      <w:r w:rsidRPr="00F9716C">
        <w:rPr>
          <w:color w:val="414042" w:themeColor="text1"/>
        </w:rPr>
        <w:t xml:space="preserve">We use a </w:t>
      </w:r>
      <w:r w:rsidRPr="00F9716C">
        <w:rPr>
          <w:i/>
          <w:iCs/>
          <w:color w:val="414042" w:themeColor="text1"/>
        </w:rPr>
        <w:t>Matter Prioritisation Model</w:t>
      </w:r>
      <w:r w:rsidRPr="00F9716C">
        <w:rPr>
          <w:color w:val="414042" w:themeColor="text1"/>
        </w:rPr>
        <w:t xml:space="preserve"> to assess and review our crime, intelligence and proceeds of crime investigations, and other crime-related projects and initiatives. The model allows us to determine whether an opportunity is appropriate and to prioritise our work having regard to specific criteria, based on public interest, the importance and value to our stakeholders and our agency, having regard to our strategic objectives, priority focus areas, strategies for responding to those priorities, and commitments.</w:t>
      </w:r>
    </w:p>
    <w:p w14:paraId="5A5D2D14" w14:textId="77777777" w:rsidR="0093679F" w:rsidRPr="00F9716C" w:rsidRDefault="0093679F" w:rsidP="00FA0C2D">
      <w:pPr>
        <w:rPr>
          <w:color w:val="414042" w:themeColor="text1"/>
          <w:spacing w:val="-4"/>
        </w:rPr>
      </w:pPr>
      <w:r w:rsidRPr="00F9716C">
        <w:rPr>
          <w:color w:val="414042" w:themeColor="text1"/>
        </w:rPr>
        <w:t xml:space="preserve">The </w:t>
      </w:r>
      <w:r w:rsidRPr="003D7D83">
        <w:rPr>
          <w:i/>
          <w:iCs/>
          <w:color w:val="414042" w:themeColor="text1"/>
        </w:rPr>
        <w:t>Matter Prioritisation Model</w:t>
      </w:r>
      <w:r w:rsidRPr="00F9716C">
        <w:rPr>
          <w:color w:val="414042" w:themeColor="text1"/>
        </w:rPr>
        <w:t xml:space="preserve"> also ensures we have a consistent and transparent process for our crime-related case and project selection and ongoing review and is supported by sound public interest and human rights considerations.</w:t>
      </w:r>
    </w:p>
    <w:p w14:paraId="4397400B" w14:textId="77777777" w:rsidR="0093679F" w:rsidRPr="00F9716C" w:rsidRDefault="0093679F" w:rsidP="00FA0C2D">
      <w:pPr>
        <w:rPr>
          <w:color w:val="414042" w:themeColor="text1"/>
        </w:rPr>
      </w:pPr>
      <w:r w:rsidRPr="00F9716C">
        <w:rPr>
          <w:color w:val="414042" w:themeColor="text1"/>
          <w:spacing w:val="-4"/>
        </w:rPr>
        <w:t xml:space="preserve">The </w:t>
      </w:r>
      <w:r w:rsidRPr="00192FDC">
        <w:rPr>
          <w:i/>
          <w:iCs/>
          <w:color w:val="414042" w:themeColor="text1"/>
        </w:rPr>
        <w:t>Matter Prioritisation Model</w:t>
      </w:r>
      <w:r w:rsidRPr="00F9716C">
        <w:rPr>
          <w:color w:val="414042" w:themeColor="text1"/>
        </w:rPr>
        <w:t xml:space="preserve"> </w:t>
      </w:r>
      <w:r w:rsidRPr="00F9716C">
        <w:rPr>
          <w:color w:val="414042" w:themeColor="text1"/>
          <w:spacing w:val="-4"/>
        </w:rPr>
        <w:t>is updated yearly and as required to ensure it captures our current strategies and plans and other key stakeholder interests including relevant aspects of Queensland Government priorities, QPS strategic and operational plans, Queensland Family and Child Commission strategic plans, and other Queensland and national strategies for responding to serious and organised crime.</w:t>
      </w:r>
      <w:r w:rsidRPr="00F9716C">
        <w:rPr>
          <w:color w:val="414042" w:themeColor="text1"/>
        </w:rPr>
        <w:t xml:space="preserve"> </w:t>
      </w:r>
    </w:p>
    <w:p w14:paraId="19F6FDD7" w14:textId="77777777" w:rsidR="00524EFF" w:rsidRDefault="00524EFF" w:rsidP="00B02BC4">
      <w:pPr>
        <w:pStyle w:val="Heading4"/>
      </w:pPr>
      <w:r>
        <w:br w:type="page"/>
      </w:r>
    </w:p>
    <w:p w14:paraId="1C80AF6E" w14:textId="05A75392" w:rsidR="0093679F" w:rsidRDefault="009C40C7" w:rsidP="00210948">
      <w:pPr>
        <w:pStyle w:val="3Heading-highlight"/>
      </w:pPr>
      <w:r>
        <mc:AlternateContent>
          <mc:Choice Requires="wps">
            <w:drawing>
              <wp:anchor distT="252095" distB="180340" distL="114300" distR="114300" simplePos="0" relativeHeight="252554240" behindDoc="1" locked="0" layoutInCell="1" allowOverlap="1" wp14:anchorId="48524F12" wp14:editId="3443FB25">
                <wp:simplePos x="0" y="0"/>
                <wp:positionH relativeFrom="column">
                  <wp:posOffset>3233420</wp:posOffset>
                </wp:positionH>
                <wp:positionV relativeFrom="page">
                  <wp:posOffset>1599213</wp:posOffset>
                </wp:positionV>
                <wp:extent cx="3085200" cy="0"/>
                <wp:effectExtent l="0" t="0" r="0" b="0"/>
                <wp:wrapTight wrapText="bothSides">
                  <wp:wrapPolygon edited="1">
                    <wp:start x="20568" y="-71887"/>
                    <wp:lineTo x="20532" y="0"/>
                    <wp:lineTo x="0" y="21600"/>
                    <wp:lineTo x="21600" y="21600"/>
                    <wp:lineTo x="20568" y="-71887"/>
                  </wp:wrapPolygon>
                </wp:wrapTight>
                <wp:docPr id="1761077340" name="Straight Connector 5"/>
                <wp:cNvGraphicFramePr/>
                <a:graphic xmlns:a="http://schemas.openxmlformats.org/drawingml/2006/main">
                  <a:graphicData uri="http://schemas.microsoft.com/office/word/2010/wordprocessingShape">
                    <wps:wsp>
                      <wps:cNvCnPr/>
                      <wps:spPr>
                        <a:xfrm>
                          <a:off x="0" y="0"/>
                          <a:ext cx="3085200" cy="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9FA8E1" id="Straight Connector 5" o:spid="_x0000_s1026" style="position:absolute;z-index:-250762240;visibility:visible;mso-wrap-style:square;mso-width-percent:0;mso-wrap-distance-left:9pt;mso-wrap-distance-top:19.85pt;mso-wrap-distance-right:9pt;mso-wrap-distance-bottom:14.2pt;mso-position-horizontal:absolute;mso-position-horizontal-relative:text;mso-position-vertical:absolute;mso-position-vertical-relative:page;mso-width-percent:0;mso-width-relative:margin" from="254.6pt,125.9pt" to="497.55pt,125.9pt" wrapcoords="20564 0 20528 0 0 0 21596 0 205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" stroked="f" strokeweight=".5pt">
                <v:stroke joinstyle="miter"/>
                <w10:wrap type="tight" anchory="page"/>
              </v:line>
            </w:pict>
          </mc:Fallback>
        </mc:AlternateContent>
      </w:r>
      <w:r w:rsidR="0093679F" w:rsidRPr="00F9716C">
        <w:t>Engaging with law enforcement agencies</w:t>
      </w:r>
      <w:r w:rsidR="00210948">
        <w:br/>
      </w:r>
    </w:p>
    <w:p w14:paraId="0FD6C2BD" w14:textId="2F06843F" w:rsidR="0093679F" w:rsidRPr="00F9716C" w:rsidRDefault="0093679F" w:rsidP="00EB6817">
      <w:pPr>
        <w:spacing w:before="120"/>
        <w:ind w:right="140"/>
        <w:rPr>
          <w:color w:val="414042" w:themeColor="text1"/>
          <w:spacing w:val="-4"/>
        </w:rPr>
      </w:pPr>
      <w:r w:rsidRPr="00F9716C">
        <w:rPr>
          <w:color w:val="414042" w:themeColor="text1"/>
          <w:spacing w:val="-4"/>
        </w:rPr>
        <w:t>In 2023</w:t>
      </w:r>
      <w:r w:rsidR="00514FDD" w:rsidRPr="00514FDD">
        <w:rPr>
          <w:color w:val="414042" w:themeColor="text1"/>
          <w:spacing w:val="-4"/>
        </w:rPr>
        <w:t>–</w:t>
      </w:r>
      <w:r w:rsidRPr="00F9716C">
        <w:rPr>
          <w:color w:val="414042" w:themeColor="text1"/>
          <w:spacing w:val="-4"/>
        </w:rPr>
        <w:t xml:space="preserve">24 members of the Crime Division senior management group participated in and contributed to the key interagency forums </w:t>
      </w:r>
      <w:r w:rsidRPr="00F9716C">
        <w:rPr>
          <w:color w:val="414042" w:themeColor="text1"/>
        </w:rPr>
        <w:t>set out below</w:t>
      </w:r>
      <w:r w:rsidRPr="00F9716C">
        <w:rPr>
          <w:color w:val="414042" w:themeColor="text1"/>
          <w:spacing w:val="-4"/>
        </w:rPr>
        <w:t>.</w:t>
      </w:r>
    </w:p>
    <w:p w14:paraId="3CF993D8" w14:textId="77777777" w:rsidR="0093679F" w:rsidRPr="00524EFF" w:rsidRDefault="0093679F" w:rsidP="009C40C7">
      <w:pPr>
        <w:spacing w:after="120"/>
        <w:ind w:right="142"/>
        <w:rPr>
          <w:rFonts w:ascii="Calibri" w:hAnsi="Calibri" w:cs="Calibri"/>
          <w:b/>
          <w:bCs/>
          <w:i/>
          <w:iCs/>
          <w:color w:val="414042" w:themeColor="text1"/>
          <w:szCs w:val="18"/>
        </w:rPr>
      </w:pPr>
      <w:r w:rsidRPr="00524EFF">
        <w:rPr>
          <w:rFonts w:ascii="Calibri" w:hAnsi="Calibri" w:cs="Calibri"/>
          <w:b/>
          <w:bCs/>
          <w:i/>
          <w:iCs/>
          <w:color w:val="414042" w:themeColor="text1"/>
          <w:szCs w:val="18"/>
        </w:rPr>
        <w:t>Queensland Joint Management Group</w:t>
      </w:r>
    </w:p>
    <w:p w14:paraId="4DA98E60" w14:textId="77777777" w:rsidR="0093679F" w:rsidRPr="00F9716C" w:rsidRDefault="0093679F" w:rsidP="00EB6817">
      <w:pPr>
        <w:ind w:right="140"/>
        <w:rPr>
          <w:color w:val="414042" w:themeColor="text1"/>
        </w:rPr>
      </w:pPr>
      <w:r w:rsidRPr="00F9716C">
        <w:rPr>
          <w:color w:val="414042" w:themeColor="text1"/>
        </w:rPr>
        <w:t>The Queensland Joint Management Group is a committee of senior executive members of the AFP, the ACIC, ATO, the Australian Department of Home Affairs (including the Australian Border Force), AUSTRAC, the QPS and the CCC who meet bi-monthly and at various other times, as required.</w:t>
      </w:r>
    </w:p>
    <w:p w14:paraId="7CC7C898" w14:textId="77777777" w:rsidR="0093679F" w:rsidRPr="00F9716C" w:rsidRDefault="0093679F" w:rsidP="00EB6817">
      <w:pPr>
        <w:ind w:right="140"/>
        <w:rPr>
          <w:color w:val="414042" w:themeColor="text1"/>
        </w:rPr>
      </w:pPr>
      <w:r w:rsidRPr="00F9716C">
        <w:rPr>
          <w:color w:val="414042" w:themeColor="text1"/>
        </w:rPr>
        <w:t>The Queensland Joint Management Group facilitates information sharing, collaboration, capability development and coordination of strategies and responses to serious and organised crime within and affecting Queensland.</w:t>
      </w:r>
    </w:p>
    <w:p w14:paraId="586F1032" w14:textId="77777777" w:rsidR="00FB19FC" w:rsidRDefault="0093679F" w:rsidP="00EB6817">
      <w:pPr>
        <w:ind w:right="140"/>
        <w:rPr>
          <w:color w:val="414042" w:themeColor="text1"/>
        </w:rPr>
      </w:pPr>
      <w:r w:rsidRPr="00F9716C">
        <w:rPr>
          <w:color w:val="414042" w:themeColor="text1"/>
        </w:rPr>
        <w:t xml:space="preserve">The Senior Executive Officer (Crime) represents </w:t>
      </w:r>
      <w:r w:rsidR="00B83A3A" w:rsidRPr="00F9716C">
        <w:rPr>
          <w:color w:val="414042" w:themeColor="text1"/>
        </w:rPr>
        <w:t>the CCC</w:t>
      </w:r>
      <w:r w:rsidRPr="00F9716C">
        <w:rPr>
          <w:color w:val="414042" w:themeColor="text1"/>
        </w:rPr>
        <w:t xml:space="preserve"> on the Queensland Joint Management Group.</w:t>
      </w:r>
    </w:p>
    <w:p w14:paraId="77B14264" w14:textId="0DE6559D" w:rsidR="0093679F" w:rsidRPr="009C40C7" w:rsidRDefault="0093679F" w:rsidP="009C40C7">
      <w:pPr>
        <w:spacing w:after="120"/>
        <w:ind w:right="142"/>
        <w:rPr>
          <w:rFonts w:ascii="Calibri" w:hAnsi="Calibri" w:cs="Calibri"/>
          <w:b/>
          <w:bCs/>
          <w:i/>
          <w:iCs/>
          <w:color w:val="414042" w:themeColor="text1"/>
          <w:szCs w:val="18"/>
        </w:rPr>
      </w:pPr>
      <w:r w:rsidRPr="00524EFF">
        <w:rPr>
          <w:rFonts w:ascii="Calibri" w:hAnsi="Calibri" w:cs="Calibri"/>
          <w:b/>
          <w:bCs/>
          <w:i/>
          <w:iCs/>
          <w:color w:val="414042" w:themeColor="text1"/>
          <w:szCs w:val="18"/>
        </w:rPr>
        <w:t>Queensland Operations Coordination Group</w:t>
      </w:r>
    </w:p>
    <w:p w14:paraId="664CE5AB" w14:textId="77777777" w:rsidR="0093679F" w:rsidRPr="00F9716C" w:rsidRDefault="0093679F" w:rsidP="00EB6817">
      <w:pPr>
        <w:ind w:right="140"/>
        <w:rPr>
          <w:color w:val="414042" w:themeColor="text1"/>
        </w:rPr>
      </w:pPr>
      <w:r w:rsidRPr="00F9716C">
        <w:rPr>
          <w:color w:val="414042" w:themeColor="text1"/>
        </w:rPr>
        <w:t>The Queensland Operations Coordination Group is a committee of senior officers of the Queensland Joint Management Group agencies who meet at least monthly.</w:t>
      </w:r>
    </w:p>
    <w:p w14:paraId="2F13CE54" w14:textId="77777777" w:rsidR="0093679F" w:rsidRPr="00F9716C" w:rsidRDefault="0093679F" w:rsidP="00EB6817">
      <w:pPr>
        <w:ind w:right="140"/>
        <w:rPr>
          <w:color w:val="414042" w:themeColor="text1"/>
        </w:rPr>
      </w:pPr>
      <w:r w:rsidRPr="00F9716C">
        <w:rPr>
          <w:color w:val="414042" w:themeColor="text1"/>
        </w:rPr>
        <w:t>The Queensland Operations Coordination Group facilitates information sharing, operational coordination and de-confliction, and assessment of opportunities for inter-agency collaboration on responses to serious and organised crime within Queensland.</w:t>
      </w:r>
    </w:p>
    <w:p w14:paraId="25DF3400" w14:textId="77777777" w:rsidR="0093679F" w:rsidRPr="00F9716C" w:rsidRDefault="0093679F" w:rsidP="00EB6817">
      <w:pPr>
        <w:ind w:right="140"/>
        <w:rPr>
          <w:color w:val="414042" w:themeColor="text1"/>
        </w:rPr>
      </w:pPr>
      <w:r w:rsidRPr="00F9716C">
        <w:rPr>
          <w:color w:val="414042" w:themeColor="text1"/>
        </w:rPr>
        <w:t xml:space="preserve">The Queensland Operations Coordination Group reports on operational progress and outcomes and takes direction from the Queensland Joint Management Group. </w:t>
      </w:r>
    </w:p>
    <w:p w14:paraId="7EDAA269" w14:textId="77777777" w:rsidR="0093679F" w:rsidRPr="00F9716C" w:rsidRDefault="0093679F" w:rsidP="00EB6817">
      <w:pPr>
        <w:ind w:right="140"/>
        <w:rPr>
          <w:color w:val="414042" w:themeColor="text1"/>
        </w:rPr>
      </w:pPr>
      <w:r w:rsidRPr="00F9716C">
        <w:rPr>
          <w:color w:val="414042" w:themeColor="text1"/>
        </w:rPr>
        <w:t>The Executive Director, Crime Operations and the Director, Proceeds of Crime represent our agency on the Queensland Operations Coordination Group.</w:t>
      </w:r>
    </w:p>
    <w:p w14:paraId="2495A21D" w14:textId="6640D60A" w:rsidR="0093679F" w:rsidRDefault="00FB19FC" w:rsidP="009C40C7">
      <w:pPr>
        <w:spacing w:after="120"/>
        <w:ind w:right="142"/>
        <w:rPr>
          <w:rFonts w:ascii="Calibri" w:hAnsi="Calibri" w:cs="Calibri"/>
          <w:b/>
          <w:bCs/>
          <w:i/>
          <w:iCs/>
          <w:color w:val="414042" w:themeColor="text1"/>
          <w:szCs w:val="18"/>
        </w:rPr>
      </w:pPr>
      <w:r w:rsidRPr="00FB19FC">
        <w:rPr>
          <w:rFonts w:ascii="Calibri" w:hAnsi="Calibri" w:cs="Calibri"/>
          <w:b/>
          <w:bCs/>
          <w:i/>
          <w:iCs/>
          <w:color w:val="414042" w:themeColor="text1"/>
          <w:szCs w:val="18"/>
        </w:rPr>
        <w:t>Queensland Joint Analyst Group Committee</w:t>
      </w:r>
    </w:p>
    <w:p w14:paraId="1758A092" w14:textId="77777777" w:rsidR="00C903A2" w:rsidRDefault="0093679F" w:rsidP="00EB6817">
      <w:pPr>
        <w:ind w:right="140"/>
        <w:rPr>
          <w:color w:val="414042" w:themeColor="text1"/>
        </w:rPr>
      </w:pPr>
      <w:r w:rsidRPr="00F9716C">
        <w:rPr>
          <w:color w:val="414042" w:themeColor="text1"/>
        </w:rPr>
        <w:t>The Queensland Joint Analyst Group (QJAG) Committee is a forum of senior officers of the Queensland Joint Management Group agencies who meet at least monthly.</w:t>
      </w:r>
    </w:p>
    <w:p w14:paraId="09DD3E97" w14:textId="561D62F9" w:rsidR="0093679F" w:rsidRPr="00F9716C" w:rsidRDefault="0093679F" w:rsidP="009C40C7">
      <w:pPr>
        <w:ind w:right="35"/>
        <w:rPr>
          <w:color w:val="414042" w:themeColor="text1"/>
        </w:rPr>
      </w:pPr>
      <w:r w:rsidRPr="00F9716C">
        <w:rPr>
          <w:color w:val="414042" w:themeColor="text1"/>
        </w:rPr>
        <w:t xml:space="preserve">The QJAG Committee considers assessments undertaken by the QJAG Working Group for consideration of action by the Queensland Operations Coordination Group. The QJAG Working Group is a </w:t>
      </w:r>
      <w:r w:rsidR="00210948">
        <w:rPr>
          <w:color w:val="414042" w:themeColor="text1"/>
        </w:rPr>
        <w:br/>
      </w:r>
      <w:r w:rsidRPr="00F9716C">
        <w:rPr>
          <w:color w:val="414042" w:themeColor="text1"/>
        </w:rPr>
        <w:t xml:space="preserve">standing capability which identifies opportunities and </w:t>
      </w:r>
      <w:r w:rsidR="00210948">
        <w:rPr>
          <w:color w:val="414042" w:themeColor="text1"/>
        </w:rPr>
        <w:br/>
      </w:r>
      <w:r w:rsidRPr="00F9716C">
        <w:rPr>
          <w:color w:val="414042" w:themeColor="text1"/>
        </w:rPr>
        <w:t>priorities for targeting serious and organised crime in and affecting Queensland.</w:t>
      </w:r>
    </w:p>
    <w:p w14:paraId="4EEB8D86" w14:textId="3BF47150" w:rsidR="0093679F" w:rsidRPr="00F9716C" w:rsidRDefault="0093679F" w:rsidP="009C40C7">
      <w:pPr>
        <w:spacing w:after="200"/>
        <w:ind w:right="35"/>
        <w:rPr>
          <w:color w:val="414042" w:themeColor="text1"/>
        </w:rPr>
      </w:pPr>
      <w:r w:rsidRPr="00F9716C">
        <w:rPr>
          <w:color w:val="414042" w:themeColor="text1"/>
        </w:rPr>
        <w:t xml:space="preserve">The Director, Crime Strategy and Intelligence represents our agency on the QJAG Committee, and our agency provides ongoing intelligence analyst support to the QJAG Working Group. </w:t>
      </w:r>
    </w:p>
    <w:p w14:paraId="07B6E32D" w14:textId="1E3E1655" w:rsidR="0093679F" w:rsidRPr="00524EFF" w:rsidRDefault="0093679F" w:rsidP="009C40C7">
      <w:pPr>
        <w:spacing w:after="120"/>
        <w:ind w:right="142"/>
        <w:rPr>
          <w:rFonts w:ascii="Calibri" w:hAnsi="Calibri" w:cs="Calibri"/>
          <w:b/>
          <w:bCs/>
          <w:i/>
          <w:iCs/>
          <w:color w:val="414042" w:themeColor="text1"/>
          <w:szCs w:val="18"/>
        </w:rPr>
      </w:pPr>
      <w:r w:rsidRPr="00524EFF">
        <w:rPr>
          <w:rFonts w:ascii="Calibri" w:hAnsi="Calibri" w:cs="Calibri"/>
          <w:b/>
          <w:bCs/>
          <w:i/>
          <w:iCs/>
          <w:color w:val="414042" w:themeColor="text1"/>
          <w:szCs w:val="18"/>
        </w:rPr>
        <w:t xml:space="preserve">National Taskforce Kubera </w:t>
      </w:r>
    </w:p>
    <w:p w14:paraId="0E35F14B" w14:textId="77777777" w:rsidR="0093679F" w:rsidRPr="00F9716C" w:rsidRDefault="0093679F" w:rsidP="009C40C7">
      <w:pPr>
        <w:ind w:right="35"/>
        <w:rPr>
          <w:color w:val="414042" w:themeColor="text1"/>
        </w:rPr>
      </w:pPr>
      <w:r w:rsidRPr="00F9716C">
        <w:rPr>
          <w:color w:val="414042" w:themeColor="text1"/>
        </w:rPr>
        <w:t>National Taskforce Kubera is the Australian and New Zealand money laundering working group that supports the development, prioritisation, and coordination of operational capabilities and strategies for addressing money laundering networks and the seizure of criminal proceeds.</w:t>
      </w:r>
    </w:p>
    <w:p w14:paraId="467689B6" w14:textId="77777777" w:rsidR="0093679F" w:rsidRPr="00F9716C" w:rsidRDefault="0093679F" w:rsidP="009C40C7">
      <w:pPr>
        <w:ind w:right="35"/>
        <w:rPr>
          <w:color w:val="414042" w:themeColor="text1"/>
        </w:rPr>
      </w:pPr>
      <w:r w:rsidRPr="00F9716C">
        <w:rPr>
          <w:color w:val="414042" w:themeColor="text1"/>
        </w:rPr>
        <w:t xml:space="preserve">Participants of Taskforce Kubera include all Australian and New Zealand policing agencies, the ATO, AUSTRAC, Australian Border Force, Australian Criminal Intelligence Commission, and the NSW Crime Commission. </w:t>
      </w:r>
    </w:p>
    <w:p w14:paraId="4C8DDF30" w14:textId="77777777" w:rsidR="0093679F" w:rsidRPr="00F9716C" w:rsidRDefault="0093679F" w:rsidP="009C40C7">
      <w:pPr>
        <w:ind w:right="35"/>
        <w:rPr>
          <w:color w:val="414042" w:themeColor="text1"/>
        </w:rPr>
      </w:pPr>
      <w:r w:rsidRPr="00F9716C">
        <w:rPr>
          <w:color w:val="414042" w:themeColor="text1"/>
        </w:rPr>
        <w:t xml:space="preserve">Since joining the taskforce in November 2023, the CCC has been represented on Taskforce Kubera by the Director, Proceeds of Crime. </w:t>
      </w:r>
    </w:p>
    <w:p w14:paraId="79B806A1" w14:textId="77777777" w:rsidR="0093679F" w:rsidRPr="00524EFF" w:rsidRDefault="0093679F" w:rsidP="009C40C7">
      <w:pPr>
        <w:spacing w:after="120"/>
        <w:ind w:right="142"/>
        <w:rPr>
          <w:rFonts w:ascii="Calibri" w:hAnsi="Calibri" w:cs="Calibri"/>
          <w:b/>
          <w:bCs/>
          <w:i/>
          <w:iCs/>
          <w:color w:val="414042" w:themeColor="text1"/>
          <w:szCs w:val="18"/>
        </w:rPr>
      </w:pPr>
      <w:r w:rsidRPr="00524EFF">
        <w:rPr>
          <w:rFonts w:ascii="Calibri" w:hAnsi="Calibri" w:cs="Calibri"/>
          <w:b/>
          <w:bCs/>
          <w:i/>
          <w:iCs/>
          <w:color w:val="414042" w:themeColor="text1"/>
          <w:szCs w:val="18"/>
        </w:rPr>
        <w:t xml:space="preserve">National Proceeds of Crime Forum </w:t>
      </w:r>
    </w:p>
    <w:p w14:paraId="23E358A8" w14:textId="77777777" w:rsidR="0093679F" w:rsidRPr="00F9716C" w:rsidRDefault="0093679F" w:rsidP="009C40C7">
      <w:pPr>
        <w:ind w:right="35"/>
        <w:rPr>
          <w:color w:val="414042" w:themeColor="text1"/>
        </w:rPr>
      </w:pPr>
      <w:r w:rsidRPr="00F9716C">
        <w:rPr>
          <w:color w:val="414042" w:themeColor="text1"/>
        </w:rPr>
        <w:t xml:space="preserve">The Proceeds of Crime Forum is a meeting to bring together asset confiscation leaders from all Australian jurisdictions to discuss relevant issues and developments relating to proceeds of crime issues including regional trends, recent significant matters or court outcomes, legislative challenges or opportunities for reform and share strategies on navigating concurrent civil and criminal proceedings. </w:t>
      </w:r>
    </w:p>
    <w:p w14:paraId="63CCFCC5" w14:textId="77777777" w:rsidR="0093679F" w:rsidRPr="00F9716C" w:rsidRDefault="0093679F" w:rsidP="009C40C7">
      <w:pPr>
        <w:ind w:right="35"/>
        <w:rPr>
          <w:color w:val="414042" w:themeColor="text1"/>
        </w:rPr>
      </w:pPr>
      <w:r w:rsidRPr="00F9716C">
        <w:rPr>
          <w:color w:val="414042" w:themeColor="text1"/>
        </w:rPr>
        <w:t>Participants include the CCC’s Director, Proceeds of Crime and representatives from all State and Territory policing agencies, the AFP, the NSW Crime Commission, Western Australia’s Corruption and Crime Commission, and agencies that provide legal services for confiscation actions.</w:t>
      </w:r>
    </w:p>
    <w:p w14:paraId="4A0A064E" w14:textId="77777777" w:rsidR="0093679F" w:rsidRPr="00524EFF" w:rsidRDefault="0093679F" w:rsidP="009C40C7">
      <w:pPr>
        <w:spacing w:after="120"/>
        <w:ind w:right="142"/>
        <w:rPr>
          <w:rFonts w:ascii="Calibri" w:hAnsi="Calibri" w:cs="Calibri"/>
          <w:b/>
          <w:bCs/>
          <w:i/>
          <w:iCs/>
          <w:color w:val="414042" w:themeColor="text1"/>
          <w:szCs w:val="18"/>
        </w:rPr>
      </w:pPr>
      <w:r w:rsidRPr="00524EFF">
        <w:rPr>
          <w:rFonts w:ascii="Calibri" w:hAnsi="Calibri" w:cs="Calibri"/>
          <w:b/>
          <w:bCs/>
          <w:i/>
          <w:iCs/>
          <w:color w:val="414042" w:themeColor="text1"/>
          <w:szCs w:val="18"/>
        </w:rPr>
        <w:t xml:space="preserve">QPS Operations Review Committee and Specialist Resources Committee </w:t>
      </w:r>
    </w:p>
    <w:p w14:paraId="7DA0B806" w14:textId="77777777" w:rsidR="0093679F" w:rsidRPr="00F9716C" w:rsidRDefault="0093679F" w:rsidP="009C40C7">
      <w:pPr>
        <w:ind w:right="35"/>
        <w:rPr>
          <w:color w:val="414042" w:themeColor="text1"/>
        </w:rPr>
      </w:pPr>
      <w:r w:rsidRPr="00F9716C">
        <w:rPr>
          <w:color w:val="414042" w:themeColor="text1"/>
        </w:rPr>
        <w:t>These committees are comprised of command and regional crime coordinators and other relevant QPS members who meet at least every three weeks to share information, review, coordinate and approve operational activities and responses, and prioritise specialist resources for dealing with serious and organised crime within Queensland.</w:t>
      </w:r>
    </w:p>
    <w:p w14:paraId="19C0A848" w14:textId="77777777" w:rsidR="0093679F" w:rsidRPr="00F9716C" w:rsidRDefault="0093679F" w:rsidP="009C40C7">
      <w:pPr>
        <w:ind w:right="35"/>
        <w:rPr>
          <w:color w:val="414042" w:themeColor="text1"/>
        </w:rPr>
      </w:pPr>
      <w:r w:rsidRPr="00F9716C">
        <w:rPr>
          <w:color w:val="414042" w:themeColor="text1"/>
        </w:rPr>
        <w:t>The Executive Director, Crime Operations represents our agency on both committees.</w:t>
      </w:r>
    </w:p>
    <w:p w14:paraId="150514BC" w14:textId="77777777" w:rsidR="00192FDC" w:rsidRDefault="00192FDC" w:rsidP="00EB6817">
      <w:pPr>
        <w:pStyle w:val="Heading3"/>
        <w:spacing w:after="240"/>
        <w:ind w:right="140"/>
        <w:sectPr w:rsidR="00192FDC" w:rsidSect="00CF2BD9">
          <w:type w:val="continuous"/>
          <w:pgSz w:w="11906" w:h="16838" w:code="9"/>
          <w:pgMar w:top="2155" w:right="1134" w:bottom="964" w:left="1134" w:header="720" w:footer="284" w:gutter="0"/>
          <w:cols w:num="2" w:space="567"/>
          <w:noEndnote/>
          <w:docGrid w:linePitch="272"/>
        </w:sectPr>
      </w:pPr>
    </w:p>
    <w:p w14:paraId="0EE413D0" w14:textId="77777777" w:rsidR="00310B1E" w:rsidRDefault="00C16602" w:rsidP="00210948">
      <w:pPr>
        <w:pStyle w:val="3Heading-highlight"/>
        <w:sectPr w:rsidR="00310B1E" w:rsidSect="00192FDC">
          <w:type w:val="continuous"/>
          <w:pgSz w:w="11906" w:h="16838" w:code="9"/>
          <w:pgMar w:top="2155" w:right="1134" w:bottom="964" w:left="1134" w:header="720" w:footer="284" w:gutter="0"/>
          <w:cols w:space="567"/>
          <w:noEndnote/>
          <w:docGrid w:linePitch="272"/>
        </w:sectPr>
      </w:pPr>
      <w:r w:rsidRPr="00F9716C">
        <w:t>Engaging with our public sector stakeholders</w:t>
      </w:r>
    </w:p>
    <w:p w14:paraId="13A48388" w14:textId="77777777" w:rsidR="00210948" w:rsidRDefault="00210948" w:rsidP="00E6408B">
      <w:pPr>
        <w:pStyle w:val="newBODYTEXT"/>
      </w:pPr>
    </w:p>
    <w:p w14:paraId="0F002E83" w14:textId="1E74F7C3" w:rsidR="00210948" w:rsidRDefault="00210948" w:rsidP="00E6408B">
      <w:pPr>
        <w:pStyle w:val="newBODYTEXT"/>
        <w:sectPr w:rsidR="00210948" w:rsidSect="00192FDC">
          <w:type w:val="continuous"/>
          <w:pgSz w:w="11906" w:h="16838" w:code="9"/>
          <w:pgMar w:top="2155" w:right="1134" w:bottom="964" w:left="1134" w:header="720" w:footer="284" w:gutter="0"/>
          <w:cols w:space="567"/>
          <w:noEndnote/>
          <w:docGrid w:linePitch="272"/>
        </w:sectPr>
      </w:pPr>
    </w:p>
    <w:p w14:paraId="30D0D572" w14:textId="76F34550" w:rsidR="00827CCB" w:rsidRPr="00F9716C" w:rsidRDefault="00E23BAD" w:rsidP="00EB6817">
      <w:pPr>
        <w:spacing w:before="120"/>
        <w:ind w:right="140"/>
        <w:rPr>
          <w:rFonts w:eastAsia="Times New Roman" w:cs="Calibri Light"/>
          <w:snapToGrid w:val="0"/>
          <w:color w:val="414042" w:themeColor="text1"/>
          <w:szCs w:val="20"/>
        </w:rPr>
      </w:pPr>
      <w:r w:rsidRPr="00F9716C">
        <w:rPr>
          <w:rFonts w:eastAsia="Times New Roman" w:cs="Calibri Light"/>
          <w:snapToGrid w:val="0"/>
          <w:color w:val="414042" w:themeColor="text1"/>
          <w:szCs w:val="20"/>
        </w:rPr>
        <w:t xml:space="preserve">Stakeholder engagement is a critical part of successful anti-corruption efforts. Following the development of our Corruption Strategy 2023–27 we established </w:t>
      </w:r>
      <w:r w:rsidR="00827CCB" w:rsidRPr="00F9716C">
        <w:rPr>
          <w:rFonts w:eastAsia="Times New Roman" w:cs="Calibri Light"/>
          <w:snapToGrid w:val="0"/>
          <w:color w:val="414042" w:themeColor="text1"/>
          <w:szCs w:val="20"/>
        </w:rPr>
        <w:t>a new Corruption Prevention and Engagement unit to embed a corruption prevention and policy focus into practice and strengthen our communication and engagement with the public sector to support their corruption prevention efforts.</w:t>
      </w:r>
    </w:p>
    <w:p w14:paraId="5C40FDFB" w14:textId="77777777" w:rsidR="001674A0" w:rsidRPr="00F9716C" w:rsidRDefault="001674A0" w:rsidP="00EB6817">
      <w:pPr>
        <w:spacing w:before="120" w:after="80"/>
        <w:ind w:right="140"/>
        <w:rPr>
          <w:rFonts w:eastAsia="Times New Roman" w:cs="Calibri Light"/>
          <w:snapToGrid w:val="0"/>
          <w:color w:val="414042" w:themeColor="text1"/>
          <w:szCs w:val="20"/>
        </w:rPr>
      </w:pPr>
      <w:r w:rsidRPr="00F9716C">
        <w:rPr>
          <w:rFonts w:eastAsia="Times New Roman" w:cs="Calibri Light"/>
          <w:snapToGrid w:val="0"/>
          <w:color w:val="414042" w:themeColor="text1"/>
          <w:szCs w:val="20"/>
        </w:rPr>
        <w:t xml:space="preserve">We recruited 10 new roles including prevention officers and advisors, research and intelligence practitioners and engagement specialists to ensure we had the right mix of expertise to be responsive to our stakeholders. </w:t>
      </w:r>
    </w:p>
    <w:p w14:paraId="445C753A" w14:textId="77777777" w:rsidR="001674A0" w:rsidRPr="00F9716C" w:rsidRDefault="001674A0" w:rsidP="00EB6817">
      <w:pPr>
        <w:spacing w:before="120" w:after="40"/>
        <w:ind w:right="140"/>
        <w:rPr>
          <w:rFonts w:eastAsia="Times New Roman" w:cs="Calibri Light"/>
          <w:snapToGrid w:val="0"/>
          <w:color w:val="414042" w:themeColor="text1"/>
          <w:szCs w:val="20"/>
        </w:rPr>
      </w:pPr>
      <w:r w:rsidRPr="00F9716C">
        <w:rPr>
          <w:rFonts w:eastAsia="Times New Roman" w:cs="Calibri Light"/>
          <w:snapToGrid w:val="0"/>
          <w:color w:val="414042" w:themeColor="text1"/>
          <w:szCs w:val="20"/>
        </w:rPr>
        <w:t>To inform the development of the Corruption Prevention and Engagement unit we:</w:t>
      </w:r>
    </w:p>
    <w:p w14:paraId="2A0A1341" w14:textId="77777777" w:rsidR="001674A0" w:rsidRPr="00F9716C" w:rsidRDefault="001674A0" w:rsidP="006900F6">
      <w:pPr>
        <w:pStyle w:val="Bulletpoints0"/>
      </w:pPr>
      <w:r w:rsidRPr="00F9716C">
        <w:t>reviewed contemporary literature to develop a deeper understanding of elements of best practice and corruption prevention and engagement and opportunities for us to re-focus our service delivery</w:t>
      </w:r>
    </w:p>
    <w:p w14:paraId="5F916EA4" w14:textId="77777777" w:rsidR="001674A0" w:rsidRPr="00F9716C" w:rsidRDefault="001674A0" w:rsidP="006900F6">
      <w:pPr>
        <w:pStyle w:val="Bulletpoints0"/>
      </w:pPr>
      <w:r w:rsidRPr="00F9716C">
        <w:t>benchmarked our performance and services against other integrity, regulatory and policy agencies to help inform the delivery of our services, and</w:t>
      </w:r>
    </w:p>
    <w:p w14:paraId="694E7519" w14:textId="7B81994D" w:rsidR="001674A0" w:rsidRPr="00184115" w:rsidRDefault="00CE439F" w:rsidP="006900F6">
      <w:pPr>
        <w:pStyle w:val="Bulletpoints0"/>
      </w:pPr>
      <w:r w:rsidRPr="00F9716C">
        <w:t>commenced the development of</w:t>
      </w:r>
      <w:r w:rsidR="001674A0" w:rsidRPr="00F9716C">
        <w:t xml:space="preserve"> renewed engagement and communication practices to ensure we </w:t>
      </w:r>
      <w:r w:rsidR="001674A0" w:rsidRPr="00184115">
        <w:t>are effectively communicating with our stakeholders to support their corruption prevention efforts.</w:t>
      </w:r>
    </w:p>
    <w:p w14:paraId="01EF3307" w14:textId="77777777" w:rsidR="001674A0" w:rsidRPr="00184115" w:rsidRDefault="001674A0" w:rsidP="00B7201C">
      <w:pPr>
        <w:spacing w:before="80" w:after="40"/>
        <w:rPr>
          <w:rFonts w:eastAsia="Times New Roman" w:cs="Calibri Light"/>
          <w:snapToGrid w:val="0"/>
          <w:color w:val="414042" w:themeColor="text1"/>
          <w:szCs w:val="20"/>
        </w:rPr>
      </w:pPr>
      <w:r w:rsidRPr="00184115">
        <w:rPr>
          <w:rFonts w:eastAsia="Times New Roman" w:cs="Calibri Light"/>
          <w:snapToGrid w:val="0"/>
          <w:color w:val="414042" w:themeColor="text1"/>
          <w:szCs w:val="20"/>
        </w:rPr>
        <w:t>In addition to this work, this year we:</w:t>
      </w:r>
    </w:p>
    <w:p w14:paraId="6FA5B505" w14:textId="75F68509" w:rsidR="001674A0" w:rsidRPr="00184115" w:rsidRDefault="001674A0" w:rsidP="006900F6">
      <w:pPr>
        <w:pStyle w:val="Bulletpoints0"/>
        <w:rPr>
          <w:rFonts w:eastAsia="Calibri"/>
          <w:snapToGrid w:val="0"/>
          <w:lang w:eastAsia="en-AU"/>
        </w:rPr>
      </w:pPr>
      <w:r w:rsidRPr="00184115">
        <w:rPr>
          <w:snapToGrid w:val="0"/>
        </w:rPr>
        <w:t>reviewed our publicly available corruption prevention materials and have commenced updating and republishing these resources</w:t>
      </w:r>
      <w:r w:rsidR="0059498D" w:rsidRPr="00184115">
        <w:rPr>
          <w:snapToGrid w:val="0"/>
        </w:rPr>
        <w:t xml:space="preserve"> </w:t>
      </w:r>
      <w:r w:rsidRPr="00184115">
        <w:rPr>
          <w:snapToGrid w:val="0"/>
        </w:rPr>
        <w:t>and continued to monitor the corruption risk landscape through our research and intelligence work examining corruption enablers, risks and trends.</w:t>
      </w:r>
    </w:p>
    <w:p w14:paraId="192E973B" w14:textId="72C458FC" w:rsidR="00463916" w:rsidRPr="00184115" w:rsidRDefault="00184115" w:rsidP="00192FDC">
      <w:pPr>
        <w:spacing w:before="120" w:after="80"/>
        <w:ind w:right="142"/>
        <w:rPr>
          <w:rFonts w:eastAsia="Times New Roman" w:cs="Calibri Light"/>
          <w:snapToGrid w:val="0"/>
          <w:color w:val="414042" w:themeColor="text1"/>
          <w:szCs w:val="20"/>
        </w:rPr>
      </w:pPr>
      <w:r>
        <w:rPr>
          <w:rFonts w:eastAsia="Times New Roman" w:cs="Calibri Light"/>
          <w:snapToGrid w:val="0"/>
          <w:color w:val="414042" w:themeColor="text1"/>
          <w:szCs w:val="20"/>
        </w:rPr>
        <w:br w:type="column"/>
      </w:r>
      <w:r w:rsidR="00463916" w:rsidRPr="00184115">
        <w:rPr>
          <w:rFonts w:eastAsia="Times New Roman" w:cs="Calibri Light"/>
          <w:snapToGrid w:val="0"/>
          <w:color w:val="414042" w:themeColor="text1"/>
          <w:szCs w:val="20"/>
        </w:rPr>
        <w:t>In relation to our corruption prevention engagement, some of our initiatives undertaken during the period include:</w:t>
      </w:r>
    </w:p>
    <w:p w14:paraId="4172A7CD" w14:textId="56FB56D7" w:rsidR="00B375F8" w:rsidRPr="00184115" w:rsidRDefault="00B375F8" w:rsidP="00EB6817">
      <w:pPr>
        <w:pStyle w:val="Bulletpoints0"/>
        <w:rPr>
          <w:snapToGrid w:val="0"/>
        </w:rPr>
      </w:pPr>
      <w:r w:rsidRPr="00184115">
        <w:rPr>
          <w:snapToGrid w:val="0"/>
        </w:rPr>
        <w:t>In September 2023, we gave a presentation to the Community of Practice for Ethical Behaviour (CoPEB) – a network of state government integrity practitioners.</w:t>
      </w:r>
    </w:p>
    <w:p w14:paraId="404F198D" w14:textId="2D1922DB" w:rsidR="00B375F8" w:rsidRPr="00184115" w:rsidRDefault="00B375F8" w:rsidP="00EB6817">
      <w:pPr>
        <w:pStyle w:val="Bulletpoints0"/>
        <w:rPr>
          <w:rFonts w:eastAsia="Times New Roman" w:cs="Calibri Light"/>
          <w:snapToGrid w:val="0"/>
          <w:szCs w:val="20"/>
        </w:rPr>
      </w:pPr>
      <w:r w:rsidRPr="00184115">
        <w:rPr>
          <w:snapToGrid w:val="0"/>
        </w:rPr>
        <w:t xml:space="preserve">Fraud Awareness Week was recognised between 12-18 November 2023. The theme for this year’s Fraud Awareness Week was </w:t>
      </w:r>
      <w:r w:rsidR="00DE6AF1" w:rsidRPr="00184115">
        <w:rPr>
          <w:snapToGrid w:val="0"/>
        </w:rPr>
        <w:t>‘</w:t>
      </w:r>
      <w:r w:rsidRPr="00184115">
        <w:rPr>
          <w:snapToGrid w:val="0"/>
        </w:rPr>
        <w:t>Fraud Prevention in Focus</w:t>
      </w:r>
      <w:r w:rsidR="00DE6AF1" w:rsidRPr="00184115">
        <w:rPr>
          <w:snapToGrid w:val="0"/>
        </w:rPr>
        <w:t>’</w:t>
      </w:r>
      <w:r w:rsidRPr="00184115">
        <w:rPr>
          <w:snapToGrid w:val="0"/>
        </w:rPr>
        <w:t xml:space="preserve">. </w:t>
      </w:r>
      <w:bookmarkStart w:id="1081" w:name="_Hlk172815816"/>
      <w:r w:rsidRPr="00184115">
        <w:rPr>
          <w:snapToGrid w:val="0"/>
        </w:rPr>
        <w:t>The CCC’s campaign encouraged CCC staff, UPA liaison officers and public officials to recognise the red flags of fraud</w:t>
      </w:r>
      <w:bookmarkEnd w:id="1081"/>
      <w:r w:rsidRPr="00184115">
        <w:rPr>
          <w:snapToGrid w:val="0"/>
        </w:rPr>
        <w:t xml:space="preserve">. Activities included communication from the Chairperson to all public officials and liaison officers, website content with curated resources to support fraud detection and </w:t>
      </w:r>
      <w:r w:rsidRPr="00184115">
        <w:rPr>
          <w:rFonts w:eastAsia="Times New Roman" w:cs="Calibri Light"/>
          <w:snapToGrid w:val="0"/>
          <w:szCs w:val="20"/>
        </w:rPr>
        <w:t>prevention, communication from the CEO to CCC staff and updated intranet content for staff to refer to.</w:t>
      </w:r>
    </w:p>
    <w:p w14:paraId="669C3DAF" w14:textId="77777777" w:rsidR="00B375F8" w:rsidRPr="00184115" w:rsidRDefault="00B375F8" w:rsidP="00EB6817">
      <w:pPr>
        <w:pStyle w:val="Bulletpoints0"/>
      </w:pPr>
      <w:bookmarkStart w:id="1082" w:name="_Hlk172816000"/>
      <w:bookmarkStart w:id="1083" w:name="_Hlk172722795"/>
      <w:r w:rsidRPr="00184115">
        <w:t>In December 2023, we presented local government election insights to the Electoral Commission Queensland, Local Government Election Advisory Committee.</w:t>
      </w:r>
    </w:p>
    <w:bookmarkEnd w:id="1082"/>
    <w:p w14:paraId="67DDB4AB" w14:textId="6BFD51A4" w:rsidR="00B375F8" w:rsidRPr="00184115" w:rsidRDefault="00B375F8" w:rsidP="00EB6817">
      <w:pPr>
        <w:pStyle w:val="Bulletpoints0"/>
      </w:pPr>
      <w:r w:rsidRPr="00184115">
        <w:t>The CCC supported International Anti-Corruption Day on 9 December 2023. The United Nations’ 2023 theme was ‘Uniting the world against corruption’ and was intended to reinforce the notion that tackling corruption is everyone’s right and responsibility.</w:t>
      </w:r>
    </w:p>
    <w:p w14:paraId="3F68E1EF" w14:textId="4D0B54AF" w:rsidR="00B375F8" w:rsidRPr="00184115" w:rsidRDefault="00B375F8" w:rsidP="00192FDC">
      <w:pPr>
        <w:pStyle w:val="Bulletpoints0"/>
        <w:numPr>
          <w:ilvl w:val="0"/>
          <w:numId w:val="0"/>
        </w:numPr>
        <w:ind w:left="142"/>
      </w:pPr>
      <w:r w:rsidRPr="00184115">
        <w:t xml:space="preserve">Our campaign focused on </w:t>
      </w:r>
      <w:r w:rsidR="00DE6AF1" w:rsidRPr="00184115">
        <w:t>‘</w:t>
      </w:r>
      <w:r w:rsidRPr="00184115">
        <w:t>unity in integrity</w:t>
      </w:r>
      <w:r w:rsidR="00DE6AF1" w:rsidRPr="00184115">
        <w:t>’</w:t>
      </w:r>
      <w:r w:rsidRPr="00184115">
        <w:t xml:space="preserve"> and called for public sector agencies to unite against pervasive corruption risks of fraud and misappropriation, misuse of authority and information and failure of duty.</w:t>
      </w:r>
    </w:p>
    <w:p w14:paraId="202EB400" w14:textId="6DDB9BFE" w:rsidR="00B375F8" w:rsidRPr="00184115" w:rsidRDefault="00B375F8" w:rsidP="00192FDC">
      <w:pPr>
        <w:pStyle w:val="Bulletpoints0"/>
        <w:numPr>
          <w:ilvl w:val="0"/>
          <w:numId w:val="0"/>
        </w:numPr>
        <w:ind w:left="142"/>
      </w:pPr>
      <w:r w:rsidRPr="00184115">
        <w:t xml:space="preserve">For further information in relation to key corruption risks to Queensland’s public sector, visit </w:t>
      </w:r>
      <w:r w:rsidR="00C440C0" w:rsidRPr="00184115">
        <w:t xml:space="preserve"> </w:t>
      </w:r>
      <w:hyperlink r:id="rId218" w:history="1">
        <w:r w:rsidR="00C440C0" w:rsidRPr="00184115">
          <w:rPr>
            <w:rStyle w:val="Hyperlink"/>
          </w:rPr>
          <w:t>www.ccc.qld.gov.au/IACDay2023</w:t>
        </w:r>
      </w:hyperlink>
      <w:r w:rsidR="0059498D" w:rsidRPr="00184115">
        <w:rPr>
          <w:rStyle w:val="Hyperlink"/>
        </w:rPr>
        <w:t>.</w:t>
      </w:r>
      <w:r w:rsidR="00184115">
        <w:br w:type="column"/>
      </w:r>
      <w:bookmarkStart w:id="1084" w:name="_Hlk172816010"/>
      <w:bookmarkEnd w:id="1083"/>
      <w:r w:rsidR="00192FDC">
        <w:br/>
      </w:r>
      <w:r w:rsidR="00192FDC">
        <w:br/>
      </w:r>
      <w:r w:rsidR="00192FDC">
        <w:br/>
      </w:r>
      <w:r w:rsidR="00192FDC">
        <w:br/>
      </w:r>
      <w:r w:rsidRPr="00184115">
        <w:t xml:space="preserve">A collaboration between the CCC, </w:t>
      </w:r>
      <w:r w:rsidR="00DE6AF1" w:rsidRPr="00184115">
        <w:t xml:space="preserve">the </w:t>
      </w:r>
      <w:r w:rsidRPr="00184115">
        <w:t>Office of the Independent Assessor and the Elect</w:t>
      </w:r>
      <w:r w:rsidR="00183A43" w:rsidRPr="00184115">
        <w:t>oral</w:t>
      </w:r>
      <w:r w:rsidRPr="00184115">
        <w:t xml:space="preserve"> Commission Queensland leading into the</w:t>
      </w:r>
      <w:r w:rsidR="00C53191" w:rsidRPr="00184115">
        <w:t xml:space="preserve"> March 2024</w:t>
      </w:r>
      <w:r w:rsidRPr="00184115">
        <w:t xml:space="preserve"> Local Government election</w:t>
      </w:r>
      <w:r w:rsidR="00C53191" w:rsidRPr="00184115">
        <w:t>,</w:t>
      </w:r>
      <w:r w:rsidRPr="00184115">
        <w:t xml:space="preserve"> enabled engagement with local government candidates about the need to campaign with integrity</w:t>
      </w:r>
      <w:r w:rsidR="00DE1F70" w:rsidRPr="00184115">
        <w:t>.</w:t>
      </w:r>
      <w:r w:rsidRPr="00184115">
        <w:t xml:space="preserve"> </w:t>
      </w:r>
    </w:p>
    <w:bookmarkEnd w:id="1084"/>
    <w:p w14:paraId="2BC53261" w14:textId="6B7022D5" w:rsidR="00F37EC0" w:rsidRPr="00184115" w:rsidRDefault="00B375F8" w:rsidP="006900F6">
      <w:pPr>
        <w:pStyle w:val="Bulletpoints0"/>
      </w:pPr>
      <w:r w:rsidRPr="00184115">
        <w:t>In May 2024, we delivered a presentation</w:t>
      </w:r>
      <w:r w:rsidR="001B364D" w:rsidRPr="00184115">
        <w:t xml:space="preserve"> to over </w:t>
      </w:r>
      <w:r w:rsidR="00514FDD" w:rsidRPr="00184115">
        <w:t>100</w:t>
      </w:r>
      <w:r w:rsidR="001B364D" w:rsidRPr="00184115">
        <w:t xml:space="preserve"> hundred human resources practitioners within the Department of Health</w:t>
      </w:r>
      <w:r w:rsidRPr="00184115">
        <w:t xml:space="preserve"> on the operation of the Crime and Corruption Act. The presentation was focussed on how corrupt conduct was defined, and when an agency’s duty to notify may be enlivened. Feedback following the session was positive.</w:t>
      </w:r>
    </w:p>
    <w:p w14:paraId="631B43DC" w14:textId="77777777" w:rsidR="00184115" w:rsidRDefault="00B375F8" w:rsidP="006900F6">
      <w:pPr>
        <w:pStyle w:val="Bulletpoints0"/>
      </w:pPr>
      <w:r w:rsidRPr="00184115">
        <w:t>The CCC supported</w:t>
      </w:r>
      <w:r w:rsidR="00EA140D" w:rsidRPr="00184115">
        <w:t xml:space="preserve"> the Independent Commission Against Corruption Northern Territory (ICAC NT) to plan the Australian Public Sector Anti-Corruption Conference (APSACC) held in Darwin in July 2024.</w:t>
      </w:r>
      <w:r w:rsidR="00184115" w:rsidRPr="00184115">
        <w:t xml:space="preserve"> </w:t>
      </w:r>
    </w:p>
    <w:p w14:paraId="02FD9946" w14:textId="74C572E7" w:rsidR="00184115" w:rsidRPr="00F9716C" w:rsidRDefault="00184115" w:rsidP="00EB6817">
      <w:pPr>
        <w:pStyle w:val="Heading4"/>
        <w:ind w:right="140"/>
      </w:pPr>
      <w:r>
        <w:br w:type="column"/>
      </w:r>
      <w:r w:rsidR="00192FDC">
        <w:br/>
      </w:r>
      <w:r w:rsidR="00192FDC">
        <w:br/>
      </w:r>
      <w:r w:rsidR="00192FDC">
        <w:br/>
      </w:r>
      <w:r w:rsidRPr="00F9716C">
        <w:t>Corruption Prevention Network Queensland</w:t>
      </w:r>
    </w:p>
    <w:p w14:paraId="55EDB246" w14:textId="77777777" w:rsidR="00184115" w:rsidRPr="00F9716C" w:rsidRDefault="00184115" w:rsidP="00EB6817">
      <w:pPr>
        <w:spacing w:before="120"/>
        <w:ind w:right="140"/>
        <w:rPr>
          <w:color w:val="414042" w:themeColor="text1"/>
        </w:rPr>
      </w:pPr>
      <w:r w:rsidRPr="00F9716C">
        <w:rPr>
          <w:color w:val="414042" w:themeColor="text1"/>
        </w:rPr>
        <w:t>Established in 2003 as an initiative of the CCC’s predecessor organisation the CMC, the Corruption Prevention Network Queensland (CPNQ) assists its members to develop knowledge, skills and professional networks to build more fraud-resilient and corruption-resilient organisations in Queensland. The CCC provides some financial support to CPNQ to help meet basic running costs to ensure that the group remains viable.</w:t>
      </w:r>
    </w:p>
    <w:p w14:paraId="1ADD08D7" w14:textId="77777777" w:rsidR="00184115" w:rsidRPr="00F9716C" w:rsidRDefault="00184115" w:rsidP="00EB6817">
      <w:pPr>
        <w:spacing w:before="120"/>
        <w:ind w:right="140"/>
        <w:rPr>
          <w:color w:val="414042" w:themeColor="text1"/>
        </w:rPr>
      </w:pPr>
      <w:r w:rsidRPr="00F9716C">
        <w:rPr>
          <w:color w:val="414042" w:themeColor="text1"/>
        </w:rPr>
        <w:t>Network members come from the public sector (local, state and federal), private sector, academia, and the wider community, and work together to strengthen the State’s resilience against corruption and fraud.</w:t>
      </w:r>
    </w:p>
    <w:p w14:paraId="2CA8EFAE" w14:textId="77777777" w:rsidR="00184115" w:rsidRPr="00F9716C" w:rsidRDefault="00184115" w:rsidP="00EB6817">
      <w:pPr>
        <w:spacing w:before="120" w:after="120"/>
        <w:ind w:right="140"/>
        <w:rPr>
          <w:rFonts w:eastAsia="Times New Roman" w:cs="Calibri Light"/>
          <w:snapToGrid w:val="0"/>
          <w:color w:val="414042" w:themeColor="text1"/>
          <w:szCs w:val="20"/>
        </w:rPr>
      </w:pPr>
      <w:r w:rsidRPr="00F9716C">
        <w:rPr>
          <w:color w:val="414042" w:themeColor="text1"/>
        </w:rPr>
        <w:t>In November 2023, we presented the Corruption Division’s year in review and year ahead to the CPNQ.</w:t>
      </w:r>
    </w:p>
    <w:p w14:paraId="67FFBC4D" w14:textId="77777777" w:rsidR="00184115" w:rsidRPr="00F9716C" w:rsidRDefault="00184115" w:rsidP="00184115">
      <w:pPr>
        <w:spacing w:before="120" w:after="0" w:line="260" w:lineRule="exact"/>
        <w:rPr>
          <w:rFonts w:eastAsia="Times New Roman" w:cs="Times New Roman"/>
          <w:color w:val="414042" w:themeColor="text1"/>
          <w:szCs w:val="20"/>
        </w:rPr>
      </w:pPr>
    </w:p>
    <w:p w14:paraId="7617D063" w14:textId="6F0424A1" w:rsidR="00841E86" w:rsidRDefault="00841E86" w:rsidP="006900F6">
      <w:pPr>
        <w:pStyle w:val="Bulletpoints0"/>
      </w:pPr>
      <w:r>
        <w:br w:type="page"/>
      </w:r>
    </w:p>
    <w:p w14:paraId="0CFE3824" w14:textId="77777777" w:rsidR="009B446D" w:rsidRPr="00184115" w:rsidRDefault="009B446D" w:rsidP="006900F6">
      <w:pPr>
        <w:pStyle w:val="Bulletpoints0"/>
        <w:sectPr w:rsidR="009B446D" w:rsidRPr="00184115" w:rsidSect="00CF2BD9">
          <w:type w:val="continuous"/>
          <w:pgSz w:w="11906" w:h="16838" w:code="9"/>
          <w:pgMar w:top="2155" w:right="1134" w:bottom="964" w:left="1134" w:header="720" w:footer="284" w:gutter="0"/>
          <w:cols w:num="2" w:space="567"/>
          <w:noEndnote/>
          <w:docGrid w:linePitch="272"/>
        </w:sectPr>
      </w:pPr>
    </w:p>
    <w:p w14:paraId="7BF82947" w14:textId="77B800F1" w:rsidR="00370F00" w:rsidRPr="00F9716C" w:rsidRDefault="004C1A3D" w:rsidP="00514FDD">
      <w:pPr>
        <w:pStyle w:val="Heading1"/>
        <w:sectPr w:rsidR="00370F00" w:rsidRPr="00F9716C" w:rsidSect="00C77834">
          <w:headerReference w:type="even" r:id="rId219"/>
          <w:headerReference w:type="default" r:id="rId220"/>
          <w:headerReference w:type="first" r:id="rId221"/>
          <w:pgSz w:w="11906" w:h="16838" w:code="9"/>
          <w:pgMar w:top="2155" w:right="1134" w:bottom="964" w:left="1134" w:header="720" w:footer="284" w:gutter="0"/>
          <w:cols w:space="567"/>
          <w:noEndnote/>
          <w:docGrid w:linePitch="272"/>
        </w:sectPr>
      </w:pPr>
      <w:bookmarkStart w:id="1085" w:name="ObjectiveContinuousImporovment"/>
      <w:bookmarkEnd w:id="1080"/>
      <w:r w:rsidRPr="00F9716C">
        <w:t xml:space="preserve">Objective: </w:t>
      </w:r>
      <w:r w:rsidR="00880E9F" w:rsidRPr="00F9716C">
        <w:t>Continuous improvement</w:t>
      </w:r>
    </w:p>
    <w:tbl>
      <w:tblPr>
        <w:tblStyle w:val="TableGrid2"/>
        <w:tblW w:w="0" w:type="auto"/>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shd w:val="clear" w:color="auto" w:fill="F2F2F2" w:themeFill="background1" w:themeFillShade="F2"/>
        <w:tblLook w:val="04A0" w:firstRow="1" w:lastRow="0" w:firstColumn="1" w:lastColumn="0" w:noHBand="0" w:noVBand="1"/>
      </w:tblPr>
      <w:tblGrid>
        <w:gridCol w:w="4525"/>
      </w:tblGrid>
      <w:tr w:rsidR="00B958F2" w14:paraId="23CBEA4C" w14:textId="77777777" w:rsidTr="00965915">
        <w:tc>
          <w:tcPr>
            <w:tcW w:w="4535" w:type="dxa"/>
            <w:shd w:val="clear" w:color="auto" w:fill="F2F2F2" w:themeFill="background1" w:themeFillShade="F2"/>
          </w:tcPr>
          <w:bookmarkEnd w:id="1085"/>
          <w:p w14:paraId="6E0A81DE" w14:textId="77777777" w:rsidR="00B958F2" w:rsidRPr="00F9716C" w:rsidRDefault="00B958F2" w:rsidP="00192FDC">
            <w:pPr>
              <w:pStyle w:val="Openingparagraph"/>
              <w:tabs>
                <w:tab w:val="left" w:pos="3848"/>
              </w:tabs>
              <w:spacing w:before="240"/>
              <w:ind w:right="175" w:firstLine="167"/>
            </w:pPr>
            <w:r w:rsidRPr="00F9716C">
              <w:rPr>
                <w:snapToGrid w:val="0"/>
              </w:rPr>
              <w:t>Key strategies:</w:t>
            </w:r>
          </w:p>
          <w:p w14:paraId="1157FCFC" w14:textId="77777777" w:rsidR="00B958F2" w:rsidRPr="00F9716C" w:rsidDel="00E40F63" w:rsidRDefault="00B958F2" w:rsidP="006900F6">
            <w:pPr>
              <w:pStyle w:val="Bulletpoints0"/>
            </w:pPr>
            <w:r w:rsidRPr="00F9716C" w:rsidDel="00E40F63">
              <w:t>Redesign service delivery models to maximise our ability to respond to our changing environment.</w:t>
            </w:r>
          </w:p>
          <w:p w14:paraId="7790FDAA" w14:textId="77777777" w:rsidR="00B958F2" w:rsidRPr="00F9716C" w:rsidDel="00E40F63" w:rsidRDefault="00B958F2" w:rsidP="006900F6">
            <w:pPr>
              <w:pStyle w:val="Bulletpoints0"/>
            </w:pPr>
            <w:r w:rsidRPr="00F9716C" w:rsidDel="00E40F63">
              <w:t>Embed a culture of continuous improvement and innovation to improve performance and maximise our impact.</w:t>
            </w:r>
          </w:p>
          <w:p w14:paraId="1060481A" w14:textId="77777777" w:rsidR="00B958F2" w:rsidRPr="00F9716C" w:rsidDel="00E40F63" w:rsidRDefault="00B958F2" w:rsidP="006900F6">
            <w:pPr>
              <w:pStyle w:val="Bulletpoints0"/>
            </w:pPr>
            <w:r w:rsidRPr="00F9716C" w:rsidDel="00E40F63">
              <w:t>Strengthen change management practices to sustain the benefits of change.</w:t>
            </w:r>
          </w:p>
          <w:p w14:paraId="58BAC783" w14:textId="77777777" w:rsidR="00B958F2" w:rsidRPr="00F9716C" w:rsidDel="00E40F63" w:rsidRDefault="00B958F2" w:rsidP="006900F6">
            <w:pPr>
              <w:pStyle w:val="Bulletpoints0"/>
            </w:pPr>
            <w:r w:rsidRPr="00F9716C" w:rsidDel="00E40F63">
              <w:t>Establish environmental sustainability practices to minimise the impact of our operations on the environment.</w:t>
            </w:r>
          </w:p>
          <w:p w14:paraId="1084E407" w14:textId="77777777" w:rsidR="00B958F2" w:rsidRPr="00F9716C" w:rsidDel="00E40F63" w:rsidRDefault="00B958F2" w:rsidP="006900F6">
            <w:pPr>
              <w:pStyle w:val="Bulletpoints0"/>
            </w:pPr>
            <w:r w:rsidRPr="00F9716C" w:rsidDel="00E40F63">
              <w:t>Continue to implement initiatives from reviews and inquiries to enhance public confidence.</w:t>
            </w:r>
          </w:p>
          <w:p w14:paraId="7F34B335" w14:textId="77777777" w:rsidR="00B958F2" w:rsidRDefault="00B958F2" w:rsidP="00EB6817">
            <w:pPr>
              <w:pStyle w:val="Bulletpoints0"/>
              <w:numPr>
                <w:ilvl w:val="0"/>
                <w:numId w:val="0"/>
              </w:numPr>
            </w:pPr>
          </w:p>
        </w:tc>
      </w:tr>
    </w:tbl>
    <w:p w14:paraId="5699A68E" w14:textId="77777777" w:rsidR="00370F00" w:rsidRPr="00F9716C" w:rsidRDefault="00370F00" w:rsidP="00370F00">
      <w:pPr>
        <w:pStyle w:val="Openingparagraph"/>
      </w:pPr>
    </w:p>
    <w:p w14:paraId="4DE7D8B2" w14:textId="77777777" w:rsidR="008A3E70" w:rsidRPr="00F9716C" w:rsidRDefault="008A3E70" w:rsidP="00370F00">
      <w:pPr>
        <w:pStyle w:val="Openingparagraph"/>
        <w:sectPr w:rsidR="008A3E70" w:rsidRPr="00F9716C" w:rsidSect="00C77834">
          <w:type w:val="continuous"/>
          <w:pgSz w:w="11906" w:h="16838" w:code="9"/>
          <w:pgMar w:top="2155" w:right="1134" w:bottom="964" w:left="1134" w:header="720" w:footer="284" w:gutter="0"/>
          <w:cols w:num="2" w:space="567"/>
          <w:noEndnote/>
          <w:docGrid w:linePitch="272"/>
        </w:sectPr>
      </w:pPr>
    </w:p>
    <w:tbl>
      <w:tblPr>
        <w:tblStyle w:val="Annualreport2020-21"/>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9638"/>
      </w:tblGrid>
      <w:tr w:rsidR="00F9716C" w:rsidRPr="00F9716C" w14:paraId="724AB964" w14:textId="77777777" w:rsidTr="008C6665">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F2F2F2" w:themeFill="background1" w:themeFillShade="F2"/>
          </w:tcPr>
          <w:p w14:paraId="5D03B52F" w14:textId="09002396" w:rsidR="00027058" w:rsidRPr="00192FDC" w:rsidRDefault="006D352F" w:rsidP="00C903A2">
            <w:pPr>
              <w:spacing w:before="240" w:after="240"/>
              <w:ind w:right="169"/>
              <w:rPr>
                <w:rStyle w:val="Emphasis"/>
                <w:b w:val="0"/>
                <w:bCs w:val="0"/>
              </w:rPr>
            </w:pPr>
            <w:bookmarkStart w:id="1086" w:name="_Toc102037911"/>
            <w:bookmarkStart w:id="1087" w:name="_Toc102038272"/>
            <w:bookmarkStart w:id="1088" w:name="_Toc102038633"/>
            <w:bookmarkStart w:id="1089" w:name="_Toc102038985"/>
            <w:bookmarkStart w:id="1090" w:name="_Toc102039334"/>
            <w:bookmarkStart w:id="1091" w:name="_Toc102039696"/>
            <w:bookmarkStart w:id="1092" w:name="_Toc102040053"/>
            <w:bookmarkStart w:id="1093" w:name="_Toc102040381"/>
            <w:bookmarkStart w:id="1094" w:name="_Toc102040715"/>
            <w:bookmarkStart w:id="1095" w:name="_Toc102041043"/>
            <w:bookmarkStart w:id="1096" w:name="_Toc102041372"/>
            <w:bookmarkStart w:id="1097" w:name="_Toc102041704"/>
            <w:bookmarkStart w:id="1098" w:name="_Toc102042031"/>
            <w:bookmarkStart w:id="1099" w:name="_Toc102042361"/>
            <w:bookmarkStart w:id="1100" w:name="_Toc102045491"/>
            <w:bookmarkStart w:id="1101" w:name="_Hlk74218797"/>
            <w:bookmarkStart w:id="1102" w:name="_Hlk74046057"/>
            <w:bookmarkStart w:id="1103" w:name="_Hlk162344544"/>
            <w:r w:rsidRPr="00192FDC">
              <w:rPr>
                <w:rStyle w:val="Emphasis"/>
                <w:b w:val="0"/>
                <w:bCs w:val="0"/>
              </w:rPr>
              <w:t xml:space="preserve">Anticipating and responding effectively to our dynamic challenging </w:t>
            </w:r>
            <w:r w:rsidR="004A6FE9" w:rsidRPr="00192FDC">
              <w:rPr>
                <w:rStyle w:val="Emphasis"/>
                <w:b w:val="0"/>
                <w:bCs w:val="0"/>
              </w:rPr>
              <w:br/>
            </w:r>
            <w:r w:rsidRPr="00192FDC">
              <w:rPr>
                <w:rStyle w:val="Emphasis"/>
                <w:b w:val="0"/>
                <w:bCs w:val="0"/>
              </w:rPr>
              <w:t>operating environment</w:t>
            </w:r>
            <w:r w:rsidR="00D178FD" w:rsidRPr="00192FDC">
              <w:rPr>
                <w:rStyle w:val="Emphasis"/>
                <w:b w:val="0"/>
                <w:bCs w:val="0"/>
              </w:rPr>
              <w:t>.</w:t>
            </w:r>
          </w:p>
        </w:tc>
      </w:tr>
    </w:tbl>
    <w:p w14:paraId="5C39BEBD" w14:textId="1D4FD302" w:rsidR="007D118E" w:rsidRPr="00F9716C" w:rsidRDefault="00FC4079" w:rsidP="00027058">
      <w:pPr>
        <w:rPr>
          <w:rFonts w:cs="Calibri Light"/>
          <w:color w:val="414042" w:themeColor="text1"/>
          <w:szCs w:val="20"/>
        </w:rPr>
        <w:sectPr w:rsidR="007D118E" w:rsidRPr="00F9716C" w:rsidSect="000B469A">
          <w:headerReference w:type="even" r:id="rId222"/>
          <w:headerReference w:type="default" r:id="rId223"/>
          <w:headerReference w:type="first" r:id="rId224"/>
          <w:pgSz w:w="11906" w:h="16838" w:code="9"/>
          <w:pgMar w:top="2155" w:right="1134" w:bottom="964" w:left="1134" w:header="720" w:footer="284" w:gutter="0"/>
          <w:cols w:space="567"/>
          <w:noEndnote/>
          <w:docGrid w:linePitch="272"/>
        </w:sectPr>
      </w:pPr>
      <w:r>
        <w:rPr>
          <w:noProof/>
        </w:rPr>
        <mc:AlternateContent>
          <mc:Choice Requires="wps">
            <w:drawing>
              <wp:anchor distT="0" distB="0" distL="114300" distR="114300" simplePos="0" relativeHeight="252541952" behindDoc="1" locked="0" layoutInCell="1" allowOverlap="1" wp14:anchorId="11E0734E" wp14:editId="6586CFAD">
                <wp:simplePos x="0" y="0"/>
                <wp:positionH relativeFrom="column">
                  <wp:posOffset>3415665</wp:posOffset>
                </wp:positionH>
                <wp:positionV relativeFrom="paragraph">
                  <wp:posOffset>408305</wp:posOffset>
                </wp:positionV>
                <wp:extent cx="2795905" cy="0"/>
                <wp:effectExtent l="0" t="0" r="0" b="0"/>
                <wp:wrapTight wrapText="bothSides">
                  <wp:wrapPolygon edited="0">
                    <wp:start x="0" y="0"/>
                    <wp:lineTo x="0" y="21600"/>
                    <wp:lineTo x="21600" y="21600"/>
                    <wp:lineTo x="21600" y="0"/>
                  </wp:wrapPolygon>
                </wp:wrapTight>
                <wp:docPr id="1309469871" name="Straight Connector 30"/>
                <wp:cNvGraphicFramePr/>
                <a:graphic xmlns:a="http://schemas.openxmlformats.org/drawingml/2006/main">
                  <a:graphicData uri="http://schemas.microsoft.com/office/word/2010/wordprocessingShape">
                    <wps:wsp>
                      <wps:cNvCnPr/>
                      <wps:spPr>
                        <a:xfrm>
                          <a:off x="0" y="0"/>
                          <a:ext cx="2795905" cy="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AAF79D" id="Straight Connector 30" o:spid="_x0000_s1026" style="position:absolute;z-index:-25077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95pt,32.15pt" to="489.1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" stroked="f" strokeweight=".5pt">
                <v:stroke joinstyle="miter"/>
                <w10:wrap type="tight"/>
              </v:line>
            </w:pict>
          </mc:Fallback>
        </mc:AlternateContent>
      </w:r>
    </w:p>
    <w:p w14:paraId="60EB3FE5" w14:textId="1D99F34D" w:rsidR="00C66053" w:rsidRPr="00F9716C" w:rsidRDefault="00C66053" w:rsidP="006A0CD6">
      <w:pPr>
        <w:pStyle w:val="3Heading-highlight"/>
        <w:ind w:right="140"/>
      </w:pPr>
      <w:r w:rsidRPr="00F9716C">
        <w:t>Redesign service delivery models to maximise our ability to respond to our changing environment</w:t>
      </w:r>
    </w:p>
    <w:p w14:paraId="4ACC7161" w14:textId="0A5D0280" w:rsidR="00DB19F0" w:rsidRPr="00F9716C" w:rsidRDefault="00DB19F0" w:rsidP="006A0CD6">
      <w:pPr>
        <w:ind w:right="140"/>
        <w:rPr>
          <w:color w:val="414042" w:themeColor="text1"/>
        </w:rPr>
      </w:pPr>
      <w:r w:rsidRPr="00F9716C">
        <w:rPr>
          <w:color w:val="414042" w:themeColor="text1"/>
        </w:rPr>
        <w:t xml:space="preserve">In 2023–24, we invested significant effort in identifying new technologies that will help us work in smarter, simpler and more effective ways. </w:t>
      </w:r>
      <w:r w:rsidR="00396F27" w:rsidRPr="00F9716C">
        <w:rPr>
          <w:color w:val="414042" w:themeColor="text1"/>
        </w:rPr>
        <w:t>Specific activities have included:</w:t>
      </w:r>
    </w:p>
    <w:p w14:paraId="20267A7F" w14:textId="77777777" w:rsidR="00DB19F0" w:rsidRPr="00F9716C" w:rsidRDefault="00DB19F0" w:rsidP="006A0CD6">
      <w:pPr>
        <w:pStyle w:val="Heading4"/>
        <w:ind w:right="140"/>
      </w:pPr>
      <w:r w:rsidRPr="00F9716C">
        <w:t xml:space="preserve">Strengthening our digital capability </w:t>
      </w:r>
    </w:p>
    <w:p w14:paraId="7F360EF5" w14:textId="09747C15" w:rsidR="00DB19F0" w:rsidRPr="00F9716C" w:rsidRDefault="00DB19F0" w:rsidP="006A0CD6">
      <w:pPr>
        <w:pStyle w:val="newBODYTEXT"/>
        <w:ind w:right="140"/>
      </w:pPr>
      <w:r w:rsidRPr="00F9716C">
        <w:t xml:space="preserve">The CCC has continued to mature our digital capability and digital literacy to ensure our workforce is capable of effectively interacting with emerging digital technologies. The CCC has implemented an Application Portfolio Management Framework (APMF) which supports </w:t>
      </w:r>
      <w:r w:rsidR="009807E2" w:rsidRPr="00F9716C">
        <w:t xml:space="preserve">the </w:t>
      </w:r>
      <w:r w:rsidRPr="00F9716C">
        <w:t xml:space="preserve">management of the entire lifecycle of system applications from inception to retirement. The APMF </w:t>
      </w:r>
      <w:r w:rsidR="008211E6" w:rsidRPr="00F9716C">
        <w:t>will assist us to mature the way we manage our digital technologies’ lifecycles and ensure the right investment is occurring at the right time.</w:t>
      </w:r>
    </w:p>
    <w:p w14:paraId="57E8CF61" w14:textId="77777777" w:rsidR="00DB19F0" w:rsidRPr="00F9716C" w:rsidRDefault="00DB19F0" w:rsidP="006A0CD6">
      <w:pPr>
        <w:pStyle w:val="Heading4"/>
        <w:ind w:right="140"/>
      </w:pPr>
      <w:r w:rsidRPr="00F9716C">
        <w:t xml:space="preserve">Digitising the workplace </w:t>
      </w:r>
    </w:p>
    <w:p w14:paraId="1968982E" w14:textId="416B7B08" w:rsidR="00DB19F0" w:rsidRPr="00F9716C" w:rsidRDefault="00DB19F0" w:rsidP="006A0CD6">
      <w:pPr>
        <w:pStyle w:val="newBODYTEXT"/>
        <w:ind w:right="140"/>
      </w:pPr>
      <w:r w:rsidRPr="00F9716C">
        <w:t>We are progressing simpler and smarter digital solutions, across all CCC divisions, to enable us to reduce major crime and corruption in Queensland more efficiently and effectively. Digital projects progressed or delivered in 2023–24 include:</w:t>
      </w:r>
    </w:p>
    <w:p w14:paraId="3B511D8A" w14:textId="39DA2BC3" w:rsidR="00735B8C" w:rsidRPr="00F9716C" w:rsidRDefault="00DB19F0" w:rsidP="006A0CD6">
      <w:pPr>
        <w:pStyle w:val="Bulletpoints0"/>
      </w:pPr>
      <w:r w:rsidRPr="00F9716C">
        <w:t xml:space="preserve">Digital Governance Risk and Compliance </w:t>
      </w:r>
      <w:r w:rsidR="00F17713" w:rsidRPr="00F9716C">
        <w:t xml:space="preserve">system </w:t>
      </w:r>
      <w:r w:rsidRPr="00F9716C">
        <w:t>(dGRC): The CCC’s d</w:t>
      </w:r>
      <w:r w:rsidR="00514FDD">
        <w:t>GRC</w:t>
      </w:r>
      <w:r w:rsidRPr="00F9716C">
        <w:t xml:space="preserve">, which was launched in 2020, has brought a more consistent and coordinated approach to managing the CCC’s governance, risk and compliance activities. This year, we undertook work to improve platform stability, </w:t>
      </w:r>
      <w:r w:rsidR="007238BC" w:rsidRPr="00F9716C">
        <w:t>enhancing our digital Governance, Risk and Compliance obligations is streamlined and efficient.</w:t>
      </w:r>
      <w:r w:rsidRPr="00F9716C">
        <w:t xml:space="preserve"> This work is anticipated to be finalised by September 2024.</w:t>
      </w:r>
    </w:p>
    <w:p w14:paraId="4A523231" w14:textId="77777777" w:rsidR="00735B8C" w:rsidRPr="00F9716C" w:rsidRDefault="00DB19F0" w:rsidP="006A0CD6">
      <w:pPr>
        <w:pStyle w:val="Bulletpoints0"/>
      </w:pPr>
      <w:r w:rsidRPr="00F9716C">
        <w:t xml:space="preserve">Case Management Systems: The CCC is investing in a comprehensive, fit-for-purpose case management system to support our crime and corruption investigators. This year, we completed early market engagement activities to identify potential technical solutions that will improve the efficiency, effectiveness and quality of crime operations and corruption investigations. The market engagements will be used to guide the next stage of the procurement process.  </w:t>
      </w:r>
    </w:p>
    <w:p w14:paraId="5D8B704A" w14:textId="01CD9E20" w:rsidR="00735B8C" w:rsidRPr="00F9716C" w:rsidRDefault="00DB19F0" w:rsidP="006900F6">
      <w:pPr>
        <w:pStyle w:val="Bulletpoints0"/>
      </w:pPr>
      <w:r w:rsidRPr="00F9716C">
        <w:t xml:space="preserve">Legal Practice Management System: The CCC is </w:t>
      </w:r>
      <w:r w:rsidR="00B83A3A" w:rsidRPr="00F9716C">
        <w:t xml:space="preserve">finalising the procurement of a </w:t>
      </w:r>
      <w:r w:rsidRPr="00F9716C">
        <w:t xml:space="preserve">digital solution to help manage its internal legal function, and streamline or automate processes where possible. Following an extensive procurement process, this project is concluding contract negotiations, with implementation scheduled to </w:t>
      </w:r>
      <w:r w:rsidR="00510588" w:rsidRPr="00F9716C">
        <w:t xml:space="preserve">be completed </w:t>
      </w:r>
      <w:r w:rsidRPr="00F9716C">
        <w:t xml:space="preserve">in 2024. </w:t>
      </w:r>
    </w:p>
    <w:p w14:paraId="59306F5B" w14:textId="258A8F08" w:rsidR="00DB19F0" w:rsidRPr="00F9716C" w:rsidRDefault="00DB19F0" w:rsidP="006900F6">
      <w:pPr>
        <w:pStyle w:val="Bulletpoints0"/>
      </w:pPr>
      <w:r w:rsidRPr="00F9716C">
        <w:t xml:space="preserve">Human Resource Information System: The CCC </w:t>
      </w:r>
      <w:r w:rsidR="00B83A3A" w:rsidRPr="00F9716C">
        <w:t>is finalising the procurement of</w:t>
      </w:r>
      <w:r w:rsidRPr="00F9716C">
        <w:t xml:space="preserve"> a digital solution that will improve workforce management by having a single source of truth for HR-related information. The system will consolidate HR systems, resolve data accuracy issues, and enable automated reporting and holistic workforce</w:t>
      </w:r>
      <w:r w:rsidR="00514FDD">
        <w:t>.</w:t>
      </w:r>
    </w:p>
    <w:p w14:paraId="07BB0CC5" w14:textId="77777777" w:rsidR="00A120EE" w:rsidRPr="00F9716C" w:rsidRDefault="00A120EE" w:rsidP="00B02BC4">
      <w:pPr>
        <w:pStyle w:val="Heading4"/>
      </w:pPr>
      <w:r w:rsidRPr="00F9716C">
        <w:t>Creation of Business Intelligence dashboards</w:t>
      </w:r>
    </w:p>
    <w:p w14:paraId="2DE5A933" w14:textId="77777777" w:rsidR="00A120EE" w:rsidRPr="00F9716C" w:rsidRDefault="00A120EE" w:rsidP="00A120EE">
      <w:pPr>
        <w:spacing w:after="120"/>
        <w:ind w:right="-142"/>
        <w:rPr>
          <w:color w:val="414042" w:themeColor="text1"/>
        </w:rPr>
      </w:pPr>
      <w:r w:rsidRPr="00F9716C">
        <w:rPr>
          <w:color w:val="414042" w:themeColor="text1"/>
        </w:rPr>
        <w:t xml:space="preserve">Business Intelligence Dashboards, which are now largely automated from the ADW, are supporting commission officers to make quality decisions in a timely way. Dashboards enhance data accessibility, streamline reporting, and improve decision-making by consolidating diverse datasets into a single, unified platform. Dashboards developed or progressed during this reporting period include: </w:t>
      </w:r>
    </w:p>
    <w:p w14:paraId="5E98D5E1" w14:textId="77777777" w:rsidR="00A120EE" w:rsidRPr="00F9716C" w:rsidRDefault="00A120EE" w:rsidP="006900F6">
      <w:pPr>
        <w:pStyle w:val="Bulletpoints0"/>
      </w:pPr>
      <w:r w:rsidRPr="00F9716C">
        <w:t xml:space="preserve">Intake and Assessment dashboard: The Intake and Assessment Dashboard provides management insights into the volume and progress of corruption allegations received by the CCC. </w:t>
      </w:r>
    </w:p>
    <w:p w14:paraId="2851F61A" w14:textId="77777777" w:rsidR="00A120EE" w:rsidRPr="00F9716C" w:rsidRDefault="00A120EE" w:rsidP="006900F6">
      <w:pPr>
        <w:pStyle w:val="Bulletpoints0"/>
      </w:pPr>
      <w:r w:rsidRPr="00F9716C">
        <w:t xml:space="preserve">Monitoring dashboard: The Monitoring dashboard enables tracking of the progress of corruption matters that have been referred to Units of Public Administration. This dashboard was delivered in March 2024. </w:t>
      </w:r>
    </w:p>
    <w:p w14:paraId="6B5B035B" w14:textId="7FDA109C" w:rsidR="00A120EE" w:rsidRPr="00F9716C" w:rsidRDefault="00A120EE" w:rsidP="006900F6">
      <w:pPr>
        <w:pStyle w:val="Bulletpoints0"/>
      </w:pPr>
      <w:r w:rsidRPr="00F9716C">
        <w:t>Corporate dashboards: Continual improvement to Human Resources and Finance dashboards to ensure accurate and timely corporate information is accessible by managers were delivered in 2023</w:t>
      </w:r>
      <w:r w:rsidR="00257B2A" w:rsidRPr="00F9716C">
        <w:t>–</w:t>
      </w:r>
      <w:r w:rsidRPr="00F9716C">
        <w:t xml:space="preserve">24. </w:t>
      </w:r>
    </w:p>
    <w:p w14:paraId="44775ACB" w14:textId="3E526722" w:rsidR="00A120EE" w:rsidRPr="00F9716C" w:rsidRDefault="00A120EE">
      <w:pPr>
        <w:spacing w:before="120" w:after="0" w:line="260" w:lineRule="exact"/>
        <w:rPr>
          <w:color w:val="414042" w:themeColor="text1"/>
        </w:rPr>
      </w:pPr>
      <w:r w:rsidRPr="00F9716C">
        <w:rPr>
          <w:color w:val="414042" w:themeColor="text1"/>
        </w:rPr>
        <w:br w:type="page"/>
      </w:r>
    </w:p>
    <w:p w14:paraId="5E54B8B1" w14:textId="7FCB59E0" w:rsidR="002503C2" w:rsidRPr="00F9716C" w:rsidRDefault="00B41867" w:rsidP="00B02BC4">
      <w:pPr>
        <w:pStyle w:val="Heading4"/>
      </w:pPr>
      <w:r w:rsidRPr="00F9716C">
        <w:t xml:space="preserve">Building our </w:t>
      </w:r>
      <w:r w:rsidR="002503C2" w:rsidRPr="00F9716C">
        <w:t xml:space="preserve">Data and Analytics </w:t>
      </w:r>
      <w:r w:rsidRPr="00F9716C">
        <w:t>capability</w:t>
      </w:r>
    </w:p>
    <w:p w14:paraId="733E4A45" w14:textId="4EC8C3A7" w:rsidR="002503C2" w:rsidRPr="00F9716C" w:rsidRDefault="002503C2" w:rsidP="0054213E">
      <w:pPr>
        <w:spacing w:before="120" w:after="120" w:line="259" w:lineRule="auto"/>
        <w:rPr>
          <w:rFonts w:eastAsia="Times New Roman" w:cs="Times New Roman"/>
          <w:color w:val="414042" w:themeColor="text1"/>
          <w:szCs w:val="20"/>
        </w:rPr>
      </w:pPr>
      <w:r w:rsidRPr="00F9716C">
        <w:rPr>
          <w:rFonts w:eastAsia="Times New Roman" w:cs="Times New Roman"/>
          <w:color w:val="414042" w:themeColor="text1"/>
          <w:szCs w:val="20"/>
        </w:rPr>
        <w:t>CCC corruption functions are supported by an analytics capability which aims to grow its data holdings and deliver data insights to inform the public sector about corruption risk and prevention. By improving knowledge about the outcomes of corruption allegations investigated by units of public administration, a clearer picture can be formulated of the true nature and prevalence of corruption in Queensland and inform corruption prevention initiatives.</w:t>
      </w:r>
    </w:p>
    <w:p w14:paraId="5F034B37" w14:textId="3836284F" w:rsidR="006D352F" w:rsidRPr="00F9716C" w:rsidRDefault="00C87067" w:rsidP="00B02BC4">
      <w:pPr>
        <w:pStyle w:val="Heading4"/>
      </w:pPr>
      <w:r w:rsidRPr="00F9716C">
        <w:t xml:space="preserve">Increasing </w:t>
      </w:r>
      <w:r w:rsidR="006D352F" w:rsidRPr="00F9716C">
        <w:t>Analytics Data Warehouse (ADW)</w:t>
      </w:r>
      <w:r w:rsidRPr="00F9716C">
        <w:t xml:space="preserve"> </w:t>
      </w:r>
      <w:r w:rsidR="00951A66" w:rsidRPr="00F9716C">
        <w:t>functionality</w:t>
      </w:r>
    </w:p>
    <w:p w14:paraId="1C695CBE" w14:textId="77BF0F99" w:rsidR="006D352F" w:rsidRPr="00F9716C" w:rsidRDefault="006D352F" w:rsidP="006D352F">
      <w:pPr>
        <w:ind w:right="-142"/>
        <w:rPr>
          <w:color w:val="414042" w:themeColor="text1"/>
        </w:rPr>
      </w:pPr>
      <w:r w:rsidRPr="00F9716C">
        <w:rPr>
          <w:color w:val="414042" w:themeColor="text1"/>
        </w:rPr>
        <w:t>The CCC’s ADW is now operational, enabling the development of more dashboards and enhanced reporting functionalities. Corporate datasets, including Human Resources and Finance data, have been i</w:t>
      </w:r>
      <w:r w:rsidR="0022773E">
        <w:rPr>
          <w:color w:val="414042" w:themeColor="text1"/>
        </w:rPr>
        <w:t xml:space="preserve">ngested </w:t>
      </w:r>
      <w:r w:rsidRPr="00F9716C">
        <w:rPr>
          <w:color w:val="414042" w:themeColor="text1"/>
        </w:rPr>
        <w:t xml:space="preserve">into the ADW which is enabling more comprehensive, timely and quality corporate reporting. COMPASS, the CCC’s corruption database, has also been </w:t>
      </w:r>
      <w:r w:rsidR="00A75F16" w:rsidRPr="00F9716C">
        <w:rPr>
          <w:color w:val="414042" w:themeColor="text1"/>
        </w:rPr>
        <w:t>ingested</w:t>
      </w:r>
      <w:r w:rsidRPr="00F9716C">
        <w:rPr>
          <w:color w:val="414042" w:themeColor="text1"/>
        </w:rPr>
        <w:t xml:space="preserve"> into the ADW, and work is progressing to improve automate routine COMPASS-related reporting directly. </w:t>
      </w:r>
    </w:p>
    <w:p w14:paraId="11179DBF" w14:textId="2AB53BE8" w:rsidR="006D352F" w:rsidRPr="00F9716C" w:rsidRDefault="006D352F" w:rsidP="006D352F">
      <w:pPr>
        <w:ind w:right="-142"/>
        <w:rPr>
          <w:color w:val="414042" w:themeColor="text1"/>
        </w:rPr>
      </w:pPr>
      <w:r w:rsidRPr="00F9716C">
        <w:rPr>
          <w:color w:val="414042" w:themeColor="text1"/>
        </w:rPr>
        <w:t>The now</w:t>
      </w:r>
      <w:r w:rsidR="003C1DE5" w:rsidRPr="00F9716C">
        <w:rPr>
          <w:color w:val="414042" w:themeColor="text1"/>
        </w:rPr>
        <w:t xml:space="preserve"> </w:t>
      </w:r>
      <w:r w:rsidRPr="00F9716C">
        <w:rPr>
          <w:color w:val="414042" w:themeColor="text1"/>
        </w:rPr>
        <w:t>fully operational ADW is also supporting the Corruption Strategy</w:t>
      </w:r>
      <w:r w:rsidR="00A120EE" w:rsidRPr="00F9716C">
        <w:rPr>
          <w:color w:val="414042" w:themeColor="text1"/>
        </w:rPr>
        <w:t xml:space="preserve"> </w:t>
      </w:r>
      <w:r w:rsidRPr="00F9716C">
        <w:rPr>
          <w:color w:val="414042" w:themeColor="text1"/>
        </w:rPr>
        <w:t xml:space="preserve">to create Queensland’s Corruption Data Asset. Processes have been established to facilitate the </w:t>
      </w:r>
      <w:r w:rsidR="00A75F16" w:rsidRPr="00F9716C">
        <w:rPr>
          <w:color w:val="414042" w:themeColor="text1"/>
        </w:rPr>
        <w:t>ingested</w:t>
      </w:r>
      <w:r w:rsidRPr="00F9716C">
        <w:rPr>
          <w:color w:val="414042" w:themeColor="text1"/>
        </w:rPr>
        <w:t xml:space="preserve"> external datasets relevant to corruption to support the CCC becoming the trusted agency for data and insights about corruption risk and prevention. </w:t>
      </w:r>
    </w:p>
    <w:p w14:paraId="436D4977" w14:textId="6D952F09" w:rsidR="003749B6" w:rsidRPr="00F9716C" w:rsidRDefault="00951A66" w:rsidP="00B02BC4">
      <w:pPr>
        <w:pStyle w:val="Heading4"/>
      </w:pPr>
      <w:r w:rsidRPr="00F9716C">
        <w:t xml:space="preserve">Developing a </w:t>
      </w:r>
      <w:r w:rsidR="003749B6" w:rsidRPr="00F9716C">
        <w:t>Data and Insights Plan</w:t>
      </w:r>
    </w:p>
    <w:p w14:paraId="2A803796" w14:textId="0712D4D8" w:rsidR="003749B6" w:rsidRPr="00F9716C" w:rsidRDefault="00951A66" w:rsidP="006D352F">
      <w:pPr>
        <w:ind w:right="-142"/>
        <w:rPr>
          <w:rFonts w:eastAsia="Times New Roman" w:cs="Calibri Light"/>
          <w:snapToGrid w:val="0"/>
          <w:color w:val="414042" w:themeColor="text1"/>
          <w:szCs w:val="20"/>
        </w:rPr>
      </w:pPr>
      <w:r w:rsidRPr="00F9716C">
        <w:rPr>
          <w:rFonts w:eastAsia="Times New Roman" w:cs="Calibri Light"/>
          <w:snapToGrid w:val="0"/>
          <w:color w:val="414042" w:themeColor="text1"/>
          <w:szCs w:val="20"/>
        </w:rPr>
        <w:t xml:space="preserve">The CCC has developed a Data and Insights Plan that will </w:t>
      </w:r>
      <w:r w:rsidR="000E2AD5" w:rsidRPr="00F9716C">
        <w:rPr>
          <w:rFonts w:eastAsia="Times New Roman" w:cs="Calibri Light"/>
          <w:snapToGrid w:val="0"/>
          <w:color w:val="414042" w:themeColor="text1"/>
          <w:szCs w:val="20"/>
        </w:rPr>
        <w:t xml:space="preserve">provide guidance and direction on the corruption related data that we </w:t>
      </w:r>
      <w:r w:rsidR="003749B6" w:rsidRPr="00F9716C">
        <w:rPr>
          <w:rFonts w:eastAsia="Times New Roman" w:cs="Calibri Light"/>
          <w:snapToGrid w:val="0"/>
          <w:color w:val="414042" w:themeColor="text1"/>
          <w:szCs w:val="20"/>
        </w:rPr>
        <w:t>collect</w:t>
      </w:r>
      <w:r w:rsidR="004E7649" w:rsidRPr="00F9716C">
        <w:rPr>
          <w:rFonts w:eastAsia="Times New Roman" w:cs="Calibri Light"/>
          <w:snapToGrid w:val="0"/>
          <w:color w:val="414042" w:themeColor="text1"/>
          <w:szCs w:val="20"/>
        </w:rPr>
        <w:t xml:space="preserve"> and </w:t>
      </w:r>
      <w:r w:rsidR="003749B6" w:rsidRPr="00F9716C">
        <w:rPr>
          <w:rFonts w:eastAsia="Times New Roman" w:cs="Calibri Light"/>
          <w:snapToGrid w:val="0"/>
          <w:color w:val="414042" w:themeColor="text1"/>
          <w:szCs w:val="20"/>
        </w:rPr>
        <w:t>analyse</w:t>
      </w:r>
      <w:r w:rsidR="004E7649" w:rsidRPr="00F9716C">
        <w:rPr>
          <w:rFonts w:eastAsia="Times New Roman" w:cs="Calibri Light"/>
          <w:snapToGrid w:val="0"/>
          <w:color w:val="414042" w:themeColor="text1"/>
          <w:szCs w:val="20"/>
        </w:rPr>
        <w:t xml:space="preserve">. </w:t>
      </w:r>
      <w:r w:rsidR="003749B6" w:rsidRPr="00F9716C">
        <w:rPr>
          <w:rFonts w:eastAsia="Times New Roman" w:cs="Calibri Light"/>
          <w:snapToGrid w:val="0"/>
          <w:color w:val="414042" w:themeColor="text1"/>
          <w:szCs w:val="20"/>
        </w:rPr>
        <w:t xml:space="preserve"> </w:t>
      </w:r>
      <w:r w:rsidR="004E7649" w:rsidRPr="00F9716C">
        <w:rPr>
          <w:rFonts w:eastAsia="Times New Roman" w:cs="Calibri Light"/>
          <w:snapToGrid w:val="0"/>
          <w:color w:val="414042" w:themeColor="text1"/>
          <w:szCs w:val="20"/>
        </w:rPr>
        <w:t xml:space="preserve">Our shared insights </w:t>
      </w:r>
      <w:r w:rsidR="00192FDC" w:rsidRPr="00F9716C">
        <w:rPr>
          <w:rFonts w:eastAsia="Times New Roman" w:cs="Calibri Light"/>
          <w:snapToGrid w:val="0"/>
          <w:color w:val="414042" w:themeColor="text1"/>
          <w:szCs w:val="20"/>
        </w:rPr>
        <w:t>will better</w:t>
      </w:r>
      <w:r w:rsidR="003749B6" w:rsidRPr="00F9716C">
        <w:rPr>
          <w:rFonts w:eastAsia="Times New Roman" w:cs="Calibri Light"/>
          <w:snapToGrid w:val="0"/>
          <w:color w:val="414042" w:themeColor="text1"/>
          <w:szCs w:val="20"/>
        </w:rPr>
        <w:t xml:space="preserve"> support understanding of corruption risk across the public sector.</w:t>
      </w:r>
    </w:p>
    <w:p w14:paraId="6535778E" w14:textId="4A501C35" w:rsidR="006D352F" w:rsidRPr="00F9716C" w:rsidRDefault="00E56727" w:rsidP="00B02BC4">
      <w:pPr>
        <w:pStyle w:val="Heading4"/>
      </w:pPr>
      <w:r w:rsidRPr="00F9716C">
        <w:t xml:space="preserve">Building our </w:t>
      </w:r>
      <w:r w:rsidR="006D352F" w:rsidRPr="00F9716C">
        <w:t>Corruption Outcomes Data</w:t>
      </w:r>
    </w:p>
    <w:p w14:paraId="447762A5" w14:textId="425A8C9D" w:rsidR="006D352F" w:rsidRPr="00F9716C" w:rsidRDefault="00203BF7" w:rsidP="002C40A1">
      <w:pPr>
        <w:ind w:right="-142"/>
        <w:rPr>
          <w:rFonts w:asciiTheme="majorHAnsi" w:hAnsiTheme="majorHAnsi" w:cstheme="majorHAnsi"/>
          <w:b/>
          <w:bCs/>
          <w:color w:val="414042" w:themeColor="text1"/>
          <w:szCs w:val="18"/>
        </w:rPr>
      </w:pPr>
      <w:r w:rsidRPr="00F9716C">
        <w:rPr>
          <w:color w:val="414042" w:themeColor="text1"/>
        </w:rPr>
        <w:t>A</w:t>
      </w:r>
      <w:r w:rsidR="00A72C1C" w:rsidRPr="00F9716C">
        <w:rPr>
          <w:color w:val="414042" w:themeColor="text1"/>
        </w:rPr>
        <w:t xml:space="preserve">n </w:t>
      </w:r>
      <w:r w:rsidR="006D352F" w:rsidRPr="00F9716C">
        <w:rPr>
          <w:color w:val="414042" w:themeColor="text1"/>
        </w:rPr>
        <w:t>innovative Proof of Concept to automate the exchange of corruption outcomes data between the CCC and Units of Public Administration is progressing</w:t>
      </w:r>
      <w:r w:rsidR="00E56727" w:rsidRPr="00F9716C">
        <w:rPr>
          <w:color w:val="414042" w:themeColor="text1"/>
        </w:rPr>
        <w:t xml:space="preserve">. The Proof of Concept aims to better capture and analyse outcomes data from serious matters referred to agencies for resolution. It is anticipated that the CCC will have an improved </w:t>
      </w:r>
      <w:r w:rsidR="006D352F" w:rsidRPr="00F9716C">
        <w:rPr>
          <w:color w:val="414042" w:themeColor="text1"/>
        </w:rPr>
        <w:t>understanding of corruption prevalence in Queensland,</w:t>
      </w:r>
      <w:r w:rsidR="00E56727" w:rsidRPr="00F9716C">
        <w:rPr>
          <w:color w:val="414042" w:themeColor="text1"/>
        </w:rPr>
        <w:t xml:space="preserve"> develop</w:t>
      </w:r>
      <w:r w:rsidR="006D352F" w:rsidRPr="00F9716C">
        <w:rPr>
          <w:color w:val="414042" w:themeColor="text1"/>
        </w:rPr>
        <w:t xml:space="preserve"> targeting prevention initiatives, and </w:t>
      </w:r>
      <w:r w:rsidR="00E56727" w:rsidRPr="00F9716C">
        <w:rPr>
          <w:color w:val="414042" w:themeColor="text1"/>
        </w:rPr>
        <w:t xml:space="preserve">be able to streamline </w:t>
      </w:r>
      <w:r w:rsidR="006D352F" w:rsidRPr="00F9716C">
        <w:rPr>
          <w:color w:val="414042" w:themeColor="text1"/>
        </w:rPr>
        <w:t>information exchange</w:t>
      </w:r>
      <w:r w:rsidR="00E56727" w:rsidRPr="00F9716C">
        <w:rPr>
          <w:color w:val="414042" w:themeColor="text1"/>
        </w:rPr>
        <w:t xml:space="preserve"> between units of public administration. </w:t>
      </w:r>
      <w:r w:rsidR="004069F8" w:rsidRPr="00F9716C">
        <w:rPr>
          <w:color w:val="414042" w:themeColor="text1"/>
        </w:rPr>
        <w:t>F</w:t>
      </w:r>
      <w:r w:rsidR="006D352F" w:rsidRPr="00F9716C">
        <w:rPr>
          <w:color w:val="414042" w:themeColor="text1"/>
        </w:rPr>
        <w:t xml:space="preserve">ormal engagement with </w:t>
      </w:r>
      <w:r w:rsidR="00B52A2B" w:rsidRPr="00F9716C">
        <w:rPr>
          <w:color w:val="414042" w:themeColor="text1"/>
        </w:rPr>
        <w:t>a unit of public administration</w:t>
      </w:r>
      <w:r w:rsidR="006D352F" w:rsidRPr="00F9716C">
        <w:rPr>
          <w:color w:val="414042" w:themeColor="text1"/>
        </w:rPr>
        <w:t xml:space="preserve"> has been established to advance this initiative. </w:t>
      </w:r>
      <w:r w:rsidR="009639B0" w:rsidRPr="00F9716C">
        <w:rPr>
          <w:color w:val="414042" w:themeColor="text1"/>
        </w:rPr>
        <w:t>This</w:t>
      </w:r>
      <w:r w:rsidR="006D352F" w:rsidRPr="00F9716C">
        <w:rPr>
          <w:color w:val="414042" w:themeColor="text1"/>
        </w:rPr>
        <w:t xml:space="preserve"> dataset will significantly enhance our understanding of corruption in the public sector over time.</w:t>
      </w:r>
      <w:r w:rsidR="002C40A1" w:rsidRPr="00F9716C">
        <w:rPr>
          <w:color w:val="414042" w:themeColor="text1"/>
        </w:rPr>
        <w:br w:type="column"/>
      </w:r>
      <w:r w:rsidR="0022773E" w:rsidRPr="002527D1">
        <w:rPr>
          <w:rFonts w:asciiTheme="minorHAnsi" w:eastAsia="Times New Roman" w:hAnsiTheme="minorHAnsi" w:cstheme="minorHAnsi"/>
          <w:b/>
          <w:noProof/>
          <w:color w:val="414042" w:themeColor="text1"/>
          <w:sz w:val="22"/>
          <w:lang w:eastAsia="en-AU"/>
        </w:rPr>
        <w:t>Maintaining</w:t>
      </w:r>
      <w:r w:rsidR="00C2084A" w:rsidRPr="002527D1">
        <w:rPr>
          <w:rFonts w:asciiTheme="minorHAnsi" w:eastAsia="Times New Roman" w:hAnsiTheme="minorHAnsi" w:cstheme="minorHAnsi"/>
          <w:b/>
          <w:noProof/>
          <w:color w:val="414042" w:themeColor="text1"/>
          <w:sz w:val="22"/>
          <w:lang w:eastAsia="en-AU"/>
        </w:rPr>
        <w:t xml:space="preserve"> our </w:t>
      </w:r>
      <w:r w:rsidR="006D352F" w:rsidRPr="002527D1">
        <w:rPr>
          <w:rFonts w:asciiTheme="minorHAnsi" w:eastAsia="Times New Roman" w:hAnsiTheme="minorHAnsi" w:cstheme="minorHAnsi"/>
          <w:b/>
          <w:noProof/>
          <w:color w:val="414042" w:themeColor="text1"/>
          <w:sz w:val="22"/>
          <w:lang w:eastAsia="en-AU"/>
        </w:rPr>
        <w:t>Corruption Allegations Data Dashboard</w:t>
      </w:r>
    </w:p>
    <w:p w14:paraId="33101E59" w14:textId="49D88026" w:rsidR="006D352F" w:rsidRPr="00F9716C" w:rsidRDefault="006D352F" w:rsidP="002C40A1">
      <w:pPr>
        <w:spacing w:after="120"/>
        <w:rPr>
          <w:color w:val="414042" w:themeColor="text1"/>
        </w:rPr>
      </w:pPr>
      <w:r w:rsidRPr="00F9716C">
        <w:rPr>
          <w:color w:val="414042" w:themeColor="text1"/>
        </w:rPr>
        <w:t xml:space="preserve">In June 2024, the latest CADD report, which includes data up to 31 December 2023, was published on the CCC’s website. This publication offers substantial value to the public, promoting open data, increased transparency, and Corruption prevention. In addition, </w:t>
      </w:r>
      <w:r w:rsidR="00253717" w:rsidRPr="00F9716C">
        <w:rPr>
          <w:color w:val="414042" w:themeColor="text1"/>
        </w:rPr>
        <w:t>t</w:t>
      </w:r>
      <w:r w:rsidRPr="00F9716C">
        <w:rPr>
          <w:color w:val="414042" w:themeColor="text1"/>
        </w:rPr>
        <w:t>he CADD report is now sourced from the ADW and has improved the efficiency of the CADD updating process.</w:t>
      </w:r>
    </w:p>
    <w:p w14:paraId="62E75060" w14:textId="4557480F" w:rsidR="006D352F" w:rsidRPr="00F9716C" w:rsidRDefault="009E6805" w:rsidP="00B02BC4">
      <w:pPr>
        <w:pStyle w:val="Heading4"/>
      </w:pPr>
      <w:r w:rsidRPr="00F9716C">
        <w:t xml:space="preserve">Development of a </w:t>
      </w:r>
      <w:r w:rsidR="006D352F" w:rsidRPr="00F9716C">
        <w:t>Complaints Prioritisation Model</w:t>
      </w:r>
    </w:p>
    <w:p w14:paraId="1D75C65B" w14:textId="2CC562A6" w:rsidR="006D352F" w:rsidRPr="00F9716C" w:rsidRDefault="006D352F" w:rsidP="006D352F">
      <w:pPr>
        <w:spacing w:before="120" w:after="120"/>
        <w:rPr>
          <w:rFonts w:eastAsia="Times New Roman" w:cs="Calibri Light"/>
          <w:snapToGrid w:val="0"/>
          <w:color w:val="414042" w:themeColor="text1"/>
          <w:szCs w:val="20"/>
        </w:rPr>
      </w:pPr>
      <w:r w:rsidRPr="00F9716C">
        <w:rPr>
          <w:rFonts w:eastAsia="Times New Roman" w:cs="Calibri Light"/>
          <w:snapToGrid w:val="0"/>
          <w:color w:val="414042" w:themeColor="text1"/>
          <w:szCs w:val="20"/>
        </w:rPr>
        <w:t>As part of implementing and embedding an integrated operating model across the division, work also occurred on the ongoing development of a Complaints Prioritisation Model to support and guide assessment decision making on matters triaged as serious, systemic or strategic (SSS).</w:t>
      </w:r>
    </w:p>
    <w:p w14:paraId="37B42F74" w14:textId="159ECDFE" w:rsidR="002503C2" w:rsidRPr="00F9716C" w:rsidRDefault="009E6805" w:rsidP="00B02BC4">
      <w:pPr>
        <w:pStyle w:val="Heading4"/>
      </w:pPr>
      <w:r w:rsidRPr="00F9716C">
        <w:t xml:space="preserve">Developing our </w:t>
      </w:r>
      <w:r w:rsidR="002503C2" w:rsidRPr="00F9716C">
        <w:t>Corruption monitoring process</w:t>
      </w:r>
    </w:p>
    <w:p w14:paraId="2CA6BED4" w14:textId="7BEFA427" w:rsidR="00991799" w:rsidRPr="00F9716C" w:rsidRDefault="00991799" w:rsidP="0054213E">
      <w:pPr>
        <w:spacing w:before="120" w:after="120" w:line="259" w:lineRule="auto"/>
        <w:rPr>
          <w:rFonts w:eastAsia="Times New Roman" w:cs="Times New Roman"/>
          <w:color w:val="414042" w:themeColor="text1"/>
          <w:szCs w:val="20"/>
        </w:rPr>
      </w:pPr>
      <w:r w:rsidRPr="00F9716C">
        <w:rPr>
          <w:rFonts w:eastAsia="Times New Roman" w:cs="Times New Roman"/>
          <w:color w:val="414042" w:themeColor="text1"/>
          <w:szCs w:val="20"/>
        </w:rPr>
        <w:t xml:space="preserve">The CCC has continued to embed a new approach to monitor the way units of public administration deal with allegations of corrupt conduct. Reflecting the objectives of the Corruption Strategy, </w:t>
      </w:r>
      <w:r w:rsidR="00192FDC" w:rsidRPr="00F9716C">
        <w:rPr>
          <w:rFonts w:eastAsia="Times New Roman" w:cs="Times New Roman"/>
          <w:color w:val="414042" w:themeColor="text1"/>
          <w:szCs w:val="20"/>
        </w:rPr>
        <w:t>this operating</w:t>
      </w:r>
      <w:r w:rsidRPr="00F9716C">
        <w:rPr>
          <w:rFonts w:eastAsia="Times New Roman" w:cs="Times New Roman"/>
          <w:color w:val="414042" w:themeColor="text1"/>
          <w:szCs w:val="20"/>
        </w:rPr>
        <w:t xml:space="preserve"> model provides for greater engagement with units of public administration, places more tension on investigation timelines, and focuses on both investigative quality and implications for corruption prevention. Management dashboards have been implemented to facilitate active management of the monitoring function and visibility of capacity utilisation.</w:t>
      </w:r>
    </w:p>
    <w:p w14:paraId="7C746819" w14:textId="77777777" w:rsidR="00976566" w:rsidRPr="00F9716C" w:rsidRDefault="00976566" w:rsidP="00B02BC4">
      <w:pPr>
        <w:pStyle w:val="Heading4"/>
      </w:pPr>
      <w:r w:rsidRPr="00F9716C">
        <w:t xml:space="preserve">Developing a Thematic Monitoring Model </w:t>
      </w:r>
    </w:p>
    <w:p w14:paraId="568105EF" w14:textId="54137184" w:rsidR="002C40A1" w:rsidRPr="00F9716C" w:rsidRDefault="00976566" w:rsidP="00976566">
      <w:pPr>
        <w:rPr>
          <w:rFonts w:eastAsia="Times New Roman" w:cs="Times New Roman"/>
          <w:color w:val="414042" w:themeColor="text1"/>
          <w:szCs w:val="20"/>
        </w:rPr>
        <w:sectPr w:rsidR="002C40A1" w:rsidRPr="00F9716C" w:rsidSect="007D118E">
          <w:type w:val="continuous"/>
          <w:pgSz w:w="11906" w:h="16838" w:code="9"/>
          <w:pgMar w:top="2155" w:right="1134" w:bottom="964" w:left="1134" w:header="720" w:footer="284" w:gutter="0"/>
          <w:cols w:num="2" w:space="567"/>
          <w:noEndnote/>
          <w:docGrid w:linePitch="272"/>
        </w:sectPr>
      </w:pPr>
      <w:r w:rsidRPr="00F9716C">
        <w:rPr>
          <w:rFonts w:eastAsia="Times New Roman" w:cs="Times New Roman"/>
          <w:color w:val="414042" w:themeColor="text1"/>
          <w:szCs w:val="20"/>
        </w:rPr>
        <w:t xml:space="preserve">The CCC has developed an approach for a thematic monitoring model that will review and assess themes or patterns across multiple investigations conducted by units of public administration. The CCC aims </w:t>
      </w:r>
      <w:r w:rsidR="00192FDC" w:rsidRPr="00F9716C">
        <w:rPr>
          <w:rFonts w:eastAsia="Times New Roman" w:cs="Times New Roman"/>
          <w:color w:val="414042" w:themeColor="text1"/>
          <w:szCs w:val="20"/>
        </w:rPr>
        <w:t>to leverage</w:t>
      </w:r>
      <w:r w:rsidRPr="00F9716C">
        <w:rPr>
          <w:rFonts w:eastAsia="Times New Roman" w:cs="Times New Roman"/>
          <w:color w:val="414042" w:themeColor="text1"/>
          <w:szCs w:val="20"/>
        </w:rPr>
        <w:t xml:space="preserve"> the data to provide greater insights into the corruption monitored investigations.  </w:t>
      </w:r>
    </w:p>
    <w:p w14:paraId="4610455F" w14:textId="1386538C" w:rsidR="002503C2" w:rsidRPr="00F9716C" w:rsidRDefault="008809DD" w:rsidP="00B02BC4">
      <w:pPr>
        <w:pStyle w:val="Heading4"/>
      </w:pPr>
      <w:r w:rsidRPr="00F9716C">
        <w:t xml:space="preserve">Undertaking an internal </w:t>
      </w:r>
      <w:r w:rsidR="002503C2" w:rsidRPr="00F9716C">
        <w:t>Corruption investigation review</w:t>
      </w:r>
    </w:p>
    <w:p w14:paraId="24A60F51" w14:textId="70FB75CB" w:rsidR="00F15563" w:rsidRPr="00F9716C" w:rsidRDefault="00F15563" w:rsidP="0054213E">
      <w:pPr>
        <w:spacing w:before="120" w:after="120" w:line="259" w:lineRule="auto"/>
        <w:rPr>
          <w:rFonts w:eastAsia="Times New Roman" w:cs="Times New Roman"/>
          <w:color w:val="414042" w:themeColor="text1"/>
          <w:szCs w:val="20"/>
        </w:rPr>
      </w:pPr>
      <w:r w:rsidRPr="00F9716C">
        <w:rPr>
          <w:rFonts w:eastAsia="Times New Roman" w:cs="Times New Roman"/>
          <w:color w:val="414042" w:themeColor="text1"/>
          <w:szCs w:val="20"/>
        </w:rPr>
        <w:t xml:space="preserve">In December 2023, the CCC concluded a review of the corruption investigation function with external consultants. The purpose of the review was to assess the existing operating model and identify recommendations to improve the efficiency and effectiveness of corruption investigations. </w:t>
      </w:r>
    </w:p>
    <w:p w14:paraId="11A6669A" w14:textId="365F4E1A" w:rsidR="00F15563" w:rsidRPr="00F9716C" w:rsidRDefault="00F15563" w:rsidP="00BB1F6D">
      <w:pPr>
        <w:spacing w:after="120" w:line="259" w:lineRule="auto"/>
        <w:rPr>
          <w:rFonts w:eastAsia="Times New Roman" w:cs="Times New Roman"/>
          <w:color w:val="414042" w:themeColor="text1"/>
          <w:szCs w:val="20"/>
        </w:rPr>
      </w:pPr>
      <w:r w:rsidRPr="00F9716C">
        <w:rPr>
          <w:rFonts w:eastAsia="Times New Roman" w:cs="Times New Roman"/>
          <w:color w:val="414042" w:themeColor="text1"/>
          <w:szCs w:val="20"/>
        </w:rPr>
        <w:t>These recommendations have been split into</w:t>
      </w:r>
      <w:r w:rsidR="00B83A3A" w:rsidRPr="00F9716C">
        <w:rPr>
          <w:rFonts w:eastAsia="Times New Roman" w:cs="Times New Roman"/>
          <w:color w:val="414042" w:themeColor="text1"/>
          <w:szCs w:val="20"/>
        </w:rPr>
        <w:t xml:space="preserve"> the following</w:t>
      </w:r>
      <w:r w:rsidRPr="00F9716C">
        <w:rPr>
          <w:rFonts w:eastAsia="Times New Roman" w:cs="Times New Roman"/>
          <w:color w:val="414042" w:themeColor="text1"/>
          <w:szCs w:val="20"/>
        </w:rPr>
        <w:t xml:space="preserve"> three themes:</w:t>
      </w:r>
    </w:p>
    <w:p w14:paraId="37BAE30F" w14:textId="77777777" w:rsidR="00F15563" w:rsidRPr="00FC4079" w:rsidRDefault="00F15563" w:rsidP="002F23D4">
      <w:pPr>
        <w:numPr>
          <w:ilvl w:val="0"/>
          <w:numId w:val="54"/>
        </w:numPr>
        <w:spacing w:before="120" w:after="120" w:line="259" w:lineRule="auto"/>
        <w:ind w:left="338" w:hanging="283"/>
        <w:rPr>
          <w:rFonts w:eastAsia="Calibri" w:cs="Arial"/>
          <w:color w:val="414042" w:themeColor="text1"/>
          <w:szCs w:val="20"/>
        </w:rPr>
      </w:pPr>
      <w:r w:rsidRPr="00FC4079">
        <w:rPr>
          <w:rFonts w:eastAsia="Calibri" w:cs="Arial"/>
          <w:color w:val="414042" w:themeColor="text1"/>
          <w:szCs w:val="20"/>
        </w:rPr>
        <w:t>Consistent and supportive processes: policies and processes facilitate operational efficiency, compliance, and consistency in decision making at every level.</w:t>
      </w:r>
    </w:p>
    <w:p w14:paraId="17A58A5F" w14:textId="77777777" w:rsidR="00F15563" w:rsidRPr="00FC4079" w:rsidRDefault="00F15563" w:rsidP="002F23D4">
      <w:pPr>
        <w:numPr>
          <w:ilvl w:val="0"/>
          <w:numId w:val="54"/>
        </w:numPr>
        <w:spacing w:before="120" w:after="120" w:line="259" w:lineRule="auto"/>
        <w:ind w:left="338" w:hanging="283"/>
        <w:rPr>
          <w:rFonts w:eastAsia="Calibri" w:cs="Arial"/>
          <w:color w:val="414042" w:themeColor="text1"/>
          <w:szCs w:val="20"/>
        </w:rPr>
      </w:pPr>
      <w:r w:rsidRPr="00FC4079">
        <w:rPr>
          <w:rFonts w:eastAsia="Calibri" w:cs="Arial"/>
          <w:color w:val="414042" w:themeColor="text1"/>
          <w:szCs w:val="20"/>
          <w:lang w:val="en-US"/>
        </w:rPr>
        <w:t xml:space="preserve">Assured by enhanced governance: the strong governance architecture is well understood and supports operational effectiveness. </w:t>
      </w:r>
    </w:p>
    <w:p w14:paraId="44BA22C5" w14:textId="17A14C85" w:rsidR="00F15563" w:rsidRPr="00FC4079" w:rsidRDefault="00F15563" w:rsidP="002F23D4">
      <w:pPr>
        <w:numPr>
          <w:ilvl w:val="0"/>
          <w:numId w:val="54"/>
        </w:numPr>
        <w:spacing w:before="120" w:after="120" w:line="259" w:lineRule="auto"/>
        <w:ind w:left="341" w:hanging="284"/>
        <w:rPr>
          <w:rFonts w:eastAsia="Calibri" w:cs="Arial"/>
          <w:color w:val="414042" w:themeColor="text1"/>
          <w:szCs w:val="20"/>
        </w:rPr>
      </w:pPr>
      <w:r w:rsidRPr="00FC4079">
        <w:rPr>
          <w:rFonts w:eastAsia="Calibri" w:cs="Arial"/>
          <w:color w:val="414042" w:themeColor="text1"/>
          <w:szCs w:val="20"/>
        </w:rPr>
        <w:t xml:space="preserve">Leaders in investigation: effective communication and capable leaders ensure everyone knows how their work helps deliver successful outcomes. </w:t>
      </w:r>
    </w:p>
    <w:p w14:paraId="2ED56924" w14:textId="5B9E6302" w:rsidR="002503C2" w:rsidRPr="00F9716C" w:rsidRDefault="008809DD" w:rsidP="00B02BC4">
      <w:pPr>
        <w:pStyle w:val="Heading4"/>
      </w:pPr>
      <w:r w:rsidRPr="00F9716C">
        <w:t xml:space="preserve">Developing a </w:t>
      </w:r>
      <w:r w:rsidR="002503C2" w:rsidRPr="00F9716C">
        <w:t xml:space="preserve">Corruption Investigator Capability Framework </w:t>
      </w:r>
    </w:p>
    <w:p w14:paraId="5D524D36" w14:textId="56A4DFDA" w:rsidR="0093679F" w:rsidRPr="00F9716C" w:rsidRDefault="002503C2" w:rsidP="00735BEB">
      <w:pPr>
        <w:pStyle w:val="newBODYTEXT"/>
      </w:pPr>
      <w:r w:rsidRPr="00F9716C">
        <w:t xml:space="preserve">A Framework has been developed to provide structure and process in developing a workforce with enhanced investigative skills. This Framework addresses strategic corruption risks as relevant to the CCC environment, professional and technical skills aligned to the Australian Government Investigation Standards, and critical skills aligned to the CCC’s Strategic Plan and Workforce Strategy. </w:t>
      </w:r>
    </w:p>
    <w:p w14:paraId="4B422CBF" w14:textId="4B17950F" w:rsidR="00F15563" w:rsidRPr="00F9716C" w:rsidRDefault="00642751" w:rsidP="00C903A2">
      <w:pPr>
        <w:pStyle w:val="Heading3"/>
      </w:pPr>
      <w:r w:rsidRPr="00F9716C">
        <w:t xml:space="preserve">Embedding a culture of </w:t>
      </w:r>
      <w:r w:rsidR="003C1DE5" w:rsidRPr="00F9716C">
        <w:t>c</w:t>
      </w:r>
      <w:r w:rsidR="00F15563" w:rsidRPr="00F9716C">
        <w:t xml:space="preserve">ontinuous </w:t>
      </w:r>
      <w:r w:rsidR="003C1DE5" w:rsidRPr="00F9716C">
        <w:t>i</w:t>
      </w:r>
      <w:r w:rsidR="00F15563" w:rsidRPr="00F9716C">
        <w:t xml:space="preserve">mprovement and </w:t>
      </w:r>
      <w:r w:rsidR="003C1DE5" w:rsidRPr="00F9716C">
        <w:t>i</w:t>
      </w:r>
      <w:r w:rsidR="00F15563" w:rsidRPr="00F9716C">
        <w:t>nnovation</w:t>
      </w:r>
    </w:p>
    <w:p w14:paraId="44BB809D" w14:textId="77777777" w:rsidR="00F15563" w:rsidRPr="00F9716C" w:rsidRDefault="00F15563" w:rsidP="00F15563">
      <w:pPr>
        <w:spacing w:line="257" w:lineRule="auto"/>
        <w:rPr>
          <w:rFonts w:eastAsia="Times New Roman" w:cs="Times New Roman"/>
          <w:color w:val="414042" w:themeColor="text1"/>
          <w:szCs w:val="20"/>
        </w:rPr>
      </w:pPr>
      <w:r w:rsidRPr="00F9716C">
        <w:rPr>
          <w:rFonts w:eastAsia="Times New Roman" w:cs="Times New Roman"/>
          <w:color w:val="414042" w:themeColor="text1"/>
          <w:szCs w:val="20"/>
        </w:rPr>
        <w:t xml:space="preserve">The CCC has considered international standards and practices in innovation and continuous improvement, along with trends across government to inform how the CCC can embed a culture of continuous improvement and innovation. The CCC has identified opportunities to pursue including: </w:t>
      </w:r>
    </w:p>
    <w:p w14:paraId="6D89748D" w14:textId="687163EC" w:rsidR="00F15563" w:rsidRPr="00F9716C" w:rsidRDefault="00F15563" w:rsidP="006900F6">
      <w:pPr>
        <w:pStyle w:val="Bulletpoints0"/>
      </w:pPr>
      <w:r w:rsidRPr="00F9716C">
        <w:t xml:space="preserve">maturing business processes to increase our efficiency and effectiveness for new business initiatives </w:t>
      </w:r>
    </w:p>
    <w:p w14:paraId="008AF04F" w14:textId="77777777" w:rsidR="00B7201C" w:rsidRPr="00F9716C" w:rsidRDefault="00F15563" w:rsidP="006900F6">
      <w:pPr>
        <w:pStyle w:val="Bulletpoints0"/>
      </w:pPr>
      <w:r w:rsidRPr="00F9716C">
        <w:t>leveraging new technology and insights to provide our people the tools and information they need and to improve our performance.</w:t>
      </w:r>
    </w:p>
    <w:p w14:paraId="3D12C75E" w14:textId="5A2041FC" w:rsidR="00F15563" w:rsidRPr="00F9716C" w:rsidRDefault="00B7201C" w:rsidP="00C903A2">
      <w:pPr>
        <w:pStyle w:val="Heading3"/>
      </w:pPr>
      <w:r w:rsidRPr="00F9716C">
        <w:rPr>
          <w:lang w:val="en-US"/>
        </w:rPr>
        <w:br w:type="column"/>
      </w:r>
      <w:r w:rsidR="005D2C8E" w:rsidRPr="00F9716C">
        <w:t xml:space="preserve">Strengthening our </w:t>
      </w:r>
      <w:r w:rsidR="003C1DE5" w:rsidRPr="00F9716C">
        <w:t>c</w:t>
      </w:r>
      <w:r w:rsidR="00F15563" w:rsidRPr="00F9716C">
        <w:t xml:space="preserve">hange </w:t>
      </w:r>
      <w:r w:rsidR="003C1DE5" w:rsidRPr="00F9716C">
        <w:t>m</w:t>
      </w:r>
      <w:r w:rsidR="00F15563" w:rsidRPr="00F9716C">
        <w:t>anagement practice</w:t>
      </w:r>
      <w:r w:rsidR="005D2C8E" w:rsidRPr="00F9716C">
        <w:t>s</w:t>
      </w:r>
    </w:p>
    <w:p w14:paraId="1F2B9F04" w14:textId="1DA3E8B5" w:rsidR="002503C2" w:rsidRPr="00F9716C" w:rsidRDefault="00F15563" w:rsidP="00B7201C">
      <w:pPr>
        <w:widowControl w:val="0"/>
        <w:rPr>
          <w:color w:val="414042" w:themeColor="text1"/>
          <w:szCs w:val="20"/>
        </w:rPr>
      </w:pPr>
      <w:r w:rsidRPr="00F9716C">
        <w:rPr>
          <w:color w:val="414042" w:themeColor="text1"/>
          <w:szCs w:val="20"/>
        </w:rPr>
        <w:t xml:space="preserve">The CCC completed a review of its change management practices and templates to inform improvements that will build change management capability in portfolio, projects and people leadership. </w:t>
      </w:r>
    </w:p>
    <w:p w14:paraId="615BD4AA" w14:textId="53AE8AB4" w:rsidR="0093679F" w:rsidRPr="00F9716C" w:rsidRDefault="0093679F" w:rsidP="00C903A2">
      <w:pPr>
        <w:pStyle w:val="Heading3"/>
      </w:pPr>
      <w:r w:rsidRPr="00F9716C">
        <w:t>Establish environmental sustainability practices</w:t>
      </w:r>
    </w:p>
    <w:p w14:paraId="1AFA5BF2" w14:textId="77777777" w:rsidR="0093679F" w:rsidRPr="00F9716C" w:rsidRDefault="0093679F" w:rsidP="0093679F">
      <w:pPr>
        <w:rPr>
          <w:color w:val="414042" w:themeColor="text1"/>
          <w:lang w:val="en-US"/>
        </w:rPr>
      </w:pPr>
      <w:r w:rsidRPr="00F9716C">
        <w:rPr>
          <w:color w:val="414042" w:themeColor="text1"/>
          <w:lang w:val="en-US"/>
        </w:rPr>
        <w:t>The CCC is committed to minimising the environmental impacts of our activities and has identified three key areas we will focus on. These are:</w:t>
      </w:r>
    </w:p>
    <w:p w14:paraId="11A612C2" w14:textId="45A47ED2" w:rsidR="0093679F" w:rsidRPr="00F9716C" w:rsidRDefault="005E4C64" w:rsidP="006900F6">
      <w:pPr>
        <w:pStyle w:val="Bulletpoints0"/>
      </w:pPr>
      <w:r w:rsidRPr="00F9716C">
        <w:t>o</w:t>
      </w:r>
      <w:r w:rsidR="0093679F" w:rsidRPr="00F9716C">
        <w:t>ur built environment</w:t>
      </w:r>
    </w:p>
    <w:p w14:paraId="2B2A46AA" w14:textId="4BDFA64F" w:rsidR="0093679F" w:rsidRPr="00F9716C" w:rsidRDefault="005E4C64" w:rsidP="006900F6">
      <w:pPr>
        <w:pStyle w:val="Bulletpoints0"/>
      </w:pPr>
      <w:r w:rsidRPr="00F9716C">
        <w:t>o</w:t>
      </w:r>
      <w:r w:rsidR="0093679F" w:rsidRPr="00F9716C">
        <w:t>ur transportation and travel</w:t>
      </w:r>
    </w:p>
    <w:p w14:paraId="0FE5A55A" w14:textId="2591FAA1" w:rsidR="0093679F" w:rsidRPr="00F9716C" w:rsidRDefault="005E4C64" w:rsidP="006900F6">
      <w:pPr>
        <w:pStyle w:val="Bulletpoints0"/>
      </w:pPr>
      <w:r w:rsidRPr="00F9716C">
        <w:t>s</w:t>
      </w:r>
      <w:r w:rsidR="0093679F" w:rsidRPr="00F9716C">
        <w:t>taff engagement and education.</w:t>
      </w:r>
    </w:p>
    <w:p w14:paraId="78052D02" w14:textId="77777777" w:rsidR="0093679F" w:rsidRPr="00F9716C" w:rsidRDefault="0093679F" w:rsidP="0093679F">
      <w:pPr>
        <w:rPr>
          <w:color w:val="414042" w:themeColor="text1"/>
          <w:lang w:val="en-US"/>
        </w:rPr>
      </w:pPr>
      <w:r w:rsidRPr="00F9716C">
        <w:rPr>
          <w:color w:val="414042" w:themeColor="text1"/>
          <w:lang w:val="en-US"/>
        </w:rPr>
        <w:t>In June 2024, the CCC developed an Environmental Sustainability Guideline which set out the actions already taken and considerations to be taken in the future about these areas of focus.</w:t>
      </w:r>
    </w:p>
    <w:p w14:paraId="6264A693" w14:textId="77777777" w:rsidR="002C40A1" w:rsidRPr="00F9716C" w:rsidRDefault="0093679F" w:rsidP="002C40A1">
      <w:pPr>
        <w:rPr>
          <w:color w:val="414042" w:themeColor="text1"/>
          <w:lang w:val="en-US"/>
        </w:rPr>
      </w:pPr>
      <w:r w:rsidRPr="00F9716C">
        <w:rPr>
          <w:color w:val="414042" w:themeColor="text1"/>
          <w:lang w:val="en-US"/>
        </w:rPr>
        <w:t>These guidelines support the Queensland Government’s climate action plan to build resilience and secure a sustainable future for Queensland communities, the environment and economy.</w:t>
      </w:r>
    </w:p>
    <w:p w14:paraId="0C034058" w14:textId="3701FD71" w:rsidR="00521536" w:rsidRPr="00F9716C" w:rsidRDefault="00521536" w:rsidP="00C903A2">
      <w:pPr>
        <w:pStyle w:val="Heading3"/>
      </w:pPr>
      <w:r w:rsidRPr="00F9716C">
        <w:t xml:space="preserve">Implementing initiatives from reviews and inquiries </w:t>
      </w:r>
    </w:p>
    <w:p w14:paraId="092D47EE" w14:textId="7943F703" w:rsidR="00521536" w:rsidRPr="00F9716C" w:rsidRDefault="00521536" w:rsidP="00521536">
      <w:pPr>
        <w:spacing w:before="120" w:after="120"/>
        <w:rPr>
          <w:rFonts w:eastAsia="Times New Roman" w:cs="Times New Roman"/>
          <w:color w:val="414042" w:themeColor="text1"/>
          <w:szCs w:val="20"/>
        </w:rPr>
      </w:pPr>
      <w:r w:rsidRPr="00F9716C">
        <w:rPr>
          <w:rFonts w:eastAsia="Times New Roman" w:cs="Times New Roman"/>
          <w:color w:val="414042" w:themeColor="text1"/>
          <w:szCs w:val="20"/>
        </w:rPr>
        <w:t>The CCC received $20.849 million to develop and manage the program and implement specific initiatives</w:t>
      </w:r>
      <w:r w:rsidR="00847207" w:rsidRPr="00F9716C">
        <w:rPr>
          <w:rFonts w:eastAsia="Times New Roman" w:cs="Times New Roman"/>
          <w:color w:val="414042" w:themeColor="text1"/>
          <w:szCs w:val="20"/>
        </w:rPr>
        <w:t xml:space="preserve"> that will improve our operating environment</w:t>
      </w:r>
      <w:r w:rsidRPr="00F9716C">
        <w:rPr>
          <w:rFonts w:eastAsia="Times New Roman" w:cs="Times New Roman"/>
          <w:color w:val="414042" w:themeColor="text1"/>
          <w:szCs w:val="20"/>
        </w:rPr>
        <w:t xml:space="preserve">. The CCC has provided 18 progress reports to the Minister, the Parliamentary Crime and Corruption Committee, and the Parliamentary Crime and Corruption Commissioner. </w:t>
      </w:r>
    </w:p>
    <w:p w14:paraId="62A97107" w14:textId="77777777" w:rsidR="00847207" w:rsidRPr="00F9716C" w:rsidRDefault="00521536" w:rsidP="00521536">
      <w:pPr>
        <w:spacing w:before="120" w:after="120"/>
        <w:rPr>
          <w:rFonts w:eastAsia="Times New Roman" w:cs="Times New Roman"/>
          <w:color w:val="414042" w:themeColor="text1"/>
          <w:szCs w:val="20"/>
        </w:rPr>
      </w:pPr>
      <w:r w:rsidRPr="00F9716C">
        <w:rPr>
          <w:rFonts w:eastAsia="Times New Roman" w:cs="Times New Roman"/>
          <w:color w:val="414042" w:themeColor="text1"/>
          <w:szCs w:val="20"/>
        </w:rPr>
        <w:t xml:space="preserve">As at 30 June 2024, the CCC has implemented 11 recommendations in full and made significant progress on 19 recommendations. Of the remaining recommendations one relates to future reporting requirements, and one is not the responsibility of the CCC. </w:t>
      </w:r>
    </w:p>
    <w:p w14:paraId="0D42ECE3" w14:textId="2CEB3C54" w:rsidR="00521536" w:rsidRPr="00F9716C" w:rsidRDefault="00521536" w:rsidP="00521536">
      <w:pPr>
        <w:spacing w:before="120" w:after="120"/>
        <w:rPr>
          <w:rFonts w:eastAsia="Times New Roman" w:cs="Times New Roman"/>
          <w:color w:val="414042" w:themeColor="text1"/>
          <w:szCs w:val="20"/>
        </w:rPr>
      </w:pPr>
      <w:r w:rsidRPr="00F9716C">
        <w:rPr>
          <w:rFonts w:eastAsia="Times New Roman" w:cs="Times New Roman"/>
          <w:color w:val="414042" w:themeColor="text1"/>
          <w:szCs w:val="20"/>
        </w:rPr>
        <w:t xml:space="preserve">The CCC has also published seven progress reports on its website </w:t>
      </w:r>
      <w:hyperlink r:id="rId225" w:history="1">
        <w:r w:rsidRPr="00B958F2">
          <w:rPr>
            <w:rStyle w:val="Hyperlink"/>
          </w:rPr>
          <w:t>www.ccc.qld.gov.au/publications</w:t>
        </w:r>
      </w:hyperlink>
      <w:r w:rsidRPr="00B958F2">
        <w:rPr>
          <w:rStyle w:val="Hyperlink"/>
        </w:rPr>
        <w:t>.</w:t>
      </w:r>
      <w:r w:rsidRPr="00F9716C">
        <w:rPr>
          <w:rFonts w:eastAsia="Times New Roman" w:cs="Times New Roman"/>
          <w:color w:val="414042" w:themeColor="text1"/>
          <w:szCs w:val="20"/>
        </w:rPr>
        <w:t xml:space="preserve"> </w:t>
      </w:r>
    </w:p>
    <w:p w14:paraId="74F8CDF1" w14:textId="77777777" w:rsidR="00521536" w:rsidRPr="00F9716C" w:rsidRDefault="00521536" w:rsidP="00F15563">
      <w:pPr>
        <w:rPr>
          <w:rFonts w:eastAsiaTheme="majorEastAsia" w:cstheme="majorBidi"/>
          <w:b/>
          <w:bCs/>
          <w:color w:val="414042" w:themeColor="text1"/>
          <w:szCs w:val="20"/>
        </w:rPr>
      </w:pPr>
    </w:p>
    <w:p w14:paraId="7FDA8F83" w14:textId="77777777" w:rsidR="005C0157" w:rsidRPr="00F9716C" w:rsidRDefault="005C0157" w:rsidP="00052845">
      <w:pPr>
        <w:spacing w:before="120" w:after="120" w:line="259" w:lineRule="auto"/>
        <w:jc w:val="both"/>
        <w:rPr>
          <w:rFonts w:eastAsia="Times New Roman" w:cs="Times New Roman"/>
          <w:color w:val="414042" w:themeColor="text1"/>
          <w:sz w:val="19"/>
          <w:szCs w:val="20"/>
        </w:rPr>
        <w:sectPr w:rsidR="005C0157" w:rsidRPr="00F9716C" w:rsidSect="002C40A1">
          <w:pgSz w:w="11906" w:h="16838" w:code="9"/>
          <w:pgMar w:top="2155" w:right="1134" w:bottom="964" w:left="1134" w:header="720" w:footer="284" w:gutter="0"/>
          <w:cols w:num="2" w:space="567"/>
          <w:noEndnote/>
          <w:docGrid w:linePitch="272"/>
        </w:sectPr>
      </w:pPr>
    </w:p>
    <w:p w14:paraId="2A9BD8B0" w14:textId="77777777" w:rsidR="00561686" w:rsidRPr="00F9716C" w:rsidRDefault="00561686" w:rsidP="006D51E2">
      <w:pPr>
        <w:pStyle w:val="Heading1"/>
        <w:sectPr w:rsidR="00561686" w:rsidRPr="00F9716C" w:rsidSect="00C77834">
          <w:headerReference w:type="even" r:id="rId226"/>
          <w:headerReference w:type="default" r:id="rId227"/>
          <w:headerReference w:type="first" r:id="rId228"/>
          <w:pgSz w:w="11906" w:h="16838" w:code="9"/>
          <w:pgMar w:top="2155" w:right="1134" w:bottom="964" w:left="1134" w:header="720" w:footer="284" w:gutter="0"/>
          <w:cols w:space="567"/>
          <w:noEndnote/>
          <w:docGrid w:linePitch="272"/>
        </w:sectPr>
      </w:pPr>
      <w:bookmarkStart w:id="1104" w:name="_Governance_and_people"/>
      <w:bookmarkStart w:id="1105" w:name="GovernanceandPeople"/>
      <w:bookmarkStart w:id="1106" w:name="_Toc102038043"/>
      <w:bookmarkStart w:id="1107" w:name="_Toc102038404"/>
      <w:bookmarkStart w:id="1108" w:name="_Toc102038765"/>
      <w:bookmarkStart w:id="1109" w:name="_Toc102039117"/>
      <w:bookmarkStart w:id="1110" w:name="_Toc102039466"/>
      <w:bookmarkStart w:id="1111" w:name="_Toc102039828"/>
      <w:bookmarkStart w:id="1112" w:name="_Toc102040185"/>
      <w:bookmarkStart w:id="1113" w:name="_Toc102040513"/>
      <w:bookmarkStart w:id="1114" w:name="_Toc102040847"/>
      <w:bookmarkStart w:id="1115" w:name="_Toc102041175"/>
      <w:bookmarkStart w:id="1116" w:name="_Toc102041504"/>
      <w:bookmarkStart w:id="1117" w:name="_Toc102041836"/>
      <w:bookmarkStart w:id="1118" w:name="_Toc102042163"/>
      <w:bookmarkStart w:id="1119" w:name="_Toc102042493"/>
      <w:bookmarkStart w:id="1120" w:name="_Toc102045623"/>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4"/>
      <w:r w:rsidRPr="00F9716C">
        <w:t>Governance and people</w:t>
      </w:r>
    </w:p>
    <w:tbl>
      <w:tblPr>
        <w:tblW w:w="4846" w:type="pct"/>
        <w:tblBorders>
          <w:insideH w:val="single" w:sz="8" w:space="0" w:color="FFFFFF" w:themeColor="background1"/>
        </w:tblBorders>
        <w:tblLook w:val="04A0" w:firstRow="1" w:lastRow="0" w:firstColumn="1" w:lastColumn="0" w:noHBand="0" w:noVBand="1"/>
      </w:tblPr>
      <w:tblGrid>
        <w:gridCol w:w="7833"/>
        <w:gridCol w:w="1508"/>
      </w:tblGrid>
      <w:tr w:rsidR="0006123B" w:rsidRPr="0006123B" w14:paraId="5D9BCADF" w14:textId="77777777" w:rsidTr="00064E50">
        <w:trPr>
          <w:trHeight w:val="737"/>
        </w:trPr>
        <w:tc>
          <w:tcPr>
            <w:tcW w:w="4193" w:type="pct"/>
            <w:tcBorders>
              <w:bottom w:val="single" w:sz="12" w:space="0" w:color="FFFFFF" w:themeColor="background1"/>
            </w:tcBorders>
            <w:shd w:val="clear" w:color="auto" w:fill="auto"/>
            <w:vAlign w:val="center"/>
          </w:tcPr>
          <w:bookmarkEnd w:id="1105"/>
          <w:p w14:paraId="37D49947" w14:textId="5EBA79A1" w:rsidR="00561686" w:rsidRPr="00E6408B" w:rsidRDefault="001A667B" w:rsidP="00DD31B5">
            <w:pPr>
              <w:pStyle w:val="71Sectionnumbering"/>
              <w:framePr w:wrap="around"/>
            </w:pPr>
            <w:r w:rsidRPr="00E6408B">
              <w:fldChar w:fldCharType="begin"/>
            </w:r>
            <w:r w:rsidR="00DE395D" w:rsidRPr="0006123B">
              <w:instrText>HYPERLINK  \l "OurCommission"</w:instrText>
            </w:r>
            <w:r w:rsidRPr="00E6408B">
              <w:fldChar w:fldCharType="separate"/>
            </w:r>
            <w:r w:rsidR="00561686" w:rsidRPr="00E6408B">
              <w:t>Our Commission</w:t>
            </w:r>
            <w:r w:rsidRPr="00E6408B">
              <w:fldChar w:fldCharType="end"/>
            </w:r>
          </w:p>
        </w:tc>
        <w:tc>
          <w:tcPr>
            <w:tcW w:w="807" w:type="pct"/>
            <w:tcBorders>
              <w:bottom w:val="single" w:sz="12" w:space="0" w:color="FFFFFF" w:themeColor="background1"/>
            </w:tcBorders>
            <w:shd w:val="clear" w:color="auto" w:fill="auto"/>
            <w:vAlign w:val="center"/>
          </w:tcPr>
          <w:p w14:paraId="7208FB40" w14:textId="4305D9A6" w:rsidR="00561686" w:rsidRPr="00E6408B" w:rsidRDefault="00507575" w:rsidP="00DD31B5">
            <w:pPr>
              <w:pStyle w:val="71Sectionnumbering"/>
              <w:framePr w:wrap="around"/>
            </w:pPr>
            <w:hyperlink w:anchor="OurCommission" w:history="1">
              <w:r w:rsidR="009C4B40" w:rsidRPr="00E6408B">
                <w:rPr>
                  <w:rStyle w:val="Hyperlink"/>
                  <w:color w:val="auto"/>
                  <w:u w:val="none"/>
                </w:rPr>
                <w:t>58</w:t>
              </w:r>
            </w:hyperlink>
          </w:p>
        </w:tc>
      </w:tr>
      <w:tr w:rsidR="0006123B" w:rsidRPr="0006123B" w14:paraId="7E020B9B" w14:textId="77777777" w:rsidTr="00064E50">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3CC2BA55" w14:textId="5993B77F" w:rsidR="00792625" w:rsidRPr="00E6408B" w:rsidRDefault="00507575" w:rsidP="00DD31B5">
            <w:pPr>
              <w:pStyle w:val="71Sectionnumbering"/>
              <w:framePr w:wrap="around"/>
            </w:pPr>
            <w:hyperlink w:anchor="OurELTteam" w:history="1">
              <w:r w:rsidR="00792625" w:rsidRPr="00E6408B">
                <w:t>Our Executive Leadership Team</w:t>
              </w:r>
            </w:hyperlink>
          </w:p>
        </w:tc>
        <w:tc>
          <w:tcPr>
            <w:tcW w:w="807" w:type="pct"/>
            <w:tcBorders>
              <w:top w:val="single" w:sz="12" w:space="0" w:color="FFFFFF" w:themeColor="background1"/>
              <w:bottom w:val="single" w:sz="12" w:space="0" w:color="FFFFFF" w:themeColor="background1"/>
            </w:tcBorders>
            <w:shd w:val="clear" w:color="auto" w:fill="auto"/>
            <w:vAlign w:val="center"/>
          </w:tcPr>
          <w:p w14:paraId="1573293F" w14:textId="1F2019BC" w:rsidR="00792625" w:rsidRPr="00E6408B" w:rsidRDefault="00507575" w:rsidP="00DD31B5">
            <w:pPr>
              <w:pStyle w:val="71Sectionnumbering"/>
              <w:framePr w:wrap="around"/>
            </w:pPr>
            <w:hyperlink w:anchor="OurELTteam" w:history="1">
              <w:r w:rsidR="009C4B40" w:rsidRPr="00E6408B">
                <w:rPr>
                  <w:rStyle w:val="Hyperlink"/>
                  <w:color w:val="auto"/>
                  <w:u w:val="none"/>
                </w:rPr>
                <w:t>60</w:t>
              </w:r>
            </w:hyperlink>
          </w:p>
        </w:tc>
      </w:tr>
      <w:tr w:rsidR="0006123B" w:rsidRPr="0006123B" w14:paraId="5A207880" w14:textId="77777777" w:rsidTr="00064E50">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2F844294" w14:textId="2AAB1156" w:rsidR="00792625" w:rsidRPr="00E6408B" w:rsidRDefault="00507575" w:rsidP="00DD31B5">
            <w:pPr>
              <w:pStyle w:val="71Sectionnumbering"/>
              <w:framePr w:wrap="around"/>
            </w:pPr>
            <w:hyperlink w:anchor="OurPeople" w:history="1">
              <w:r w:rsidR="00792625" w:rsidRPr="00E6408B">
                <w:t>Our people</w:t>
              </w:r>
            </w:hyperlink>
          </w:p>
        </w:tc>
        <w:tc>
          <w:tcPr>
            <w:tcW w:w="807" w:type="pct"/>
            <w:tcBorders>
              <w:top w:val="single" w:sz="12" w:space="0" w:color="FFFFFF" w:themeColor="background1"/>
              <w:bottom w:val="single" w:sz="12" w:space="0" w:color="FFFFFF" w:themeColor="background1"/>
            </w:tcBorders>
            <w:shd w:val="clear" w:color="auto" w:fill="auto"/>
            <w:vAlign w:val="center"/>
          </w:tcPr>
          <w:p w14:paraId="7FFAF89C" w14:textId="4FEDC37B" w:rsidR="00792625" w:rsidRPr="00E6408B" w:rsidRDefault="00507575" w:rsidP="00DD31B5">
            <w:pPr>
              <w:pStyle w:val="71Sectionnumbering"/>
              <w:framePr w:wrap="around"/>
            </w:pPr>
            <w:hyperlink w:anchor="OurPeople" w:history="1">
              <w:r w:rsidR="009C4B40" w:rsidRPr="00E6408B">
                <w:rPr>
                  <w:rStyle w:val="Hyperlink"/>
                  <w:color w:val="auto"/>
                  <w:u w:val="none"/>
                </w:rPr>
                <w:t>61</w:t>
              </w:r>
            </w:hyperlink>
          </w:p>
        </w:tc>
      </w:tr>
      <w:tr w:rsidR="0006123B" w:rsidRPr="0006123B" w14:paraId="63EDDABE" w14:textId="77777777" w:rsidTr="00064E50">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2ABB9BD8" w14:textId="453D7A69" w:rsidR="00792625" w:rsidRPr="00E6408B" w:rsidRDefault="00507575" w:rsidP="00DD31B5">
            <w:pPr>
              <w:pStyle w:val="71Sectionnumbering"/>
              <w:framePr w:wrap="around"/>
            </w:pPr>
            <w:hyperlink w:anchor="OurGovernanceandOversight" w:history="1">
              <w:r w:rsidR="00792625" w:rsidRPr="00E6408B">
                <w:rPr>
                  <w:rStyle w:val="Hyperlink"/>
                  <w:color w:val="auto"/>
                  <w:u w:val="none"/>
                </w:rPr>
                <w:t>Our governance and oversight</w:t>
              </w:r>
            </w:hyperlink>
          </w:p>
        </w:tc>
        <w:tc>
          <w:tcPr>
            <w:tcW w:w="807" w:type="pct"/>
            <w:tcBorders>
              <w:top w:val="single" w:sz="12" w:space="0" w:color="FFFFFF" w:themeColor="background1"/>
              <w:bottom w:val="single" w:sz="12" w:space="0" w:color="FFFFFF" w:themeColor="background1"/>
            </w:tcBorders>
            <w:shd w:val="clear" w:color="auto" w:fill="auto"/>
            <w:vAlign w:val="center"/>
          </w:tcPr>
          <w:p w14:paraId="7A568309" w14:textId="49F720C8" w:rsidR="00792625" w:rsidRPr="00E6408B" w:rsidRDefault="00507575" w:rsidP="00DD31B5">
            <w:pPr>
              <w:pStyle w:val="71Sectionnumbering"/>
              <w:framePr w:wrap="around"/>
            </w:pPr>
            <w:hyperlink w:anchor="OurGovernanceandOversight" w:history="1">
              <w:r w:rsidR="009C4B40" w:rsidRPr="00E6408B">
                <w:rPr>
                  <w:rStyle w:val="Hyperlink"/>
                  <w:color w:val="auto"/>
                  <w:u w:val="none"/>
                </w:rPr>
                <w:t>64</w:t>
              </w:r>
            </w:hyperlink>
          </w:p>
        </w:tc>
      </w:tr>
    </w:tbl>
    <w:p w14:paraId="36ED8936" w14:textId="77777777" w:rsidR="00561686" w:rsidRPr="00F9716C" w:rsidRDefault="00561686" w:rsidP="006D51E2">
      <w:pPr>
        <w:pStyle w:val="Heading1"/>
        <w:sectPr w:rsidR="00561686" w:rsidRPr="00F9716C" w:rsidSect="00C77834">
          <w:type w:val="continuous"/>
          <w:pgSz w:w="11906" w:h="16838" w:code="9"/>
          <w:pgMar w:top="2155" w:right="1134" w:bottom="964" w:left="1134" w:header="720" w:footer="284" w:gutter="0"/>
          <w:cols w:space="567"/>
          <w:noEndnote/>
          <w:docGrid w:linePitch="272"/>
        </w:sectPr>
      </w:pPr>
    </w:p>
    <w:p w14:paraId="51B59C75" w14:textId="37BA9D69" w:rsidR="00561686" w:rsidRPr="00F9716C" w:rsidRDefault="00CE1C22" w:rsidP="00561686">
      <w:pPr>
        <w:pStyle w:val="Heading2"/>
      </w:pPr>
      <w:bookmarkStart w:id="1121" w:name="_Toc102038044"/>
      <w:bookmarkStart w:id="1122" w:name="_Toc102038405"/>
      <w:bookmarkStart w:id="1123" w:name="_Toc102038766"/>
      <w:bookmarkStart w:id="1124" w:name="_Toc102039118"/>
      <w:bookmarkStart w:id="1125" w:name="_Toc102039467"/>
      <w:bookmarkStart w:id="1126" w:name="_Toc102039829"/>
      <w:bookmarkStart w:id="1127" w:name="_Toc102040186"/>
      <w:bookmarkStart w:id="1128" w:name="_Toc102040514"/>
      <w:bookmarkStart w:id="1129" w:name="_Toc102040848"/>
      <w:bookmarkStart w:id="1130" w:name="_Toc102041176"/>
      <w:bookmarkStart w:id="1131" w:name="_Toc102041505"/>
      <w:bookmarkStart w:id="1132" w:name="_Toc102041837"/>
      <w:bookmarkStart w:id="1133" w:name="_Toc102042164"/>
      <w:bookmarkStart w:id="1134" w:name="_Toc102042494"/>
      <w:bookmarkStart w:id="1135" w:name="_Toc102045624"/>
      <w:bookmarkStart w:id="1136" w:name="OurCommission"/>
      <w:bookmarkEnd w:id="1103"/>
      <w:r w:rsidRPr="00F9716C">
        <w:t>O</w:t>
      </w:r>
      <w:r w:rsidR="00561686" w:rsidRPr="00F9716C">
        <w:t>ur Commission</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bookmarkEnd w:id="1136"/>
    <w:p w14:paraId="3F40050D" w14:textId="77777777" w:rsidR="00561686" w:rsidRPr="00F9716C" w:rsidRDefault="00561686" w:rsidP="00B958F2">
      <w:pPr>
        <w:pStyle w:val="Openingparagraph"/>
        <w:spacing w:after="120"/>
        <w:ind w:right="-285"/>
        <w:sectPr w:rsidR="00561686" w:rsidRPr="00F9716C" w:rsidSect="00C77834">
          <w:headerReference w:type="even" r:id="rId229"/>
          <w:headerReference w:type="default" r:id="rId230"/>
          <w:headerReference w:type="first" r:id="rId231"/>
          <w:pgSz w:w="11906" w:h="16838" w:code="9"/>
          <w:pgMar w:top="2155" w:right="1134" w:bottom="964" w:left="1134" w:header="720" w:footer="284" w:gutter="0"/>
          <w:cols w:space="567"/>
          <w:noEndnote/>
          <w:docGrid w:linePitch="272"/>
        </w:sectPr>
      </w:pPr>
      <w:r w:rsidRPr="00F9716C">
        <w:t>The Commission is responsible for providing strategic leadership and direction for the performance of the CCC’s functions and the exercise of our powers by the Chairperson, CEO and other commission officers.</w:t>
      </w:r>
    </w:p>
    <w:p w14:paraId="22B56271" w14:textId="21E397FB" w:rsidR="00B958F2" w:rsidRDefault="00561686" w:rsidP="00240879">
      <w:pPr>
        <w:pStyle w:val="Openingparagraph"/>
        <w:spacing w:after="0"/>
        <w:rPr>
          <w:b w:val="0"/>
          <w:bCs w:val="0"/>
          <w:sz w:val="28"/>
          <w:szCs w:val="28"/>
        </w:rPr>
        <w:sectPr w:rsidR="00B958F2" w:rsidSect="00B958F2">
          <w:type w:val="continuous"/>
          <w:pgSz w:w="11906" w:h="16838" w:code="9"/>
          <w:pgMar w:top="2155" w:right="1134" w:bottom="964" w:left="1134" w:header="720" w:footer="284" w:gutter="0"/>
          <w:cols w:space="567"/>
          <w:noEndnote/>
          <w:docGrid w:linePitch="272"/>
        </w:sectPr>
      </w:pPr>
      <w:r w:rsidRPr="00B958F2">
        <w:rPr>
          <w:rFonts w:asciiTheme="minorHAnsi" w:eastAsia="Times New Roman" w:hAnsiTheme="minorHAnsi" w:cstheme="minorHAnsi"/>
          <w:noProof/>
          <w:spacing w:val="0"/>
          <w:sz w:val="28"/>
          <w:szCs w:val="28"/>
          <w:lang w:val="en-AU" w:eastAsia="en-AU"/>
        </w:rPr>
        <w:t>Profile of our Commission</w:t>
      </w:r>
      <w:r w:rsidR="00692463" w:rsidRPr="00B958F2">
        <w:rPr>
          <w:rStyle w:val="Heading3Char"/>
          <w:rFonts w:eastAsiaTheme="minorHAnsi"/>
          <w:b/>
          <w:bCs/>
        </w:rPr>
        <w:t xml:space="preserve"> </w:t>
      </w:r>
      <w:r w:rsidRPr="00B958F2">
        <w:rPr>
          <w:rFonts w:asciiTheme="majorHAnsi" w:hAnsiTheme="majorHAnsi" w:cstheme="majorHAnsi"/>
          <w:b w:val="0"/>
          <w:bCs w:val="0"/>
          <w:sz w:val="28"/>
          <w:szCs w:val="28"/>
        </w:rPr>
        <w:t>(as at 30 June 202</w:t>
      </w:r>
      <w:r w:rsidR="00F22F6D" w:rsidRPr="00B958F2">
        <w:rPr>
          <w:rFonts w:asciiTheme="majorHAnsi" w:hAnsiTheme="majorHAnsi" w:cstheme="majorHAnsi"/>
          <w:b w:val="0"/>
          <w:bCs w:val="0"/>
          <w:sz w:val="28"/>
          <w:szCs w:val="28"/>
        </w:rPr>
        <w:t>4</w:t>
      </w:r>
      <w:r w:rsidRPr="00B958F2">
        <w:rPr>
          <w:rFonts w:asciiTheme="majorHAnsi" w:hAnsiTheme="majorHAnsi" w:cstheme="majorHAnsi"/>
          <w:b w:val="0"/>
          <w:bCs w:val="0"/>
          <w:sz w:val="28"/>
          <w:szCs w:val="28"/>
        </w:rPr>
        <w:t>)</w:t>
      </w:r>
    </w:p>
    <w:p w14:paraId="294CA34C" w14:textId="47CD4F14" w:rsidR="00692463" w:rsidRPr="00B958F2" w:rsidRDefault="00240879" w:rsidP="00692463">
      <w:pPr>
        <w:pStyle w:val="Openingparagraph"/>
        <w:spacing w:after="0"/>
        <w:rPr>
          <w:b w:val="0"/>
          <w:bCs w:val="0"/>
          <w:sz w:val="28"/>
          <w:szCs w:val="28"/>
        </w:rPr>
        <w:sectPr w:rsidR="00692463" w:rsidRPr="00B958F2" w:rsidSect="00C77834">
          <w:type w:val="continuous"/>
          <w:pgSz w:w="11906" w:h="16838" w:code="9"/>
          <w:pgMar w:top="2155" w:right="1134" w:bottom="964" w:left="1134" w:header="720" w:footer="284" w:gutter="0"/>
          <w:cols w:num="2" w:space="567"/>
          <w:noEndnote/>
          <w:docGrid w:linePitch="272"/>
        </w:sectPr>
      </w:pPr>
      <w:r>
        <w:rPr>
          <w:b w:val="0"/>
          <w:bCs w:val="0"/>
          <w:noProof/>
          <w:sz w:val="22"/>
        </w:rPr>
        <mc:AlternateContent>
          <mc:Choice Requires="wps">
            <w:drawing>
              <wp:anchor distT="0" distB="0" distL="114300" distR="114300" simplePos="0" relativeHeight="252522496" behindDoc="0" locked="0" layoutInCell="1" allowOverlap="1" wp14:anchorId="1DFDBB46" wp14:editId="7F318FAB">
                <wp:simplePos x="0" y="0"/>
                <wp:positionH relativeFrom="column">
                  <wp:posOffset>-4445</wp:posOffset>
                </wp:positionH>
                <wp:positionV relativeFrom="paragraph">
                  <wp:posOffset>23231</wp:posOffset>
                </wp:positionV>
                <wp:extent cx="6289040" cy="0"/>
                <wp:effectExtent l="0" t="0" r="0" b="0"/>
                <wp:wrapNone/>
                <wp:docPr id="2098924600" name="Straight Connector 4"/>
                <wp:cNvGraphicFramePr/>
                <a:graphic xmlns:a="http://schemas.openxmlformats.org/drawingml/2006/main">
                  <a:graphicData uri="http://schemas.microsoft.com/office/word/2010/wordprocessingShape">
                    <wps:wsp>
                      <wps:cNvCnPr/>
                      <wps:spPr>
                        <a:xfrm>
                          <a:off x="0" y="0"/>
                          <a:ext cx="6289040" cy="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68FA81" id="Straight Connector 4" o:spid="_x0000_s1026" style="position:absolute;z-index:25252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85pt" to="494.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" strokecolor="#e6e7e8 [3209]" strokeweight="1.5pt">
                <v:stroke joinstyle="miter"/>
              </v:line>
            </w:pict>
          </mc:Fallback>
        </mc:AlternateContent>
      </w:r>
    </w:p>
    <w:p w14:paraId="42194CC9" w14:textId="0CBAA624" w:rsidR="00BB1F6D" w:rsidRPr="00F9716C" w:rsidRDefault="00195E82" w:rsidP="00B958F2">
      <w:pPr>
        <w:widowControl w:val="0"/>
        <w:spacing w:after="0"/>
        <w:ind w:right="140"/>
        <w:rPr>
          <w:rFonts w:ascii="Calibri" w:hAnsi="Calibri" w:cs="Calibri"/>
          <w:b/>
          <w:bCs/>
          <w:color w:val="414042" w:themeColor="text1"/>
          <w:sz w:val="22"/>
          <w:szCs w:val="24"/>
        </w:rPr>
      </w:pPr>
      <w:bookmarkStart w:id="1137" w:name="_Hlk137485094"/>
      <w:r w:rsidRPr="00F9716C">
        <w:rPr>
          <w:rFonts w:ascii="Calibri" w:hAnsi="Calibri" w:cs="Calibri"/>
          <w:b/>
          <w:bCs/>
          <w:color w:val="414042" w:themeColor="text1"/>
          <w:sz w:val="22"/>
          <w:szCs w:val="24"/>
        </w:rPr>
        <w:t xml:space="preserve">Mr Bruce Barbour </w:t>
      </w:r>
    </w:p>
    <w:p w14:paraId="0F2C3643" w14:textId="5FA39AA0" w:rsidR="00195E82" w:rsidRPr="00D61ECD" w:rsidRDefault="00195E82" w:rsidP="00B958F2">
      <w:pPr>
        <w:widowControl w:val="0"/>
        <w:spacing w:after="80"/>
        <w:ind w:right="140"/>
        <w:rPr>
          <w:rFonts w:ascii="Calibri" w:hAnsi="Calibri" w:cs="Calibri"/>
          <w:color w:val="414042" w:themeColor="text1"/>
          <w:szCs w:val="20"/>
        </w:rPr>
      </w:pPr>
      <w:r w:rsidRPr="00D61ECD">
        <w:rPr>
          <w:rFonts w:ascii="Calibri" w:hAnsi="Calibri" w:cs="Calibri"/>
          <w:color w:val="414042" w:themeColor="text1"/>
          <w:szCs w:val="20"/>
        </w:rPr>
        <w:t>Chairperson</w:t>
      </w:r>
    </w:p>
    <w:p w14:paraId="7BB06185" w14:textId="142CA114" w:rsidR="00D24DCA" w:rsidRPr="00F9716C" w:rsidRDefault="00D24DCA" w:rsidP="00FC4079">
      <w:pPr>
        <w:widowControl w:val="0"/>
        <w:spacing w:before="40" w:after="80" w:line="204" w:lineRule="auto"/>
        <w:ind w:right="282"/>
        <w:rPr>
          <w:i/>
          <w:iCs/>
          <w:color w:val="414042" w:themeColor="text1"/>
          <w:sz w:val="18"/>
          <w:szCs w:val="18"/>
        </w:rPr>
      </w:pPr>
      <w:r w:rsidRPr="00F9716C">
        <w:rPr>
          <w:i/>
          <w:iCs/>
          <w:color w:val="414042" w:themeColor="text1"/>
          <w:sz w:val="18"/>
          <w:szCs w:val="18"/>
        </w:rPr>
        <w:t>LLB (admitted as a Legal Practitioner to the Supreme Court of NSW in 1995), appointed for a two-year term as Ordinary Commissioner on 14 May 2021, appointed as Acting Chairperson from 28 January 2022, and appointed as Chairperson for a three-year term from 2 July 2022.</w:t>
      </w:r>
    </w:p>
    <w:p w14:paraId="389A2B4B" w14:textId="77777777" w:rsidR="00D24DCA" w:rsidRPr="00B958F2" w:rsidRDefault="00D24DCA" w:rsidP="00FC4079">
      <w:pPr>
        <w:widowControl w:val="0"/>
        <w:ind w:right="282"/>
        <w:rPr>
          <w:rFonts w:cs="Calibri Light"/>
          <w:color w:val="414042" w:themeColor="text1"/>
          <w:sz w:val="19"/>
          <w:szCs w:val="19"/>
        </w:rPr>
      </w:pPr>
      <w:r w:rsidRPr="00B958F2">
        <w:rPr>
          <w:rFonts w:cs="Calibri Light"/>
          <w:color w:val="414042" w:themeColor="text1"/>
          <w:sz w:val="19"/>
          <w:szCs w:val="19"/>
        </w:rPr>
        <w:t xml:space="preserve">Mr Barbour has extensive experience in administrative law, investigations, and management. He was the NSW Ombudsman for 15 years from 2000 to 2015. </w:t>
      </w:r>
      <w:r w:rsidRPr="00B958F2">
        <w:rPr>
          <w:rFonts w:cs="Calibri Light"/>
          <w:color w:val="414042" w:themeColor="text1"/>
          <w:sz w:val="19"/>
          <w:szCs w:val="19"/>
        </w:rPr>
        <w:br/>
        <w:t>Mr Barbour has also been a Senior Member of the Administrative Appeals Tribunal, Member of the NSW Casino Control Authority and acted as Commonwealth Merit Protection Commissioner and Queensland Integrity Commissioner. Mr Barbour’s board experience includes being Chair of the NSW Public Interest Disclosures Steering Committee, Convenor of the NSW Child Death Advisory Committee and Vice-President of the International Ombudsman Institute.</w:t>
      </w:r>
    </w:p>
    <w:p w14:paraId="1978FACE" w14:textId="77777777" w:rsidR="00BB1F6D" w:rsidRPr="00F9716C" w:rsidRDefault="00195E82" w:rsidP="00B958F2">
      <w:pPr>
        <w:widowControl w:val="0"/>
        <w:spacing w:after="0"/>
        <w:ind w:right="140"/>
        <w:rPr>
          <w:rFonts w:ascii="Calibri" w:hAnsi="Calibri" w:cs="Calibri"/>
          <w:b/>
          <w:bCs/>
          <w:color w:val="414042" w:themeColor="text1"/>
          <w:sz w:val="22"/>
          <w:szCs w:val="24"/>
        </w:rPr>
      </w:pPr>
      <w:r w:rsidRPr="00F9716C">
        <w:rPr>
          <w:rFonts w:ascii="Calibri" w:hAnsi="Calibri" w:cs="Calibri"/>
          <w:b/>
          <w:bCs/>
          <w:color w:val="414042" w:themeColor="text1"/>
          <w:sz w:val="22"/>
          <w:szCs w:val="24"/>
        </w:rPr>
        <w:t xml:space="preserve">Ms Kathryn McMillan KC </w:t>
      </w:r>
    </w:p>
    <w:p w14:paraId="3F83369F" w14:textId="441FF7FA" w:rsidR="00195E82" w:rsidRPr="00D61ECD" w:rsidRDefault="00195E82" w:rsidP="00B958F2">
      <w:pPr>
        <w:widowControl w:val="0"/>
        <w:spacing w:after="80"/>
        <w:ind w:right="140"/>
        <w:rPr>
          <w:rFonts w:ascii="Calibri" w:hAnsi="Calibri" w:cs="Calibri"/>
          <w:color w:val="414042" w:themeColor="text1"/>
          <w:szCs w:val="20"/>
        </w:rPr>
      </w:pPr>
      <w:r w:rsidRPr="00D61ECD">
        <w:rPr>
          <w:rFonts w:ascii="Calibri" w:hAnsi="Calibri" w:cs="Calibri"/>
          <w:color w:val="414042" w:themeColor="text1"/>
          <w:szCs w:val="20"/>
        </w:rPr>
        <w:t>Deputy Chairperson</w:t>
      </w:r>
    </w:p>
    <w:p w14:paraId="5F69ABA0" w14:textId="0C65FC0D" w:rsidR="00D24DCA" w:rsidRPr="00F9716C" w:rsidRDefault="00D24DCA" w:rsidP="00FC4079">
      <w:pPr>
        <w:widowControl w:val="0"/>
        <w:spacing w:before="40" w:after="80" w:line="204" w:lineRule="auto"/>
        <w:ind w:right="282"/>
        <w:rPr>
          <w:i/>
          <w:iCs/>
          <w:color w:val="414042" w:themeColor="text1"/>
          <w:sz w:val="18"/>
          <w:szCs w:val="18"/>
        </w:rPr>
      </w:pPr>
      <w:r w:rsidRPr="00F9716C">
        <w:rPr>
          <w:i/>
          <w:iCs/>
          <w:color w:val="414042" w:themeColor="text1"/>
          <w:sz w:val="18"/>
          <w:szCs w:val="18"/>
        </w:rPr>
        <w:t>Admitted as a barrister in 1987, appointed senior counsel in 2006, and appointed as Deputy Chairperson for a five-year term on 16 December 2022.</w:t>
      </w:r>
    </w:p>
    <w:p w14:paraId="6EC08B0C" w14:textId="77777777" w:rsidR="00195E82" w:rsidRPr="00B958F2" w:rsidRDefault="00D24DCA" w:rsidP="00FC4079">
      <w:pPr>
        <w:widowControl w:val="0"/>
        <w:tabs>
          <w:tab w:val="left" w:pos="4111"/>
        </w:tabs>
        <w:spacing w:before="120" w:after="80"/>
        <w:ind w:right="282"/>
        <w:rPr>
          <w:color w:val="414042" w:themeColor="text1"/>
          <w:sz w:val="19"/>
          <w:szCs w:val="19"/>
        </w:rPr>
      </w:pPr>
      <w:r w:rsidRPr="00B958F2">
        <w:rPr>
          <w:color w:val="414042" w:themeColor="text1"/>
          <w:sz w:val="19"/>
          <w:szCs w:val="19"/>
        </w:rPr>
        <w:t>Ms McMillan practices in personal injuries, public law, disciplinary matters, discrimination proceedings and has a long-standing practice in family law and child protection proceedings. She has been an ethics Counsellor for the Bar for many years, and has been appointed to the Queensland Civil and Administrative Tribunal as an assessor in legal disciplinary matters. She has appeared in numerous Royal Commissions/ Commissions of Inquiry and has held a number of Ministerial appointments.</w:t>
      </w:r>
      <w:bookmarkEnd w:id="1137"/>
    </w:p>
    <w:p w14:paraId="2DDAD5FA" w14:textId="08201956" w:rsidR="00BB1F6D" w:rsidRPr="00F9716C" w:rsidRDefault="00B958F2" w:rsidP="00FC4079">
      <w:pPr>
        <w:widowControl w:val="0"/>
        <w:spacing w:after="0"/>
        <w:ind w:left="-142" w:right="-1"/>
        <w:rPr>
          <w:rFonts w:ascii="Calibri" w:hAnsi="Calibri" w:cs="Calibri"/>
          <w:b/>
          <w:bCs/>
          <w:color w:val="414042" w:themeColor="text1"/>
          <w:sz w:val="22"/>
          <w:szCs w:val="24"/>
        </w:rPr>
      </w:pPr>
      <w:r>
        <w:rPr>
          <w:rFonts w:ascii="Calibri" w:hAnsi="Calibri" w:cs="Calibri"/>
          <w:b/>
          <w:bCs/>
          <w:color w:val="414042" w:themeColor="text1"/>
          <w:sz w:val="22"/>
          <w:szCs w:val="24"/>
        </w:rPr>
        <w:br w:type="column"/>
      </w:r>
      <w:r w:rsidR="00195E82" w:rsidRPr="00F9716C">
        <w:rPr>
          <w:rFonts w:ascii="Calibri" w:hAnsi="Calibri" w:cs="Calibri"/>
          <w:b/>
          <w:bCs/>
          <w:color w:val="414042" w:themeColor="text1"/>
          <w:sz w:val="22"/>
          <w:szCs w:val="24"/>
        </w:rPr>
        <w:t xml:space="preserve">Ms Helen Darch OAM </w:t>
      </w:r>
    </w:p>
    <w:p w14:paraId="497591BA" w14:textId="46EA841B" w:rsidR="00195E82" w:rsidRPr="00D61ECD" w:rsidRDefault="00195E82" w:rsidP="00FC4079">
      <w:pPr>
        <w:widowControl w:val="0"/>
        <w:spacing w:after="80"/>
        <w:ind w:left="-142" w:right="-1"/>
        <w:rPr>
          <w:rFonts w:ascii="Calibri" w:hAnsi="Calibri" w:cs="Calibri"/>
          <w:color w:val="414042" w:themeColor="text1"/>
          <w:szCs w:val="20"/>
        </w:rPr>
      </w:pPr>
      <w:r w:rsidRPr="00D61ECD">
        <w:rPr>
          <w:rFonts w:ascii="Calibri" w:hAnsi="Calibri" w:cs="Calibri"/>
          <w:color w:val="414042" w:themeColor="text1"/>
          <w:szCs w:val="20"/>
        </w:rPr>
        <w:t>Ordinary Commissioner</w:t>
      </w:r>
    </w:p>
    <w:p w14:paraId="7503B4F2" w14:textId="27357927" w:rsidR="0044617D" w:rsidRPr="00F9716C" w:rsidRDefault="0044617D" w:rsidP="00FC4079">
      <w:pPr>
        <w:spacing w:before="40" w:after="120" w:line="204" w:lineRule="auto"/>
        <w:ind w:left="-142" w:right="-1"/>
        <w:rPr>
          <w:i/>
          <w:iCs/>
          <w:color w:val="414042" w:themeColor="text1"/>
          <w:sz w:val="18"/>
          <w:szCs w:val="18"/>
        </w:rPr>
      </w:pPr>
      <w:r w:rsidRPr="00F9716C">
        <w:rPr>
          <w:i/>
          <w:iCs/>
          <w:color w:val="414042" w:themeColor="text1"/>
          <w:sz w:val="18"/>
          <w:szCs w:val="18"/>
        </w:rPr>
        <w:t>BA, GradDip (Lib&amp;InfoServ), MEd (Train&amp;Dev), MAICD, appointed as Ordinary Commissioner for a two-year term on 14 May 2021, and reappointed as Ordinary Commissioner for a five-year term on 14 May 2023.</w:t>
      </w:r>
    </w:p>
    <w:p w14:paraId="2A4197C9" w14:textId="5278AABE" w:rsidR="0044617D" w:rsidRPr="00B958F2" w:rsidRDefault="0044617D" w:rsidP="00FC4079">
      <w:pPr>
        <w:ind w:left="-142" w:right="-1"/>
        <w:rPr>
          <w:color w:val="414042" w:themeColor="text1"/>
          <w:sz w:val="19"/>
          <w:szCs w:val="19"/>
        </w:rPr>
      </w:pPr>
      <w:r w:rsidRPr="00B958F2">
        <w:rPr>
          <w:color w:val="414042" w:themeColor="text1"/>
          <w:sz w:val="19"/>
          <w:szCs w:val="19"/>
        </w:rPr>
        <w:t>Ms Darch is a management consultant with extensive experience in strategy, facilitation, stakeholder engagement and change management. She has consulted to the government, health, education, and not-for-profit sectors for many years, and now focuses on executive mentoring and Board work. Ms Darch has over 15 years’ experience as a non-executive director on large not-for-profit and government boards and is currently Chair</w:t>
      </w:r>
      <w:r w:rsidR="00AE0078" w:rsidRPr="00B958F2">
        <w:rPr>
          <w:color w:val="414042" w:themeColor="text1"/>
          <w:sz w:val="19"/>
          <w:szCs w:val="19"/>
        </w:rPr>
        <w:t xml:space="preserve"> of the Mackay Hospital and Health </w:t>
      </w:r>
      <w:r w:rsidR="00CC26AD" w:rsidRPr="00B958F2">
        <w:rPr>
          <w:color w:val="414042" w:themeColor="text1"/>
          <w:sz w:val="19"/>
          <w:szCs w:val="19"/>
        </w:rPr>
        <w:t xml:space="preserve">Services </w:t>
      </w:r>
      <w:r w:rsidR="00AE0078" w:rsidRPr="00B958F2">
        <w:rPr>
          <w:color w:val="414042" w:themeColor="text1"/>
          <w:sz w:val="19"/>
          <w:szCs w:val="19"/>
        </w:rPr>
        <w:t>Board and Chair</w:t>
      </w:r>
      <w:r w:rsidRPr="00B958F2">
        <w:rPr>
          <w:color w:val="414042" w:themeColor="text1"/>
          <w:sz w:val="19"/>
          <w:szCs w:val="19"/>
        </w:rPr>
        <w:t xml:space="preserve"> of the Research Advisory Committee, Health and Wellbeing Queensland.</w:t>
      </w:r>
    </w:p>
    <w:p w14:paraId="5C362263" w14:textId="77777777" w:rsidR="00BB1F6D" w:rsidRPr="00F9716C" w:rsidRDefault="00B53F15" w:rsidP="00FC4079">
      <w:pPr>
        <w:widowControl w:val="0"/>
        <w:spacing w:after="0"/>
        <w:ind w:left="-142" w:right="-1"/>
        <w:rPr>
          <w:rFonts w:ascii="Calibri" w:hAnsi="Calibri" w:cs="Calibri"/>
          <w:b/>
          <w:bCs/>
          <w:color w:val="414042" w:themeColor="text1"/>
          <w:sz w:val="22"/>
          <w:szCs w:val="24"/>
        </w:rPr>
      </w:pPr>
      <w:r w:rsidRPr="00F9716C">
        <w:rPr>
          <w:rFonts w:ascii="Calibri" w:hAnsi="Calibri" w:cs="Calibri"/>
          <w:b/>
          <w:bCs/>
          <w:color w:val="414042" w:themeColor="text1"/>
          <w:sz w:val="22"/>
          <w:szCs w:val="24"/>
        </w:rPr>
        <w:t>Mr Peter Dowling AM</w:t>
      </w:r>
    </w:p>
    <w:p w14:paraId="12ADBE02" w14:textId="23D20469" w:rsidR="00313EC2" w:rsidRPr="00D61ECD" w:rsidRDefault="00B53F15" w:rsidP="00FC4079">
      <w:pPr>
        <w:widowControl w:val="0"/>
        <w:spacing w:after="80"/>
        <w:ind w:left="-142" w:right="-1"/>
        <w:rPr>
          <w:rFonts w:ascii="Calibri" w:hAnsi="Calibri" w:cs="Calibri"/>
          <w:color w:val="414042" w:themeColor="text1"/>
          <w:szCs w:val="20"/>
        </w:rPr>
      </w:pPr>
      <w:r w:rsidRPr="00D61ECD">
        <w:rPr>
          <w:rFonts w:ascii="Calibri" w:hAnsi="Calibri" w:cs="Calibri"/>
          <w:color w:val="414042" w:themeColor="text1"/>
          <w:szCs w:val="20"/>
        </w:rPr>
        <w:t>Ordinary Commissioner</w:t>
      </w:r>
    </w:p>
    <w:p w14:paraId="18EE6623" w14:textId="77777777" w:rsidR="0044617D" w:rsidRPr="00F9716C" w:rsidRDefault="0044617D" w:rsidP="00FC4079">
      <w:pPr>
        <w:spacing w:before="40" w:after="120" w:line="204" w:lineRule="auto"/>
        <w:ind w:left="-142" w:right="-1"/>
        <w:rPr>
          <w:i/>
          <w:iCs/>
          <w:color w:val="414042" w:themeColor="text1"/>
          <w:sz w:val="18"/>
          <w:szCs w:val="18"/>
        </w:rPr>
      </w:pPr>
      <w:r w:rsidRPr="00F9716C">
        <w:rPr>
          <w:i/>
          <w:iCs/>
          <w:color w:val="414042" w:themeColor="text1"/>
          <w:sz w:val="18"/>
          <w:szCs w:val="18"/>
        </w:rPr>
        <w:t>Appointed as Ordinary Commissioner for a three-year term on 4 November 2022.</w:t>
      </w:r>
    </w:p>
    <w:p w14:paraId="0CD111E1" w14:textId="77777777" w:rsidR="0044617D" w:rsidRPr="00B958F2" w:rsidRDefault="0044617D" w:rsidP="00FC4079">
      <w:pPr>
        <w:ind w:left="-142" w:right="-1"/>
        <w:rPr>
          <w:color w:val="414042" w:themeColor="text1"/>
          <w:sz w:val="19"/>
          <w:szCs w:val="19"/>
        </w:rPr>
      </w:pPr>
      <w:r w:rsidRPr="00B958F2">
        <w:rPr>
          <w:color w:val="414042" w:themeColor="text1"/>
          <w:sz w:val="19"/>
          <w:szCs w:val="19"/>
        </w:rPr>
        <w:t>Mr Dowling is an accountant (FCPA and former EY Partner) with over 25 years’ experience as a non-executive company director and independent audit and risk committee member. He has sat on government and private sector boards in the finance, insurance, health, education, electricity and mining sectors among others. His audit and risk committee roles cover local, state and federal government and private sector entities. He currently sits on the Gold Coast Hospital and Health Services Board.</w:t>
      </w:r>
    </w:p>
    <w:p w14:paraId="68A830C8" w14:textId="77777777" w:rsidR="00BB1F6D" w:rsidRPr="00F9716C" w:rsidRDefault="00195E82" w:rsidP="00FC4079">
      <w:pPr>
        <w:widowControl w:val="0"/>
        <w:spacing w:after="0"/>
        <w:ind w:left="-142" w:right="-1"/>
        <w:rPr>
          <w:rFonts w:ascii="Calibri" w:hAnsi="Calibri" w:cs="Calibri"/>
          <w:b/>
          <w:bCs/>
          <w:color w:val="414042" w:themeColor="text1"/>
          <w:sz w:val="22"/>
          <w:szCs w:val="24"/>
        </w:rPr>
      </w:pPr>
      <w:r w:rsidRPr="00F9716C">
        <w:rPr>
          <w:rFonts w:ascii="Calibri" w:hAnsi="Calibri" w:cs="Calibri"/>
          <w:b/>
          <w:bCs/>
          <w:color w:val="414042" w:themeColor="text1"/>
          <w:sz w:val="22"/>
          <w:szCs w:val="24"/>
        </w:rPr>
        <w:t>Ms Simone Webbe</w:t>
      </w:r>
    </w:p>
    <w:p w14:paraId="658AAB05" w14:textId="730A2E89" w:rsidR="00195E82" w:rsidRPr="00D61ECD" w:rsidRDefault="00195E82" w:rsidP="00FC4079">
      <w:pPr>
        <w:widowControl w:val="0"/>
        <w:spacing w:after="80"/>
        <w:ind w:left="-142" w:right="-1"/>
        <w:rPr>
          <w:rFonts w:ascii="Calibri" w:hAnsi="Calibri" w:cs="Calibri"/>
          <w:color w:val="414042" w:themeColor="text1"/>
          <w:szCs w:val="20"/>
        </w:rPr>
      </w:pPr>
      <w:r w:rsidRPr="00D61ECD">
        <w:rPr>
          <w:rFonts w:ascii="Calibri" w:hAnsi="Calibri" w:cs="Calibri"/>
          <w:color w:val="414042" w:themeColor="text1"/>
          <w:szCs w:val="20"/>
        </w:rPr>
        <w:t>Ordinary Commissioner</w:t>
      </w:r>
    </w:p>
    <w:p w14:paraId="626F761A" w14:textId="1319F2F7" w:rsidR="00BC0A6B" w:rsidRPr="00F9716C" w:rsidRDefault="00BC0A6B" w:rsidP="00FC4079">
      <w:pPr>
        <w:spacing w:before="40" w:after="120" w:line="204" w:lineRule="auto"/>
        <w:ind w:left="-142" w:right="-1"/>
        <w:rPr>
          <w:i/>
          <w:iCs/>
          <w:color w:val="414042" w:themeColor="text1"/>
          <w:sz w:val="18"/>
          <w:szCs w:val="18"/>
        </w:rPr>
      </w:pPr>
      <w:r w:rsidRPr="00F9716C">
        <w:rPr>
          <w:i/>
          <w:iCs/>
          <w:color w:val="414042" w:themeColor="text1"/>
          <w:sz w:val="18"/>
          <w:szCs w:val="18"/>
        </w:rPr>
        <w:t>Admitted as a Barrister of the Supreme Court of Queensland in 1993 and of the High Court of Australia in 1996. Appointed as Ordinary Commissioner for a five-year term on 25 August 2023.</w:t>
      </w:r>
    </w:p>
    <w:p w14:paraId="1F48084F" w14:textId="36F143AB" w:rsidR="00313EC2" w:rsidRPr="00B958F2" w:rsidRDefault="00BC0A6B" w:rsidP="00FC4079">
      <w:pPr>
        <w:ind w:left="-142" w:right="140"/>
        <w:rPr>
          <w:color w:val="414042" w:themeColor="text1"/>
          <w:sz w:val="19"/>
          <w:szCs w:val="19"/>
        </w:rPr>
      </w:pPr>
      <w:r w:rsidRPr="00B958F2">
        <w:rPr>
          <w:color w:val="414042" w:themeColor="text1"/>
          <w:sz w:val="19"/>
          <w:szCs w:val="19"/>
        </w:rPr>
        <w:t>Ms Webbe is a consultant with significant public sector experience in governance, accountability, anti-corruption and integrity reforms.</w:t>
      </w:r>
      <w:r w:rsidR="00313EC2" w:rsidRPr="00B958F2">
        <w:rPr>
          <w:color w:val="414042" w:themeColor="text1"/>
          <w:sz w:val="19"/>
          <w:szCs w:val="19"/>
        </w:rPr>
        <w:t xml:space="preserve"> Simone also has extensive public sector experience in constitutional and public law. </w:t>
      </w:r>
      <w:r w:rsidRPr="00B958F2">
        <w:rPr>
          <w:color w:val="414042" w:themeColor="text1"/>
          <w:sz w:val="19"/>
          <w:szCs w:val="19"/>
        </w:rPr>
        <w:t xml:space="preserve"> She is a former Deputy Director-General in the Queensland Department of the Premier and Cabinet,</w:t>
      </w:r>
      <w:r w:rsidR="00313EC2" w:rsidRPr="00B958F2">
        <w:rPr>
          <w:color w:val="414042" w:themeColor="text1"/>
          <w:sz w:val="19"/>
          <w:szCs w:val="19"/>
        </w:rPr>
        <w:t xml:space="preserve"> and has served on a range of boards and national bodies such as the </w:t>
      </w:r>
      <w:r w:rsidR="00313EC2" w:rsidRPr="00B958F2">
        <w:rPr>
          <w:color w:val="414042" w:themeColor="text1"/>
          <w:sz w:val="19"/>
          <w:szCs w:val="19"/>
          <w:lang w:eastAsia="en-GB"/>
        </w:rPr>
        <w:t xml:space="preserve">National Counter-Terrorism Committee. </w:t>
      </w:r>
      <w:r w:rsidRPr="00B958F2">
        <w:rPr>
          <w:color w:val="414042" w:themeColor="text1"/>
          <w:sz w:val="19"/>
          <w:szCs w:val="19"/>
        </w:rPr>
        <w:t xml:space="preserve"> </w:t>
      </w:r>
      <w:r w:rsidR="00313EC2" w:rsidRPr="00B958F2">
        <w:rPr>
          <w:color w:val="414042" w:themeColor="text1"/>
          <w:sz w:val="19"/>
          <w:szCs w:val="19"/>
        </w:rPr>
        <w:t>She</w:t>
      </w:r>
      <w:r w:rsidRPr="00B958F2">
        <w:rPr>
          <w:color w:val="414042" w:themeColor="text1"/>
          <w:sz w:val="19"/>
          <w:szCs w:val="19"/>
        </w:rPr>
        <w:t xml:space="preserve"> is a current Faculty member of the Australian and New Zealand School of Government</w:t>
      </w:r>
      <w:r w:rsidR="00313EC2" w:rsidRPr="00B958F2">
        <w:rPr>
          <w:color w:val="414042" w:themeColor="text1"/>
          <w:sz w:val="19"/>
          <w:szCs w:val="19"/>
        </w:rPr>
        <w:t>.</w:t>
      </w:r>
    </w:p>
    <w:p w14:paraId="1AB0F1A2" w14:textId="77777777" w:rsidR="00195E82" w:rsidRPr="00F9716C" w:rsidRDefault="00195E82" w:rsidP="00F724CD">
      <w:pPr>
        <w:rPr>
          <w:rFonts w:ascii="Calibri" w:hAnsi="Calibri" w:cs="Calibri"/>
          <w:b/>
          <w:bCs/>
          <w:noProof/>
          <w:color w:val="414042" w:themeColor="text1"/>
          <w:szCs w:val="18"/>
        </w:rPr>
        <w:sectPr w:rsidR="00195E82" w:rsidRPr="00F9716C" w:rsidSect="00F724CD">
          <w:type w:val="continuous"/>
          <w:pgSz w:w="11906" w:h="16838" w:code="9"/>
          <w:pgMar w:top="2155" w:right="1134" w:bottom="964" w:left="1134" w:header="720" w:footer="284" w:gutter="0"/>
          <w:cols w:num="2" w:space="567"/>
          <w:noEndnote/>
          <w:docGrid w:linePitch="272"/>
        </w:sectPr>
      </w:pPr>
      <w:bookmarkStart w:id="1138" w:name="_Toc102038046"/>
      <w:bookmarkStart w:id="1139" w:name="_Toc102038407"/>
      <w:bookmarkStart w:id="1140" w:name="_Toc102038768"/>
      <w:bookmarkStart w:id="1141" w:name="_Toc102039120"/>
      <w:bookmarkStart w:id="1142" w:name="_Toc102039469"/>
      <w:bookmarkStart w:id="1143" w:name="_Toc102039831"/>
      <w:bookmarkStart w:id="1144" w:name="_Toc102040188"/>
      <w:bookmarkStart w:id="1145" w:name="_Toc102040516"/>
      <w:bookmarkStart w:id="1146" w:name="_Toc102040850"/>
      <w:bookmarkStart w:id="1147" w:name="_Toc102041178"/>
      <w:bookmarkStart w:id="1148" w:name="_Toc102041507"/>
      <w:bookmarkStart w:id="1149" w:name="_Toc102041839"/>
      <w:bookmarkStart w:id="1150" w:name="_Toc102042166"/>
      <w:bookmarkStart w:id="1151" w:name="_Toc102042496"/>
      <w:bookmarkStart w:id="1152" w:name="_Toc102045626"/>
    </w:p>
    <w:p w14:paraId="0616DB13" w14:textId="2FECA5C6" w:rsidR="00EE6F23" w:rsidRPr="00F9716C" w:rsidRDefault="00EE6F23" w:rsidP="004A6FE9">
      <w:pPr>
        <w:pStyle w:val="5A-Headingintext"/>
      </w:pPr>
      <w:r w:rsidRPr="00F9716C">
        <w:rPr>
          <w:noProof/>
        </w:rPr>
        <w:t>Appointment criteria for Commissioners</w:t>
      </w:r>
      <w:r w:rsidRPr="00F9716C">
        <w:t xml:space="preserve"> </w:t>
      </w:r>
    </w:p>
    <w:p w14:paraId="74859211" w14:textId="77777777" w:rsidR="00195E82" w:rsidRPr="00F9716C" w:rsidRDefault="00F724CD" w:rsidP="00CD7C2B">
      <w:pPr>
        <w:ind w:right="282"/>
        <w:rPr>
          <w:color w:val="414042" w:themeColor="text1"/>
        </w:rPr>
      </w:pPr>
      <w:r w:rsidRPr="00F9716C">
        <w:rPr>
          <w:color w:val="414042" w:themeColor="text1"/>
        </w:rPr>
        <w:t xml:space="preserve">The </w:t>
      </w:r>
      <w:r w:rsidRPr="00F9716C">
        <w:rPr>
          <w:bCs/>
          <w:i/>
          <w:iCs/>
          <w:color w:val="414042" w:themeColor="text1"/>
          <w:u w:color="E6E7E8" w:themeColor="background2"/>
        </w:rPr>
        <w:t>Crime and Corruption Act 2001</w:t>
      </w:r>
      <w:r w:rsidRPr="00F9716C">
        <w:rPr>
          <w:bCs/>
          <w:color w:val="414042" w:themeColor="text1"/>
          <w:u w:color="E6E7E8" w:themeColor="background2"/>
        </w:rPr>
        <w:t xml:space="preserve"> </w:t>
      </w:r>
      <w:r w:rsidRPr="00F9716C">
        <w:rPr>
          <w:color w:val="414042" w:themeColor="text1"/>
        </w:rPr>
        <w:t>requires that the CCC Chairperson and Deputy Chairperson must have served as, or are qualified to serve as, a judge of the Supreme Court of any state, the High Court or the Federal Court. The Act also requires that Ordinary Commissioners have the qualifications, experience or standing appropriate to help the Commission perform its functions.</w:t>
      </w:r>
    </w:p>
    <w:p w14:paraId="05FBE76D" w14:textId="790EF8F0" w:rsidR="00F724CD" w:rsidRPr="00F9716C" w:rsidRDefault="00F724CD" w:rsidP="00CD7C2B">
      <w:pPr>
        <w:ind w:right="282"/>
        <w:rPr>
          <w:rFonts w:ascii="Calibri" w:hAnsi="Calibri" w:cs="Calibri"/>
          <w:b/>
          <w:bCs/>
          <w:noProof/>
          <w:color w:val="414042" w:themeColor="text1"/>
          <w:szCs w:val="18"/>
        </w:rPr>
      </w:pPr>
      <w:r w:rsidRPr="00F9716C">
        <w:rPr>
          <w:color w:val="414042" w:themeColor="text1"/>
        </w:rPr>
        <w:t>Commissioners are appointed by the Governor-in-Council for a maximum of five years, with the provision of a further five-year re-appointment if they do not hold that office for more than ten years in total. The Governor-in-Council may appoint an acting Chairperson or temporary part-time Commissioner during a period of absence or when there is a temporary vacancy in a role. The Chairperson may appoint for a temporary period a Sessional Commissioner to conduct hearings, examine witnesses, or undertake specific investigations relevant to the CCC’s functions.</w:t>
      </w:r>
      <w:r w:rsidR="00195E82" w:rsidRPr="00F9716C">
        <w:rPr>
          <w:color w:val="414042" w:themeColor="text1"/>
        </w:rPr>
        <w:br w:type="column"/>
      </w:r>
      <w:r w:rsidRPr="00FC4079">
        <w:rPr>
          <w:rFonts w:ascii="Calibri" w:hAnsi="Calibri" w:cs="Calibri"/>
          <w:b/>
          <w:bCs/>
          <w:noProof/>
          <w:color w:val="414042" w:themeColor="text1"/>
          <w:spacing w:val="-6"/>
          <w:sz w:val="22"/>
          <w:lang w:val="en-US"/>
        </w:rPr>
        <w:t>Appointment criteria for the Chief Executive Officer</w:t>
      </w:r>
    </w:p>
    <w:p w14:paraId="00D21AF4" w14:textId="1AC5EBC3" w:rsidR="00EE6F23" w:rsidRPr="00F9716C" w:rsidRDefault="00F724CD" w:rsidP="00F724CD">
      <w:pPr>
        <w:spacing w:after="0"/>
        <w:rPr>
          <w:color w:val="414042" w:themeColor="text1"/>
        </w:rPr>
      </w:pPr>
      <w:r w:rsidRPr="00F9716C">
        <w:rPr>
          <w:color w:val="414042" w:themeColor="text1"/>
        </w:rPr>
        <w:t xml:space="preserve">The CEO is appointed by the Governor-in-Council for a maximum of five years with the option of renewal for a further five years, with no more than ten years in total. To qualify under the </w:t>
      </w:r>
      <w:r w:rsidRPr="00F9716C">
        <w:rPr>
          <w:bCs/>
          <w:i/>
          <w:iCs/>
          <w:color w:val="414042" w:themeColor="text1"/>
          <w:u w:color="E6E7E8" w:themeColor="background2"/>
        </w:rPr>
        <w:t>Crime and Corruption Act 2001</w:t>
      </w:r>
      <w:r w:rsidRPr="00F9716C">
        <w:rPr>
          <w:bCs/>
          <w:color w:val="414042" w:themeColor="text1"/>
          <w:u w:color="E6E7E8" w:themeColor="background2"/>
        </w:rPr>
        <w:t xml:space="preserve"> </w:t>
      </w:r>
      <w:r w:rsidRPr="00F9716C">
        <w:rPr>
          <w:color w:val="414042" w:themeColor="text1"/>
        </w:rPr>
        <w:t>for appointment as the CEO, the person must have qualifications, experience or standing appropriate to perform the functions of the CEO.</w:t>
      </w:r>
    </w:p>
    <w:p w14:paraId="3BBA6B21" w14:textId="77777777" w:rsidR="00F724CD" w:rsidRPr="00F9716C" w:rsidRDefault="00F724CD" w:rsidP="00561686">
      <w:pPr>
        <w:spacing w:after="240"/>
        <w:ind w:right="-1"/>
        <w:rPr>
          <w:rFonts w:ascii="Calibri" w:hAnsi="Calibri" w:cs="Calibri"/>
          <w:b/>
          <w:bCs/>
          <w:color w:val="414042" w:themeColor="text1"/>
          <w:spacing w:val="6"/>
          <w:szCs w:val="20"/>
        </w:rPr>
      </w:pPr>
    </w:p>
    <w:p w14:paraId="46F989C8" w14:textId="77777777" w:rsidR="00F724CD" w:rsidRPr="00F9716C" w:rsidRDefault="00F724CD" w:rsidP="00B02BC4">
      <w:pPr>
        <w:pStyle w:val="Heading4"/>
        <w:sectPr w:rsidR="00F724CD" w:rsidRPr="00F9716C" w:rsidSect="00195E82">
          <w:pgSz w:w="11906" w:h="16838" w:code="9"/>
          <w:pgMar w:top="2155" w:right="1134" w:bottom="964" w:left="1134" w:header="720" w:footer="284" w:gutter="0"/>
          <w:cols w:num="2" w:space="567"/>
          <w:noEndnote/>
          <w:docGrid w:linePitch="272"/>
        </w:sectPr>
      </w:pPr>
    </w:p>
    <w:p w14:paraId="5160CF1C" w14:textId="77777777" w:rsidR="00D61ECD" w:rsidRDefault="00D61ECD" w:rsidP="00D61ECD">
      <w:pPr>
        <w:pStyle w:val="Tableheader"/>
        <w:rPr>
          <w:b w:val="0"/>
        </w:rPr>
        <w:sectPr w:rsidR="00D61ECD" w:rsidSect="00F724CD">
          <w:type w:val="continuous"/>
          <w:pgSz w:w="11906" w:h="16838" w:code="9"/>
          <w:pgMar w:top="2155" w:right="1134" w:bottom="964" w:left="1134" w:header="720" w:footer="284" w:gutter="0"/>
          <w:cols w:space="567"/>
          <w:noEndnote/>
          <w:docGrid w:linePitch="272"/>
        </w:sectPr>
      </w:pPr>
    </w:p>
    <w:tbl>
      <w:tblPr>
        <w:tblStyle w:val="Annualreport2020-211"/>
        <w:tblpPr w:leftFromText="180" w:rightFromText="180" w:vertAnchor="text" w:horzAnchor="margin" w:tblpY="84"/>
        <w:tblW w:w="4854" w:type="pct"/>
        <w:tblBorders>
          <w:bottom w:val="single" w:sz="4" w:space="0" w:color="BCBEC0"/>
          <w:insideH w:val="single" w:sz="4" w:space="0" w:color="BCBEC0"/>
          <w:insideV w:val="single" w:sz="4" w:space="0" w:color="BCBEC0"/>
        </w:tblBorders>
        <w:tblCellMar>
          <w:top w:w="0" w:type="dxa"/>
          <w:left w:w="85" w:type="dxa"/>
          <w:bottom w:w="0" w:type="dxa"/>
          <w:right w:w="85" w:type="dxa"/>
        </w:tblCellMar>
        <w:tblLook w:val="04A0" w:firstRow="1" w:lastRow="0" w:firstColumn="1" w:lastColumn="0" w:noHBand="0" w:noVBand="1"/>
        <w:tblCaption w:val="Table - Commission meetings from 1 July 2017 to 30 June 2018"/>
      </w:tblPr>
      <w:tblGrid>
        <w:gridCol w:w="2553"/>
        <w:gridCol w:w="3544"/>
        <w:gridCol w:w="1701"/>
        <w:gridCol w:w="1559"/>
      </w:tblGrid>
      <w:tr w:rsidR="00F9716C" w:rsidRPr="00F9716C" w14:paraId="1A1C53F7" w14:textId="77777777" w:rsidTr="00210A29">
        <w:trPr>
          <w:cnfStyle w:val="100000000000" w:firstRow="1" w:lastRow="0" w:firstColumn="0" w:lastColumn="0" w:oddVBand="0" w:evenVBand="0" w:oddHBand="0" w:evenHBand="0" w:firstRowFirstColumn="0" w:firstRowLastColumn="0" w:lastRowFirstColumn="0" w:lastRowLastColumn="0"/>
          <w:trHeight w:val="33"/>
        </w:trPr>
        <w:tc>
          <w:tcPr>
            <w:tcW w:w="5000" w:type="pct"/>
            <w:gridSpan w:val="4"/>
            <w:tcBorders>
              <w:top w:val="nil"/>
              <w:left w:val="nil"/>
              <w:bottom w:val="single" w:sz="4" w:space="0" w:color="BCBEC0" w:themeColor="accent5"/>
              <w:right w:val="nil"/>
            </w:tcBorders>
            <w:shd w:val="clear" w:color="auto" w:fill="auto"/>
            <w:vAlign w:val="top"/>
          </w:tcPr>
          <w:p w14:paraId="466EECAD" w14:textId="77777777" w:rsidR="00D61ECD" w:rsidRPr="00210A29" w:rsidRDefault="00D61ECD" w:rsidP="00210A29">
            <w:pPr>
              <w:pStyle w:val="Tableheader"/>
              <w:jc w:val="left"/>
              <w:rPr>
                <w:b/>
                <w:bCs w:val="0"/>
              </w:rPr>
            </w:pPr>
          </w:p>
          <w:p w14:paraId="4476906A" w14:textId="77777777" w:rsidR="00D61ECD" w:rsidRPr="00210A29" w:rsidRDefault="00D61ECD" w:rsidP="00210A29">
            <w:pPr>
              <w:pStyle w:val="Tableheader"/>
              <w:jc w:val="left"/>
              <w:rPr>
                <w:b/>
                <w:bCs w:val="0"/>
              </w:rPr>
            </w:pPr>
          </w:p>
          <w:p w14:paraId="17265E99" w14:textId="77777777" w:rsidR="00D61ECD" w:rsidRPr="00210A29" w:rsidRDefault="00D61ECD" w:rsidP="00210A29">
            <w:pPr>
              <w:pStyle w:val="Tableheader"/>
              <w:jc w:val="left"/>
              <w:rPr>
                <w:b/>
                <w:bCs w:val="0"/>
              </w:rPr>
            </w:pPr>
          </w:p>
          <w:p w14:paraId="501393DD" w14:textId="21A02133" w:rsidR="00BC0A6B" w:rsidRPr="00210A29" w:rsidRDefault="00BC0A6B" w:rsidP="00E41B49">
            <w:pPr>
              <w:pStyle w:val="Figuretableheading0"/>
              <w:rPr>
                <w:b/>
              </w:rPr>
            </w:pPr>
            <w:r w:rsidRPr="00210A29">
              <w:rPr>
                <w:b/>
              </w:rPr>
              <w:t xml:space="preserve">Table </w:t>
            </w:r>
            <w:r w:rsidR="00C35F75" w:rsidRPr="00210A29">
              <w:rPr>
                <w:b/>
              </w:rPr>
              <w:t>4</w:t>
            </w:r>
            <w:r w:rsidRPr="00210A29">
              <w:rPr>
                <w:b/>
              </w:rPr>
              <w:t>: Commission meetings from 1 July 2023 to 30 June 2024</w:t>
            </w:r>
          </w:p>
        </w:tc>
      </w:tr>
      <w:tr w:rsidR="00F9716C" w:rsidRPr="00F9716C" w14:paraId="6CC26CDD" w14:textId="77777777" w:rsidTr="004A6FE9">
        <w:trPr>
          <w:trHeight w:val="227"/>
        </w:trPr>
        <w:tc>
          <w:tcPr>
            <w:tcW w:w="1364" w:type="pct"/>
            <w:vMerge w:val="restart"/>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E6E7E8" w:themeFill="accent6"/>
          </w:tcPr>
          <w:p w14:paraId="4BCDDF08" w14:textId="3CF7B926" w:rsidR="00BC0A6B" w:rsidRPr="00E01FCC" w:rsidRDefault="00BC0A6B" w:rsidP="004A6FE9">
            <w:pPr>
              <w:suppressAutoHyphens/>
              <w:autoSpaceDE w:val="0"/>
              <w:autoSpaceDN w:val="0"/>
              <w:adjustRightInd w:val="0"/>
              <w:spacing w:after="0"/>
              <w:textAlignment w:val="center"/>
              <w:rPr>
                <w:rFonts w:asciiTheme="minorHAnsi" w:eastAsia="Calibri" w:hAnsiTheme="minorHAnsi" w:cstheme="minorHAnsi"/>
                <w:color w:val="414042" w:themeColor="text1"/>
                <w:spacing w:val="-4"/>
                <w:szCs w:val="20"/>
              </w:rPr>
            </w:pPr>
            <w:r w:rsidRPr="00E01FCC">
              <w:rPr>
                <w:rFonts w:asciiTheme="minorHAnsi" w:eastAsia="Calibri" w:hAnsiTheme="minorHAnsi" w:cstheme="minorHAnsi"/>
                <w:b/>
                <w:bCs/>
                <w:color w:val="414042" w:themeColor="text1"/>
                <w:spacing w:val="-4"/>
                <w:szCs w:val="20"/>
              </w:rPr>
              <w:t>Commissioner</w:t>
            </w:r>
            <w:r w:rsidR="008B2533" w:rsidRPr="00E01FCC">
              <w:rPr>
                <w:rFonts w:asciiTheme="minorHAnsi" w:eastAsia="Calibri" w:hAnsiTheme="minorHAnsi" w:cstheme="minorHAnsi"/>
                <w:b/>
                <w:bCs/>
                <w:color w:val="414042" w:themeColor="text1"/>
                <w:spacing w:val="-4"/>
                <w:szCs w:val="20"/>
                <w:vertAlign w:val="superscript"/>
              </w:rPr>
              <w:t>1</w:t>
            </w:r>
          </w:p>
        </w:tc>
        <w:tc>
          <w:tcPr>
            <w:tcW w:w="1894" w:type="pct"/>
            <w:vMerge w:val="restart"/>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E6E7E8" w:themeFill="accent6"/>
          </w:tcPr>
          <w:p w14:paraId="33F20781" w14:textId="77777777" w:rsidR="00BC0A6B" w:rsidRPr="00E01FCC" w:rsidRDefault="00BC0A6B" w:rsidP="004A6FE9">
            <w:pPr>
              <w:suppressAutoHyphens/>
              <w:autoSpaceDE w:val="0"/>
              <w:autoSpaceDN w:val="0"/>
              <w:adjustRightInd w:val="0"/>
              <w:spacing w:after="0"/>
              <w:textAlignment w:val="center"/>
              <w:rPr>
                <w:rFonts w:asciiTheme="minorHAnsi" w:eastAsia="Calibri" w:hAnsiTheme="minorHAnsi" w:cstheme="minorHAnsi"/>
                <w:bCs/>
                <w:color w:val="414042" w:themeColor="text1"/>
                <w:spacing w:val="-4"/>
                <w:szCs w:val="20"/>
              </w:rPr>
            </w:pPr>
            <w:r w:rsidRPr="00E01FCC">
              <w:rPr>
                <w:rFonts w:asciiTheme="minorHAnsi" w:eastAsia="Calibri" w:hAnsiTheme="minorHAnsi" w:cstheme="minorHAnsi"/>
                <w:b/>
                <w:bCs/>
                <w:color w:val="414042" w:themeColor="text1"/>
                <w:spacing w:val="-4"/>
                <w:szCs w:val="20"/>
              </w:rPr>
              <w:t>Position</w:t>
            </w:r>
          </w:p>
        </w:tc>
        <w:tc>
          <w:tcPr>
            <w:tcW w:w="1742" w:type="pct"/>
            <w:gridSpan w:val="2"/>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E6E7E8" w:themeFill="accent6"/>
            <w:hideMark/>
          </w:tcPr>
          <w:p w14:paraId="6716B248" w14:textId="77777777" w:rsidR="00BC0A6B" w:rsidRPr="00E01FCC" w:rsidRDefault="00BC0A6B" w:rsidP="004A6FE9">
            <w:pPr>
              <w:suppressAutoHyphens/>
              <w:autoSpaceDE w:val="0"/>
              <w:autoSpaceDN w:val="0"/>
              <w:adjustRightInd w:val="0"/>
              <w:spacing w:after="0"/>
              <w:textAlignment w:val="center"/>
              <w:rPr>
                <w:rFonts w:asciiTheme="minorHAnsi" w:eastAsia="Calibri" w:hAnsiTheme="minorHAnsi" w:cstheme="minorHAnsi"/>
                <w:b/>
                <w:color w:val="414042" w:themeColor="text1"/>
                <w:spacing w:val="-4"/>
                <w:szCs w:val="20"/>
              </w:rPr>
            </w:pPr>
            <w:r w:rsidRPr="00E01FCC">
              <w:rPr>
                <w:rFonts w:asciiTheme="minorHAnsi" w:eastAsia="Calibri" w:hAnsiTheme="minorHAnsi" w:cstheme="minorHAnsi"/>
                <w:b/>
                <w:color w:val="414042" w:themeColor="text1"/>
                <w:spacing w:val="-4"/>
                <w:szCs w:val="20"/>
              </w:rPr>
              <w:t>Meetings attended</w:t>
            </w:r>
          </w:p>
        </w:tc>
      </w:tr>
      <w:tr w:rsidR="00F9716C" w:rsidRPr="00F9716C" w14:paraId="7A4A25D3" w14:textId="77777777" w:rsidTr="004A6FE9">
        <w:trPr>
          <w:trHeight w:val="151"/>
        </w:trPr>
        <w:tc>
          <w:tcPr>
            <w:tcW w:w="1364" w:type="pct"/>
            <w:vMerge/>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E6E7E8" w:themeFill="accent6"/>
            <w:vAlign w:val="top"/>
            <w:hideMark/>
          </w:tcPr>
          <w:p w14:paraId="79D74C06" w14:textId="77777777" w:rsidR="00BC0A6B" w:rsidRPr="00E01FCC" w:rsidRDefault="00BC0A6B" w:rsidP="004A6FE9">
            <w:pPr>
              <w:suppressAutoHyphens/>
              <w:autoSpaceDE w:val="0"/>
              <w:autoSpaceDN w:val="0"/>
              <w:adjustRightInd w:val="0"/>
              <w:spacing w:after="0"/>
              <w:jc w:val="left"/>
              <w:textAlignment w:val="center"/>
              <w:rPr>
                <w:rFonts w:asciiTheme="minorHAnsi" w:eastAsia="Calibri" w:hAnsiTheme="minorHAnsi" w:cstheme="minorHAnsi"/>
                <w:b/>
                <w:bCs/>
                <w:color w:val="414042" w:themeColor="text1"/>
                <w:spacing w:val="-4"/>
                <w:szCs w:val="20"/>
              </w:rPr>
            </w:pPr>
          </w:p>
        </w:tc>
        <w:tc>
          <w:tcPr>
            <w:tcW w:w="1894" w:type="pct"/>
            <w:vMerge/>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E6E7E8" w:themeFill="accent6"/>
            <w:vAlign w:val="top"/>
            <w:hideMark/>
          </w:tcPr>
          <w:p w14:paraId="538C7831" w14:textId="77777777" w:rsidR="00BC0A6B" w:rsidRPr="00E01FCC" w:rsidRDefault="00BC0A6B" w:rsidP="004A6FE9">
            <w:pPr>
              <w:suppressAutoHyphens/>
              <w:autoSpaceDE w:val="0"/>
              <w:autoSpaceDN w:val="0"/>
              <w:adjustRightInd w:val="0"/>
              <w:spacing w:after="0"/>
              <w:jc w:val="left"/>
              <w:textAlignment w:val="center"/>
              <w:rPr>
                <w:rFonts w:asciiTheme="minorHAnsi" w:eastAsia="Calibri" w:hAnsiTheme="minorHAnsi" w:cstheme="minorHAnsi"/>
                <w:b/>
                <w:bCs/>
                <w:color w:val="414042" w:themeColor="text1"/>
                <w:spacing w:val="-4"/>
                <w:szCs w:val="20"/>
              </w:rPr>
            </w:pP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F2F2F2" w:themeFill="background1" w:themeFillShade="F2"/>
            <w:vAlign w:val="top"/>
            <w:hideMark/>
          </w:tcPr>
          <w:p w14:paraId="4EEBCCF0" w14:textId="77777777" w:rsidR="00BC0A6B" w:rsidRPr="00E01FCC" w:rsidRDefault="00BC0A6B" w:rsidP="004A6FE9">
            <w:pPr>
              <w:suppressAutoHyphens/>
              <w:autoSpaceDE w:val="0"/>
              <w:autoSpaceDN w:val="0"/>
              <w:adjustRightInd w:val="0"/>
              <w:spacing w:after="0"/>
              <w:jc w:val="left"/>
              <w:textAlignment w:val="center"/>
              <w:rPr>
                <w:rFonts w:asciiTheme="minorHAnsi" w:eastAsia="Calibri" w:hAnsiTheme="minorHAnsi" w:cstheme="minorHAnsi"/>
                <w:b/>
                <w:bCs/>
                <w:color w:val="414042" w:themeColor="text1"/>
                <w:spacing w:val="-4"/>
                <w:szCs w:val="20"/>
              </w:rPr>
            </w:pPr>
            <w:r w:rsidRPr="00E01FCC">
              <w:rPr>
                <w:rFonts w:asciiTheme="minorHAnsi" w:eastAsia="Calibri" w:hAnsiTheme="minorHAnsi" w:cstheme="minorHAnsi"/>
                <w:b/>
                <w:bCs/>
                <w:color w:val="414042" w:themeColor="text1"/>
                <w:spacing w:val="-4"/>
                <w:szCs w:val="20"/>
              </w:rPr>
              <w:t>Ordinary meetings</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F2F2F2" w:themeFill="background1" w:themeFillShade="F2"/>
            <w:vAlign w:val="top"/>
            <w:hideMark/>
          </w:tcPr>
          <w:p w14:paraId="4721E48F" w14:textId="77777777" w:rsidR="00BC0A6B" w:rsidRPr="00E01FCC" w:rsidRDefault="00BC0A6B" w:rsidP="004A6FE9">
            <w:pPr>
              <w:suppressAutoHyphens/>
              <w:autoSpaceDE w:val="0"/>
              <w:autoSpaceDN w:val="0"/>
              <w:adjustRightInd w:val="0"/>
              <w:spacing w:after="0"/>
              <w:jc w:val="left"/>
              <w:textAlignment w:val="center"/>
              <w:rPr>
                <w:rFonts w:asciiTheme="minorHAnsi" w:eastAsia="Calibri" w:hAnsiTheme="minorHAnsi" w:cstheme="minorHAnsi"/>
                <w:b/>
                <w:bCs/>
                <w:color w:val="414042" w:themeColor="text1"/>
                <w:spacing w:val="-4"/>
                <w:szCs w:val="20"/>
              </w:rPr>
            </w:pPr>
            <w:r w:rsidRPr="00E01FCC">
              <w:rPr>
                <w:rFonts w:asciiTheme="minorHAnsi" w:eastAsia="Calibri" w:hAnsiTheme="minorHAnsi" w:cstheme="minorHAnsi"/>
                <w:b/>
                <w:bCs/>
                <w:color w:val="414042" w:themeColor="text1"/>
                <w:spacing w:val="-4"/>
                <w:szCs w:val="20"/>
              </w:rPr>
              <w:t>PCCC meetings</w:t>
            </w:r>
          </w:p>
        </w:tc>
      </w:tr>
      <w:tr w:rsidR="00F9716C" w:rsidRPr="00F9716C" w14:paraId="1338CC38" w14:textId="77777777" w:rsidTr="004A6FE9">
        <w:trPr>
          <w:trHeight w:val="30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099A14BB" w14:textId="6C3DE308" w:rsidR="00943406" w:rsidRPr="00CD7C2B" w:rsidRDefault="00943406" w:rsidP="004A6FE9">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Mr Bruce Barbour</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7719EDD2" w14:textId="11D20A56" w:rsidR="00943406" w:rsidRPr="00CD7C2B" w:rsidRDefault="00943406" w:rsidP="004A6FE9">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Chairperson</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38C591B8" w14:textId="481A38F3"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9</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0E740036" w14:textId="0E8F3EF5"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4</w:t>
            </w:r>
          </w:p>
        </w:tc>
      </w:tr>
      <w:tr w:rsidR="00F9716C" w:rsidRPr="00F9716C" w14:paraId="3E6385D2" w14:textId="77777777" w:rsidTr="004A6FE9">
        <w:trPr>
          <w:trHeight w:val="30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04FF4774" w14:textId="4548769F" w:rsidR="00943406" w:rsidRPr="00CD7C2B" w:rsidRDefault="00943406" w:rsidP="004A6FE9">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Ms Kathryn McMillan KC</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5064EF14" w14:textId="55EB5E5A" w:rsidR="00943406" w:rsidRPr="00CD7C2B" w:rsidRDefault="00943406" w:rsidP="004A6FE9">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Deputy Chairperson</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4B34A61C" w14:textId="3AC2ED42"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8</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3DD563D4" w14:textId="30EF4832"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1</w:t>
            </w:r>
          </w:p>
        </w:tc>
      </w:tr>
      <w:tr w:rsidR="00F9716C" w:rsidRPr="00F9716C" w14:paraId="31F896C6" w14:textId="77777777" w:rsidTr="004A6FE9">
        <w:trPr>
          <w:trHeight w:val="30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0B119FE9" w14:textId="3F77BB57" w:rsidR="00943406" w:rsidRPr="00CD7C2B" w:rsidRDefault="00943406" w:rsidP="004A6FE9">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Ms Helen Darch OAM</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3E306039" w14:textId="0C16FC45" w:rsidR="00943406" w:rsidRPr="00CD7C2B" w:rsidRDefault="00943406" w:rsidP="004A6FE9">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Ordinary Commissioner</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0E8357C" w14:textId="5653B857"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9</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4758BA87" w14:textId="2E14E4AF"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3</w:t>
            </w:r>
          </w:p>
        </w:tc>
      </w:tr>
      <w:tr w:rsidR="00F9716C" w:rsidRPr="00F9716C" w14:paraId="3CD91B4B" w14:textId="77777777" w:rsidTr="004A6FE9">
        <w:trPr>
          <w:trHeight w:val="30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28BCF995" w14:textId="7B96A248" w:rsidR="00943406" w:rsidRPr="00CD7C2B" w:rsidRDefault="00943406" w:rsidP="004A6FE9">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Mr Peter Dowling AM</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74BF7FD3" w14:textId="1521CBA0" w:rsidR="00943406" w:rsidRPr="00CD7C2B" w:rsidRDefault="00943406" w:rsidP="004A6FE9">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Ordinary Commissioner</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7197B26B" w14:textId="6769CEAD"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10</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3A49AF2" w14:textId="3F9B0621"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2</w:t>
            </w:r>
          </w:p>
        </w:tc>
      </w:tr>
      <w:tr w:rsidR="00F9716C" w:rsidRPr="00F9716C" w14:paraId="4BD9F02A" w14:textId="77777777" w:rsidTr="004A6FE9">
        <w:trPr>
          <w:trHeight w:val="30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6FF8DCDE" w14:textId="7696F3F6" w:rsidR="00943406" w:rsidRPr="00CD7C2B" w:rsidRDefault="00943406" w:rsidP="004A6FE9">
            <w:pPr>
              <w:spacing w:after="0"/>
              <w:jc w:val="left"/>
              <w:rPr>
                <w:rFonts w:asciiTheme="majorHAnsi" w:hAnsiTheme="majorHAnsi" w:cstheme="majorHAnsi"/>
                <w:color w:val="414042" w:themeColor="text1"/>
                <w:spacing w:val="-4"/>
                <w:sz w:val="18"/>
                <w:szCs w:val="18"/>
              </w:rPr>
            </w:pPr>
            <w:r w:rsidRPr="00CD7C2B">
              <w:rPr>
                <w:rFonts w:asciiTheme="majorHAnsi" w:hAnsiTheme="majorHAnsi" w:cstheme="majorHAnsi"/>
                <w:color w:val="414042" w:themeColor="text1"/>
                <w:spacing w:val="-4"/>
                <w:sz w:val="18"/>
                <w:szCs w:val="18"/>
              </w:rPr>
              <w:t>Ms Simone Webbe</w:t>
            </w:r>
            <w:r w:rsidR="008B2533" w:rsidRPr="00CD7C2B">
              <w:rPr>
                <w:rFonts w:asciiTheme="majorHAnsi" w:hAnsiTheme="majorHAnsi" w:cstheme="majorHAnsi"/>
                <w:color w:val="414042" w:themeColor="text1"/>
                <w:spacing w:val="-4"/>
                <w:sz w:val="18"/>
                <w:szCs w:val="18"/>
                <w:vertAlign w:val="superscript"/>
              </w:rPr>
              <w:t>2</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393E1B92" w14:textId="1FDE62CF" w:rsidR="00943406" w:rsidRPr="00CD7C2B" w:rsidRDefault="00943406" w:rsidP="004A6FE9">
            <w:pPr>
              <w:spacing w:after="0"/>
              <w:jc w:val="left"/>
              <w:rPr>
                <w:rFonts w:asciiTheme="majorHAnsi" w:hAnsiTheme="majorHAnsi" w:cstheme="majorHAnsi"/>
                <w:color w:val="414042" w:themeColor="text1"/>
                <w:spacing w:val="-4"/>
                <w:sz w:val="18"/>
                <w:szCs w:val="18"/>
              </w:rPr>
            </w:pPr>
            <w:r w:rsidRPr="00CD7C2B">
              <w:rPr>
                <w:rFonts w:asciiTheme="majorHAnsi" w:hAnsiTheme="majorHAnsi" w:cstheme="majorHAnsi"/>
                <w:color w:val="414042" w:themeColor="text1"/>
                <w:spacing w:val="-4"/>
                <w:sz w:val="18"/>
                <w:szCs w:val="18"/>
              </w:rPr>
              <w:t>Ordinary Commissioner</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EB491AC" w14:textId="4A0E1FDB"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8</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04540F7" w14:textId="73DAFE90"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3</w:t>
            </w:r>
          </w:p>
        </w:tc>
      </w:tr>
      <w:tr w:rsidR="00F9716C" w:rsidRPr="00F9716C" w14:paraId="4B29E4C4" w14:textId="77777777" w:rsidTr="004A6FE9">
        <w:trPr>
          <w:trHeight w:val="99"/>
        </w:trPr>
        <w:tc>
          <w:tcPr>
            <w:tcW w:w="5000" w:type="pct"/>
            <w:gridSpan w:val="4"/>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E6E7E8" w:themeFill="accent6"/>
            <w:vAlign w:val="top"/>
            <w:hideMark/>
          </w:tcPr>
          <w:p w14:paraId="02DF4A16" w14:textId="77777777" w:rsidR="00BC0A6B" w:rsidRPr="00E01FCC" w:rsidRDefault="00BC0A6B" w:rsidP="004A6FE9">
            <w:pPr>
              <w:suppressAutoHyphens/>
              <w:autoSpaceDE w:val="0"/>
              <w:autoSpaceDN w:val="0"/>
              <w:adjustRightInd w:val="0"/>
              <w:spacing w:after="0"/>
              <w:jc w:val="left"/>
              <w:textAlignment w:val="center"/>
              <w:rPr>
                <w:rFonts w:eastAsia="Calibri" w:cs="Calibri Light"/>
                <w:b/>
                <w:bCs/>
                <w:color w:val="414042" w:themeColor="text1"/>
                <w:spacing w:val="-4"/>
                <w:szCs w:val="20"/>
                <w:lang w:eastAsia="en-AU"/>
              </w:rPr>
            </w:pPr>
            <w:r w:rsidRPr="00E01FCC">
              <w:rPr>
                <w:rFonts w:asciiTheme="minorHAnsi" w:eastAsia="Calibri" w:hAnsiTheme="minorHAnsi" w:cstheme="minorHAnsi"/>
                <w:b/>
                <w:color w:val="414042" w:themeColor="text1"/>
                <w:spacing w:val="-4"/>
                <w:szCs w:val="20"/>
              </w:rPr>
              <w:t>Ex officio members</w:t>
            </w:r>
          </w:p>
        </w:tc>
      </w:tr>
      <w:tr w:rsidR="00F9716C" w:rsidRPr="00F9716C" w14:paraId="525D7F3B" w14:textId="77777777" w:rsidTr="004A6FE9">
        <w:trPr>
          <w:trHeight w:val="30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213A0494" w14:textId="4A6ECF70" w:rsidR="00943406" w:rsidRPr="00CD7C2B" w:rsidRDefault="00943406" w:rsidP="004A6FE9">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Ms Jen O’Farrell</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49CE7649" w14:textId="0BA4CF24" w:rsidR="00943406" w:rsidRPr="00CD7C2B" w:rsidRDefault="00943406" w:rsidP="004A6FE9">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 xml:space="preserve">Chief Executive Officer </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09CA42A" w14:textId="63786D01"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10</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452AA56" w14:textId="3585E704"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4</w:t>
            </w:r>
          </w:p>
        </w:tc>
      </w:tr>
      <w:tr w:rsidR="00F9716C" w:rsidRPr="00F9716C" w14:paraId="0D508D43" w14:textId="77777777" w:rsidTr="004A6FE9">
        <w:trPr>
          <w:trHeight w:val="30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67E6DA0A" w14:textId="26B1EC54" w:rsidR="00943406" w:rsidRPr="00CD7C2B" w:rsidRDefault="00943406" w:rsidP="004A6FE9">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Ms Cecelia Christensen</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1E47A925" w14:textId="07A4D63D" w:rsidR="00943406" w:rsidRPr="00CD7C2B" w:rsidRDefault="00943406" w:rsidP="004A6FE9">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Senior Executive Officer (Corruption)</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3E30BF6B" w14:textId="0D375694"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9</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F2C3094" w14:textId="0A8E0E63"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4</w:t>
            </w:r>
          </w:p>
        </w:tc>
      </w:tr>
      <w:tr w:rsidR="00F9716C" w:rsidRPr="00F9716C" w14:paraId="2A7EEB56" w14:textId="77777777" w:rsidTr="004A6FE9">
        <w:trPr>
          <w:trHeight w:val="30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6648019A" w14:textId="2676022C" w:rsidR="00943406" w:rsidRPr="00CD7C2B" w:rsidRDefault="00943406" w:rsidP="004A6FE9">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Ms Sharon Loder</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73726EF9" w14:textId="2269633E" w:rsidR="00943406" w:rsidRPr="00CD7C2B" w:rsidRDefault="00943406" w:rsidP="004A6FE9">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Senior Executive Officer (Crime)</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0818343B" w14:textId="68A1AF7E"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8</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39872F5" w14:textId="45FF3BC1"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4</w:t>
            </w:r>
          </w:p>
        </w:tc>
      </w:tr>
      <w:tr w:rsidR="00F9716C" w:rsidRPr="00F9716C" w14:paraId="4140B557" w14:textId="77777777" w:rsidTr="004A6FE9">
        <w:trPr>
          <w:trHeight w:val="273"/>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6216FCE9" w14:textId="13A1DC8F" w:rsidR="00943406" w:rsidRPr="00CD7C2B" w:rsidRDefault="00943406" w:rsidP="004A6FE9">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Dr Rebecca Denning</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26F1591A" w14:textId="179CC13C" w:rsidR="00943406" w:rsidRPr="00CD7C2B" w:rsidRDefault="00943406" w:rsidP="004A6FE9">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General Manager, Strategy and Renewal</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3F407D9" w14:textId="6EFFD764"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7</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3DDDBAA" w14:textId="0B04288A"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0</w:t>
            </w:r>
          </w:p>
        </w:tc>
      </w:tr>
      <w:tr w:rsidR="00F9716C" w:rsidRPr="00F9716C" w14:paraId="788E3D3B" w14:textId="77777777" w:rsidTr="004A6FE9">
        <w:trPr>
          <w:trHeight w:val="30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6A79A75D" w14:textId="4F104F50" w:rsidR="00943406" w:rsidRPr="00CD7C2B" w:rsidRDefault="00943406" w:rsidP="004A6FE9">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 xml:space="preserve">Detective Chief Superintendent </w:t>
            </w:r>
            <w:r w:rsidR="007B7CC2" w:rsidRPr="00CD7C2B">
              <w:rPr>
                <w:rFonts w:asciiTheme="majorHAnsi" w:hAnsiTheme="majorHAnsi" w:cstheme="majorHAnsi"/>
                <w:color w:val="414042" w:themeColor="text1"/>
                <w:spacing w:val="-4"/>
                <w:sz w:val="18"/>
                <w:szCs w:val="18"/>
              </w:rPr>
              <w:br/>
            </w:r>
            <w:r w:rsidRPr="00CD7C2B">
              <w:rPr>
                <w:rFonts w:asciiTheme="majorHAnsi" w:hAnsiTheme="majorHAnsi" w:cstheme="majorHAnsi"/>
                <w:color w:val="414042" w:themeColor="text1"/>
                <w:spacing w:val="-4"/>
                <w:sz w:val="18"/>
                <w:szCs w:val="18"/>
              </w:rPr>
              <w:t>Stephen Loth</w:t>
            </w:r>
            <w:r w:rsidR="008B2533" w:rsidRPr="00CD7C2B">
              <w:rPr>
                <w:rFonts w:asciiTheme="majorHAnsi" w:hAnsiTheme="majorHAnsi" w:cstheme="majorHAnsi"/>
                <w:color w:val="414042" w:themeColor="text1"/>
                <w:spacing w:val="-4"/>
                <w:sz w:val="18"/>
                <w:szCs w:val="18"/>
                <w:vertAlign w:val="superscript"/>
              </w:rPr>
              <w:t>3</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5816960B" w14:textId="6DF8245D" w:rsidR="00943406" w:rsidRPr="00CD7C2B" w:rsidRDefault="00943406" w:rsidP="004A6FE9">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General Manager, Operations Support</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7586F61D" w14:textId="580F078D"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10</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559CB9BC" w14:textId="7A585AAD"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0</w:t>
            </w:r>
          </w:p>
        </w:tc>
      </w:tr>
      <w:tr w:rsidR="00F9716C" w:rsidRPr="00F9716C" w14:paraId="73085A31" w14:textId="77777777" w:rsidTr="004A6FE9">
        <w:trPr>
          <w:trHeight w:val="30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03CFFBC5" w14:textId="274A14D3" w:rsidR="00943406" w:rsidRPr="00CD7C2B" w:rsidRDefault="00943406" w:rsidP="004A6FE9">
            <w:pPr>
              <w:spacing w:after="0"/>
              <w:jc w:val="left"/>
              <w:rPr>
                <w:rFonts w:asciiTheme="majorHAnsi" w:hAnsiTheme="majorHAnsi" w:cstheme="majorHAnsi"/>
                <w:color w:val="414042" w:themeColor="text1"/>
                <w:spacing w:val="-4"/>
                <w:sz w:val="18"/>
                <w:szCs w:val="18"/>
              </w:rPr>
            </w:pPr>
            <w:r w:rsidRPr="00CD7C2B">
              <w:rPr>
                <w:rFonts w:asciiTheme="majorHAnsi" w:hAnsiTheme="majorHAnsi" w:cstheme="majorHAnsi"/>
                <w:color w:val="414042" w:themeColor="text1"/>
                <w:spacing w:val="-4"/>
                <w:sz w:val="18"/>
                <w:szCs w:val="18"/>
              </w:rPr>
              <w:t>Mr Cameron Rentz</w:t>
            </w:r>
            <w:r w:rsidR="008B2533" w:rsidRPr="00CD7C2B">
              <w:rPr>
                <w:rFonts w:asciiTheme="majorHAnsi" w:hAnsiTheme="majorHAnsi" w:cstheme="majorHAnsi"/>
                <w:color w:val="414042" w:themeColor="text1"/>
                <w:spacing w:val="-4"/>
                <w:sz w:val="18"/>
                <w:szCs w:val="18"/>
                <w:vertAlign w:val="superscript"/>
              </w:rPr>
              <w:t>4</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5CFA6771" w14:textId="337153DA" w:rsidR="00943406" w:rsidRPr="00CD7C2B" w:rsidRDefault="00943406" w:rsidP="004A6FE9">
            <w:pPr>
              <w:spacing w:after="0"/>
              <w:jc w:val="left"/>
              <w:rPr>
                <w:rFonts w:asciiTheme="majorHAnsi" w:hAnsiTheme="majorHAnsi" w:cstheme="majorHAnsi"/>
                <w:color w:val="414042" w:themeColor="text1"/>
                <w:spacing w:val="-4"/>
                <w:sz w:val="18"/>
                <w:szCs w:val="18"/>
              </w:rPr>
            </w:pPr>
            <w:r w:rsidRPr="00CD7C2B">
              <w:rPr>
                <w:rFonts w:asciiTheme="majorHAnsi" w:hAnsiTheme="majorHAnsi" w:cstheme="majorHAnsi"/>
                <w:color w:val="414042" w:themeColor="text1"/>
                <w:spacing w:val="-4"/>
                <w:sz w:val="18"/>
                <w:szCs w:val="18"/>
              </w:rPr>
              <w:t>Acting Senior Executive Officer (Crime)</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0D5F40B5" w14:textId="33D3B244"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2</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A420D63" w14:textId="2777ABDA"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0</w:t>
            </w:r>
          </w:p>
        </w:tc>
      </w:tr>
      <w:tr w:rsidR="00F9716C" w:rsidRPr="00F9716C" w14:paraId="70879D29" w14:textId="77777777" w:rsidTr="004A6FE9">
        <w:trPr>
          <w:trHeight w:val="30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2278F1BA" w14:textId="05F18E65" w:rsidR="00943406" w:rsidRPr="00CD7C2B" w:rsidRDefault="00943406" w:rsidP="004A6FE9">
            <w:pPr>
              <w:spacing w:after="0"/>
              <w:jc w:val="left"/>
              <w:rPr>
                <w:rFonts w:asciiTheme="majorHAnsi" w:hAnsiTheme="majorHAnsi" w:cstheme="majorHAnsi"/>
                <w:color w:val="414042" w:themeColor="text1"/>
                <w:spacing w:val="-4"/>
                <w:sz w:val="18"/>
                <w:szCs w:val="18"/>
              </w:rPr>
            </w:pPr>
            <w:r w:rsidRPr="00CD7C2B">
              <w:rPr>
                <w:rFonts w:asciiTheme="majorHAnsi" w:hAnsiTheme="majorHAnsi" w:cstheme="majorHAnsi"/>
                <w:color w:val="414042" w:themeColor="text1"/>
                <w:spacing w:val="-4"/>
                <w:sz w:val="18"/>
                <w:szCs w:val="18"/>
              </w:rPr>
              <w:t>Ms Michelle Miller</w:t>
            </w:r>
            <w:r w:rsidR="008B2533" w:rsidRPr="00CD7C2B">
              <w:rPr>
                <w:rFonts w:asciiTheme="majorHAnsi" w:hAnsiTheme="majorHAnsi" w:cstheme="majorHAnsi"/>
                <w:color w:val="414042" w:themeColor="text1"/>
                <w:spacing w:val="-4"/>
                <w:sz w:val="18"/>
                <w:szCs w:val="18"/>
                <w:vertAlign w:val="superscript"/>
              </w:rPr>
              <w:t>5</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vAlign w:val="top"/>
          </w:tcPr>
          <w:p w14:paraId="14DE4404" w14:textId="3003C7E8" w:rsidR="00943406" w:rsidRPr="00CD7C2B" w:rsidRDefault="00943406" w:rsidP="004A6FE9">
            <w:pPr>
              <w:spacing w:after="0"/>
              <w:jc w:val="left"/>
              <w:rPr>
                <w:rFonts w:asciiTheme="majorHAnsi" w:hAnsiTheme="majorHAnsi" w:cstheme="majorHAnsi"/>
                <w:color w:val="414042" w:themeColor="text1"/>
                <w:spacing w:val="-4"/>
                <w:sz w:val="18"/>
                <w:szCs w:val="18"/>
              </w:rPr>
            </w:pPr>
            <w:r w:rsidRPr="00CD7C2B">
              <w:rPr>
                <w:rFonts w:asciiTheme="majorHAnsi" w:hAnsiTheme="majorHAnsi" w:cstheme="majorHAnsi"/>
                <w:color w:val="414042" w:themeColor="text1"/>
                <w:spacing w:val="-4"/>
                <w:sz w:val="18"/>
                <w:szCs w:val="18"/>
              </w:rPr>
              <w:t>Acting General Manager, Strategy and Renewal</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DE3FFF5" w14:textId="001C19D0"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1</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EDF1DD1" w14:textId="777AA25D" w:rsidR="00943406" w:rsidRPr="00CD7C2B" w:rsidRDefault="00943406" w:rsidP="004A6FE9">
            <w:pPr>
              <w:spacing w:after="0"/>
              <w:rPr>
                <w:rFonts w:eastAsia="Calibri" w:cs="Calibri Light"/>
                <w:color w:val="414042" w:themeColor="text1"/>
                <w:spacing w:val="-4"/>
                <w:sz w:val="18"/>
                <w:szCs w:val="18"/>
              </w:rPr>
            </w:pPr>
            <w:r w:rsidRPr="00CD7C2B">
              <w:rPr>
                <w:rFonts w:eastAsia="Calibri" w:cs="Calibri Light"/>
                <w:color w:val="414042" w:themeColor="text1"/>
                <w:spacing w:val="-4"/>
                <w:sz w:val="18"/>
                <w:szCs w:val="18"/>
              </w:rPr>
              <w:t>0</w:t>
            </w:r>
          </w:p>
        </w:tc>
      </w:tr>
    </w:tbl>
    <w:p w14:paraId="7B128DAC" w14:textId="77777777" w:rsidR="00BC0A6B" w:rsidRPr="00F9716C" w:rsidRDefault="00BC0A6B" w:rsidP="00BC0A6B">
      <w:pPr>
        <w:pStyle w:val="Notes"/>
        <w:spacing w:before="120"/>
        <w:rPr>
          <w:rFonts w:asciiTheme="majorHAnsi" w:hAnsiTheme="majorHAnsi" w:cstheme="minorHAnsi"/>
          <w:lang w:val="en-AU"/>
        </w:rPr>
      </w:pPr>
      <w:r w:rsidRPr="00F9716C">
        <w:rPr>
          <w:rFonts w:asciiTheme="majorHAnsi" w:hAnsiTheme="majorHAnsi" w:cstheme="minorHAnsi"/>
          <w:lang w:val="en-AU"/>
        </w:rPr>
        <w:t xml:space="preserve">Notes: </w:t>
      </w:r>
    </w:p>
    <w:p w14:paraId="12A55FF6" w14:textId="7741F953" w:rsidR="008B2533" w:rsidRPr="00F9716C" w:rsidRDefault="008B2533" w:rsidP="002F23D4">
      <w:pPr>
        <w:pStyle w:val="FootnoteText"/>
        <w:numPr>
          <w:ilvl w:val="0"/>
          <w:numId w:val="50"/>
        </w:numPr>
        <w:tabs>
          <w:tab w:val="left" w:pos="284"/>
        </w:tabs>
        <w:rPr>
          <w:color w:val="414042" w:themeColor="text1"/>
          <w:spacing w:val="-4"/>
          <w:sz w:val="16"/>
          <w:szCs w:val="16"/>
        </w:rPr>
      </w:pPr>
      <w:r w:rsidRPr="00F9716C">
        <w:rPr>
          <w:color w:val="414042" w:themeColor="text1"/>
          <w:spacing w:val="-4"/>
          <w:sz w:val="16"/>
          <w:szCs w:val="16"/>
        </w:rPr>
        <w:t xml:space="preserve">Remuneration for our Commissioners can be found on page </w:t>
      </w:r>
      <w:r w:rsidR="00776AC5" w:rsidRPr="00F9716C">
        <w:rPr>
          <w:color w:val="414042" w:themeColor="text1"/>
          <w:spacing w:val="-4"/>
          <w:sz w:val="16"/>
          <w:szCs w:val="16"/>
        </w:rPr>
        <w:t>87</w:t>
      </w:r>
      <w:r w:rsidRPr="00F9716C">
        <w:rPr>
          <w:color w:val="414042" w:themeColor="text1"/>
          <w:spacing w:val="-4"/>
          <w:sz w:val="16"/>
          <w:szCs w:val="16"/>
        </w:rPr>
        <w:t>.</w:t>
      </w:r>
    </w:p>
    <w:p w14:paraId="67FCB478" w14:textId="1089D462" w:rsidR="00943406" w:rsidRPr="00F9716C" w:rsidRDefault="00943406" w:rsidP="002F23D4">
      <w:pPr>
        <w:pStyle w:val="FootnoteText"/>
        <w:numPr>
          <w:ilvl w:val="0"/>
          <w:numId w:val="50"/>
        </w:numPr>
        <w:tabs>
          <w:tab w:val="left" w:pos="284"/>
        </w:tabs>
        <w:rPr>
          <w:color w:val="414042" w:themeColor="text1"/>
          <w:spacing w:val="-4"/>
          <w:sz w:val="16"/>
          <w:szCs w:val="16"/>
        </w:rPr>
      </w:pPr>
      <w:r w:rsidRPr="00F9716C">
        <w:rPr>
          <w:color w:val="414042" w:themeColor="text1"/>
          <w:spacing w:val="-4"/>
          <w:sz w:val="16"/>
          <w:szCs w:val="16"/>
        </w:rPr>
        <w:t>Ms Webbe was appointed as Ordinary Commissioner on 25 August 2023.</w:t>
      </w:r>
    </w:p>
    <w:p w14:paraId="64A43D07" w14:textId="49D57E4C" w:rsidR="00943406" w:rsidRPr="00F9716C" w:rsidRDefault="00943406" w:rsidP="002F23D4">
      <w:pPr>
        <w:pStyle w:val="FootnoteText"/>
        <w:numPr>
          <w:ilvl w:val="0"/>
          <w:numId w:val="50"/>
        </w:numPr>
        <w:tabs>
          <w:tab w:val="left" w:pos="284"/>
        </w:tabs>
        <w:ind w:left="284" w:hanging="284"/>
        <w:rPr>
          <w:color w:val="414042" w:themeColor="text1"/>
          <w:sz w:val="16"/>
          <w:szCs w:val="16"/>
          <w:lang w:val="en-US"/>
        </w:rPr>
      </w:pPr>
      <w:r w:rsidRPr="00F9716C">
        <w:rPr>
          <w:color w:val="414042" w:themeColor="text1"/>
          <w:spacing w:val="-4"/>
          <w:sz w:val="16"/>
          <w:szCs w:val="16"/>
        </w:rPr>
        <w:t>Detective</w:t>
      </w:r>
      <w:r w:rsidRPr="00F9716C">
        <w:rPr>
          <w:color w:val="414042" w:themeColor="text1"/>
          <w:sz w:val="16"/>
          <w:szCs w:val="16"/>
          <w:lang w:val="en-US"/>
        </w:rPr>
        <w:t xml:space="preserve"> Chief Superintendent Stephen Loth attended twice in his capacity as Acting General Manager, Operations Support (</w:t>
      </w:r>
      <w:r w:rsidR="001820EE" w:rsidRPr="00F9716C">
        <w:rPr>
          <w:color w:val="414042" w:themeColor="text1"/>
          <w:sz w:val="16"/>
          <w:szCs w:val="16"/>
          <w:lang w:val="en-US"/>
        </w:rPr>
        <w:t>29 September</w:t>
      </w:r>
      <w:r w:rsidRPr="00F9716C">
        <w:rPr>
          <w:color w:val="414042" w:themeColor="text1"/>
          <w:sz w:val="16"/>
          <w:szCs w:val="16"/>
          <w:lang w:val="en-US"/>
        </w:rPr>
        <w:t xml:space="preserve"> 2023 and </w:t>
      </w:r>
      <w:r w:rsidR="001820EE" w:rsidRPr="00F9716C">
        <w:rPr>
          <w:color w:val="414042" w:themeColor="text1"/>
          <w:sz w:val="16"/>
          <w:szCs w:val="16"/>
          <w:lang w:val="en-US"/>
        </w:rPr>
        <w:t>27 October</w:t>
      </w:r>
      <w:r w:rsidRPr="00F9716C">
        <w:rPr>
          <w:color w:val="414042" w:themeColor="text1"/>
          <w:sz w:val="16"/>
          <w:szCs w:val="16"/>
          <w:lang w:val="en-US"/>
        </w:rPr>
        <w:t xml:space="preserve"> 2023) before he was appointed to his substantive position as General Manager, Operations Support on </w:t>
      </w:r>
      <w:r w:rsidR="001820EE" w:rsidRPr="00F9716C">
        <w:rPr>
          <w:color w:val="414042" w:themeColor="text1"/>
          <w:sz w:val="16"/>
          <w:szCs w:val="16"/>
          <w:lang w:val="en-US"/>
        </w:rPr>
        <w:t>30 October</w:t>
      </w:r>
      <w:r w:rsidRPr="00F9716C">
        <w:rPr>
          <w:color w:val="414042" w:themeColor="text1"/>
          <w:sz w:val="16"/>
          <w:szCs w:val="16"/>
          <w:lang w:val="en-US"/>
        </w:rPr>
        <w:t xml:space="preserve"> 202</w:t>
      </w:r>
      <w:r w:rsidR="007B7CC2">
        <w:rPr>
          <w:color w:val="414042" w:themeColor="text1"/>
          <w:sz w:val="16"/>
          <w:szCs w:val="16"/>
          <w:lang w:val="en-US"/>
        </w:rPr>
        <w:t>3</w:t>
      </w:r>
      <w:r w:rsidRPr="00F9716C">
        <w:rPr>
          <w:color w:val="414042" w:themeColor="text1"/>
          <w:sz w:val="16"/>
          <w:szCs w:val="16"/>
          <w:lang w:val="en-US"/>
        </w:rPr>
        <w:t>.</w:t>
      </w:r>
    </w:p>
    <w:p w14:paraId="0BC622CB" w14:textId="77777777" w:rsidR="00943406" w:rsidRPr="00F9716C" w:rsidRDefault="00943406" w:rsidP="002F23D4">
      <w:pPr>
        <w:pStyle w:val="FootnoteText"/>
        <w:numPr>
          <w:ilvl w:val="0"/>
          <w:numId w:val="50"/>
        </w:numPr>
        <w:tabs>
          <w:tab w:val="left" w:pos="284"/>
        </w:tabs>
        <w:ind w:left="284" w:hanging="284"/>
        <w:rPr>
          <w:color w:val="414042" w:themeColor="text1"/>
          <w:sz w:val="16"/>
          <w:szCs w:val="16"/>
          <w:lang w:val="en-US"/>
        </w:rPr>
      </w:pPr>
      <w:r w:rsidRPr="00F9716C">
        <w:rPr>
          <w:color w:val="414042" w:themeColor="text1"/>
          <w:sz w:val="16"/>
          <w:szCs w:val="16"/>
          <w:lang w:val="en-US"/>
        </w:rPr>
        <w:t xml:space="preserve">Mr Rentz attended once in his capacity as Acting Senior Executive Officer (Crime) (28 July 2023) and once in his substantive role as </w:t>
      </w:r>
      <w:r w:rsidRPr="00F9716C">
        <w:rPr>
          <w:rFonts w:asciiTheme="majorHAnsi" w:hAnsiTheme="majorHAnsi" w:cstheme="majorHAnsi"/>
          <w:color w:val="414042" w:themeColor="text1"/>
          <w:spacing w:val="-4"/>
          <w:sz w:val="16"/>
          <w:szCs w:val="16"/>
        </w:rPr>
        <w:t>Executive Director, Crime Hearings and Legal (27 October 2023).</w:t>
      </w:r>
    </w:p>
    <w:p w14:paraId="4B3172C7" w14:textId="77777777" w:rsidR="00943406" w:rsidRPr="00F9716C" w:rsidRDefault="00943406" w:rsidP="002F23D4">
      <w:pPr>
        <w:pStyle w:val="FootnoteText"/>
        <w:numPr>
          <w:ilvl w:val="0"/>
          <w:numId w:val="50"/>
        </w:numPr>
        <w:tabs>
          <w:tab w:val="left" w:pos="284"/>
        </w:tabs>
        <w:ind w:left="284" w:hanging="284"/>
        <w:rPr>
          <w:rFonts w:ascii="Calibri" w:hAnsi="Calibri" w:cs="Calibri"/>
          <w:b/>
          <w:bCs/>
          <w:color w:val="414042" w:themeColor="text1"/>
          <w:spacing w:val="6"/>
        </w:rPr>
      </w:pPr>
      <w:r w:rsidRPr="00F9716C">
        <w:rPr>
          <w:color w:val="414042" w:themeColor="text1"/>
          <w:sz w:val="16"/>
          <w:szCs w:val="16"/>
          <w:lang w:val="en-US"/>
        </w:rPr>
        <w:t>Ms Miller attended as proxy for Dr Denning on 29 September 2023.</w:t>
      </w:r>
    </w:p>
    <w:p w14:paraId="4408D084" w14:textId="77777777" w:rsidR="00F724CD" w:rsidRPr="00F9716C" w:rsidRDefault="00F724CD" w:rsidP="00561686">
      <w:pPr>
        <w:spacing w:after="240"/>
        <w:ind w:right="-1"/>
        <w:rPr>
          <w:rFonts w:ascii="Calibri" w:hAnsi="Calibri" w:cs="Calibri"/>
          <w:b/>
          <w:bCs/>
          <w:color w:val="414042" w:themeColor="text1"/>
          <w:spacing w:val="6"/>
          <w:szCs w:val="20"/>
        </w:rPr>
        <w:sectPr w:rsidR="00F724CD" w:rsidRPr="00F9716C" w:rsidSect="00F724CD">
          <w:type w:val="continuous"/>
          <w:pgSz w:w="11906" w:h="16838" w:code="9"/>
          <w:pgMar w:top="2155" w:right="1134" w:bottom="964" w:left="1134" w:header="720" w:footer="284" w:gutter="0"/>
          <w:cols w:space="567"/>
          <w:noEndnote/>
          <w:docGrid w:linePitch="272"/>
        </w:sectPr>
      </w:pPr>
    </w:p>
    <w:p w14:paraId="7BEBA712" w14:textId="77777777" w:rsidR="00561686" w:rsidRPr="00F9716C" w:rsidRDefault="00561686" w:rsidP="00561686">
      <w:pPr>
        <w:pStyle w:val="Heading2"/>
      </w:pPr>
      <w:bookmarkStart w:id="1153" w:name="_Our_Executive_Leadership"/>
      <w:bookmarkStart w:id="1154" w:name="_Toc102038048"/>
      <w:bookmarkStart w:id="1155" w:name="_Toc102038409"/>
      <w:bookmarkStart w:id="1156" w:name="_Toc102038770"/>
      <w:bookmarkStart w:id="1157" w:name="_Toc102039122"/>
      <w:bookmarkStart w:id="1158" w:name="_Toc102039471"/>
      <w:bookmarkStart w:id="1159" w:name="_Toc102039833"/>
      <w:bookmarkStart w:id="1160" w:name="_Toc102040190"/>
      <w:bookmarkStart w:id="1161" w:name="_Toc102040518"/>
      <w:bookmarkStart w:id="1162" w:name="_Toc102040852"/>
      <w:bookmarkStart w:id="1163" w:name="_Toc102041180"/>
      <w:bookmarkStart w:id="1164" w:name="_Toc102041509"/>
      <w:bookmarkStart w:id="1165" w:name="_Toc102041841"/>
      <w:bookmarkStart w:id="1166" w:name="_Toc102042168"/>
      <w:bookmarkStart w:id="1167" w:name="_Toc102042498"/>
      <w:bookmarkStart w:id="1168" w:name="_Toc102045628"/>
      <w:bookmarkStart w:id="1169" w:name="OurELTteam"/>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r w:rsidRPr="00F9716C">
        <w:t>Our Executive Leadership Team</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bookmarkEnd w:id="1169"/>
    <w:p w14:paraId="1A754997" w14:textId="159AF917" w:rsidR="00561686" w:rsidRPr="00F9716C" w:rsidRDefault="00561686" w:rsidP="00E52781">
      <w:pPr>
        <w:pStyle w:val="Openingparagraph"/>
        <w:sectPr w:rsidR="00561686" w:rsidRPr="00F9716C" w:rsidSect="00C77834">
          <w:headerReference w:type="even" r:id="rId232"/>
          <w:headerReference w:type="default" r:id="rId233"/>
          <w:headerReference w:type="first" r:id="rId234"/>
          <w:pgSz w:w="11906" w:h="16838" w:code="9"/>
          <w:pgMar w:top="2155" w:right="1134" w:bottom="964" w:left="1134" w:header="720" w:footer="284" w:gutter="0"/>
          <w:cols w:space="567"/>
          <w:noEndnote/>
          <w:docGrid w:linePitch="272"/>
        </w:sectPr>
      </w:pPr>
      <w:r w:rsidRPr="00F9716C">
        <w:t xml:space="preserve">The Executive Leadership Team (ELT) supports our </w:t>
      </w:r>
      <w:r w:rsidR="00B342B6" w:rsidRPr="00F9716C">
        <w:t>agency</w:t>
      </w:r>
      <w:r w:rsidRPr="00F9716C">
        <w:t xml:space="preserve"> by leading discussions, providing advice and making recommendations on strategic and operational matters critical to </w:t>
      </w:r>
      <w:r w:rsidR="00B342B6" w:rsidRPr="00F9716C">
        <w:t>our</w:t>
      </w:r>
      <w:r w:rsidRPr="00F9716C">
        <w:t xml:space="preserve"> performance. Our Chairperson is a member of the ELT.</w:t>
      </w:r>
    </w:p>
    <w:p w14:paraId="08FAE836" w14:textId="4D483ABD" w:rsidR="00561686" w:rsidRPr="00D61ECD" w:rsidRDefault="00561686" w:rsidP="00D61ECD">
      <w:pPr>
        <w:pStyle w:val="Openingparagraph"/>
        <w:spacing w:after="0"/>
        <w:rPr>
          <w:rFonts w:asciiTheme="minorHAnsi" w:eastAsia="Times New Roman" w:hAnsiTheme="minorHAnsi" w:cstheme="minorHAnsi"/>
          <w:noProof/>
          <w:spacing w:val="0"/>
          <w:sz w:val="28"/>
          <w:szCs w:val="28"/>
          <w:lang w:val="en-AU" w:eastAsia="en-AU"/>
        </w:rPr>
      </w:pPr>
      <w:r w:rsidRPr="00D61ECD">
        <w:rPr>
          <w:rFonts w:asciiTheme="minorHAnsi" w:eastAsia="Times New Roman" w:hAnsiTheme="minorHAnsi" w:cstheme="minorHAnsi"/>
          <w:noProof/>
          <w:spacing w:val="0"/>
          <w:sz w:val="28"/>
          <w:szCs w:val="28"/>
          <w:lang w:val="en-AU" w:eastAsia="en-AU"/>
        </w:rPr>
        <w:t>Profile of our ELT</w:t>
      </w:r>
      <w:r w:rsidR="00351AC3" w:rsidRPr="00D61ECD">
        <w:rPr>
          <w:rFonts w:asciiTheme="majorHAnsi" w:hAnsiTheme="majorHAnsi" w:cstheme="majorHAnsi"/>
          <w:b w:val="0"/>
          <w:bCs w:val="0"/>
          <w:sz w:val="28"/>
          <w:szCs w:val="28"/>
        </w:rPr>
        <w:t xml:space="preserve"> </w:t>
      </w:r>
      <w:r w:rsidRPr="00D61ECD">
        <w:rPr>
          <w:rFonts w:asciiTheme="majorHAnsi" w:hAnsiTheme="majorHAnsi" w:cstheme="majorHAnsi"/>
          <w:b w:val="0"/>
          <w:bCs w:val="0"/>
          <w:sz w:val="28"/>
          <w:szCs w:val="28"/>
        </w:rPr>
        <w:t>(as at 30 June 202</w:t>
      </w:r>
      <w:r w:rsidR="00522A5A" w:rsidRPr="00D61ECD">
        <w:rPr>
          <w:rFonts w:asciiTheme="majorHAnsi" w:hAnsiTheme="majorHAnsi" w:cstheme="majorHAnsi"/>
          <w:b w:val="0"/>
          <w:bCs w:val="0"/>
          <w:sz w:val="28"/>
          <w:szCs w:val="28"/>
        </w:rPr>
        <w:t>4</w:t>
      </w:r>
      <w:r w:rsidRPr="00D61ECD">
        <w:rPr>
          <w:rFonts w:asciiTheme="majorHAnsi" w:hAnsiTheme="majorHAnsi" w:cstheme="majorHAnsi"/>
          <w:b w:val="0"/>
          <w:bCs w:val="0"/>
          <w:sz w:val="28"/>
          <w:szCs w:val="28"/>
        </w:rPr>
        <w:t>)</w:t>
      </w:r>
      <w:r w:rsidR="00D61ECD" w:rsidRPr="00D61ECD">
        <w:rPr>
          <w:b w:val="0"/>
          <w:bCs w:val="0"/>
          <w:noProof/>
          <w:sz w:val="22"/>
        </w:rPr>
        <w:t xml:space="preserve"> </w:t>
      </w:r>
    </w:p>
    <w:p w14:paraId="5D1EC9F8" w14:textId="77777777" w:rsidR="00D61ECD" w:rsidRDefault="00D61ECD" w:rsidP="00D61ECD">
      <w:pPr>
        <w:widowControl w:val="0"/>
        <w:spacing w:after="0"/>
        <w:ind w:right="140"/>
        <w:rPr>
          <w:rFonts w:ascii="Calibri" w:hAnsi="Calibri" w:cs="Calibri"/>
          <w:b/>
          <w:bCs/>
          <w:color w:val="414042" w:themeColor="text1"/>
          <w:sz w:val="22"/>
          <w:szCs w:val="24"/>
        </w:rPr>
        <w:sectPr w:rsidR="00D61ECD" w:rsidSect="00D61ECD">
          <w:type w:val="continuous"/>
          <w:pgSz w:w="11906" w:h="16838" w:code="9"/>
          <w:pgMar w:top="2155" w:right="1134" w:bottom="964" w:left="1134" w:header="720" w:footer="284" w:gutter="0"/>
          <w:cols w:space="567"/>
          <w:noEndnote/>
          <w:docGrid w:linePitch="272"/>
        </w:sectPr>
      </w:pPr>
    </w:p>
    <w:p w14:paraId="2B1EA842" w14:textId="777083AB" w:rsidR="00D61ECD" w:rsidRDefault="00D61ECD" w:rsidP="00D61ECD">
      <w:pPr>
        <w:widowControl w:val="0"/>
        <w:spacing w:after="0"/>
        <w:ind w:right="140"/>
        <w:rPr>
          <w:rFonts w:ascii="Calibri" w:hAnsi="Calibri" w:cs="Calibri"/>
          <w:b/>
          <w:bCs/>
          <w:color w:val="414042" w:themeColor="text1"/>
          <w:sz w:val="22"/>
          <w:szCs w:val="24"/>
        </w:rPr>
        <w:sectPr w:rsidR="00D61ECD" w:rsidSect="00C77834">
          <w:type w:val="continuous"/>
          <w:pgSz w:w="11906" w:h="16838" w:code="9"/>
          <w:pgMar w:top="2155" w:right="1134" w:bottom="964" w:left="1134" w:header="720" w:footer="284" w:gutter="0"/>
          <w:cols w:num="2" w:space="567"/>
          <w:noEndnote/>
          <w:docGrid w:linePitch="272"/>
        </w:sectPr>
      </w:pPr>
      <w:r>
        <w:rPr>
          <w:rFonts w:ascii="Calibri" w:hAnsi="Calibri" w:cs="Calibri"/>
          <w:b/>
          <w:bCs/>
          <w:noProof/>
          <w:color w:val="414042" w:themeColor="text1"/>
          <w:sz w:val="22"/>
          <w:szCs w:val="24"/>
        </w:rPr>
        <mc:AlternateContent>
          <mc:Choice Requires="wps">
            <w:drawing>
              <wp:anchor distT="0" distB="0" distL="114300" distR="114300" simplePos="0" relativeHeight="252524544" behindDoc="0" locked="0" layoutInCell="1" allowOverlap="1" wp14:anchorId="37C325F8" wp14:editId="409514A5">
                <wp:simplePos x="0" y="0"/>
                <wp:positionH relativeFrom="column">
                  <wp:posOffset>0</wp:posOffset>
                </wp:positionH>
                <wp:positionV relativeFrom="paragraph">
                  <wp:posOffset>20379</wp:posOffset>
                </wp:positionV>
                <wp:extent cx="6289040" cy="0"/>
                <wp:effectExtent l="0" t="0" r="0" b="0"/>
                <wp:wrapNone/>
                <wp:docPr id="714052163" name="Straight Connector 4"/>
                <wp:cNvGraphicFramePr/>
                <a:graphic xmlns:a="http://schemas.openxmlformats.org/drawingml/2006/main">
                  <a:graphicData uri="http://schemas.microsoft.com/office/word/2010/wordprocessingShape">
                    <wps:wsp>
                      <wps:cNvCnPr/>
                      <wps:spPr>
                        <a:xfrm>
                          <a:off x="0" y="0"/>
                          <a:ext cx="6289040" cy="0"/>
                        </a:xfrm>
                        <a:prstGeom prst="line">
                          <a:avLst/>
                        </a:prstGeom>
                        <a:noFill/>
                        <a:ln w="19050" cap="flat" cmpd="sng" algn="ctr">
                          <a:solidFill>
                            <a:srgbClr val="E6E7E8"/>
                          </a:solidFill>
                          <a:prstDash val="solid"/>
                          <a:miter lim="800000"/>
                        </a:ln>
                        <a:effectLst/>
                      </wps:spPr>
                      <wps:bodyPr/>
                    </wps:wsp>
                  </a:graphicData>
                </a:graphic>
                <wp14:sizeRelH relativeFrom="margin">
                  <wp14:pctWidth>0</wp14:pctWidth>
                </wp14:sizeRelH>
              </wp:anchor>
            </w:drawing>
          </mc:Choice>
          <mc:Fallback>
            <w:pict>
              <v:line w14:anchorId="788D586F" id="Straight Connector 4" o:spid="_x0000_s1026" style="position:absolute;z-index:25252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pt" to="495.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" strokecolor="#e6e7e8" strokeweight="1.5pt">
                <v:stroke joinstyle="miter"/>
              </v:line>
            </w:pict>
          </mc:Fallback>
        </mc:AlternateContent>
      </w:r>
    </w:p>
    <w:p w14:paraId="1230098B" w14:textId="5A75E21E" w:rsidR="000471CC" w:rsidRPr="00D61ECD" w:rsidRDefault="00AA6C3C" w:rsidP="00D61ECD">
      <w:pPr>
        <w:widowControl w:val="0"/>
        <w:spacing w:after="0"/>
        <w:ind w:right="140"/>
        <w:rPr>
          <w:rFonts w:ascii="Calibri" w:hAnsi="Calibri" w:cs="Calibri"/>
          <w:b/>
          <w:bCs/>
          <w:color w:val="414042" w:themeColor="text1"/>
          <w:sz w:val="22"/>
          <w:szCs w:val="24"/>
        </w:rPr>
      </w:pPr>
      <w:r w:rsidRPr="00D61ECD">
        <w:rPr>
          <w:rFonts w:ascii="Calibri" w:hAnsi="Calibri" w:cs="Calibri"/>
          <w:b/>
          <w:bCs/>
          <w:color w:val="414042" w:themeColor="text1"/>
          <w:sz w:val="22"/>
          <w:szCs w:val="24"/>
        </w:rPr>
        <w:t xml:space="preserve">Ms Jen O’Farrell </w:t>
      </w:r>
    </w:p>
    <w:p w14:paraId="39284512" w14:textId="09FEE1FB" w:rsidR="00AA6C3C" w:rsidRPr="00D61ECD" w:rsidRDefault="00AA6C3C" w:rsidP="00D61ECD">
      <w:pPr>
        <w:widowControl w:val="0"/>
        <w:spacing w:after="80"/>
        <w:ind w:right="140"/>
        <w:rPr>
          <w:rFonts w:ascii="Calibri" w:hAnsi="Calibri" w:cs="Calibri"/>
          <w:color w:val="414042" w:themeColor="text1"/>
          <w:szCs w:val="20"/>
        </w:rPr>
      </w:pPr>
      <w:r w:rsidRPr="00D61ECD">
        <w:rPr>
          <w:rFonts w:ascii="Calibri" w:hAnsi="Calibri" w:cs="Calibri"/>
          <w:color w:val="414042" w:themeColor="text1"/>
          <w:szCs w:val="20"/>
        </w:rPr>
        <w:t>Chief Executive Officer</w:t>
      </w:r>
    </w:p>
    <w:p w14:paraId="69339AF5" w14:textId="2BF034D9" w:rsidR="00561686" w:rsidRPr="00F9716C" w:rsidRDefault="00561686" w:rsidP="00D61ECD">
      <w:pPr>
        <w:widowControl w:val="0"/>
        <w:spacing w:before="40" w:after="80" w:line="204" w:lineRule="auto"/>
        <w:ind w:right="140"/>
        <w:rPr>
          <w:i/>
          <w:iCs/>
          <w:color w:val="414042" w:themeColor="text1"/>
          <w:sz w:val="18"/>
          <w:szCs w:val="18"/>
        </w:rPr>
      </w:pPr>
      <w:r w:rsidRPr="00F9716C">
        <w:rPr>
          <w:i/>
          <w:iCs/>
          <w:color w:val="414042" w:themeColor="text1"/>
          <w:sz w:val="18"/>
          <w:szCs w:val="18"/>
        </w:rPr>
        <w:t xml:space="preserve">LLB (Hons), BBus, BCom (admitted as a </w:t>
      </w:r>
      <w:r w:rsidR="008C476B" w:rsidRPr="00F9716C">
        <w:rPr>
          <w:i/>
          <w:iCs/>
          <w:color w:val="414042" w:themeColor="text1"/>
          <w:sz w:val="18"/>
          <w:szCs w:val="18"/>
        </w:rPr>
        <w:t xml:space="preserve">Legal Practitioner </w:t>
      </w:r>
      <w:r w:rsidRPr="00F9716C">
        <w:rPr>
          <w:i/>
          <w:iCs/>
          <w:color w:val="414042" w:themeColor="text1"/>
          <w:sz w:val="18"/>
          <w:szCs w:val="18"/>
        </w:rPr>
        <w:t>in 2008), GAICD, appointed on 24 August 2018.</w:t>
      </w:r>
    </w:p>
    <w:p w14:paraId="7BCCA6CE" w14:textId="395B9A5A" w:rsidR="00561686" w:rsidRPr="00F9716C" w:rsidRDefault="00561686" w:rsidP="00561686">
      <w:pPr>
        <w:rPr>
          <w:color w:val="414042" w:themeColor="text1"/>
          <w:spacing w:val="-4"/>
        </w:rPr>
      </w:pPr>
      <w:r w:rsidRPr="00F9716C">
        <w:rPr>
          <w:color w:val="414042" w:themeColor="text1"/>
          <w:spacing w:val="-4"/>
        </w:rPr>
        <w:t xml:space="preserve">Responsible for the administration of the CCC, including managing the overall operations and resources. </w:t>
      </w:r>
      <w:r w:rsidRPr="00F9716C">
        <w:rPr>
          <w:color w:val="414042" w:themeColor="text1"/>
          <w:spacing w:val="-4"/>
        </w:rPr>
        <w:br/>
        <w:t>Ms O’Farrell also has direct oversight of the Corporate Services</w:t>
      </w:r>
      <w:r w:rsidR="00593962" w:rsidRPr="00F9716C">
        <w:rPr>
          <w:color w:val="414042" w:themeColor="text1"/>
          <w:spacing w:val="-4"/>
        </w:rPr>
        <w:t>;</w:t>
      </w:r>
      <w:r w:rsidRPr="00F9716C">
        <w:rPr>
          <w:color w:val="414042" w:themeColor="text1"/>
          <w:spacing w:val="-4"/>
        </w:rPr>
        <w:t xml:space="preserve"> Legal, Risk and Compliance</w:t>
      </w:r>
      <w:r w:rsidR="00593962" w:rsidRPr="00F9716C">
        <w:rPr>
          <w:color w:val="414042" w:themeColor="text1"/>
          <w:spacing w:val="-4"/>
        </w:rPr>
        <w:t>;</w:t>
      </w:r>
      <w:r w:rsidRPr="00F9716C">
        <w:rPr>
          <w:color w:val="414042" w:themeColor="text1"/>
          <w:spacing w:val="-4"/>
        </w:rPr>
        <w:t xml:space="preserve"> Information Services</w:t>
      </w:r>
      <w:r w:rsidR="00593962" w:rsidRPr="00F9716C">
        <w:rPr>
          <w:color w:val="414042" w:themeColor="text1"/>
          <w:spacing w:val="-4"/>
        </w:rPr>
        <w:t>;</w:t>
      </w:r>
      <w:r w:rsidRPr="00F9716C">
        <w:rPr>
          <w:color w:val="414042" w:themeColor="text1"/>
          <w:spacing w:val="-4"/>
        </w:rPr>
        <w:t xml:space="preserve"> and Strategy and Renewal divisions.</w:t>
      </w:r>
    </w:p>
    <w:p w14:paraId="75282C10" w14:textId="77777777" w:rsidR="00561686" w:rsidRPr="00F9716C" w:rsidRDefault="00561686" w:rsidP="00561686">
      <w:pPr>
        <w:rPr>
          <w:color w:val="414042" w:themeColor="text1"/>
          <w:spacing w:val="-4"/>
        </w:rPr>
      </w:pPr>
      <w:r w:rsidRPr="00F9716C">
        <w:rPr>
          <w:color w:val="414042" w:themeColor="text1"/>
          <w:spacing w:val="-4"/>
        </w:rPr>
        <w:t>Ms O’Farrell has over 25 years’ experience in the public and private sectors, having held senior positions in Housing, Emergency Services, Transport and Main Roads and as a lawyer with Corrs Chambers Westgarth.</w:t>
      </w:r>
    </w:p>
    <w:p w14:paraId="783C7998" w14:textId="77777777" w:rsidR="000471CC" w:rsidRPr="00F9716C" w:rsidRDefault="00AA6C3C" w:rsidP="000471CC">
      <w:pPr>
        <w:spacing w:after="0" w:line="204" w:lineRule="auto"/>
        <w:rPr>
          <w:rFonts w:ascii="Calibri" w:hAnsi="Calibri" w:cs="Calibri"/>
          <w:b/>
          <w:bCs/>
          <w:color w:val="414042" w:themeColor="text1"/>
          <w:szCs w:val="20"/>
        </w:rPr>
      </w:pPr>
      <w:r w:rsidRPr="00F9716C">
        <w:rPr>
          <w:rFonts w:ascii="Calibri" w:hAnsi="Calibri" w:cs="Calibri"/>
          <w:b/>
          <w:bCs/>
          <w:color w:val="414042" w:themeColor="text1"/>
          <w:szCs w:val="20"/>
        </w:rPr>
        <w:t xml:space="preserve">Ms Sharon Loder </w:t>
      </w:r>
    </w:p>
    <w:p w14:paraId="46B87D96" w14:textId="51B06C6D" w:rsidR="00AA6C3C" w:rsidRPr="00D61ECD" w:rsidRDefault="00AA6C3C" w:rsidP="00D61ECD">
      <w:pPr>
        <w:widowControl w:val="0"/>
        <w:spacing w:after="80"/>
        <w:ind w:right="140"/>
        <w:rPr>
          <w:rFonts w:ascii="Calibri" w:hAnsi="Calibri" w:cs="Calibri"/>
          <w:color w:val="414042" w:themeColor="text1"/>
          <w:szCs w:val="20"/>
        </w:rPr>
      </w:pPr>
      <w:r w:rsidRPr="00D61ECD">
        <w:rPr>
          <w:rFonts w:ascii="Calibri" w:hAnsi="Calibri" w:cs="Calibri"/>
          <w:color w:val="414042" w:themeColor="text1"/>
          <w:szCs w:val="20"/>
        </w:rPr>
        <w:t>Senior Executive Officer (Crime)</w:t>
      </w:r>
    </w:p>
    <w:p w14:paraId="2267EFA7" w14:textId="23EC990E" w:rsidR="00351AC3" w:rsidRPr="00F9716C" w:rsidRDefault="00351AC3" w:rsidP="00D61ECD">
      <w:pPr>
        <w:spacing w:before="40" w:after="120" w:line="204" w:lineRule="auto"/>
        <w:ind w:right="-143"/>
        <w:rPr>
          <w:i/>
          <w:iCs/>
          <w:color w:val="414042" w:themeColor="text1"/>
          <w:sz w:val="18"/>
          <w:szCs w:val="18"/>
        </w:rPr>
      </w:pPr>
      <w:r w:rsidRPr="00F9716C">
        <w:rPr>
          <w:i/>
          <w:iCs/>
          <w:color w:val="414042" w:themeColor="text1"/>
          <w:sz w:val="18"/>
          <w:szCs w:val="18"/>
        </w:rPr>
        <w:t>LLB, BBus, LLM, GradCertEmergTechLaw (</w:t>
      </w:r>
      <w:r w:rsidR="00BA498F" w:rsidRPr="00F9716C">
        <w:rPr>
          <w:i/>
          <w:iCs/>
          <w:color w:val="414042" w:themeColor="text1"/>
          <w:sz w:val="18"/>
          <w:szCs w:val="18"/>
        </w:rPr>
        <w:t>an Australian Legal Practitioner, admitted to the profession in 1992</w:t>
      </w:r>
      <w:r w:rsidRPr="00F9716C">
        <w:rPr>
          <w:i/>
          <w:iCs/>
          <w:color w:val="414042" w:themeColor="text1"/>
          <w:sz w:val="18"/>
          <w:szCs w:val="18"/>
        </w:rPr>
        <w:t>), GAICD, appointed on 3</w:t>
      </w:r>
      <w:r w:rsidR="00B342B6" w:rsidRPr="00F9716C">
        <w:rPr>
          <w:i/>
          <w:iCs/>
          <w:color w:val="414042" w:themeColor="text1"/>
          <w:sz w:val="18"/>
          <w:szCs w:val="18"/>
        </w:rPr>
        <w:t> </w:t>
      </w:r>
      <w:r w:rsidRPr="00F9716C">
        <w:rPr>
          <w:i/>
          <w:iCs/>
          <w:color w:val="414042" w:themeColor="text1"/>
          <w:sz w:val="18"/>
          <w:szCs w:val="18"/>
        </w:rPr>
        <w:t>July 2017.</w:t>
      </w:r>
    </w:p>
    <w:p w14:paraId="08619E88" w14:textId="5BEA794D" w:rsidR="00351AC3" w:rsidRPr="00F9716C" w:rsidRDefault="00351AC3" w:rsidP="00351AC3">
      <w:pPr>
        <w:rPr>
          <w:color w:val="414042" w:themeColor="text1"/>
          <w:spacing w:val="-4"/>
        </w:rPr>
      </w:pPr>
      <w:bookmarkStart w:id="1170" w:name="_Hlk74305866"/>
      <w:r w:rsidRPr="00F9716C">
        <w:rPr>
          <w:color w:val="414042" w:themeColor="text1"/>
          <w:spacing w:val="-4"/>
        </w:rPr>
        <w:t xml:space="preserve">Responsible for the </w:t>
      </w:r>
      <w:r w:rsidR="00E11F49" w:rsidRPr="00F9716C">
        <w:rPr>
          <w:color w:val="414042" w:themeColor="text1"/>
          <w:spacing w:val="-4"/>
        </w:rPr>
        <w:t xml:space="preserve">proper performance of the CCC’s crime functions, and the </w:t>
      </w:r>
      <w:r w:rsidR="00792625" w:rsidRPr="00F9716C">
        <w:rPr>
          <w:color w:val="414042" w:themeColor="text1"/>
          <w:spacing w:val="-4"/>
        </w:rPr>
        <w:t>Crime division</w:t>
      </w:r>
      <w:r w:rsidRPr="00F9716C">
        <w:rPr>
          <w:color w:val="414042" w:themeColor="text1"/>
          <w:spacing w:val="-4"/>
        </w:rPr>
        <w:t>, ensuring its investigation, intelligence and criminal confiscation capabilities are effective in comba</w:t>
      </w:r>
      <w:r w:rsidR="00AF3176" w:rsidRPr="00F9716C">
        <w:rPr>
          <w:color w:val="414042" w:themeColor="text1"/>
          <w:spacing w:val="-4"/>
        </w:rPr>
        <w:t>t</w:t>
      </w:r>
      <w:r w:rsidRPr="00F9716C">
        <w:rPr>
          <w:color w:val="414042" w:themeColor="text1"/>
          <w:spacing w:val="-4"/>
        </w:rPr>
        <w:t>ing and reducing the incidence of serious and organised crime affecting Queensland.</w:t>
      </w:r>
    </w:p>
    <w:bookmarkEnd w:id="1170"/>
    <w:p w14:paraId="240B781D" w14:textId="7D3EB476" w:rsidR="00351AC3" w:rsidRPr="00F9716C" w:rsidRDefault="00351AC3" w:rsidP="00351AC3">
      <w:pPr>
        <w:rPr>
          <w:color w:val="414042" w:themeColor="text1"/>
          <w:spacing w:val="-4"/>
        </w:rPr>
      </w:pPr>
      <w:r w:rsidRPr="00F9716C">
        <w:rPr>
          <w:color w:val="414042" w:themeColor="text1"/>
          <w:spacing w:val="-4"/>
        </w:rPr>
        <w:t>Ms Loder has over 20</w:t>
      </w:r>
      <w:r w:rsidR="0018391C" w:rsidRPr="00F9716C">
        <w:rPr>
          <w:color w:val="414042" w:themeColor="text1"/>
          <w:spacing w:val="-4"/>
        </w:rPr>
        <w:t xml:space="preserve"> </w:t>
      </w:r>
      <w:r w:rsidRPr="00F9716C">
        <w:rPr>
          <w:color w:val="414042" w:themeColor="text1"/>
          <w:spacing w:val="-4"/>
        </w:rPr>
        <w:t>years</w:t>
      </w:r>
      <w:r w:rsidR="0018391C" w:rsidRPr="00F9716C">
        <w:rPr>
          <w:color w:val="414042" w:themeColor="text1"/>
          <w:spacing w:val="-4"/>
        </w:rPr>
        <w:t>’</w:t>
      </w:r>
      <w:r w:rsidR="00593962" w:rsidRPr="00F9716C">
        <w:rPr>
          <w:color w:val="414042" w:themeColor="text1"/>
          <w:spacing w:val="-4"/>
        </w:rPr>
        <w:t xml:space="preserve"> </w:t>
      </w:r>
      <w:r w:rsidRPr="00F9716C">
        <w:rPr>
          <w:color w:val="414042" w:themeColor="text1"/>
          <w:spacing w:val="-4"/>
        </w:rPr>
        <w:t>experience in senior and executive roles, delivering effective regulatory, prevention or law enforcement functions in Queensland and New South Wales agencies, including the NSW ICAC, the former CMC, and the QPS.</w:t>
      </w:r>
    </w:p>
    <w:p w14:paraId="0AFB1780" w14:textId="77777777" w:rsidR="000471CC" w:rsidRPr="00F9716C" w:rsidRDefault="00AA6C3C" w:rsidP="000471CC">
      <w:pPr>
        <w:spacing w:after="0" w:line="204" w:lineRule="auto"/>
        <w:rPr>
          <w:rFonts w:ascii="Calibri" w:hAnsi="Calibri" w:cs="Calibri"/>
          <w:b/>
          <w:bCs/>
          <w:color w:val="414042" w:themeColor="text1"/>
          <w:szCs w:val="20"/>
        </w:rPr>
      </w:pPr>
      <w:r w:rsidRPr="00F9716C">
        <w:rPr>
          <w:rFonts w:ascii="Calibri" w:hAnsi="Calibri" w:cs="Calibri"/>
          <w:b/>
          <w:bCs/>
          <w:color w:val="414042" w:themeColor="text1"/>
          <w:szCs w:val="20"/>
        </w:rPr>
        <w:t xml:space="preserve">Ms Cecelia Christensen </w:t>
      </w:r>
    </w:p>
    <w:p w14:paraId="4B8AD79E" w14:textId="55251748" w:rsidR="00AA6C3C" w:rsidRPr="00D61ECD" w:rsidRDefault="00AA6C3C" w:rsidP="00D61ECD">
      <w:pPr>
        <w:widowControl w:val="0"/>
        <w:spacing w:after="80"/>
        <w:ind w:right="140"/>
        <w:rPr>
          <w:rFonts w:ascii="Calibri" w:hAnsi="Calibri" w:cs="Calibri"/>
          <w:color w:val="414042" w:themeColor="text1"/>
          <w:szCs w:val="20"/>
        </w:rPr>
      </w:pPr>
      <w:r w:rsidRPr="00D61ECD">
        <w:rPr>
          <w:rFonts w:ascii="Calibri" w:hAnsi="Calibri" w:cs="Calibri"/>
          <w:color w:val="414042" w:themeColor="text1"/>
          <w:szCs w:val="20"/>
        </w:rPr>
        <w:t>Senior Executive Officer (Corruption)</w:t>
      </w:r>
    </w:p>
    <w:p w14:paraId="76E92965" w14:textId="1FE91301" w:rsidR="00561686" w:rsidRPr="00F9716C" w:rsidRDefault="00561686" w:rsidP="00D61ECD">
      <w:pPr>
        <w:spacing w:before="40" w:after="120" w:line="204" w:lineRule="auto"/>
        <w:ind w:right="-143"/>
        <w:rPr>
          <w:i/>
          <w:iCs/>
          <w:color w:val="414042" w:themeColor="text1"/>
          <w:sz w:val="18"/>
          <w:szCs w:val="18"/>
        </w:rPr>
      </w:pPr>
      <w:r w:rsidRPr="00F9716C">
        <w:rPr>
          <w:i/>
          <w:iCs/>
          <w:color w:val="414042" w:themeColor="text1"/>
          <w:sz w:val="18"/>
          <w:szCs w:val="18"/>
        </w:rPr>
        <w:t>B</w:t>
      </w:r>
      <w:r w:rsidR="00320558" w:rsidRPr="00F9716C">
        <w:rPr>
          <w:i/>
          <w:iCs/>
          <w:color w:val="414042" w:themeColor="text1"/>
          <w:sz w:val="18"/>
          <w:szCs w:val="18"/>
        </w:rPr>
        <w:t>Arts&amp;Law</w:t>
      </w:r>
      <w:r w:rsidRPr="00F9716C">
        <w:rPr>
          <w:i/>
          <w:iCs/>
          <w:color w:val="414042" w:themeColor="text1"/>
          <w:sz w:val="18"/>
          <w:szCs w:val="18"/>
        </w:rPr>
        <w:t xml:space="preserve">, MLaw (admitted as a </w:t>
      </w:r>
      <w:r w:rsidR="00BA498F" w:rsidRPr="00F9716C">
        <w:rPr>
          <w:i/>
          <w:iCs/>
          <w:color w:val="414042" w:themeColor="text1"/>
          <w:sz w:val="18"/>
          <w:szCs w:val="18"/>
        </w:rPr>
        <w:t xml:space="preserve">Legal Practitioner </w:t>
      </w:r>
      <w:r w:rsidRPr="00F9716C">
        <w:rPr>
          <w:i/>
          <w:iCs/>
          <w:color w:val="414042" w:themeColor="text1"/>
          <w:sz w:val="18"/>
          <w:szCs w:val="18"/>
        </w:rPr>
        <w:t>in 1997), appointed on 1</w:t>
      </w:r>
      <w:r w:rsidR="0018391C" w:rsidRPr="00F9716C">
        <w:rPr>
          <w:i/>
          <w:iCs/>
          <w:color w:val="414042" w:themeColor="text1"/>
          <w:sz w:val="18"/>
          <w:szCs w:val="18"/>
        </w:rPr>
        <w:t>1</w:t>
      </w:r>
      <w:r w:rsidRPr="00F9716C">
        <w:rPr>
          <w:i/>
          <w:iCs/>
          <w:color w:val="414042" w:themeColor="text1"/>
          <w:sz w:val="18"/>
          <w:szCs w:val="18"/>
        </w:rPr>
        <w:t xml:space="preserve"> July 2022.</w:t>
      </w:r>
    </w:p>
    <w:p w14:paraId="69E5F070" w14:textId="5EF7AD74" w:rsidR="00561686" w:rsidRPr="00F9716C" w:rsidRDefault="00561686" w:rsidP="00561686">
      <w:pPr>
        <w:rPr>
          <w:color w:val="414042" w:themeColor="text1"/>
          <w:spacing w:val="-4"/>
        </w:rPr>
      </w:pPr>
      <w:r w:rsidRPr="00F9716C">
        <w:rPr>
          <w:color w:val="414042" w:themeColor="text1"/>
          <w:spacing w:val="-4"/>
        </w:rPr>
        <w:t>Responsible for the</w:t>
      </w:r>
      <w:r w:rsidR="00E11F49" w:rsidRPr="00F9716C">
        <w:rPr>
          <w:color w:val="414042" w:themeColor="text1"/>
          <w:spacing w:val="-4"/>
        </w:rPr>
        <w:t xml:space="preserve"> proper performance of the CCC’s corruption functions, and the</w:t>
      </w:r>
      <w:r w:rsidRPr="00F9716C">
        <w:rPr>
          <w:color w:val="414042" w:themeColor="text1"/>
          <w:spacing w:val="-4"/>
        </w:rPr>
        <w:t xml:space="preserve"> Corruption division that works to raise the standard of conduct in the Queensland public sector and ensure that complaints about corruption are dealt with appropriately, including by investigating allegations of serious and systemic corruption.</w:t>
      </w:r>
    </w:p>
    <w:p w14:paraId="580E18A3" w14:textId="5B07353B" w:rsidR="00561686" w:rsidRPr="00F9716C" w:rsidRDefault="00561686" w:rsidP="00CD7C2B">
      <w:pPr>
        <w:rPr>
          <w:color w:val="414042" w:themeColor="text1"/>
          <w:spacing w:val="-4"/>
        </w:rPr>
      </w:pPr>
      <w:r w:rsidRPr="00F9716C">
        <w:rPr>
          <w:color w:val="414042" w:themeColor="text1"/>
          <w:spacing w:val="-4"/>
        </w:rPr>
        <w:t>Ms Christensen worked with Queensland Treasury for more than 15 years, with her most recent roles as Treasury’s Acting Head of Corporate and General Counsel.</w:t>
      </w:r>
      <w:r w:rsidR="00792625" w:rsidRPr="00F9716C">
        <w:rPr>
          <w:color w:val="414042" w:themeColor="text1"/>
          <w:spacing w:val="-4"/>
        </w:rPr>
        <w:t xml:space="preserve"> </w:t>
      </w:r>
      <w:r w:rsidRPr="00F9716C">
        <w:rPr>
          <w:color w:val="414042" w:themeColor="text1"/>
          <w:spacing w:val="-4"/>
        </w:rPr>
        <w:t>Ms Christensen has extensive experience in a broad range of matters relevant to the public sector, along with corporate governance and delivery expertise in major commercial, corporate, policy and legislative projects.</w:t>
      </w:r>
    </w:p>
    <w:p w14:paraId="1867EA68" w14:textId="77777777" w:rsidR="000471CC" w:rsidRPr="00F9716C" w:rsidRDefault="00AA6C3C" w:rsidP="00CD7C2B">
      <w:pPr>
        <w:spacing w:after="0" w:line="204" w:lineRule="auto"/>
        <w:rPr>
          <w:rFonts w:ascii="Calibri" w:hAnsi="Calibri" w:cs="Calibri"/>
          <w:b/>
          <w:bCs/>
          <w:color w:val="414042" w:themeColor="text1"/>
          <w:szCs w:val="20"/>
        </w:rPr>
      </w:pPr>
      <w:bookmarkStart w:id="1171" w:name="_Hlk76026026"/>
      <w:r w:rsidRPr="00F9716C">
        <w:rPr>
          <w:rFonts w:ascii="Calibri" w:hAnsi="Calibri" w:cs="Calibri"/>
          <w:b/>
          <w:bCs/>
          <w:color w:val="414042" w:themeColor="text1"/>
          <w:szCs w:val="20"/>
        </w:rPr>
        <w:t>Detective Chief Superintendent Stephen Loth</w:t>
      </w:r>
    </w:p>
    <w:p w14:paraId="74BFF26D" w14:textId="65984F14" w:rsidR="00AA6C3C" w:rsidRPr="00D61ECD" w:rsidRDefault="00AA6C3C" w:rsidP="00CD7C2B">
      <w:pPr>
        <w:widowControl w:val="0"/>
        <w:spacing w:after="80"/>
        <w:rPr>
          <w:rFonts w:ascii="Calibri" w:hAnsi="Calibri" w:cs="Calibri"/>
          <w:color w:val="414042" w:themeColor="text1"/>
          <w:szCs w:val="20"/>
        </w:rPr>
      </w:pPr>
      <w:r w:rsidRPr="00D61ECD">
        <w:rPr>
          <w:rFonts w:ascii="Calibri" w:hAnsi="Calibri" w:cs="Calibri"/>
          <w:color w:val="414042" w:themeColor="text1"/>
          <w:szCs w:val="20"/>
        </w:rPr>
        <w:t>General Manager, Operations Support</w:t>
      </w:r>
    </w:p>
    <w:p w14:paraId="54371F5A" w14:textId="5908788B" w:rsidR="00376D42" w:rsidRPr="00D61ECD" w:rsidRDefault="00376D42" w:rsidP="00CD7C2B">
      <w:pPr>
        <w:widowControl w:val="0"/>
        <w:spacing w:after="80"/>
        <w:rPr>
          <w:i/>
          <w:iCs/>
          <w:color w:val="414042" w:themeColor="text1"/>
          <w:sz w:val="18"/>
          <w:szCs w:val="18"/>
        </w:rPr>
      </w:pPr>
      <w:r w:rsidRPr="00D61ECD">
        <w:rPr>
          <w:i/>
          <w:iCs/>
          <w:color w:val="414042" w:themeColor="text1"/>
          <w:sz w:val="18"/>
          <w:szCs w:val="18"/>
        </w:rPr>
        <w:t xml:space="preserve">MLead&amp;Mgt (Pol), GradCertAppMat, GAICD, </w:t>
      </w:r>
      <w:r w:rsidR="00204152">
        <w:rPr>
          <w:i/>
          <w:iCs/>
          <w:color w:val="414042" w:themeColor="text1"/>
          <w:sz w:val="18"/>
          <w:szCs w:val="18"/>
        </w:rPr>
        <w:t>a</w:t>
      </w:r>
      <w:r w:rsidR="007B7CC2" w:rsidRPr="00D61ECD">
        <w:rPr>
          <w:i/>
          <w:iCs/>
          <w:color w:val="414042" w:themeColor="text1"/>
          <w:sz w:val="18"/>
          <w:szCs w:val="18"/>
        </w:rPr>
        <w:t>ppointed as Acting General Manager, Operations Support on 10 July 2023, and appointed as General Manager on 30 October 2023.</w:t>
      </w:r>
    </w:p>
    <w:p w14:paraId="7A707F38" w14:textId="550C4EC8" w:rsidR="00376D42" w:rsidRPr="00F9716C" w:rsidRDefault="00376D42" w:rsidP="00CD7C2B">
      <w:pPr>
        <w:rPr>
          <w:color w:val="414042" w:themeColor="text1"/>
          <w:szCs w:val="20"/>
        </w:rPr>
      </w:pPr>
      <w:r w:rsidRPr="00F9716C">
        <w:rPr>
          <w:color w:val="414042" w:themeColor="text1"/>
          <w:szCs w:val="20"/>
        </w:rPr>
        <w:t>Responsible for the Operations Support division, including electronic collections, intelligence support, human source, witness protection, technical surveillance, physical surveillance and forensic computing and property.</w:t>
      </w:r>
    </w:p>
    <w:p w14:paraId="48CD9196" w14:textId="77777777" w:rsidR="00376D42" w:rsidRPr="00F9716C" w:rsidRDefault="00376D42" w:rsidP="00CD7C2B">
      <w:pPr>
        <w:rPr>
          <w:color w:val="414042" w:themeColor="text1"/>
          <w:szCs w:val="20"/>
        </w:rPr>
      </w:pPr>
      <w:r w:rsidRPr="00F9716C">
        <w:rPr>
          <w:color w:val="414042" w:themeColor="text1"/>
        </w:rPr>
        <w:t>With over 30 years’ experience in the Queensland Police Service, Mr Loth has held several senior leadership roles in QPS investigative units and more recently held leadership roles in the Crime and Corruption Commission during two previous secondments as Director, Corruption Operations and Executive Director, Crime Operations.</w:t>
      </w:r>
    </w:p>
    <w:p w14:paraId="34D90EF6" w14:textId="77777777" w:rsidR="000471CC" w:rsidRPr="00F9716C" w:rsidRDefault="00AA6C3C" w:rsidP="00CD7C2B">
      <w:pPr>
        <w:spacing w:after="0" w:line="204" w:lineRule="auto"/>
        <w:rPr>
          <w:rFonts w:ascii="Calibri" w:hAnsi="Calibri" w:cs="Calibri"/>
          <w:b/>
          <w:bCs/>
          <w:color w:val="414042" w:themeColor="text1"/>
          <w:szCs w:val="20"/>
        </w:rPr>
      </w:pPr>
      <w:r w:rsidRPr="00F9716C">
        <w:rPr>
          <w:rFonts w:ascii="Calibri" w:hAnsi="Calibri" w:cs="Calibri"/>
          <w:b/>
          <w:bCs/>
          <w:color w:val="414042" w:themeColor="text1"/>
          <w:szCs w:val="20"/>
        </w:rPr>
        <w:t xml:space="preserve">Dr Rebecca Denning </w:t>
      </w:r>
    </w:p>
    <w:p w14:paraId="1BB9E8D9" w14:textId="061FCBF0" w:rsidR="00AA6C3C" w:rsidRPr="00D61ECD" w:rsidRDefault="00AA6C3C" w:rsidP="00CD7C2B">
      <w:pPr>
        <w:widowControl w:val="0"/>
        <w:spacing w:after="80"/>
        <w:rPr>
          <w:rFonts w:ascii="Calibri" w:hAnsi="Calibri" w:cs="Calibri"/>
          <w:color w:val="414042" w:themeColor="text1"/>
          <w:szCs w:val="20"/>
        </w:rPr>
      </w:pPr>
      <w:r w:rsidRPr="00D61ECD">
        <w:rPr>
          <w:rFonts w:ascii="Calibri" w:hAnsi="Calibri" w:cs="Calibri"/>
          <w:color w:val="414042" w:themeColor="text1"/>
          <w:szCs w:val="20"/>
        </w:rPr>
        <w:t>General Manager, Strategy &amp; Renewal</w:t>
      </w:r>
    </w:p>
    <w:p w14:paraId="52CCC076" w14:textId="5766BEFE" w:rsidR="00561686" w:rsidRPr="00F9716C" w:rsidRDefault="00561686" w:rsidP="00CD7C2B">
      <w:pPr>
        <w:widowControl w:val="0"/>
        <w:spacing w:after="80"/>
        <w:rPr>
          <w:i/>
          <w:iCs/>
          <w:color w:val="414042" w:themeColor="text1"/>
          <w:sz w:val="18"/>
          <w:szCs w:val="18"/>
        </w:rPr>
      </w:pPr>
      <w:r w:rsidRPr="00F9716C">
        <w:rPr>
          <w:i/>
          <w:iCs/>
          <w:color w:val="414042" w:themeColor="text1"/>
          <w:sz w:val="18"/>
          <w:szCs w:val="18"/>
        </w:rPr>
        <w:t>BCrim</w:t>
      </w:r>
      <w:r w:rsidR="00320558" w:rsidRPr="00F9716C">
        <w:rPr>
          <w:i/>
          <w:iCs/>
          <w:color w:val="414042" w:themeColor="text1"/>
          <w:sz w:val="18"/>
          <w:szCs w:val="18"/>
        </w:rPr>
        <w:t>&amp;</w:t>
      </w:r>
      <w:r w:rsidRPr="00F9716C">
        <w:rPr>
          <w:i/>
          <w:iCs/>
          <w:color w:val="414042" w:themeColor="text1"/>
          <w:sz w:val="18"/>
          <w:szCs w:val="18"/>
        </w:rPr>
        <w:t>CrimJus (Hons), PhD, GAICD,</w:t>
      </w:r>
      <w:r w:rsidR="00F9567C" w:rsidRPr="00F9716C">
        <w:rPr>
          <w:i/>
          <w:iCs/>
          <w:color w:val="414042" w:themeColor="text1"/>
          <w:sz w:val="18"/>
          <w:szCs w:val="18"/>
        </w:rPr>
        <w:t xml:space="preserve"> </w:t>
      </w:r>
      <w:r w:rsidRPr="00F9716C">
        <w:rPr>
          <w:i/>
          <w:iCs/>
          <w:color w:val="414042" w:themeColor="text1"/>
          <w:sz w:val="18"/>
          <w:szCs w:val="18"/>
        </w:rPr>
        <w:t>appointed on 26 July 2019.</w:t>
      </w:r>
    </w:p>
    <w:bookmarkEnd w:id="1171"/>
    <w:p w14:paraId="1400427D" w14:textId="77777777" w:rsidR="00561686" w:rsidRPr="00F9716C" w:rsidRDefault="00561686" w:rsidP="00CD7C2B">
      <w:pPr>
        <w:rPr>
          <w:rFonts w:ascii="Calibri" w:hAnsi="Calibri"/>
          <w:color w:val="414042" w:themeColor="text1"/>
          <w:spacing w:val="-4"/>
        </w:rPr>
      </w:pPr>
      <w:r w:rsidRPr="00F9716C">
        <w:rPr>
          <w:color w:val="414042" w:themeColor="text1"/>
          <w:spacing w:val="-4"/>
        </w:rPr>
        <w:t>Responsible for the Strategy and Renewal division that works to lead the transformation of the CCC, by supporting strategic planning, delivering strategic and business improvement activities, and developing strategic capabilities.</w:t>
      </w:r>
    </w:p>
    <w:p w14:paraId="69038428" w14:textId="77777777" w:rsidR="00561686" w:rsidRPr="00F9716C" w:rsidRDefault="00561686" w:rsidP="00CD7C2B">
      <w:pPr>
        <w:rPr>
          <w:color w:val="414042" w:themeColor="text1"/>
          <w:spacing w:val="-4"/>
        </w:rPr>
      </w:pPr>
      <w:r w:rsidRPr="00F9716C">
        <w:rPr>
          <w:color w:val="414042" w:themeColor="text1"/>
          <w:spacing w:val="-4"/>
        </w:rPr>
        <w:t>Dr Denning has extensive executive leadership, policy, research, and change experience, having worked in public and private sectors, predominantly in the criminal justice sector.</w:t>
      </w:r>
    </w:p>
    <w:p w14:paraId="458AA64B" w14:textId="6E4930C8" w:rsidR="00561686" w:rsidRPr="002F4245" w:rsidRDefault="00561686" w:rsidP="00CD7C2B">
      <w:pPr>
        <w:rPr>
          <w:color w:val="414042" w:themeColor="text1"/>
          <w:spacing w:val="-2"/>
        </w:rPr>
      </w:pPr>
      <w:r w:rsidRPr="00F9716C">
        <w:rPr>
          <w:i/>
          <w:iCs/>
          <w:color w:val="414042" w:themeColor="text1"/>
          <w:spacing w:val="-2"/>
        </w:rPr>
        <w:t xml:space="preserve">See page </w:t>
      </w:r>
      <w:r w:rsidR="00881E59" w:rsidRPr="00F9716C">
        <w:rPr>
          <w:i/>
          <w:iCs/>
          <w:color w:val="414042" w:themeColor="text1"/>
          <w:spacing w:val="-2"/>
        </w:rPr>
        <w:t>64</w:t>
      </w:r>
      <w:r w:rsidRPr="00F9716C">
        <w:rPr>
          <w:i/>
          <w:iCs/>
          <w:color w:val="414042" w:themeColor="text1"/>
          <w:spacing w:val="-2"/>
        </w:rPr>
        <w:t xml:space="preserve"> for further details about the role of our ELT.</w:t>
      </w:r>
    </w:p>
    <w:p w14:paraId="54CAA9D7" w14:textId="77777777" w:rsidR="00561686" w:rsidRPr="00F9716C" w:rsidRDefault="00561686" w:rsidP="00561686">
      <w:pPr>
        <w:rPr>
          <w:rFonts w:asciiTheme="minorHAnsi" w:hAnsiTheme="minorHAnsi" w:cstheme="minorHAnsi"/>
          <w:b/>
          <w:bCs/>
          <w:color w:val="414042" w:themeColor="text1"/>
          <w:szCs w:val="24"/>
        </w:rPr>
        <w:sectPr w:rsidR="00561686" w:rsidRPr="00F9716C" w:rsidSect="00C77834">
          <w:type w:val="continuous"/>
          <w:pgSz w:w="11906" w:h="16838" w:code="9"/>
          <w:pgMar w:top="2155" w:right="1134" w:bottom="964" w:left="1134" w:header="720" w:footer="284" w:gutter="0"/>
          <w:cols w:num="2" w:space="567"/>
          <w:noEndnote/>
          <w:docGrid w:linePitch="272"/>
        </w:sectPr>
      </w:pPr>
    </w:p>
    <w:p w14:paraId="5011294C" w14:textId="77777777" w:rsidR="00EC1069" w:rsidRPr="00F9716C" w:rsidRDefault="00EC1069" w:rsidP="008E5ECB">
      <w:pPr>
        <w:pStyle w:val="Heading2"/>
      </w:pPr>
      <w:bookmarkStart w:id="1172" w:name="_Our_people"/>
      <w:bookmarkStart w:id="1173" w:name="OurPeople"/>
      <w:bookmarkStart w:id="1174" w:name="_Hlk74305351"/>
      <w:bookmarkStart w:id="1175" w:name="_Toc102038049"/>
      <w:bookmarkStart w:id="1176" w:name="_Toc102038410"/>
      <w:bookmarkStart w:id="1177" w:name="_Toc102038771"/>
      <w:bookmarkStart w:id="1178" w:name="_Toc102039123"/>
      <w:bookmarkStart w:id="1179" w:name="_Toc102039472"/>
      <w:bookmarkStart w:id="1180" w:name="_Toc102039834"/>
      <w:bookmarkStart w:id="1181" w:name="_Toc102040191"/>
      <w:bookmarkStart w:id="1182" w:name="_Toc102040519"/>
      <w:bookmarkStart w:id="1183" w:name="_Toc102040853"/>
      <w:bookmarkStart w:id="1184" w:name="_Toc102041181"/>
      <w:bookmarkStart w:id="1185" w:name="_Toc102041510"/>
      <w:bookmarkStart w:id="1186" w:name="_Toc102041842"/>
      <w:bookmarkStart w:id="1187" w:name="_Toc102042169"/>
      <w:bookmarkStart w:id="1188" w:name="_Toc102042499"/>
      <w:bookmarkStart w:id="1189" w:name="_Toc102045629"/>
      <w:bookmarkStart w:id="1190" w:name="_Hlk109922016"/>
      <w:bookmarkEnd w:id="1172"/>
      <w:r w:rsidRPr="00F9716C">
        <w:t>Our people</w:t>
      </w:r>
    </w:p>
    <w:bookmarkEnd w:id="1173"/>
    <w:p w14:paraId="3D6A3542" w14:textId="77777777" w:rsidR="00EC1069" w:rsidRPr="00F9716C" w:rsidRDefault="00EC1069" w:rsidP="00EC1069">
      <w:pPr>
        <w:pStyle w:val="Openingparagraph"/>
        <w:rPr>
          <w:noProof/>
          <w:spacing w:val="0"/>
          <w:lang w:val="en-AU"/>
        </w:rPr>
        <w:sectPr w:rsidR="00EC1069" w:rsidRPr="00F9716C" w:rsidSect="00C77834">
          <w:type w:val="continuous"/>
          <w:pgSz w:w="11906" w:h="16838" w:code="9"/>
          <w:pgMar w:top="2155" w:right="1134" w:bottom="964" w:left="1134" w:header="720" w:footer="284" w:gutter="0"/>
          <w:cols w:space="567"/>
          <w:noEndnote/>
          <w:docGrid w:linePitch="272"/>
        </w:sectPr>
      </w:pPr>
    </w:p>
    <w:p w14:paraId="2E89E6FD" w14:textId="1367616B" w:rsidR="00EC1069" w:rsidRPr="00F9716C" w:rsidRDefault="0047609D" w:rsidP="00E52781">
      <w:pPr>
        <w:pStyle w:val="Openingparagraph"/>
        <w:sectPr w:rsidR="00EC1069" w:rsidRPr="00F9716C" w:rsidSect="00C77834">
          <w:type w:val="continuous"/>
          <w:pgSz w:w="11906" w:h="16838" w:code="9"/>
          <w:pgMar w:top="2155" w:right="1134" w:bottom="964" w:left="1134" w:header="720" w:footer="284" w:gutter="0"/>
          <w:cols w:space="567"/>
          <w:noEndnote/>
          <w:docGrid w:linePitch="272"/>
        </w:sectPr>
      </w:pPr>
      <w:r w:rsidRPr="00F9716C">
        <w:t xml:space="preserve">We employ a diverse mix of professionals including lawyers, accountants, investigators, researchers, intelligence analysts, and corporate support officers, and second a cohort of police officers from the QPS. At the end of 2023–24, our workforce equated to </w:t>
      </w:r>
      <w:r w:rsidR="00876A9C" w:rsidRPr="00F9716C">
        <w:t>341</w:t>
      </w:r>
      <w:r w:rsidRPr="00F9716C">
        <w:t xml:space="preserve"> full-time equivalent (FTE) employees</w:t>
      </w:r>
      <w:r w:rsidR="00EC1069" w:rsidRPr="00F9716C">
        <w:t>.</w:t>
      </w:r>
    </w:p>
    <w:p w14:paraId="529DC2CA" w14:textId="77777777" w:rsidR="0047609D" w:rsidRPr="00F9716C" w:rsidRDefault="0047609D" w:rsidP="00CD7C2B">
      <w:pPr>
        <w:pStyle w:val="Heading3"/>
        <w:spacing w:after="360"/>
        <w:ind w:right="-425"/>
      </w:pPr>
      <w:r w:rsidRPr="00F9716C">
        <w:t>Employee profile</w:t>
      </w:r>
    </w:p>
    <w:p w14:paraId="763CDCAF" w14:textId="1DEB5D86" w:rsidR="0047609D" w:rsidRPr="00F9716C" w:rsidRDefault="0047609D" w:rsidP="00E41B49">
      <w:pPr>
        <w:pStyle w:val="Figuretableheading0"/>
      </w:pPr>
      <w:r w:rsidRPr="00F9716C">
        <w:t xml:space="preserve">Table </w:t>
      </w:r>
      <w:r w:rsidR="00280346" w:rsidRPr="00F9716C">
        <w:t>5</w:t>
      </w:r>
      <w:r w:rsidRPr="00F9716C">
        <w:t>: Full-time equivalent employees by division</w:t>
      </w:r>
    </w:p>
    <w:tbl>
      <w:tblPr>
        <w:tblStyle w:val="Annualreport2020-21"/>
        <w:tblW w:w="4536" w:type="dxa"/>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tblLayout w:type="fixed"/>
        <w:tblLook w:val="04A0" w:firstRow="1" w:lastRow="0" w:firstColumn="1" w:lastColumn="0" w:noHBand="0" w:noVBand="1"/>
      </w:tblPr>
      <w:tblGrid>
        <w:gridCol w:w="3397"/>
        <w:gridCol w:w="1139"/>
      </w:tblGrid>
      <w:tr w:rsidR="00F9716C" w:rsidRPr="00F9716C" w14:paraId="5AC6D024" w14:textId="77777777" w:rsidTr="005D21BA">
        <w:trPr>
          <w:cnfStyle w:val="100000000000" w:firstRow="1" w:lastRow="0" w:firstColumn="0" w:lastColumn="0" w:oddVBand="0" w:evenVBand="0" w:oddHBand="0" w:evenHBand="0" w:firstRowFirstColumn="0" w:firstRowLastColumn="0" w:lastRowFirstColumn="0" w:lastRowLastColumn="0"/>
        </w:trPr>
        <w:tc>
          <w:tcPr>
            <w:tcW w:w="3397" w:type="dxa"/>
          </w:tcPr>
          <w:p w14:paraId="17EB1E23" w14:textId="77777777" w:rsidR="0047609D" w:rsidRPr="00F9716C" w:rsidRDefault="0047609D" w:rsidP="00590AE9">
            <w:pPr>
              <w:spacing w:before="20" w:after="20" w:line="260" w:lineRule="exact"/>
              <w:jc w:val="left"/>
              <w:rPr>
                <w:rFonts w:asciiTheme="minorHAnsi" w:hAnsiTheme="minorHAnsi" w:cstheme="minorHAnsi"/>
              </w:rPr>
            </w:pPr>
            <w:r w:rsidRPr="00F9716C">
              <w:rPr>
                <w:rFonts w:asciiTheme="minorHAnsi" w:hAnsiTheme="minorHAnsi" w:cstheme="minorHAnsi"/>
              </w:rPr>
              <w:t>Division</w:t>
            </w:r>
          </w:p>
        </w:tc>
        <w:tc>
          <w:tcPr>
            <w:tcW w:w="1139" w:type="dxa"/>
          </w:tcPr>
          <w:p w14:paraId="31EFE23B" w14:textId="77777777" w:rsidR="0047609D" w:rsidRPr="00F9716C" w:rsidRDefault="0047609D" w:rsidP="00590AE9">
            <w:pPr>
              <w:spacing w:before="20" w:after="20" w:line="260" w:lineRule="exact"/>
              <w:rPr>
                <w:rFonts w:asciiTheme="minorHAnsi" w:hAnsiTheme="minorHAnsi" w:cstheme="minorHAnsi"/>
              </w:rPr>
            </w:pPr>
            <w:r w:rsidRPr="00F9716C">
              <w:rPr>
                <w:rFonts w:asciiTheme="minorHAnsi" w:hAnsiTheme="minorHAnsi" w:cstheme="minorHAnsi"/>
              </w:rPr>
              <w:t>FTE</w:t>
            </w:r>
            <w:r w:rsidRPr="00F9716C">
              <w:rPr>
                <w:rFonts w:asciiTheme="minorHAnsi" w:hAnsiTheme="minorHAnsi" w:cstheme="minorHAnsi"/>
                <w:vertAlign w:val="superscript"/>
              </w:rPr>
              <w:t>1</w:t>
            </w:r>
          </w:p>
        </w:tc>
      </w:tr>
      <w:tr w:rsidR="00F9716C" w:rsidRPr="00F9716C" w14:paraId="13F04126" w14:textId="77777777" w:rsidTr="006F5B74">
        <w:tc>
          <w:tcPr>
            <w:tcW w:w="3397" w:type="dxa"/>
          </w:tcPr>
          <w:p w14:paraId="182BE5B3" w14:textId="77777777" w:rsidR="00B54A26" w:rsidRPr="00E01FCC" w:rsidRDefault="00B54A26" w:rsidP="00B54A26">
            <w:pPr>
              <w:spacing w:before="20" w:after="20"/>
              <w:rPr>
                <w:sz w:val="18"/>
                <w:szCs w:val="20"/>
              </w:rPr>
            </w:pPr>
            <w:r w:rsidRPr="00E01FCC">
              <w:rPr>
                <w:sz w:val="18"/>
                <w:szCs w:val="20"/>
              </w:rPr>
              <w:t>Corruption</w:t>
            </w:r>
          </w:p>
        </w:tc>
        <w:tc>
          <w:tcPr>
            <w:tcW w:w="1139" w:type="dxa"/>
          </w:tcPr>
          <w:p w14:paraId="6717B7BA" w14:textId="65483F28" w:rsidR="00B54A26" w:rsidRPr="00E01FCC" w:rsidRDefault="00B54A26" w:rsidP="00B54A26">
            <w:pPr>
              <w:pStyle w:val="Tabletext"/>
              <w:spacing w:before="20" w:after="20"/>
              <w:rPr>
                <w:rFonts w:asciiTheme="majorHAnsi" w:hAnsiTheme="majorHAnsi" w:cstheme="majorHAnsi"/>
                <w:sz w:val="18"/>
                <w:szCs w:val="20"/>
              </w:rPr>
            </w:pPr>
            <w:r w:rsidRPr="00E01FCC">
              <w:rPr>
                <w:rFonts w:asciiTheme="majorHAnsi" w:hAnsiTheme="majorHAnsi" w:cstheme="majorHAnsi"/>
                <w:sz w:val="18"/>
                <w:szCs w:val="20"/>
              </w:rPr>
              <w:t xml:space="preserve"> 95.1</w:t>
            </w:r>
          </w:p>
        </w:tc>
      </w:tr>
      <w:tr w:rsidR="00F9716C" w:rsidRPr="00F9716C" w14:paraId="32088C20" w14:textId="77777777" w:rsidTr="006F5B74">
        <w:tc>
          <w:tcPr>
            <w:tcW w:w="3397" w:type="dxa"/>
          </w:tcPr>
          <w:p w14:paraId="03001BD6" w14:textId="77777777" w:rsidR="00B54A26" w:rsidRPr="00E01FCC" w:rsidRDefault="00B54A26" w:rsidP="00B54A26">
            <w:pPr>
              <w:spacing w:before="20" w:after="20"/>
              <w:rPr>
                <w:sz w:val="18"/>
                <w:szCs w:val="20"/>
              </w:rPr>
            </w:pPr>
            <w:r w:rsidRPr="00E01FCC">
              <w:rPr>
                <w:sz w:val="18"/>
                <w:szCs w:val="20"/>
              </w:rPr>
              <w:t>Crime</w:t>
            </w:r>
          </w:p>
        </w:tc>
        <w:tc>
          <w:tcPr>
            <w:tcW w:w="1139" w:type="dxa"/>
          </w:tcPr>
          <w:p w14:paraId="363889BB" w14:textId="1CF1DE26" w:rsidR="00B54A26" w:rsidRPr="00E01FCC" w:rsidRDefault="00B54A26" w:rsidP="00B54A26">
            <w:pPr>
              <w:pStyle w:val="Tabletext"/>
              <w:spacing w:before="20" w:after="20"/>
              <w:rPr>
                <w:rFonts w:asciiTheme="majorHAnsi" w:hAnsiTheme="majorHAnsi" w:cstheme="majorHAnsi"/>
                <w:sz w:val="18"/>
                <w:szCs w:val="20"/>
              </w:rPr>
            </w:pPr>
            <w:r w:rsidRPr="00E01FCC">
              <w:rPr>
                <w:rFonts w:asciiTheme="majorHAnsi" w:hAnsiTheme="majorHAnsi" w:cstheme="majorHAnsi"/>
                <w:sz w:val="18"/>
                <w:szCs w:val="20"/>
              </w:rPr>
              <w:t xml:space="preserve"> 62.2</w:t>
            </w:r>
          </w:p>
        </w:tc>
      </w:tr>
      <w:tr w:rsidR="00F9716C" w:rsidRPr="00F9716C" w14:paraId="29A30D31" w14:textId="77777777" w:rsidTr="006F5B74">
        <w:tc>
          <w:tcPr>
            <w:tcW w:w="3397" w:type="dxa"/>
          </w:tcPr>
          <w:p w14:paraId="0CF47328" w14:textId="77777777" w:rsidR="00B54A26" w:rsidRPr="00E01FCC" w:rsidRDefault="00B54A26" w:rsidP="00B54A26">
            <w:pPr>
              <w:spacing w:before="20" w:after="20"/>
              <w:rPr>
                <w:sz w:val="18"/>
                <w:szCs w:val="20"/>
              </w:rPr>
            </w:pPr>
            <w:r w:rsidRPr="00E01FCC">
              <w:rPr>
                <w:sz w:val="18"/>
                <w:szCs w:val="20"/>
              </w:rPr>
              <w:t>Office of the Commission</w:t>
            </w:r>
          </w:p>
        </w:tc>
        <w:tc>
          <w:tcPr>
            <w:tcW w:w="1139" w:type="dxa"/>
          </w:tcPr>
          <w:p w14:paraId="18F27C9B" w14:textId="19C24D1F" w:rsidR="00B54A26" w:rsidRPr="00E01FCC" w:rsidRDefault="00B54A26" w:rsidP="00B54A26">
            <w:pPr>
              <w:pStyle w:val="Tabletext"/>
              <w:spacing w:before="20" w:after="20"/>
              <w:rPr>
                <w:rFonts w:asciiTheme="majorHAnsi" w:hAnsiTheme="majorHAnsi" w:cstheme="majorHAnsi"/>
                <w:sz w:val="18"/>
                <w:szCs w:val="20"/>
              </w:rPr>
            </w:pPr>
            <w:r w:rsidRPr="00E01FCC">
              <w:rPr>
                <w:rFonts w:asciiTheme="majorHAnsi" w:hAnsiTheme="majorHAnsi" w:cstheme="majorHAnsi"/>
                <w:sz w:val="18"/>
                <w:szCs w:val="20"/>
              </w:rPr>
              <w:t xml:space="preserve"> 9.4</w:t>
            </w:r>
          </w:p>
        </w:tc>
      </w:tr>
      <w:tr w:rsidR="00F9716C" w:rsidRPr="00F9716C" w14:paraId="1C61490B" w14:textId="77777777" w:rsidTr="006F5B74">
        <w:tc>
          <w:tcPr>
            <w:tcW w:w="3397" w:type="dxa"/>
          </w:tcPr>
          <w:p w14:paraId="6F3DE432" w14:textId="77777777" w:rsidR="00B54A26" w:rsidRPr="00E01FCC" w:rsidRDefault="00B54A26" w:rsidP="00B54A26">
            <w:pPr>
              <w:spacing w:before="20" w:after="20"/>
              <w:rPr>
                <w:sz w:val="18"/>
                <w:szCs w:val="20"/>
              </w:rPr>
            </w:pPr>
            <w:r w:rsidRPr="00E01FCC">
              <w:rPr>
                <w:sz w:val="18"/>
                <w:szCs w:val="20"/>
              </w:rPr>
              <w:t>Operations Support</w:t>
            </w:r>
          </w:p>
        </w:tc>
        <w:tc>
          <w:tcPr>
            <w:tcW w:w="1139" w:type="dxa"/>
          </w:tcPr>
          <w:p w14:paraId="3468325F" w14:textId="2EC7EBB8" w:rsidR="00B54A26" w:rsidRPr="00E01FCC" w:rsidRDefault="00B54A26" w:rsidP="00B54A26">
            <w:pPr>
              <w:pStyle w:val="Tabletext"/>
              <w:spacing w:before="20" w:after="20"/>
              <w:rPr>
                <w:rFonts w:asciiTheme="majorHAnsi" w:hAnsiTheme="majorHAnsi" w:cstheme="majorHAnsi"/>
                <w:sz w:val="18"/>
                <w:szCs w:val="20"/>
              </w:rPr>
            </w:pPr>
            <w:r w:rsidRPr="00E01FCC">
              <w:rPr>
                <w:rFonts w:asciiTheme="majorHAnsi" w:hAnsiTheme="majorHAnsi" w:cstheme="majorHAnsi"/>
                <w:sz w:val="18"/>
                <w:szCs w:val="20"/>
              </w:rPr>
              <w:t xml:space="preserve"> 75.0</w:t>
            </w:r>
          </w:p>
        </w:tc>
      </w:tr>
      <w:tr w:rsidR="00F9716C" w:rsidRPr="00F9716C" w14:paraId="1F1C24E2" w14:textId="77777777" w:rsidTr="006F5B74">
        <w:tc>
          <w:tcPr>
            <w:tcW w:w="3397" w:type="dxa"/>
          </w:tcPr>
          <w:p w14:paraId="5B3BFF5D" w14:textId="77777777" w:rsidR="00B54A26" w:rsidRPr="00E01FCC" w:rsidRDefault="00B54A26" w:rsidP="00B54A26">
            <w:pPr>
              <w:spacing w:before="20" w:after="20"/>
              <w:rPr>
                <w:sz w:val="18"/>
                <w:szCs w:val="20"/>
              </w:rPr>
            </w:pPr>
            <w:r w:rsidRPr="00E01FCC">
              <w:rPr>
                <w:sz w:val="18"/>
                <w:szCs w:val="20"/>
              </w:rPr>
              <w:t>Corporate Services; Legal, Risk and Compliance; Information Services</w:t>
            </w:r>
          </w:p>
        </w:tc>
        <w:tc>
          <w:tcPr>
            <w:tcW w:w="1139" w:type="dxa"/>
          </w:tcPr>
          <w:p w14:paraId="27C080DB" w14:textId="370AFABF" w:rsidR="00B54A26" w:rsidRPr="00E01FCC" w:rsidRDefault="00B54A26" w:rsidP="00B54A26">
            <w:pPr>
              <w:pStyle w:val="Tabletext"/>
              <w:spacing w:before="20" w:after="20"/>
              <w:rPr>
                <w:rFonts w:asciiTheme="majorHAnsi" w:hAnsiTheme="majorHAnsi" w:cstheme="majorHAnsi"/>
                <w:sz w:val="18"/>
                <w:szCs w:val="20"/>
              </w:rPr>
            </w:pPr>
            <w:r w:rsidRPr="00E01FCC">
              <w:rPr>
                <w:rFonts w:asciiTheme="majorHAnsi" w:hAnsiTheme="majorHAnsi" w:cstheme="majorHAnsi"/>
                <w:sz w:val="18"/>
                <w:szCs w:val="20"/>
              </w:rPr>
              <w:t xml:space="preserve"> 70.8</w:t>
            </w:r>
          </w:p>
        </w:tc>
      </w:tr>
      <w:tr w:rsidR="00F9716C" w:rsidRPr="00F9716C" w14:paraId="61C482F3" w14:textId="77777777" w:rsidTr="006F5B74">
        <w:tc>
          <w:tcPr>
            <w:tcW w:w="3397" w:type="dxa"/>
          </w:tcPr>
          <w:p w14:paraId="15BFA4FB" w14:textId="77777777" w:rsidR="00B54A26" w:rsidRPr="00E01FCC" w:rsidRDefault="00B54A26" w:rsidP="00B54A26">
            <w:pPr>
              <w:spacing w:before="20" w:after="20"/>
              <w:rPr>
                <w:sz w:val="18"/>
                <w:szCs w:val="20"/>
              </w:rPr>
            </w:pPr>
            <w:r w:rsidRPr="00E01FCC">
              <w:rPr>
                <w:sz w:val="18"/>
                <w:szCs w:val="20"/>
              </w:rPr>
              <w:t>Strategy and Renewal</w:t>
            </w:r>
          </w:p>
        </w:tc>
        <w:tc>
          <w:tcPr>
            <w:tcW w:w="1139" w:type="dxa"/>
          </w:tcPr>
          <w:p w14:paraId="7428F178" w14:textId="759DEC28" w:rsidR="00B54A26" w:rsidRPr="00E01FCC" w:rsidRDefault="00B54A26" w:rsidP="00B54A26">
            <w:pPr>
              <w:pStyle w:val="Tabletext"/>
              <w:spacing w:before="20" w:after="20"/>
              <w:rPr>
                <w:rFonts w:asciiTheme="majorHAnsi" w:hAnsiTheme="majorHAnsi" w:cstheme="majorHAnsi"/>
                <w:sz w:val="18"/>
                <w:szCs w:val="20"/>
              </w:rPr>
            </w:pPr>
            <w:r w:rsidRPr="00E01FCC">
              <w:rPr>
                <w:rFonts w:asciiTheme="majorHAnsi" w:hAnsiTheme="majorHAnsi" w:cstheme="majorHAnsi"/>
                <w:sz w:val="18"/>
                <w:szCs w:val="20"/>
              </w:rPr>
              <w:t xml:space="preserve"> 28.5</w:t>
            </w:r>
          </w:p>
        </w:tc>
      </w:tr>
      <w:tr w:rsidR="00F9716C" w:rsidRPr="00F9716C" w14:paraId="070D41AA" w14:textId="77777777" w:rsidTr="006F5B74">
        <w:trPr>
          <w:trHeight w:val="237"/>
        </w:trPr>
        <w:tc>
          <w:tcPr>
            <w:tcW w:w="3397" w:type="dxa"/>
          </w:tcPr>
          <w:p w14:paraId="4AE095F1" w14:textId="77777777" w:rsidR="00B54A26" w:rsidRPr="00E01FCC" w:rsidRDefault="00B54A26" w:rsidP="00B54A26">
            <w:pPr>
              <w:pStyle w:val="TabletextAnnualreport2018-19"/>
              <w:spacing w:before="20"/>
              <w:rPr>
                <w:rFonts w:ascii="Calibri" w:hAnsi="Calibri" w:cs="Calibri"/>
                <w:b/>
                <w:bCs/>
                <w:color w:val="414042" w:themeColor="text1"/>
                <w:sz w:val="18"/>
                <w:lang w:val="en-AU"/>
              </w:rPr>
            </w:pPr>
            <w:r w:rsidRPr="00E01FCC">
              <w:rPr>
                <w:rFonts w:ascii="Calibri" w:hAnsi="Calibri" w:cs="Calibri"/>
                <w:b/>
                <w:bCs/>
                <w:color w:val="414042" w:themeColor="text1"/>
                <w:sz w:val="18"/>
                <w:lang w:val="en-AU"/>
              </w:rPr>
              <w:t>Total</w:t>
            </w:r>
          </w:p>
        </w:tc>
        <w:tc>
          <w:tcPr>
            <w:tcW w:w="1139" w:type="dxa"/>
          </w:tcPr>
          <w:p w14:paraId="24E52D72" w14:textId="4845414D" w:rsidR="00B54A26" w:rsidRPr="00E01FCC" w:rsidRDefault="00B54A26" w:rsidP="00B54A26">
            <w:pPr>
              <w:pStyle w:val="TabletextAnnualreport2018-19"/>
              <w:spacing w:before="20"/>
              <w:jc w:val="center"/>
              <w:rPr>
                <w:rFonts w:ascii="Calibri" w:hAnsi="Calibri" w:cs="Calibri"/>
                <w:b/>
                <w:bCs/>
                <w:color w:val="414042" w:themeColor="text1"/>
                <w:sz w:val="18"/>
                <w:lang w:val="en-AU"/>
              </w:rPr>
            </w:pPr>
            <w:r w:rsidRPr="00E01FCC">
              <w:rPr>
                <w:rFonts w:ascii="Calibri" w:hAnsi="Calibri" w:cs="Calibri"/>
                <w:b/>
                <w:bCs/>
                <w:color w:val="414042" w:themeColor="text1"/>
                <w:sz w:val="18"/>
                <w:lang w:val="en-AU"/>
              </w:rPr>
              <w:t xml:space="preserve">  341.0</w:t>
            </w:r>
          </w:p>
        </w:tc>
      </w:tr>
    </w:tbl>
    <w:p w14:paraId="229CC2AB" w14:textId="670A42CB" w:rsidR="0047609D" w:rsidRPr="00F9716C" w:rsidRDefault="0047609D" w:rsidP="0047609D">
      <w:pPr>
        <w:autoSpaceDE w:val="0"/>
        <w:autoSpaceDN w:val="0"/>
        <w:adjustRightInd w:val="0"/>
        <w:spacing w:before="240" w:after="0" w:line="288" w:lineRule="auto"/>
        <w:textAlignment w:val="center"/>
        <w:rPr>
          <w:rFonts w:ascii="Calibri" w:hAnsi="Calibri" w:cs="Calibri"/>
          <w:color w:val="414042" w:themeColor="text1"/>
          <w:sz w:val="16"/>
          <w:szCs w:val="16"/>
        </w:rPr>
      </w:pPr>
      <w:r w:rsidRPr="00F9716C">
        <w:rPr>
          <w:rFonts w:ascii="Calibri" w:hAnsi="Calibri" w:cs="Calibri"/>
          <w:color w:val="414042" w:themeColor="text1"/>
          <w:sz w:val="16"/>
          <w:szCs w:val="16"/>
        </w:rPr>
        <w:t>Note:</w:t>
      </w:r>
    </w:p>
    <w:p w14:paraId="72E4DE87" w14:textId="77777777" w:rsidR="0047609D" w:rsidRPr="00F9716C" w:rsidRDefault="0047609D" w:rsidP="009313EB">
      <w:pPr>
        <w:pStyle w:val="Notes"/>
        <w:numPr>
          <w:ilvl w:val="0"/>
          <w:numId w:val="43"/>
        </w:numPr>
        <w:rPr>
          <w:spacing w:val="0"/>
          <w:lang w:val="en-AU"/>
        </w:rPr>
      </w:pPr>
      <w:r w:rsidRPr="00F9716C">
        <w:rPr>
          <w:spacing w:val="0"/>
          <w:lang w:val="en-AU"/>
        </w:rPr>
        <w:t>Full-time equivalent refers to all permanent, temporary and</w:t>
      </w:r>
      <w:r w:rsidRPr="00F9716C">
        <w:rPr>
          <w:spacing w:val="0"/>
          <w:lang w:val="en-AU"/>
        </w:rPr>
        <w:br/>
        <w:t xml:space="preserve">casual </w:t>
      </w:r>
      <w:r w:rsidRPr="00F9716C">
        <w:rPr>
          <w:lang w:val="en-AU"/>
        </w:rPr>
        <w:t>employees</w:t>
      </w:r>
      <w:r w:rsidRPr="00F9716C">
        <w:rPr>
          <w:spacing w:val="0"/>
          <w:lang w:val="en-AU"/>
        </w:rPr>
        <w:t xml:space="preserve"> (including Commissioners).</w:t>
      </w:r>
    </w:p>
    <w:p w14:paraId="2A6D1BD4" w14:textId="4232D7A8" w:rsidR="00CD7C2B" w:rsidRDefault="0047609D" w:rsidP="00346C70">
      <w:pPr>
        <w:ind w:right="282"/>
        <w:rPr>
          <w:color w:val="414042" w:themeColor="text1"/>
        </w:rPr>
      </w:pPr>
      <w:r w:rsidRPr="00F9716C">
        <w:rPr>
          <w:color w:val="414042" w:themeColor="text1"/>
        </w:rPr>
        <w:br w:type="column"/>
      </w:r>
      <w:r w:rsidR="00434F4E">
        <w:rPr>
          <w:color w:val="414042" w:themeColor="text1"/>
        </w:rPr>
        <w:br/>
      </w:r>
      <w:r w:rsidR="00434F4E">
        <w:rPr>
          <w:color w:val="414042" w:themeColor="text1"/>
        </w:rPr>
        <w:br/>
      </w:r>
      <w:r w:rsidR="00CD7C2B">
        <w:rPr>
          <w:color w:val="414042" w:themeColor="text1"/>
        </w:rPr>
        <w:br/>
      </w:r>
      <w:r w:rsidRPr="00F9716C">
        <w:rPr>
          <w:color w:val="414042" w:themeColor="text1"/>
        </w:rPr>
        <w:t>Of our civilian workforce, 9</w:t>
      </w:r>
      <w:r w:rsidR="00985730" w:rsidRPr="00F9716C">
        <w:rPr>
          <w:color w:val="414042" w:themeColor="text1"/>
        </w:rPr>
        <w:t>0</w:t>
      </w:r>
      <w:r w:rsidRPr="00F9716C">
        <w:rPr>
          <w:color w:val="414042" w:themeColor="text1"/>
        </w:rPr>
        <w:t xml:space="preserve"> per cent are employed on a permanent basis.</w:t>
      </w:r>
      <w:r w:rsidRPr="00F9716C">
        <w:rPr>
          <w:color w:val="414042" w:themeColor="text1"/>
          <w:vertAlign w:val="superscript"/>
        </w:rPr>
        <w:footnoteReference w:id="5"/>
      </w:r>
      <w:r w:rsidRPr="00F9716C">
        <w:rPr>
          <w:color w:val="414042" w:themeColor="text1"/>
        </w:rPr>
        <w:t xml:space="preserve"> This is higher than the wider Queensland public </w:t>
      </w:r>
      <w:r w:rsidR="00985730" w:rsidRPr="00F9716C">
        <w:rPr>
          <w:color w:val="414042" w:themeColor="text1"/>
        </w:rPr>
        <w:t>sector</w:t>
      </w:r>
      <w:r w:rsidRPr="00F9716C">
        <w:rPr>
          <w:color w:val="414042" w:themeColor="text1"/>
        </w:rPr>
        <w:t>’s reported figure of 82 per cent (as at March 2023).</w:t>
      </w:r>
    </w:p>
    <w:p w14:paraId="039D1B47" w14:textId="77777777" w:rsidR="00346C70" w:rsidRPr="00346C70" w:rsidRDefault="00346C70" w:rsidP="00E41B49">
      <w:pPr>
        <w:pStyle w:val="Figuretableheading0"/>
      </w:pPr>
      <w:r w:rsidRPr="00346C70">
        <w:t>Figure 21: Our employee breakdown</w:t>
      </w:r>
    </w:p>
    <w:p w14:paraId="0834DD70" w14:textId="77777777" w:rsidR="00CD7C2B" w:rsidRPr="00F9716C" w:rsidRDefault="00CD7C2B" w:rsidP="00434F4E">
      <w:pPr>
        <w:rPr>
          <w:color w:val="414042" w:themeColor="text1"/>
        </w:rPr>
      </w:pPr>
    </w:p>
    <w:p w14:paraId="30060F18" w14:textId="01C12EED" w:rsidR="0047609D" w:rsidRPr="00F9716C" w:rsidRDefault="00CE1C22" w:rsidP="0047609D">
      <w:pPr>
        <w:rPr>
          <w:color w:val="414042" w:themeColor="text1"/>
        </w:rPr>
      </w:pPr>
      <w:r w:rsidRPr="00F9716C">
        <w:rPr>
          <w:noProof/>
          <w:color w:val="414042" w:themeColor="text1"/>
        </w:rPr>
        <w:drawing>
          <wp:inline distT="0" distB="0" distL="0" distR="0" wp14:anchorId="36E7F7CF" wp14:editId="095D2E86">
            <wp:extent cx="1908966" cy="1908966"/>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14:paraId="737DEA93" w14:textId="50CF3860" w:rsidR="0047609D" w:rsidRPr="00F9716C" w:rsidRDefault="0005407C" w:rsidP="0047609D">
      <w:pPr>
        <w:rPr>
          <w:color w:val="414042" w:themeColor="text1"/>
        </w:rPr>
      </w:pPr>
      <w:r w:rsidRPr="002F4245">
        <w:rPr>
          <w:noProof/>
          <w:color w:val="414042" w:themeColor="text1"/>
        </w:rPr>
        <w:drawing>
          <wp:inline distT="0" distB="0" distL="0" distR="0" wp14:anchorId="38B288BA" wp14:editId="1CABE42C">
            <wp:extent cx="1936539" cy="1776312"/>
            <wp:effectExtent l="0" t="0" r="0" b="0"/>
            <wp:docPr id="679" name="Chart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r w:rsidR="0047609D" w:rsidRPr="00F9716C">
        <w:rPr>
          <w:color w:val="414042" w:themeColor="text1"/>
        </w:rPr>
        <w:br w:type="page"/>
      </w:r>
    </w:p>
    <w:p w14:paraId="409D07F5" w14:textId="77777777" w:rsidR="0047609D" w:rsidRPr="00F9716C" w:rsidRDefault="0047609D" w:rsidP="0047609D">
      <w:pPr>
        <w:rPr>
          <w:color w:val="414042" w:themeColor="text1"/>
        </w:rPr>
        <w:sectPr w:rsidR="0047609D" w:rsidRPr="00F9716C" w:rsidSect="0047609D">
          <w:type w:val="continuous"/>
          <w:pgSz w:w="11906" w:h="16838" w:code="9"/>
          <w:pgMar w:top="2155" w:right="1134" w:bottom="964" w:left="1134" w:header="720" w:footer="284" w:gutter="0"/>
          <w:cols w:num="2" w:space="567"/>
          <w:noEndnote/>
          <w:docGrid w:linePitch="272"/>
          <w15:footnoteColumns w:val="1"/>
        </w:sectPr>
      </w:pPr>
    </w:p>
    <w:p w14:paraId="2BB5A6A4" w14:textId="77777777" w:rsidR="001D77B5" w:rsidRPr="00F9716C" w:rsidRDefault="001D77B5" w:rsidP="00CD7C2B">
      <w:pPr>
        <w:pStyle w:val="3Heading-highlight"/>
      </w:pPr>
      <w:r w:rsidRPr="00F9716C">
        <w:t>Diversity and inclusion</w:t>
      </w:r>
    </w:p>
    <w:p w14:paraId="72C69BB9" w14:textId="77777777" w:rsidR="001D77B5" w:rsidRPr="00F9716C" w:rsidRDefault="001D77B5" w:rsidP="001D77B5">
      <w:pPr>
        <w:rPr>
          <w:color w:val="414042" w:themeColor="text1"/>
        </w:rPr>
      </w:pPr>
      <w:r w:rsidRPr="00F9716C">
        <w:rPr>
          <w:color w:val="414042" w:themeColor="text1"/>
        </w:rPr>
        <w:t>We are committed to supporting equity and diversity.</w:t>
      </w:r>
    </w:p>
    <w:p w14:paraId="4850EDE2" w14:textId="61B80897" w:rsidR="001D77B5" w:rsidRPr="00F9716C" w:rsidRDefault="001D77B5" w:rsidP="00E41B49">
      <w:pPr>
        <w:pStyle w:val="Figuretableheading0"/>
      </w:pPr>
      <w:r w:rsidRPr="00F9716C">
        <w:t xml:space="preserve">Table </w:t>
      </w:r>
      <w:r w:rsidR="00201651" w:rsidRPr="00F9716C">
        <w:t>6</w:t>
      </w:r>
      <w:r w:rsidRPr="00F9716C">
        <w:t>: Gender</w:t>
      </w:r>
    </w:p>
    <w:tbl>
      <w:tblPr>
        <w:tblStyle w:val="Annualreport2020-21"/>
        <w:tblW w:w="5000" w:type="pct"/>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5240"/>
        <w:gridCol w:w="2195"/>
        <w:gridCol w:w="2193"/>
      </w:tblGrid>
      <w:tr w:rsidR="00F9716C" w:rsidRPr="00F9716C" w14:paraId="32D3B6BB" w14:textId="77777777" w:rsidTr="00CC240D">
        <w:trPr>
          <w:cnfStyle w:val="100000000000" w:firstRow="1" w:lastRow="0" w:firstColumn="0" w:lastColumn="0" w:oddVBand="0" w:evenVBand="0" w:oddHBand="0" w:evenHBand="0" w:firstRowFirstColumn="0" w:firstRowLastColumn="0" w:lastRowFirstColumn="0" w:lastRowLastColumn="0"/>
        </w:trPr>
        <w:tc>
          <w:tcPr>
            <w:tcW w:w="2721" w:type="pct"/>
            <w:hideMark/>
          </w:tcPr>
          <w:p w14:paraId="63C2E3AC" w14:textId="77777777" w:rsidR="001D77B5" w:rsidRPr="00B349CA" w:rsidRDefault="001D77B5" w:rsidP="00B349CA">
            <w:pPr>
              <w:spacing w:after="0" w:line="252" w:lineRule="auto"/>
              <w:rPr>
                <w:rFonts w:asciiTheme="minorHAnsi" w:hAnsiTheme="minorHAnsi" w:cstheme="minorHAnsi"/>
              </w:rPr>
            </w:pPr>
            <w:r w:rsidRPr="00B349CA">
              <w:rPr>
                <w:rFonts w:asciiTheme="minorHAnsi" w:hAnsiTheme="minorHAnsi" w:cstheme="minorHAnsi"/>
              </w:rPr>
              <w:t>Gender</w:t>
            </w:r>
            <w:r w:rsidRPr="00B349CA">
              <w:rPr>
                <w:rFonts w:asciiTheme="minorHAnsi" w:hAnsiTheme="minorHAnsi" w:cstheme="minorHAnsi"/>
                <w:vertAlign w:val="superscript"/>
              </w:rPr>
              <w:t>1</w:t>
            </w:r>
          </w:p>
        </w:tc>
        <w:tc>
          <w:tcPr>
            <w:tcW w:w="1140" w:type="pct"/>
            <w:vAlign w:val="top"/>
            <w:hideMark/>
          </w:tcPr>
          <w:p w14:paraId="46A51EE4" w14:textId="77777777" w:rsidR="001D77B5" w:rsidRPr="00B349CA" w:rsidRDefault="001D77B5" w:rsidP="00590AE9">
            <w:pPr>
              <w:spacing w:after="0" w:line="252" w:lineRule="auto"/>
              <w:rPr>
                <w:rFonts w:asciiTheme="minorHAnsi" w:hAnsiTheme="minorHAnsi" w:cstheme="minorHAnsi"/>
                <w:b w:val="0"/>
              </w:rPr>
            </w:pPr>
            <w:r w:rsidRPr="00B349CA">
              <w:rPr>
                <w:rFonts w:asciiTheme="minorHAnsi" w:hAnsiTheme="minorHAnsi" w:cstheme="minorHAnsi"/>
              </w:rPr>
              <w:t>Number</w:t>
            </w:r>
          </w:p>
          <w:p w14:paraId="479EEFC3" w14:textId="77777777" w:rsidR="001D77B5" w:rsidRPr="00B349CA" w:rsidRDefault="001D77B5" w:rsidP="00590AE9">
            <w:pPr>
              <w:spacing w:after="0" w:line="252" w:lineRule="auto"/>
              <w:rPr>
                <w:rFonts w:asciiTheme="minorHAnsi" w:hAnsiTheme="minorHAnsi" w:cstheme="minorHAnsi"/>
              </w:rPr>
            </w:pPr>
            <w:r w:rsidRPr="00B349CA">
              <w:rPr>
                <w:rFonts w:asciiTheme="minorHAnsi" w:hAnsiTheme="minorHAnsi" w:cstheme="minorHAnsi"/>
                <w:b w:val="0"/>
                <w:bCs/>
              </w:rPr>
              <w:t>(Headcount)</w:t>
            </w:r>
          </w:p>
        </w:tc>
        <w:tc>
          <w:tcPr>
            <w:tcW w:w="1139" w:type="pct"/>
            <w:vAlign w:val="top"/>
            <w:hideMark/>
          </w:tcPr>
          <w:p w14:paraId="3760EB00" w14:textId="77777777" w:rsidR="001D77B5" w:rsidRPr="00B349CA" w:rsidRDefault="001D77B5" w:rsidP="00590AE9">
            <w:pPr>
              <w:spacing w:after="0" w:line="252" w:lineRule="auto"/>
              <w:rPr>
                <w:rFonts w:asciiTheme="minorHAnsi" w:hAnsiTheme="minorHAnsi" w:cstheme="minorHAnsi"/>
                <w:b w:val="0"/>
              </w:rPr>
            </w:pPr>
            <w:r w:rsidRPr="00B349CA">
              <w:rPr>
                <w:rFonts w:asciiTheme="minorHAnsi" w:hAnsiTheme="minorHAnsi" w:cstheme="minorHAnsi"/>
              </w:rPr>
              <w:t>Percentage of total workforce</w:t>
            </w:r>
          </w:p>
          <w:p w14:paraId="1C242CB4" w14:textId="77777777" w:rsidR="001D77B5" w:rsidRPr="00B349CA" w:rsidRDefault="001D77B5" w:rsidP="00590AE9">
            <w:pPr>
              <w:spacing w:after="0" w:line="252" w:lineRule="auto"/>
              <w:rPr>
                <w:rFonts w:asciiTheme="minorHAnsi" w:hAnsiTheme="minorHAnsi" w:cstheme="minorHAnsi"/>
              </w:rPr>
            </w:pPr>
            <w:r w:rsidRPr="00B349CA">
              <w:rPr>
                <w:rFonts w:asciiTheme="minorHAnsi" w:hAnsiTheme="minorHAnsi" w:cstheme="minorHAnsi"/>
                <w:b w:val="0"/>
                <w:bCs/>
              </w:rPr>
              <w:t>(calculated on headcount)</w:t>
            </w:r>
          </w:p>
        </w:tc>
      </w:tr>
      <w:tr w:rsidR="00F9716C" w:rsidRPr="00F9716C" w14:paraId="6D13E0F1" w14:textId="77777777" w:rsidTr="00CC240D">
        <w:tc>
          <w:tcPr>
            <w:tcW w:w="2721" w:type="pct"/>
            <w:hideMark/>
          </w:tcPr>
          <w:p w14:paraId="7F15E664" w14:textId="77777777" w:rsidR="0005407C" w:rsidRPr="00B349CA" w:rsidRDefault="0005407C" w:rsidP="00B349CA">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Woman</w:t>
            </w:r>
          </w:p>
        </w:tc>
        <w:tc>
          <w:tcPr>
            <w:tcW w:w="1140" w:type="pct"/>
            <w:hideMark/>
          </w:tcPr>
          <w:p w14:paraId="06348EF4" w14:textId="02AF1CCB" w:rsidR="0005407C" w:rsidRPr="00B349CA" w:rsidRDefault="0005407C" w:rsidP="0005407C">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202</w:t>
            </w:r>
          </w:p>
        </w:tc>
        <w:tc>
          <w:tcPr>
            <w:tcW w:w="1139" w:type="pct"/>
            <w:hideMark/>
          </w:tcPr>
          <w:p w14:paraId="295CED99" w14:textId="07AAA3A3" w:rsidR="0005407C" w:rsidRPr="00B349CA" w:rsidRDefault="0005407C" w:rsidP="0005407C">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55.2%</w:t>
            </w:r>
          </w:p>
        </w:tc>
      </w:tr>
      <w:tr w:rsidR="00F9716C" w:rsidRPr="00F9716C" w14:paraId="2D064858" w14:textId="77777777" w:rsidTr="00CC240D">
        <w:tc>
          <w:tcPr>
            <w:tcW w:w="2721" w:type="pct"/>
            <w:hideMark/>
          </w:tcPr>
          <w:p w14:paraId="2EA98001" w14:textId="77777777" w:rsidR="0005407C" w:rsidRPr="00B349CA" w:rsidRDefault="0005407C" w:rsidP="00B349CA">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Man</w:t>
            </w:r>
          </w:p>
        </w:tc>
        <w:tc>
          <w:tcPr>
            <w:tcW w:w="1140" w:type="pct"/>
            <w:hideMark/>
          </w:tcPr>
          <w:p w14:paraId="37A062FB" w14:textId="12F052F2" w:rsidR="0005407C" w:rsidRPr="00B349CA" w:rsidRDefault="0005407C" w:rsidP="0005407C">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164</w:t>
            </w:r>
          </w:p>
        </w:tc>
        <w:tc>
          <w:tcPr>
            <w:tcW w:w="1139" w:type="pct"/>
            <w:hideMark/>
          </w:tcPr>
          <w:p w14:paraId="1F020F00" w14:textId="3854567E" w:rsidR="0005407C" w:rsidRPr="00B349CA" w:rsidRDefault="0005407C" w:rsidP="0005407C">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44.8%</w:t>
            </w:r>
          </w:p>
        </w:tc>
      </w:tr>
      <w:tr w:rsidR="00F9716C" w:rsidRPr="00F9716C" w14:paraId="0C111117" w14:textId="77777777" w:rsidTr="00CC240D">
        <w:tc>
          <w:tcPr>
            <w:tcW w:w="2721" w:type="pct"/>
            <w:hideMark/>
          </w:tcPr>
          <w:p w14:paraId="65122D89" w14:textId="77777777" w:rsidR="001D77B5" w:rsidRPr="00B349CA" w:rsidRDefault="001D77B5" w:rsidP="00B349CA">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Non-binary</w:t>
            </w:r>
          </w:p>
        </w:tc>
        <w:tc>
          <w:tcPr>
            <w:tcW w:w="1140" w:type="pct"/>
            <w:hideMark/>
          </w:tcPr>
          <w:p w14:paraId="0569CB3F" w14:textId="0D96DC4E" w:rsidR="001D77B5" w:rsidRPr="00B349CA" w:rsidRDefault="00574037" w:rsidP="00590AE9">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0</w:t>
            </w:r>
          </w:p>
        </w:tc>
        <w:tc>
          <w:tcPr>
            <w:tcW w:w="1139" w:type="pct"/>
            <w:hideMark/>
          </w:tcPr>
          <w:p w14:paraId="46A6E7A2" w14:textId="77777777" w:rsidR="001D77B5" w:rsidRPr="00B349CA" w:rsidRDefault="001D77B5" w:rsidP="00590AE9">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0%</w:t>
            </w:r>
          </w:p>
        </w:tc>
      </w:tr>
    </w:tbl>
    <w:p w14:paraId="05C94DAA" w14:textId="6F1FC922" w:rsidR="001D77B5" w:rsidRPr="00F9716C" w:rsidRDefault="001D77B5" w:rsidP="001D77B5">
      <w:pPr>
        <w:pStyle w:val="Notes"/>
        <w:spacing w:before="120"/>
        <w:ind w:left="360" w:hanging="360"/>
        <w:rPr>
          <w:rFonts w:cs="Calibri Light"/>
          <w:sz w:val="20"/>
          <w:szCs w:val="20"/>
        </w:rPr>
      </w:pPr>
      <w:r w:rsidRPr="00F9716C">
        <w:t>Note:</w:t>
      </w:r>
    </w:p>
    <w:p w14:paraId="3FFE4CA8" w14:textId="11B253E4" w:rsidR="001D77B5" w:rsidRPr="00B349CA" w:rsidRDefault="001D77B5" w:rsidP="00346C70">
      <w:pPr>
        <w:pStyle w:val="Notes"/>
        <w:numPr>
          <w:ilvl w:val="0"/>
          <w:numId w:val="48"/>
        </w:numPr>
        <w:suppressAutoHyphens w:val="0"/>
        <w:adjustRightInd/>
        <w:spacing w:after="120"/>
        <w:ind w:left="357" w:hanging="357"/>
        <w:textAlignment w:val="auto"/>
        <w:rPr>
          <w:rFonts w:eastAsia="Times New Roman"/>
          <w:lang w:eastAsia="en-AU"/>
        </w:rPr>
      </w:pPr>
      <w:r w:rsidRPr="00F9716C">
        <w:t>Data is based on employees who have voluntarily disclosed this information to us.</w:t>
      </w:r>
    </w:p>
    <w:p w14:paraId="19CFA3C6" w14:textId="133F9A51" w:rsidR="001D77B5" w:rsidRPr="00F9716C" w:rsidRDefault="001D77B5" w:rsidP="00E41B49">
      <w:pPr>
        <w:pStyle w:val="Figuretableheading0"/>
      </w:pPr>
      <w:r w:rsidRPr="00F9716C">
        <w:t>Table</w:t>
      </w:r>
      <w:r w:rsidR="000D20E4" w:rsidRPr="00F9716C">
        <w:t xml:space="preserve"> </w:t>
      </w:r>
      <w:r w:rsidR="00201651" w:rsidRPr="00F9716C">
        <w:t>7</w:t>
      </w:r>
      <w:r w:rsidRPr="00F9716C">
        <w:t>: Diversity target group data</w:t>
      </w:r>
    </w:p>
    <w:tbl>
      <w:tblPr>
        <w:tblStyle w:val="Annualreport2020-21"/>
        <w:tblW w:w="5000" w:type="pct"/>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5240"/>
        <w:gridCol w:w="2195"/>
        <w:gridCol w:w="2193"/>
      </w:tblGrid>
      <w:tr w:rsidR="00F9716C" w:rsidRPr="00F9716C" w14:paraId="7C4321DF" w14:textId="77777777" w:rsidTr="00CC240D">
        <w:trPr>
          <w:cnfStyle w:val="100000000000" w:firstRow="1" w:lastRow="0" w:firstColumn="0" w:lastColumn="0" w:oddVBand="0" w:evenVBand="0" w:oddHBand="0" w:evenHBand="0" w:firstRowFirstColumn="0" w:firstRowLastColumn="0" w:lastRowFirstColumn="0" w:lastRowLastColumn="0"/>
        </w:trPr>
        <w:tc>
          <w:tcPr>
            <w:tcW w:w="2721" w:type="pct"/>
            <w:hideMark/>
          </w:tcPr>
          <w:p w14:paraId="4DCA9522" w14:textId="77777777" w:rsidR="001D77B5" w:rsidRPr="00F9716C" w:rsidRDefault="001D77B5" w:rsidP="00B349CA">
            <w:pPr>
              <w:spacing w:after="0" w:line="252" w:lineRule="auto"/>
              <w:jc w:val="left"/>
              <w:rPr>
                <w:rFonts w:asciiTheme="majorHAnsi" w:hAnsiTheme="majorHAnsi" w:cstheme="majorHAnsi"/>
                <w:sz w:val="22"/>
              </w:rPr>
            </w:pPr>
            <w:r w:rsidRPr="00F9716C">
              <w:rPr>
                <w:rFonts w:asciiTheme="majorHAnsi" w:hAnsiTheme="majorHAnsi" w:cstheme="majorHAnsi"/>
              </w:rPr>
              <w:t>Diversity Groups</w:t>
            </w:r>
            <w:r w:rsidRPr="00F9716C">
              <w:rPr>
                <w:rFonts w:asciiTheme="majorHAnsi" w:hAnsiTheme="majorHAnsi" w:cstheme="majorHAnsi"/>
                <w:vertAlign w:val="superscript"/>
              </w:rPr>
              <w:t>1</w:t>
            </w:r>
          </w:p>
        </w:tc>
        <w:tc>
          <w:tcPr>
            <w:tcW w:w="1140" w:type="pct"/>
            <w:vAlign w:val="top"/>
            <w:hideMark/>
          </w:tcPr>
          <w:p w14:paraId="6FC807A6" w14:textId="77777777" w:rsidR="001D77B5" w:rsidRPr="00F9716C" w:rsidRDefault="001D77B5" w:rsidP="00590AE9">
            <w:pPr>
              <w:spacing w:after="0" w:line="252" w:lineRule="auto"/>
              <w:rPr>
                <w:rFonts w:asciiTheme="majorHAnsi" w:hAnsiTheme="majorHAnsi" w:cstheme="majorHAnsi"/>
                <w:b w:val="0"/>
              </w:rPr>
            </w:pPr>
            <w:r w:rsidRPr="00F9716C">
              <w:rPr>
                <w:rFonts w:asciiTheme="majorHAnsi" w:hAnsiTheme="majorHAnsi" w:cstheme="majorHAnsi"/>
              </w:rPr>
              <w:t>Number</w:t>
            </w:r>
          </w:p>
          <w:p w14:paraId="67DA6463" w14:textId="77777777" w:rsidR="001D77B5" w:rsidRPr="00F9716C" w:rsidRDefault="001D77B5" w:rsidP="00590AE9">
            <w:pPr>
              <w:spacing w:after="0" w:line="252" w:lineRule="auto"/>
              <w:rPr>
                <w:rFonts w:asciiTheme="majorHAnsi" w:hAnsiTheme="majorHAnsi" w:cstheme="majorHAnsi"/>
              </w:rPr>
            </w:pPr>
            <w:r w:rsidRPr="00F9716C">
              <w:rPr>
                <w:rFonts w:asciiTheme="majorHAnsi" w:hAnsiTheme="majorHAnsi" w:cstheme="majorHAnsi"/>
                <w:b w:val="0"/>
                <w:bCs/>
              </w:rPr>
              <w:t>(Headcount)</w:t>
            </w:r>
          </w:p>
        </w:tc>
        <w:tc>
          <w:tcPr>
            <w:tcW w:w="1140" w:type="pct"/>
            <w:vAlign w:val="top"/>
            <w:hideMark/>
          </w:tcPr>
          <w:p w14:paraId="404A182F" w14:textId="77777777" w:rsidR="001D77B5" w:rsidRPr="00F9716C" w:rsidRDefault="001D77B5" w:rsidP="00590AE9">
            <w:pPr>
              <w:spacing w:after="0" w:line="252" w:lineRule="auto"/>
              <w:rPr>
                <w:rFonts w:asciiTheme="majorHAnsi" w:hAnsiTheme="majorHAnsi" w:cstheme="majorHAnsi"/>
                <w:bCs/>
              </w:rPr>
            </w:pPr>
            <w:r w:rsidRPr="00F9716C">
              <w:rPr>
                <w:rFonts w:asciiTheme="majorHAnsi" w:hAnsiTheme="majorHAnsi" w:cstheme="majorHAnsi"/>
              </w:rPr>
              <w:t>Percentage of total workforce</w:t>
            </w:r>
          </w:p>
          <w:p w14:paraId="758EA454" w14:textId="77777777" w:rsidR="001D77B5" w:rsidRPr="00F9716C" w:rsidRDefault="001D77B5" w:rsidP="00590AE9">
            <w:pPr>
              <w:spacing w:after="0" w:line="252" w:lineRule="auto"/>
              <w:rPr>
                <w:rFonts w:asciiTheme="majorHAnsi" w:hAnsiTheme="majorHAnsi" w:cstheme="majorHAnsi"/>
              </w:rPr>
            </w:pPr>
            <w:r w:rsidRPr="00F9716C">
              <w:rPr>
                <w:rFonts w:asciiTheme="majorHAnsi" w:hAnsiTheme="majorHAnsi" w:cstheme="majorHAnsi"/>
                <w:b w:val="0"/>
                <w:bCs/>
              </w:rPr>
              <w:t>(calculated on headcount)</w:t>
            </w:r>
          </w:p>
        </w:tc>
      </w:tr>
      <w:tr w:rsidR="00CC240D" w:rsidRPr="00F9716C" w14:paraId="4CBA3686" w14:textId="77777777" w:rsidTr="00CC240D">
        <w:tc>
          <w:tcPr>
            <w:tcW w:w="2721" w:type="pct"/>
            <w:shd w:val="clear" w:color="auto" w:fill="F2F2F2" w:themeFill="background1" w:themeFillShade="F2"/>
          </w:tcPr>
          <w:p w14:paraId="16468098" w14:textId="4D2BC8AC" w:rsidR="00CC240D" w:rsidRPr="00B349CA" w:rsidRDefault="00CC240D"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Woman</w:t>
            </w:r>
          </w:p>
        </w:tc>
        <w:tc>
          <w:tcPr>
            <w:tcW w:w="1140" w:type="pct"/>
            <w:shd w:val="clear" w:color="auto" w:fill="F2F2F2" w:themeFill="background1" w:themeFillShade="F2"/>
          </w:tcPr>
          <w:p w14:paraId="29BFFAC5" w14:textId="7AF2BC39" w:rsidR="00CC240D" w:rsidRPr="00B349CA" w:rsidRDefault="00CC240D"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202</w:t>
            </w:r>
          </w:p>
        </w:tc>
        <w:tc>
          <w:tcPr>
            <w:tcW w:w="1140" w:type="pct"/>
            <w:shd w:val="clear" w:color="auto" w:fill="F2F2F2" w:themeFill="background1" w:themeFillShade="F2"/>
          </w:tcPr>
          <w:p w14:paraId="45043035" w14:textId="2D2EE422" w:rsidR="00CC240D" w:rsidRPr="00B349CA" w:rsidRDefault="00CC240D"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55.1%</w:t>
            </w:r>
          </w:p>
        </w:tc>
      </w:tr>
      <w:tr w:rsidR="00F9716C" w:rsidRPr="00F9716C" w14:paraId="3ED86364" w14:textId="77777777" w:rsidTr="00CC240D">
        <w:tc>
          <w:tcPr>
            <w:tcW w:w="2721" w:type="pct"/>
            <w:hideMark/>
          </w:tcPr>
          <w:p w14:paraId="1FF10031" w14:textId="77777777" w:rsidR="001D77B5" w:rsidRPr="00B349CA" w:rsidRDefault="001D77B5" w:rsidP="00CC240D">
            <w:pPr>
              <w:spacing w:after="0" w:line="252" w:lineRule="auto"/>
              <w:jc w:val="right"/>
              <w:rPr>
                <w:rFonts w:asciiTheme="majorHAnsi" w:hAnsiTheme="majorHAnsi" w:cstheme="majorHAnsi"/>
                <w:sz w:val="18"/>
                <w:szCs w:val="20"/>
              </w:rPr>
            </w:pPr>
            <w:r w:rsidRPr="00B349CA">
              <w:rPr>
                <w:rFonts w:asciiTheme="majorHAnsi" w:hAnsiTheme="majorHAnsi" w:cstheme="majorHAnsi"/>
                <w:sz w:val="18"/>
                <w:szCs w:val="20"/>
              </w:rPr>
              <w:t>Civilian</w:t>
            </w:r>
          </w:p>
          <w:p w14:paraId="7BA12307" w14:textId="77777777" w:rsidR="001D77B5" w:rsidRPr="00B349CA" w:rsidRDefault="001D77B5" w:rsidP="00CC240D">
            <w:pPr>
              <w:spacing w:after="0" w:line="252" w:lineRule="auto"/>
              <w:jc w:val="right"/>
              <w:rPr>
                <w:rFonts w:asciiTheme="majorHAnsi" w:hAnsiTheme="majorHAnsi" w:cstheme="majorHAnsi"/>
                <w:sz w:val="18"/>
                <w:szCs w:val="20"/>
              </w:rPr>
            </w:pPr>
            <w:r w:rsidRPr="00B349CA">
              <w:rPr>
                <w:rFonts w:asciiTheme="majorHAnsi" w:hAnsiTheme="majorHAnsi" w:cstheme="majorHAnsi"/>
                <w:sz w:val="18"/>
                <w:szCs w:val="20"/>
              </w:rPr>
              <w:t>Police</w:t>
            </w:r>
          </w:p>
        </w:tc>
        <w:tc>
          <w:tcPr>
            <w:tcW w:w="1140" w:type="pct"/>
            <w:hideMark/>
          </w:tcPr>
          <w:p w14:paraId="46291C36" w14:textId="2B1EBFEB" w:rsidR="001D77B5" w:rsidRPr="00B349CA" w:rsidRDefault="001D77B5"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18</w:t>
            </w:r>
            <w:r w:rsidR="0005407C" w:rsidRPr="00B349CA">
              <w:rPr>
                <w:rFonts w:asciiTheme="majorHAnsi" w:hAnsiTheme="majorHAnsi" w:cstheme="majorHAnsi"/>
                <w:sz w:val="18"/>
                <w:szCs w:val="20"/>
              </w:rPr>
              <w:t>9</w:t>
            </w:r>
          </w:p>
          <w:p w14:paraId="5F311D2B" w14:textId="55B558B6" w:rsidR="001D77B5" w:rsidRPr="00B349CA" w:rsidRDefault="001D77B5"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13</w:t>
            </w:r>
          </w:p>
        </w:tc>
        <w:tc>
          <w:tcPr>
            <w:tcW w:w="1140" w:type="pct"/>
            <w:hideMark/>
          </w:tcPr>
          <w:p w14:paraId="03095521" w14:textId="389D7183" w:rsidR="001D77B5" w:rsidRPr="00B349CA" w:rsidRDefault="001D77B5"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51</w:t>
            </w:r>
            <w:r w:rsidR="0005407C" w:rsidRPr="00B349CA">
              <w:rPr>
                <w:rFonts w:asciiTheme="majorHAnsi" w:hAnsiTheme="majorHAnsi" w:cstheme="majorHAnsi"/>
                <w:sz w:val="18"/>
                <w:szCs w:val="20"/>
              </w:rPr>
              <w:t>.6</w:t>
            </w:r>
            <w:r w:rsidRPr="00B349CA">
              <w:rPr>
                <w:rFonts w:asciiTheme="majorHAnsi" w:hAnsiTheme="majorHAnsi" w:cstheme="majorHAnsi"/>
                <w:sz w:val="18"/>
                <w:szCs w:val="20"/>
              </w:rPr>
              <w:t>%</w:t>
            </w:r>
          </w:p>
          <w:p w14:paraId="18137E13" w14:textId="0B188686" w:rsidR="001D77B5" w:rsidRPr="00B349CA" w:rsidRDefault="0005407C"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3.5</w:t>
            </w:r>
            <w:r w:rsidR="001D77B5" w:rsidRPr="00B349CA">
              <w:rPr>
                <w:rFonts w:asciiTheme="majorHAnsi" w:hAnsiTheme="majorHAnsi" w:cstheme="majorHAnsi"/>
                <w:sz w:val="18"/>
                <w:szCs w:val="20"/>
              </w:rPr>
              <w:t>%</w:t>
            </w:r>
          </w:p>
        </w:tc>
      </w:tr>
      <w:tr w:rsidR="00F9716C" w:rsidRPr="00F9716C" w14:paraId="61D7BDE6" w14:textId="77777777" w:rsidTr="00CC240D">
        <w:tc>
          <w:tcPr>
            <w:tcW w:w="2721" w:type="pct"/>
            <w:shd w:val="clear" w:color="auto" w:fill="F2F2F2" w:themeFill="background1" w:themeFillShade="F2"/>
            <w:hideMark/>
          </w:tcPr>
          <w:p w14:paraId="0E69BE8F" w14:textId="77777777" w:rsidR="001D77B5" w:rsidRPr="00B349CA" w:rsidRDefault="001D77B5"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Aboriginal Peoples and Torres Strait Islander Peoples</w:t>
            </w:r>
          </w:p>
        </w:tc>
        <w:tc>
          <w:tcPr>
            <w:tcW w:w="1140" w:type="pct"/>
            <w:shd w:val="clear" w:color="auto" w:fill="F2F2F2" w:themeFill="background1" w:themeFillShade="F2"/>
            <w:hideMark/>
          </w:tcPr>
          <w:p w14:paraId="09C03584" w14:textId="77777777" w:rsidR="001D77B5" w:rsidRPr="00B349CA" w:rsidRDefault="001D77B5"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&lt;5</w:t>
            </w:r>
          </w:p>
        </w:tc>
        <w:tc>
          <w:tcPr>
            <w:tcW w:w="1140" w:type="pct"/>
            <w:shd w:val="clear" w:color="auto" w:fill="F2F2F2" w:themeFill="background1" w:themeFillShade="F2"/>
            <w:hideMark/>
          </w:tcPr>
          <w:p w14:paraId="2DD1B9F5" w14:textId="4A02ACAC" w:rsidR="001D77B5" w:rsidRPr="00B349CA" w:rsidRDefault="001D77B5"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1%</w:t>
            </w:r>
          </w:p>
        </w:tc>
      </w:tr>
      <w:tr w:rsidR="00F9716C" w:rsidRPr="00F9716C" w14:paraId="7A7D8EED" w14:textId="77777777" w:rsidTr="00CC240D">
        <w:tc>
          <w:tcPr>
            <w:tcW w:w="2721" w:type="pct"/>
            <w:hideMark/>
          </w:tcPr>
          <w:p w14:paraId="2C9D0EDA" w14:textId="77777777" w:rsidR="001D77B5" w:rsidRPr="00B349CA" w:rsidRDefault="001D77B5"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People with disability</w:t>
            </w:r>
          </w:p>
        </w:tc>
        <w:tc>
          <w:tcPr>
            <w:tcW w:w="1140" w:type="pct"/>
            <w:hideMark/>
          </w:tcPr>
          <w:p w14:paraId="204F830F" w14:textId="6B51ECEF" w:rsidR="001D77B5" w:rsidRPr="00B349CA" w:rsidRDefault="001D77B5"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&lt;10</w:t>
            </w:r>
          </w:p>
        </w:tc>
        <w:tc>
          <w:tcPr>
            <w:tcW w:w="1140" w:type="pct"/>
            <w:hideMark/>
          </w:tcPr>
          <w:p w14:paraId="2563A354" w14:textId="63A72E14" w:rsidR="001D77B5" w:rsidRPr="00B349CA" w:rsidRDefault="001D77B5"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2%</w:t>
            </w:r>
          </w:p>
        </w:tc>
      </w:tr>
      <w:tr w:rsidR="00F9716C" w:rsidRPr="00F9716C" w14:paraId="5F4D4AD9" w14:textId="77777777" w:rsidTr="00CC240D">
        <w:tc>
          <w:tcPr>
            <w:tcW w:w="2721" w:type="pct"/>
            <w:shd w:val="clear" w:color="auto" w:fill="F2F2F2" w:themeFill="background1" w:themeFillShade="F2"/>
            <w:hideMark/>
          </w:tcPr>
          <w:p w14:paraId="3DE109E4" w14:textId="77777777" w:rsidR="001D77B5" w:rsidRPr="00B349CA" w:rsidRDefault="001D77B5"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Culturally and Linguistically Diverse – Speak a language at home other than English</w:t>
            </w:r>
            <w:r w:rsidRPr="00B349CA">
              <w:rPr>
                <w:rFonts w:asciiTheme="majorHAnsi" w:hAnsiTheme="majorHAnsi" w:cstheme="majorHAnsi"/>
                <w:sz w:val="18"/>
                <w:szCs w:val="20"/>
                <w:vertAlign w:val="superscript"/>
              </w:rPr>
              <w:t>2</w:t>
            </w:r>
          </w:p>
        </w:tc>
        <w:tc>
          <w:tcPr>
            <w:tcW w:w="1140" w:type="pct"/>
            <w:shd w:val="clear" w:color="auto" w:fill="F2F2F2" w:themeFill="background1" w:themeFillShade="F2"/>
            <w:hideMark/>
          </w:tcPr>
          <w:p w14:paraId="7D4549F7" w14:textId="274974CB" w:rsidR="001D77B5" w:rsidRPr="00B349CA" w:rsidRDefault="001D77B5"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1</w:t>
            </w:r>
            <w:r w:rsidR="0005407C" w:rsidRPr="00B349CA">
              <w:rPr>
                <w:rFonts w:asciiTheme="majorHAnsi" w:hAnsiTheme="majorHAnsi" w:cstheme="majorHAnsi"/>
                <w:sz w:val="18"/>
                <w:szCs w:val="20"/>
              </w:rPr>
              <w:t>4</w:t>
            </w:r>
          </w:p>
        </w:tc>
        <w:tc>
          <w:tcPr>
            <w:tcW w:w="1140" w:type="pct"/>
            <w:shd w:val="clear" w:color="auto" w:fill="F2F2F2" w:themeFill="background1" w:themeFillShade="F2"/>
            <w:hideMark/>
          </w:tcPr>
          <w:p w14:paraId="66337646" w14:textId="20A0E147" w:rsidR="001D77B5" w:rsidRPr="00B349CA" w:rsidRDefault="001D77B5"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4%</w:t>
            </w:r>
          </w:p>
        </w:tc>
      </w:tr>
    </w:tbl>
    <w:p w14:paraId="333D447E" w14:textId="77777777" w:rsidR="001D77B5" w:rsidRPr="00F9716C" w:rsidRDefault="001D77B5" w:rsidP="001D77B5">
      <w:pPr>
        <w:pStyle w:val="Notes"/>
        <w:spacing w:before="120"/>
        <w:rPr>
          <w:rFonts w:cs="Calibri Light"/>
          <w:sz w:val="20"/>
          <w:szCs w:val="20"/>
        </w:rPr>
      </w:pPr>
      <w:r w:rsidRPr="00F9716C">
        <w:t>Notes:</w:t>
      </w:r>
    </w:p>
    <w:p w14:paraId="5079718F" w14:textId="77777777" w:rsidR="001D77B5" w:rsidRPr="00F9716C" w:rsidRDefault="001D77B5" w:rsidP="002F23D4">
      <w:pPr>
        <w:pStyle w:val="Notes"/>
        <w:numPr>
          <w:ilvl w:val="0"/>
          <w:numId w:val="49"/>
        </w:numPr>
        <w:suppressAutoHyphens w:val="0"/>
        <w:adjustRightInd/>
        <w:textAlignment w:val="auto"/>
        <w:rPr>
          <w:rFonts w:eastAsia="Times New Roman"/>
          <w:lang w:eastAsia="en-AU"/>
        </w:rPr>
      </w:pPr>
      <w:r w:rsidRPr="00F9716C">
        <w:t>Data is based on employees who have voluntarily disclosed this information to us.</w:t>
      </w:r>
    </w:p>
    <w:p w14:paraId="36DDD94D" w14:textId="3E276167" w:rsidR="001D77B5" w:rsidRPr="00B349CA" w:rsidRDefault="001D77B5" w:rsidP="002F23D4">
      <w:pPr>
        <w:pStyle w:val="Notes"/>
        <w:numPr>
          <w:ilvl w:val="0"/>
          <w:numId w:val="49"/>
        </w:numPr>
        <w:suppressAutoHyphens w:val="0"/>
        <w:adjustRightInd/>
        <w:spacing w:after="120"/>
        <w:ind w:left="357" w:hanging="357"/>
        <w:textAlignment w:val="auto"/>
      </w:pPr>
      <w:r w:rsidRPr="00F9716C">
        <w:t>This includes Aboriginal and Torres Strait Islander languages or Australian South Sea Islander languages spoken at home.</w:t>
      </w:r>
    </w:p>
    <w:p w14:paraId="77E636EF" w14:textId="43E91800" w:rsidR="001D77B5" w:rsidRPr="00F9716C" w:rsidRDefault="001D77B5" w:rsidP="00E41B49">
      <w:pPr>
        <w:pStyle w:val="Figuretableheading0"/>
      </w:pPr>
      <w:r w:rsidRPr="00F9716C">
        <w:t xml:space="preserve">Table </w:t>
      </w:r>
      <w:r w:rsidR="00201651" w:rsidRPr="00F9716C">
        <w:t>8</w:t>
      </w:r>
      <w:r w:rsidRPr="00F9716C">
        <w:t>: Target group data for women in leadership roles</w:t>
      </w:r>
    </w:p>
    <w:tbl>
      <w:tblPr>
        <w:tblStyle w:val="Annualreport2020-21"/>
        <w:tblW w:w="5000" w:type="pct"/>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5240"/>
        <w:gridCol w:w="2274"/>
        <w:gridCol w:w="2114"/>
      </w:tblGrid>
      <w:tr w:rsidR="00F9716C" w:rsidRPr="00F9716C" w14:paraId="3521A837" w14:textId="77777777" w:rsidTr="00B349CA">
        <w:trPr>
          <w:cnfStyle w:val="100000000000" w:firstRow="1" w:lastRow="0" w:firstColumn="0" w:lastColumn="0" w:oddVBand="0" w:evenVBand="0" w:oddHBand="0" w:evenHBand="0" w:firstRowFirstColumn="0" w:firstRowLastColumn="0" w:lastRowFirstColumn="0" w:lastRowLastColumn="0"/>
        </w:trPr>
        <w:tc>
          <w:tcPr>
            <w:tcW w:w="2721" w:type="pct"/>
          </w:tcPr>
          <w:p w14:paraId="55D67877" w14:textId="77777777" w:rsidR="001D77B5" w:rsidRPr="00F9716C" w:rsidRDefault="001D77B5" w:rsidP="00590AE9">
            <w:pPr>
              <w:spacing w:after="0" w:line="252" w:lineRule="auto"/>
              <w:rPr>
                <w:rFonts w:asciiTheme="majorHAnsi" w:hAnsiTheme="majorHAnsi" w:cstheme="majorHAnsi"/>
              </w:rPr>
            </w:pPr>
          </w:p>
        </w:tc>
        <w:tc>
          <w:tcPr>
            <w:tcW w:w="1181" w:type="pct"/>
            <w:vAlign w:val="top"/>
            <w:hideMark/>
          </w:tcPr>
          <w:p w14:paraId="1FD860FF" w14:textId="77777777" w:rsidR="001D77B5" w:rsidRPr="00F9716C" w:rsidRDefault="001D77B5" w:rsidP="00590AE9">
            <w:pPr>
              <w:spacing w:after="0" w:line="252" w:lineRule="auto"/>
              <w:rPr>
                <w:rFonts w:asciiTheme="majorHAnsi" w:hAnsiTheme="majorHAnsi" w:cstheme="majorHAnsi"/>
              </w:rPr>
            </w:pPr>
            <w:r w:rsidRPr="00F9716C">
              <w:rPr>
                <w:rFonts w:asciiTheme="majorHAnsi" w:hAnsiTheme="majorHAnsi" w:cstheme="majorHAnsi"/>
              </w:rPr>
              <w:t>Women</w:t>
            </w:r>
          </w:p>
          <w:p w14:paraId="4B0DE277" w14:textId="77777777" w:rsidR="001D77B5" w:rsidRPr="00F9716C" w:rsidRDefault="001D77B5" w:rsidP="00590AE9">
            <w:pPr>
              <w:spacing w:after="0" w:line="252" w:lineRule="auto"/>
              <w:rPr>
                <w:rFonts w:asciiTheme="majorHAnsi" w:hAnsiTheme="majorHAnsi" w:cstheme="majorHAnsi"/>
              </w:rPr>
            </w:pPr>
            <w:r w:rsidRPr="00F9716C">
              <w:rPr>
                <w:rFonts w:asciiTheme="majorHAnsi" w:hAnsiTheme="majorHAnsi" w:cstheme="majorHAnsi"/>
                <w:b w:val="0"/>
                <w:bCs/>
              </w:rPr>
              <w:t>(Headcount)</w:t>
            </w:r>
            <w:r w:rsidRPr="00F9716C">
              <w:rPr>
                <w:rFonts w:asciiTheme="majorHAnsi" w:hAnsiTheme="majorHAnsi" w:cstheme="majorHAnsi"/>
                <w:b w:val="0"/>
                <w:bCs/>
                <w:vertAlign w:val="superscript"/>
              </w:rPr>
              <w:t>1</w:t>
            </w:r>
          </w:p>
        </w:tc>
        <w:tc>
          <w:tcPr>
            <w:tcW w:w="1098" w:type="pct"/>
            <w:vAlign w:val="top"/>
            <w:hideMark/>
          </w:tcPr>
          <w:p w14:paraId="6EB5C22C" w14:textId="77777777" w:rsidR="001D77B5" w:rsidRPr="00F9716C" w:rsidRDefault="001D77B5" w:rsidP="00590AE9">
            <w:pPr>
              <w:spacing w:after="0" w:line="252" w:lineRule="auto"/>
              <w:rPr>
                <w:rFonts w:asciiTheme="majorHAnsi" w:hAnsiTheme="majorHAnsi" w:cstheme="majorHAnsi"/>
              </w:rPr>
            </w:pPr>
            <w:r w:rsidRPr="00F9716C">
              <w:rPr>
                <w:rFonts w:asciiTheme="majorHAnsi" w:hAnsiTheme="majorHAnsi" w:cstheme="majorHAnsi"/>
              </w:rPr>
              <w:t>Women as percentage of total leadership cohort</w:t>
            </w:r>
          </w:p>
          <w:p w14:paraId="4DE7151C" w14:textId="77777777" w:rsidR="001D77B5" w:rsidRPr="00F9716C" w:rsidRDefault="001D77B5" w:rsidP="00590AE9">
            <w:pPr>
              <w:spacing w:after="0" w:line="252" w:lineRule="auto"/>
              <w:rPr>
                <w:rFonts w:asciiTheme="majorHAnsi" w:hAnsiTheme="majorHAnsi" w:cstheme="majorHAnsi"/>
              </w:rPr>
            </w:pPr>
            <w:r w:rsidRPr="00F9716C">
              <w:rPr>
                <w:rFonts w:asciiTheme="majorHAnsi" w:hAnsiTheme="majorHAnsi" w:cstheme="majorHAnsi"/>
                <w:b w:val="0"/>
                <w:bCs/>
              </w:rPr>
              <w:t>(calculated on headcount)</w:t>
            </w:r>
          </w:p>
        </w:tc>
      </w:tr>
      <w:tr w:rsidR="00CC240D" w:rsidRPr="00F9716C" w14:paraId="0469F7B6" w14:textId="77777777" w:rsidTr="00B349CA">
        <w:tc>
          <w:tcPr>
            <w:tcW w:w="2721" w:type="pct"/>
            <w:shd w:val="clear" w:color="auto" w:fill="F2F2F2" w:themeFill="background1" w:themeFillShade="F2"/>
          </w:tcPr>
          <w:p w14:paraId="60881A00" w14:textId="3A1286C4" w:rsidR="00CC240D" w:rsidRPr="00B349CA" w:rsidRDefault="00CC240D"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Senior Officers (Classified and s155</w:t>
            </w:r>
            <w:r w:rsidRPr="00B349CA">
              <w:rPr>
                <w:rFonts w:asciiTheme="majorHAnsi" w:hAnsiTheme="majorHAnsi" w:cstheme="majorHAnsi"/>
                <w:bCs/>
                <w:sz w:val="18"/>
                <w:szCs w:val="20"/>
                <w:vertAlign w:val="superscript"/>
              </w:rPr>
              <w:t>1</w:t>
            </w:r>
            <w:r w:rsidRPr="00B349CA">
              <w:rPr>
                <w:rFonts w:asciiTheme="majorHAnsi" w:hAnsiTheme="majorHAnsi" w:cstheme="majorHAnsi"/>
                <w:sz w:val="18"/>
                <w:szCs w:val="20"/>
              </w:rPr>
              <w:t xml:space="preserve"> equivalent combined)</w:t>
            </w:r>
          </w:p>
        </w:tc>
        <w:tc>
          <w:tcPr>
            <w:tcW w:w="1181" w:type="pct"/>
            <w:shd w:val="clear" w:color="auto" w:fill="F2F2F2" w:themeFill="background1" w:themeFillShade="F2"/>
          </w:tcPr>
          <w:p w14:paraId="605A5AE6" w14:textId="4CF3987C" w:rsidR="00CC240D" w:rsidRPr="00B349CA" w:rsidRDefault="00CC240D"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14</w:t>
            </w:r>
          </w:p>
        </w:tc>
        <w:tc>
          <w:tcPr>
            <w:tcW w:w="1098" w:type="pct"/>
            <w:shd w:val="clear" w:color="auto" w:fill="F2F2F2" w:themeFill="background1" w:themeFillShade="F2"/>
          </w:tcPr>
          <w:p w14:paraId="055E0EC9" w14:textId="7B23DBE2" w:rsidR="00CC240D" w:rsidRPr="00B349CA" w:rsidRDefault="00CC240D"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50%</w:t>
            </w:r>
          </w:p>
        </w:tc>
      </w:tr>
      <w:tr w:rsidR="00F9716C" w:rsidRPr="00F9716C" w14:paraId="309ED9AD" w14:textId="77777777" w:rsidTr="00B349CA">
        <w:tc>
          <w:tcPr>
            <w:tcW w:w="2721" w:type="pct"/>
            <w:hideMark/>
          </w:tcPr>
          <w:p w14:paraId="7CA32239" w14:textId="77777777" w:rsidR="001D77B5" w:rsidRPr="00B349CA" w:rsidRDefault="001D77B5" w:rsidP="00590AE9">
            <w:pPr>
              <w:spacing w:after="0" w:line="252" w:lineRule="auto"/>
              <w:jc w:val="right"/>
              <w:rPr>
                <w:rFonts w:asciiTheme="majorHAnsi" w:hAnsiTheme="majorHAnsi" w:cstheme="majorHAnsi"/>
                <w:sz w:val="18"/>
                <w:szCs w:val="20"/>
              </w:rPr>
            </w:pPr>
            <w:r w:rsidRPr="00B349CA">
              <w:rPr>
                <w:rFonts w:asciiTheme="majorHAnsi" w:hAnsiTheme="majorHAnsi" w:cstheme="majorHAnsi"/>
                <w:sz w:val="18"/>
                <w:szCs w:val="20"/>
              </w:rPr>
              <w:t>Civilian</w:t>
            </w:r>
          </w:p>
          <w:p w14:paraId="1964E7AF" w14:textId="77777777" w:rsidR="001D77B5" w:rsidRPr="00B349CA" w:rsidRDefault="001D77B5" w:rsidP="00590AE9">
            <w:pPr>
              <w:spacing w:after="0" w:line="252" w:lineRule="auto"/>
              <w:jc w:val="right"/>
              <w:rPr>
                <w:rFonts w:asciiTheme="majorHAnsi" w:hAnsiTheme="majorHAnsi" w:cstheme="majorHAnsi"/>
                <w:sz w:val="18"/>
                <w:szCs w:val="20"/>
              </w:rPr>
            </w:pPr>
            <w:r w:rsidRPr="00B349CA">
              <w:rPr>
                <w:rFonts w:asciiTheme="majorHAnsi" w:hAnsiTheme="majorHAnsi" w:cstheme="majorHAnsi"/>
                <w:sz w:val="18"/>
                <w:szCs w:val="20"/>
              </w:rPr>
              <w:t>Police</w:t>
            </w:r>
          </w:p>
        </w:tc>
        <w:tc>
          <w:tcPr>
            <w:tcW w:w="1181" w:type="pct"/>
            <w:hideMark/>
          </w:tcPr>
          <w:p w14:paraId="49AA8017" w14:textId="382DB1AD" w:rsidR="000000AE" w:rsidRPr="00B349CA" w:rsidRDefault="00574037"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1</w:t>
            </w:r>
            <w:r w:rsidR="001D77B5" w:rsidRPr="00B349CA">
              <w:rPr>
                <w:rFonts w:asciiTheme="majorHAnsi" w:hAnsiTheme="majorHAnsi" w:cstheme="majorHAnsi"/>
                <w:sz w:val="18"/>
                <w:szCs w:val="20"/>
              </w:rPr>
              <w:t>3</w:t>
            </w:r>
          </w:p>
          <w:p w14:paraId="3A0E53A7" w14:textId="2E5D6259" w:rsidR="001D77B5" w:rsidRPr="00B349CA" w:rsidRDefault="00574037"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1</w:t>
            </w:r>
          </w:p>
        </w:tc>
        <w:tc>
          <w:tcPr>
            <w:tcW w:w="1098" w:type="pct"/>
            <w:hideMark/>
          </w:tcPr>
          <w:p w14:paraId="2E04A840" w14:textId="3F7831D7" w:rsidR="001D77B5" w:rsidRPr="00B349CA" w:rsidRDefault="00574037"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46.</w:t>
            </w:r>
            <w:r w:rsidR="001E04EE" w:rsidRPr="00B349CA">
              <w:rPr>
                <w:rFonts w:asciiTheme="majorHAnsi" w:hAnsiTheme="majorHAnsi" w:cstheme="majorHAnsi"/>
                <w:sz w:val="18"/>
                <w:szCs w:val="20"/>
              </w:rPr>
              <w:t>4</w:t>
            </w:r>
            <w:r w:rsidR="001D77B5" w:rsidRPr="00B349CA">
              <w:rPr>
                <w:rFonts w:asciiTheme="majorHAnsi" w:hAnsiTheme="majorHAnsi" w:cstheme="majorHAnsi"/>
                <w:sz w:val="18"/>
                <w:szCs w:val="20"/>
              </w:rPr>
              <w:t>%</w:t>
            </w:r>
          </w:p>
          <w:p w14:paraId="03B778B8" w14:textId="17CACAEB" w:rsidR="001D77B5" w:rsidRPr="00B349CA" w:rsidRDefault="001E04EE"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3.6</w:t>
            </w:r>
            <w:r w:rsidR="001D77B5" w:rsidRPr="00B349CA">
              <w:rPr>
                <w:rFonts w:asciiTheme="majorHAnsi" w:hAnsiTheme="majorHAnsi" w:cstheme="majorHAnsi"/>
                <w:sz w:val="18"/>
                <w:szCs w:val="20"/>
              </w:rPr>
              <w:t>%</w:t>
            </w:r>
          </w:p>
        </w:tc>
      </w:tr>
      <w:tr w:rsidR="00CC240D" w:rsidRPr="00F9716C" w14:paraId="7A916C08" w14:textId="77777777" w:rsidTr="00B349CA">
        <w:tc>
          <w:tcPr>
            <w:tcW w:w="2721" w:type="pct"/>
            <w:shd w:val="clear" w:color="auto" w:fill="F2F2F2" w:themeFill="background1" w:themeFillShade="F2"/>
          </w:tcPr>
          <w:p w14:paraId="726C057A" w14:textId="361CE786" w:rsidR="00CC240D" w:rsidRPr="00B349CA" w:rsidRDefault="00CC240D"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 xml:space="preserve">Senior Executive Service and Chief Executives </w:t>
            </w:r>
            <w:r w:rsidR="00B349CA" w:rsidRPr="00B349CA">
              <w:rPr>
                <w:rFonts w:asciiTheme="majorHAnsi" w:hAnsiTheme="majorHAnsi" w:cstheme="majorHAnsi"/>
                <w:sz w:val="18"/>
                <w:szCs w:val="20"/>
              </w:rPr>
              <w:br/>
            </w:r>
            <w:r w:rsidRPr="00B349CA">
              <w:rPr>
                <w:rFonts w:asciiTheme="majorHAnsi" w:hAnsiTheme="majorHAnsi" w:cstheme="majorHAnsi"/>
                <w:sz w:val="18"/>
                <w:szCs w:val="20"/>
              </w:rPr>
              <w:t>(Classified and s122</w:t>
            </w:r>
            <w:r w:rsidRPr="00B349CA">
              <w:rPr>
                <w:rFonts w:asciiTheme="majorHAnsi" w:hAnsiTheme="majorHAnsi" w:cstheme="majorHAnsi"/>
                <w:bCs/>
                <w:sz w:val="18"/>
                <w:szCs w:val="20"/>
                <w:vertAlign w:val="superscript"/>
              </w:rPr>
              <w:t>1</w:t>
            </w:r>
            <w:r w:rsidRPr="00B349CA">
              <w:rPr>
                <w:rFonts w:asciiTheme="majorHAnsi" w:hAnsiTheme="majorHAnsi" w:cstheme="majorHAnsi"/>
                <w:bCs/>
                <w:sz w:val="18"/>
                <w:szCs w:val="20"/>
              </w:rPr>
              <w:t xml:space="preserve"> </w:t>
            </w:r>
            <w:r w:rsidRPr="00B349CA">
              <w:rPr>
                <w:rFonts w:asciiTheme="majorHAnsi" w:hAnsiTheme="majorHAnsi" w:cstheme="majorHAnsi"/>
                <w:sz w:val="18"/>
                <w:szCs w:val="20"/>
              </w:rPr>
              <w:t>equivalent combined)</w:t>
            </w:r>
          </w:p>
        </w:tc>
        <w:tc>
          <w:tcPr>
            <w:tcW w:w="1181" w:type="pct"/>
            <w:shd w:val="clear" w:color="auto" w:fill="F2F2F2" w:themeFill="background1" w:themeFillShade="F2"/>
          </w:tcPr>
          <w:p w14:paraId="351AFC00" w14:textId="29B76AE8" w:rsidR="00CC240D" w:rsidRPr="00B349CA" w:rsidRDefault="00CC240D"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7</w:t>
            </w:r>
          </w:p>
        </w:tc>
        <w:tc>
          <w:tcPr>
            <w:tcW w:w="1098" w:type="pct"/>
            <w:shd w:val="clear" w:color="auto" w:fill="F2F2F2" w:themeFill="background1" w:themeFillShade="F2"/>
          </w:tcPr>
          <w:p w14:paraId="67426E61" w14:textId="7C8D1F38" w:rsidR="00CC240D" w:rsidRPr="00B349CA" w:rsidRDefault="00CC240D"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46.7%</w:t>
            </w:r>
          </w:p>
        </w:tc>
      </w:tr>
      <w:tr w:rsidR="00F9716C" w:rsidRPr="00F9716C" w14:paraId="3E66D208" w14:textId="77777777" w:rsidTr="00B349CA">
        <w:tc>
          <w:tcPr>
            <w:tcW w:w="2721" w:type="pct"/>
            <w:hideMark/>
          </w:tcPr>
          <w:p w14:paraId="10D4000A" w14:textId="77777777" w:rsidR="001D77B5" w:rsidRPr="00B349CA" w:rsidRDefault="001D77B5" w:rsidP="00590AE9">
            <w:pPr>
              <w:spacing w:after="0" w:line="252" w:lineRule="auto"/>
              <w:jc w:val="right"/>
              <w:rPr>
                <w:rFonts w:asciiTheme="majorHAnsi" w:hAnsiTheme="majorHAnsi" w:cstheme="majorHAnsi"/>
                <w:sz w:val="18"/>
                <w:szCs w:val="20"/>
              </w:rPr>
            </w:pPr>
            <w:r w:rsidRPr="00B349CA">
              <w:rPr>
                <w:rFonts w:asciiTheme="majorHAnsi" w:hAnsiTheme="majorHAnsi" w:cstheme="majorHAnsi"/>
                <w:sz w:val="18"/>
                <w:szCs w:val="20"/>
              </w:rPr>
              <w:t>Civilian</w:t>
            </w:r>
          </w:p>
          <w:p w14:paraId="301236A2" w14:textId="77777777" w:rsidR="001D77B5" w:rsidRPr="00B349CA" w:rsidRDefault="001D77B5" w:rsidP="00590AE9">
            <w:pPr>
              <w:spacing w:after="0" w:line="252" w:lineRule="auto"/>
              <w:jc w:val="right"/>
              <w:rPr>
                <w:rFonts w:asciiTheme="majorHAnsi" w:hAnsiTheme="majorHAnsi" w:cstheme="majorHAnsi"/>
                <w:sz w:val="18"/>
                <w:szCs w:val="20"/>
              </w:rPr>
            </w:pPr>
            <w:r w:rsidRPr="00B349CA">
              <w:rPr>
                <w:rFonts w:asciiTheme="majorHAnsi" w:hAnsiTheme="majorHAnsi" w:cstheme="majorHAnsi"/>
                <w:sz w:val="18"/>
                <w:szCs w:val="20"/>
              </w:rPr>
              <w:t>Police</w:t>
            </w:r>
          </w:p>
        </w:tc>
        <w:tc>
          <w:tcPr>
            <w:tcW w:w="1181" w:type="pct"/>
            <w:hideMark/>
          </w:tcPr>
          <w:p w14:paraId="54819930" w14:textId="4C061183" w:rsidR="000000AE" w:rsidRPr="00B349CA" w:rsidRDefault="00574037"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7</w:t>
            </w:r>
          </w:p>
          <w:p w14:paraId="098CD4AE" w14:textId="42FA4054" w:rsidR="001D77B5" w:rsidRPr="00B349CA" w:rsidRDefault="00574037"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0</w:t>
            </w:r>
          </w:p>
        </w:tc>
        <w:tc>
          <w:tcPr>
            <w:tcW w:w="1098" w:type="pct"/>
            <w:hideMark/>
          </w:tcPr>
          <w:p w14:paraId="5F8EFE66" w14:textId="4D58F0EA" w:rsidR="001D77B5" w:rsidRPr="00B349CA" w:rsidRDefault="001D77B5"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46.</w:t>
            </w:r>
            <w:r w:rsidR="001E04EE" w:rsidRPr="00B349CA">
              <w:rPr>
                <w:rFonts w:asciiTheme="majorHAnsi" w:hAnsiTheme="majorHAnsi" w:cstheme="majorHAnsi"/>
                <w:sz w:val="18"/>
                <w:szCs w:val="20"/>
              </w:rPr>
              <w:t>7</w:t>
            </w:r>
            <w:r w:rsidRPr="00B349CA">
              <w:rPr>
                <w:rFonts w:asciiTheme="majorHAnsi" w:hAnsiTheme="majorHAnsi" w:cstheme="majorHAnsi"/>
                <w:sz w:val="18"/>
                <w:szCs w:val="20"/>
              </w:rPr>
              <w:t>%</w:t>
            </w:r>
          </w:p>
          <w:p w14:paraId="0BC27749" w14:textId="0CE5820B" w:rsidR="001D77B5" w:rsidRPr="00B349CA" w:rsidRDefault="001E04EE" w:rsidP="00CC240D">
            <w:pPr>
              <w:spacing w:after="0" w:line="252" w:lineRule="auto"/>
              <w:jc w:val="center"/>
              <w:rPr>
                <w:rFonts w:asciiTheme="majorHAnsi" w:hAnsiTheme="majorHAnsi" w:cstheme="majorHAnsi"/>
                <w:sz w:val="18"/>
                <w:szCs w:val="20"/>
              </w:rPr>
            </w:pPr>
            <w:r w:rsidRPr="00B349CA">
              <w:rPr>
                <w:rFonts w:asciiTheme="majorHAnsi" w:hAnsiTheme="majorHAnsi" w:cstheme="majorHAnsi"/>
                <w:sz w:val="18"/>
                <w:szCs w:val="20"/>
              </w:rPr>
              <w:t>0</w:t>
            </w:r>
            <w:r w:rsidR="001D77B5" w:rsidRPr="00B349CA">
              <w:rPr>
                <w:rFonts w:asciiTheme="majorHAnsi" w:hAnsiTheme="majorHAnsi" w:cstheme="majorHAnsi"/>
                <w:sz w:val="18"/>
                <w:szCs w:val="20"/>
              </w:rPr>
              <w:t>%</w:t>
            </w:r>
          </w:p>
        </w:tc>
      </w:tr>
    </w:tbl>
    <w:p w14:paraId="099464B0" w14:textId="62F1AB24" w:rsidR="001D77B5" w:rsidRPr="00F9716C" w:rsidRDefault="001D77B5" w:rsidP="001D77B5">
      <w:pPr>
        <w:pStyle w:val="Notes"/>
        <w:spacing w:before="120"/>
        <w:ind w:left="360" w:hanging="360"/>
        <w:rPr>
          <w:rFonts w:cs="Calibri Light"/>
          <w:sz w:val="20"/>
          <w:szCs w:val="20"/>
        </w:rPr>
      </w:pPr>
      <w:r w:rsidRPr="00F9716C">
        <w:t>Note:</w:t>
      </w:r>
    </w:p>
    <w:p w14:paraId="1940BA5B" w14:textId="26461B96" w:rsidR="00B349CA" w:rsidRDefault="001D77B5" w:rsidP="002F23D4">
      <w:pPr>
        <w:pStyle w:val="Notes"/>
        <w:numPr>
          <w:ilvl w:val="0"/>
          <w:numId w:val="69"/>
        </w:numPr>
        <w:suppressAutoHyphens w:val="0"/>
        <w:adjustRightInd/>
        <w:spacing w:after="240"/>
        <w:textAlignment w:val="auto"/>
        <w:rPr>
          <w:rStyle w:val="8CrossrefChar"/>
          <w:lang w:eastAsia="en-AU"/>
        </w:rPr>
      </w:pPr>
      <w:r w:rsidRPr="00346C70">
        <w:rPr>
          <w:i/>
          <w:iCs/>
        </w:rPr>
        <w:t>Public Sector Act 2022</w:t>
      </w:r>
      <w:r w:rsidRPr="00F9716C">
        <w:t xml:space="preserve"> (Qld).</w:t>
      </w:r>
      <w:r w:rsidRPr="00F9716C">
        <w:rPr>
          <w:lang w:eastAsia="en-AU"/>
        </w:rPr>
        <w:t xml:space="preserve"> </w:t>
      </w:r>
    </w:p>
    <w:p w14:paraId="11E27DD0" w14:textId="30AA886E" w:rsidR="00F906C1" w:rsidRPr="00B349CA" w:rsidRDefault="001D77B5" w:rsidP="00346C70">
      <w:pPr>
        <w:pStyle w:val="8Crossref"/>
        <w:spacing w:before="0"/>
        <w:rPr>
          <w:lang w:eastAsia="en-AU"/>
        </w:rPr>
      </w:pPr>
      <w:r w:rsidRPr="00B349CA">
        <w:t xml:space="preserve">See pages </w:t>
      </w:r>
      <w:r w:rsidR="00986894" w:rsidRPr="00B349CA">
        <w:t>43</w:t>
      </w:r>
      <w:r w:rsidR="002215A2" w:rsidRPr="00B349CA">
        <w:t>-</w:t>
      </w:r>
      <w:r w:rsidR="00986894" w:rsidRPr="00B349CA">
        <w:t>47</w:t>
      </w:r>
      <w:r w:rsidRPr="00B349CA">
        <w:t xml:space="preserve"> for more information on our activities to support these </w:t>
      </w:r>
      <w:r w:rsidR="00CC240D" w:rsidRPr="00B349CA">
        <w:t>outcomes.</w:t>
      </w:r>
    </w:p>
    <w:p w14:paraId="4181C16A" w14:textId="7D6262C9" w:rsidR="00F906C1" w:rsidRPr="00F9716C" w:rsidRDefault="00F906C1" w:rsidP="00EC1069">
      <w:pPr>
        <w:rPr>
          <w:color w:val="414042" w:themeColor="text1"/>
          <w:lang w:eastAsia="en-AU"/>
        </w:rPr>
        <w:sectPr w:rsidR="00F906C1" w:rsidRPr="00F9716C" w:rsidSect="00C77834">
          <w:headerReference w:type="even" r:id="rId237"/>
          <w:headerReference w:type="default" r:id="rId238"/>
          <w:headerReference w:type="first" r:id="rId239"/>
          <w:type w:val="continuous"/>
          <w:pgSz w:w="11906" w:h="16838" w:code="9"/>
          <w:pgMar w:top="2155" w:right="1134" w:bottom="964" w:left="1134" w:header="720" w:footer="284" w:gutter="0"/>
          <w:cols w:space="567"/>
          <w:noEndnote/>
          <w:docGrid w:linePitch="272"/>
        </w:sectPr>
      </w:pPr>
    </w:p>
    <w:bookmarkStart w:id="1191" w:name="_Hlk174098157"/>
    <w:p w14:paraId="70D30862" w14:textId="63922537" w:rsidR="00EC1069" w:rsidRPr="00F9716C" w:rsidRDefault="00A52AF4" w:rsidP="00A52AF4">
      <w:pPr>
        <w:pStyle w:val="3Heading-highlight"/>
      </w:pPr>
      <w:r>
        <w:rPr>
          <w:spacing w:val="-4"/>
        </w:rPr>
        <mc:AlternateContent>
          <mc:Choice Requires="wps">
            <w:drawing>
              <wp:anchor distT="0" distB="0" distL="114300" distR="114300" simplePos="0" relativeHeight="252542976" behindDoc="0" locked="0" layoutInCell="1" allowOverlap="1" wp14:anchorId="17CDB034" wp14:editId="20968907">
                <wp:simplePos x="0" y="0"/>
                <wp:positionH relativeFrom="column">
                  <wp:posOffset>3239434</wp:posOffset>
                </wp:positionH>
                <wp:positionV relativeFrom="paragraph">
                  <wp:posOffset>322352</wp:posOffset>
                </wp:positionV>
                <wp:extent cx="2898475" cy="0"/>
                <wp:effectExtent l="0" t="0" r="0" b="0"/>
                <wp:wrapNone/>
                <wp:docPr id="915667217" name="Straight Connector 31"/>
                <wp:cNvGraphicFramePr/>
                <a:graphic xmlns:a="http://schemas.openxmlformats.org/drawingml/2006/main">
                  <a:graphicData uri="http://schemas.microsoft.com/office/word/2010/wordprocessingShape">
                    <wps:wsp>
                      <wps:cNvCnPr/>
                      <wps:spPr>
                        <a:xfrm>
                          <a:off x="0" y="0"/>
                          <a:ext cx="2898475"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8E7811" id="Straight Connector 31" o:spid="_x0000_s1026" style="position:absolute;z-index:25254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05pt,25.4pt" to="483.3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" strokecolor="#bcbec0 [3208]" strokeweight=".5pt">
                <v:stroke joinstyle="miter"/>
              </v:line>
            </w:pict>
          </mc:Fallback>
        </mc:AlternateContent>
      </w:r>
      <w:r w:rsidR="00EC1069" w:rsidRPr="00F9716C">
        <w:t>Workplace health and safety</w:t>
      </w:r>
    </w:p>
    <w:p w14:paraId="339B7996" w14:textId="77777777" w:rsidR="00C467F3" w:rsidRPr="00F9716C" w:rsidRDefault="00C467F3" w:rsidP="00A52AF4">
      <w:pPr>
        <w:ind w:right="-1"/>
        <w:rPr>
          <w:color w:val="414042" w:themeColor="text1"/>
          <w:spacing w:val="-4"/>
        </w:rPr>
      </w:pPr>
      <w:r w:rsidRPr="00F9716C">
        <w:rPr>
          <w:color w:val="414042" w:themeColor="text1"/>
          <w:spacing w:val="-4"/>
        </w:rPr>
        <w:t xml:space="preserve">We maintain a comprehensive workplace health and safety program consistent with the </w:t>
      </w:r>
      <w:r w:rsidRPr="00F9716C">
        <w:rPr>
          <w:i/>
          <w:iCs/>
          <w:color w:val="414042" w:themeColor="text1"/>
          <w:spacing w:val="-4"/>
        </w:rPr>
        <w:t>Work Health and Safety Act 2011</w:t>
      </w:r>
      <w:r w:rsidRPr="00F9716C">
        <w:rPr>
          <w:color w:val="414042" w:themeColor="text1"/>
          <w:spacing w:val="-4"/>
        </w:rPr>
        <w:t xml:space="preserve"> (Qld).</w:t>
      </w:r>
    </w:p>
    <w:p w14:paraId="7213B8B2" w14:textId="39BBACAE" w:rsidR="00B97377" w:rsidRPr="00F9716C" w:rsidRDefault="00B97377" w:rsidP="00A52AF4">
      <w:pPr>
        <w:spacing w:after="300"/>
        <w:rPr>
          <w:color w:val="414042" w:themeColor="text1"/>
          <w:spacing w:val="-4"/>
        </w:rPr>
      </w:pPr>
      <w:r w:rsidRPr="00F9716C">
        <w:rPr>
          <w:color w:val="414042" w:themeColor="text1"/>
          <w:spacing w:val="-4"/>
        </w:rPr>
        <w:t>In 2023–24 we managed 21 reported workplace health and safety incidents</w:t>
      </w:r>
      <w:r w:rsidR="00A73B4E" w:rsidRPr="00F9716C">
        <w:rPr>
          <w:color w:val="414042" w:themeColor="text1"/>
          <w:spacing w:val="-4"/>
        </w:rPr>
        <w:t>.</w:t>
      </w:r>
    </w:p>
    <w:p w14:paraId="10F803EE" w14:textId="7E067155" w:rsidR="00B97377" w:rsidRPr="00E01FCC" w:rsidRDefault="00A73B4E" w:rsidP="00E41B49">
      <w:pPr>
        <w:pStyle w:val="Figuretableheading0"/>
      </w:pPr>
      <w:r w:rsidRPr="00E01FCC">
        <w:t>Table 9: Reported Workplace health &amp; safety incidents</w:t>
      </w:r>
    </w:p>
    <w:tbl>
      <w:tblPr>
        <w:tblStyle w:val="TableGrid"/>
        <w:tblW w:w="4531" w:type="dxa"/>
        <w:tblLook w:val="04A0" w:firstRow="1" w:lastRow="0" w:firstColumn="1" w:lastColumn="0" w:noHBand="0" w:noVBand="1"/>
      </w:tblPr>
      <w:tblGrid>
        <w:gridCol w:w="2972"/>
        <w:gridCol w:w="1559"/>
      </w:tblGrid>
      <w:tr w:rsidR="00F9716C" w:rsidRPr="00B349CA" w14:paraId="731AA66B" w14:textId="77777777" w:rsidTr="00B349CA">
        <w:tc>
          <w:tcPr>
            <w:tcW w:w="2972"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2F2F2" w:themeFill="background1" w:themeFillShade="F2"/>
          </w:tcPr>
          <w:p w14:paraId="5D82F178" w14:textId="77777777" w:rsidR="00A73B4E" w:rsidRPr="00B349CA" w:rsidRDefault="00A73B4E" w:rsidP="00B349CA">
            <w:pPr>
              <w:spacing w:after="0" w:line="252" w:lineRule="auto"/>
              <w:jc w:val="center"/>
              <w:rPr>
                <w:rFonts w:asciiTheme="majorHAnsi" w:hAnsiTheme="majorHAnsi" w:cstheme="majorHAnsi"/>
                <w:b/>
                <w:bCs/>
                <w:color w:val="414042" w:themeColor="text1"/>
              </w:rPr>
            </w:pPr>
            <w:r w:rsidRPr="00B349CA">
              <w:rPr>
                <w:rFonts w:asciiTheme="majorHAnsi" w:hAnsiTheme="majorHAnsi" w:cstheme="majorHAnsi"/>
                <w:b/>
                <w:bCs/>
                <w:color w:val="414042" w:themeColor="text1"/>
              </w:rPr>
              <w:t>Category</w:t>
            </w:r>
          </w:p>
        </w:tc>
        <w:tc>
          <w:tcPr>
            <w:tcW w:w="1559"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2F2F2" w:themeFill="background1" w:themeFillShade="F2"/>
          </w:tcPr>
          <w:p w14:paraId="0376795D" w14:textId="77777777" w:rsidR="00A73B4E" w:rsidRPr="00B349CA" w:rsidRDefault="00A73B4E" w:rsidP="00B349CA">
            <w:pPr>
              <w:spacing w:after="0" w:line="252" w:lineRule="auto"/>
              <w:jc w:val="center"/>
              <w:rPr>
                <w:rFonts w:asciiTheme="majorHAnsi" w:hAnsiTheme="majorHAnsi" w:cstheme="majorHAnsi"/>
                <w:b/>
                <w:bCs/>
                <w:color w:val="414042" w:themeColor="text1"/>
              </w:rPr>
            </w:pPr>
            <w:r w:rsidRPr="00B349CA">
              <w:rPr>
                <w:rFonts w:asciiTheme="majorHAnsi" w:hAnsiTheme="majorHAnsi" w:cstheme="majorHAnsi"/>
                <w:b/>
                <w:bCs/>
                <w:color w:val="414042" w:themeColor="text1"/>
              </w:rPr>
              <w:t>Number</w:t>
            </w:r>
          </w:p>
        </w:tc>
      </w:tr>
      <w:tr w:rsidR="00F9716C" w:rsidRPr="00B349CA" w14:paraId="6F39A31A" w14:textId="77777777" w:rsidTr="006F5B74">
        <w:tc>
          <w:tcPr>
            <w:tcW w:w="2972"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606F5B91" w14:textId="77777777" w:rsidR="00A73B4E" w:rsidRPr="00E01FCC" w:rsidRDefault="00A73B4E" w:rsidP="00B349CA">
            <w:pPr>
              <w:spacing w:after="0" w:line="252" w:lineRule="auto"/>
              <w:jc w:val="center"/>
              <w:rPr>
                <w:rFonts w:asciiTheme="majorHAnsi" w:hAnsiTheme="majorHAnsi" w:cstheme="majorHAnsi"/>
                <w:color w:val="414042" w:themeColor="text1"/>
                <w:sz w:val="18"/>
                <w:szCs w:val="20"/>
              </w:rPr>
            </w:pPr>
            <w:r w:rsidRPr="00E01FCC">
              <w:rPr>
                <w:rFonts w:asciiTheme="majorHAnsi" w:hAnsiTheme="majorHAnsi" w:cstheme="majorHAnsi"/>
                <w:color w:val="414042" w:themeColor="text1"/>
                <w:sz w:val="18"/>
                <w:szCs w:val="20"/>
              </w:rPr>
              <w:t>Slips, trips and falls</w:t>
            </w:r>
          </w:p>
        </w:tc>
        <w:tc>
          <w:tcPr>
            <w:tcW w:w="1559"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2B18BDE4" w14:textId="10ABB5D8" w:rsidR="00A73B4E" w:rsidRPr="00E01FCC" w:rsidRDefault="00E90453" w:rsidP="00B349CA">
            <w:pPr>
              <w:spacing w:after="0" w:line="252" w:lineRule="auto"/>
              <w:jc w:val="center"/>
              <w:rPr>
                <w:rFonts w:asciiTheme="majorHAnsi" w:hAnsiTheme="majorHAnsi" w:cstheme="majorHAnsi"/>
                <w:color w:val="414042" w:themeColor="text1"/>
                <w:sz w:val="18"/>
                <w:szCs w:val="20"/>
              </w:rPr>
            </w:pPr>
            <w:r w:rsidRPr="00E01FCC">
              <w:rPr>
                <w:rFonts w:asciiTheme="majorHAnsi" w:hAnsiTheme="majorHAnsi" w:cstheme="majorHAnsi"/>
                <w:color w:val="414042" w:themeColor="text1"/>
                <w:sz w:val="18"/>
                <w:szCs w:val="20"/>
              </w:rPr>
              <w:t>6</w:t>
            </w:r>
          </w:p>
        </w:tc>
      </w:tr>
      <w:tr w:rsidR="00F9716C" w:rsidRPr="00B349CA" w14:paraId="68E6EB38" w14:textId="77777777" w:rsidTr="006F5B74">
        <w:tc>
          <w:tcPr>
            <w:tcW w:w="2972"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1132FD08" w14:textId="77777777" w:rsidR="00A73B4E" w:rsidRPr="00E01FCC" w:rsidRDefault="00A73B4E" w:rsidP="00B349CA">
            <w:pPr>
              <w:spacing w:after="0" w:line="252" w:lineRule="auto"/>
              <w:jc w:val="center"/>
              <w:rPr>
                <w:rFonts w:asciiTheme="majorHAnsi" w:hAnsiTheme="majorHAnsi" w:cstheme="majorHAnsi"/>
                <w:color w:val="414042" w:themeColor="text1"/>
                <w:sz w:val="18"/>
                <w:szCs w:val="20"/>
              </w:rPr>
            </w:pPr>
            <w:r w:rsidRPr="00E01FCC">
              <w:rPr>
                <w:rFonts w:asciiTheme="majorHAnsi" w:hAnsiTheme="majorHAnsi" w:cstheme="majorHAnsi"/>
                <w:color w:val="414042" w:themeColor="text1"/>
                <w:sz w:val="18"/>
                <w:szCs w:val="20"/>
              </w:rPr>
              <w:t>Body stressing</w:t>
            </w:r>
          </w:p>
        </w:tc>
        <w:tc>
          <w:tcPr>
            <w:tcW w:w="1559"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6C21D4A0" w14:textId="77777777" w:rsidR="00A73B4E" w:rsidRPr="00E01FCC" w:rsidRDefault="00A73B4E" w:rsidP="00B349CA">
            <w:pPr>
              <w:spacing w:after="0" w:line="252" w:lineRule="auto"/>
              <w:jc w:val="center"/>
              <w:rPr>
                <w:rFonts w:asciiTheme="majorHAnsi" w:hAnsiTheme="majorHAnsi" w:cstheme="majorHAnsi"/>
                <w:color w:val="414042" w:themeColor="text1"/>
                <w:sz w:val="18"/>
                <w:szCs w:val="20"/>
              </w:rPr>
            </w:pPr>
            <w:r w:rsidRPr="00E01FCC">
              <w:rPr>
                <w:rFonts w:asciiTheme="majorHAnsi" w:hAnsiTheme="majorHAnsi" w:cstheme="majorHAnsi"/>
                <w:color w:val="414042" w:themeColor="text1"/>
                <w:sz w:val="18"/>
                <w:szCs w:val="20"/>
              </w:rPr>
              <w:t>3</w:t>
            </w:r>
          </w:p>
        </w:tc>
      </w:tr>
      <w:tr w:rsidR="00F9716C" w:rsidRPr="00B349CA" w14:paraId="1F99EFB0" w14:textId="77777777" w:rsidTr="006F5B74">
        <w:tc>
          <w:tcPr>
            <w:tcW w:w="2972"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7DDAAF2A" w14:textId="77777777" w:rsidR="00A73B4E" w:rsidRPr="00E01FCC" w:rsidRDefault="00A73B4E" w:rsidP="00B349CA">
            <w:pPr>
              <w:spacing w:after="0" w:line="252" w:lineRule="auto"/>
              <w:jc w:val="center"/>
              <w:rPr>
                <w:rFonts w:asciiTheme="majorHAnsi" w:hAnsiTheme="majorHAnsi" w:cstheme="majorHAnsi"/>
                <w:color w:val="414042" w:themeColor="text1"/>
                <w:sz w:val="18"/>
                <w:szCs w:val="20"/>
              </w:rPr>
            </w:pPr>
            <w:r w:rsidRPr="00E01FCC">
              <w:rPr>
                <w:rFonts w:asciiTheme="majorHAnsi" w:hAnsiTheme="majorHAnsi" w:cstheme="majorHAnsi"/>
                <w:color w:val="414042" w:themeColor="text1"/>
                <w:sz w:val="18"/>
                <w:szCs w:val="20"/>
              </w:rPr>
              <w:t>Hit/hit by object</w:t>
            </w:r>
          </w:p>
        </w:tc>
        <w:tc>
          <w:tcPr>
            <w:tcW w:w="1559"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497EC6B5" w14:textId="77777777" w:rsidR="00A73B4E" w:rsidRPr="00E01FCC" w:rsidRDefault="00A73B4E" w:rsidP="00B349CA">
            <w:pPr>
              <w:spacing w:after="0" w:line="252" w:lineRule="auto"/>
              <w:jc w:val="center"/>
              <w:rPr>
                <w:rFonts w:asciiTheme="majorHAnsi" w:hAnsiTheme="majorHAnsi" w:cstheme="majorHAnsi"/>
                <w:color w:val="414042" w:themeColor="text1"/>
                <w:sz w:val="18"/>
                <w:szCs w:val="20"/>
              </w:rPr>
            </w:pPr>
            <w:r w:rsidRPr="00E01FCC">
              <w:rPr>
                <w:rFonts w:asciiTheme="majorHAnsi" w:hAnsiTheme="majorHAnsi" w:cstheme="majorHAnsi"/>
                <w:color w:val="414042" w:themeColor="text1"/>
                <w:sz w:val="18"/>
                <w:szCs w:val="20"/>
              </w:rPr>
              <w:t>3</w:t>
            </w:r>
          </w:p>
        </w:tc>
      </w:tr>
      <w:tr w:rsidR="00F9716C" w:rsidRPr="00B349CA" w14:paraId="1797578C" w14:textId="77777777" w:rsidTr="006F5B74">
        <w:tc>
          <w:tcPr>
            <w:tcW w:w="2972"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6F8CF5EC" w14:textId="77777777" w:rsidR="00A73B4E" w:rsidRPr="00E01FCC" w:rsidRDefault="00A73B4E" w:rsidP="00B349CA">
            <w:pPr>
              <w:spacing w:after="0" w:line="252" w:lineRule="auto"/>
              <w:jc w:val="center"/>
              <w:rPr>
                <w:rFonts w:asciiTheme="majorHAnsi" w:hAnsiTheme="majorHAnsi" w:cstheme="majorHAnsi"/>
                <w:color w:val="414042" w:themeColor="text1"/>
                <w:sz w:val="18"/>
                <w:szCs w:val="20"/>
              </w:rPr>
            </w:pPr>
            <w:r w:rsidRPr="00E01FCC">
              <w:rPr>
                <w:rFonts w:asciiTheme="majorHAnsi" w:hAnsiTheme="majorHAnsi" w:cstheme="majorHAnsi"/>
                <w:color w:val="414042" w:themeColor="text1"/>
                <w:sz w:val="18"/>
                <w:szCs w:val="20"/>
              </w:rPr>
              <w:t>Vehicle incidents</w:t>
            </w:r>
          </w:p>
        </w:tc>
        <w:tc>
          <w:tcPr>
            <w:tcW w:w="1559"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0DC3476A" w14:textId="77777777" w:rsidR="00A73B4E" w:rsidRPr="00E01FCC" w:rsidRDefault="00A73B4E" w:rsidP="00B349CA">
            <w:pPr>
              <w:spacing w:after="0" w:line="252" w:lineRule="auto"/>
              <w:jc w:val="center"/>
              <w:rPr>
                <w:rFonts w:asciiTheme="majorHAnsi" w:hAnsiTheme="majorHAnsi" w:cstheme="majorHAnsi"/>
                <w:color w:val="414042" w:themeColor="text1"/>
                <w:sz w:val="18"/>
                <w:szCs w:val="20"/>
              </w:rPr>
            </w:pPr>
            <w:r w:rsidRPr="00E01FCC">
              <w:rPr>
                <w:rFonts w:asciiTheme="majorHAnsi" w:hAnsiTheme="majorHAnsi" w:cstheme="majorHAnsi"/>
                <w:color w:val="414042" w:themeColor="text1"/>
                <w:sz w:val="18"/>
                <w:szCs w:val="20"/>
              </w:rPr>
              <w:t>2</w:t>
            </w:r>
          </w:p>
        </w:tc>
      </w:tr>
      <w:tr w:rsidR="00F9716C" w:rsidRPr="00B349CA" w14:paraId="300B86FA" w14:textId="77777777" w:rsidTr="006F5B74">
        <w:tc>
          <w:tcPr>
            <w:tcW w:w="2972"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24064584" w14:textId="77777777" w:rsidR="00A73B4E" w:rsidRPr="00E01FCC" w:rsidRDefault="00A73B4E" w:rsidP="00B349CA">
            <w:pPr>
              <w:spacing w:after="0" w:line="252" w:lineRule="auto"/>
              <w:jc w:val="center"/>
              <w:rPr>
                <w:rFonts w:asciiTheme="majorHAnsi" w:hAnsiTheme="majorHAnsi" w:cstheme="majorHAnsi"/>
                <w:color w:val="414042" w:themeColor="text1"/>
                <w:sz w:val="18"/>
                <w:szCs w:val="20"/>
              </w:rPr>
            </w:pPr>
            <w:r w:rsidRPr="00E01FCC">
              <w:rPr>
                <w:rFonts w:asciiTheme="majorHAnsi" w:hAnsiTheme="majorHAnsi" w:cstheme="majorHAnsi"/>
                <w:color w:val="414042" w:themeColor="text1"/>
                <w:sz w:val="18"/>
                <w:szCs w:val="20"/>
              </w:rPr>
              <w:t>Chemical/substance</w:t>
            </w:r>
          </w:p>
        </w:tc>
        <w:tc>
          <w:tcPr>
            <w:tcW w:w="1559"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1FA5A083" w14:textId="77777777" w:rsidR="00A73B4E" w:rsidRPr="00E01FCC" w:rsidRDefault="00A73B4E" w:rsidP="00B349CA">
            <w:pPr>
              <w:spacing w:after="0" w:line="252" w:lineRule="auto"/>
              <w:jc w:val="center"/>
              <w:rPr>
                <w:rFonts w:asciiTheme="majorHAnsi" w:hAnsiTheme="majorHAnsi" w:cstheme="majorHAnsi"/>
                <w:color w:val="414042" w:themeColor="text1"/>
                <w:sz w:val="18"/>
                <w:szCs w:val="20"/>
              </w:rPr>
            </w:pPr>
            <w:r w:rsidRPr="00E01FCC">
              <w:rPr>
                <w:rFonts w:asciiTheme="majorHAnsi" w:hAnsiTheme="majorHAnsi" w:cstheme="majorHAnsi"/>
                <w:color w:val="414042" w:themeColor="text1"/>
                <w:sz w:val="18"/>
                <w:szCs w:val="20"/>
              </w:rPr>
              <w:t>2</w:t>
            </w:r>
          </w:p>
        </w:tc>
      </w:tr>
      <w:tr w:rsidR="00F9716C" w:rsidRPr="00B349CA" w14:paraId="171DAD65" w14:textId="77777777" w:rsidTr="006F5B74">
        <w:tc>
          <w:tcPr>
            <w:tcW w:w="2972"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4545DFF0" w14:textId="77777777" w:rsidR="00A73B4E" w:rsidRPr="00E01FCC" w:rsidRDefault="00A73B4E" w:rsidP="00B349CA">
            <w:pPr>
              <w:spacing w:after="0" w:line="252" w:lineRule="auto"/>
              <w:jc w:val="center"/>
              <w:rPr>
                <w:rFonts w:asciiTheme="majorHAnsi" w:hAnsiTheme="majorHAnsi" w:cstheme="majorHAnsi"/>
                <w:color w:val="414042" w:themeColor="text1"/>
                <w:sz w:val="18"/>
                <w:szCs w:val="20"/>
              </w:rPr>
            </w:pPr>
            <w:r w:rsidRPr="00E01FCC">
              <w:rPr>
                <w:rFonts w:asciiTheme="majorHAnsi" w:hAnsiTheme="majorHAnsi" w:cstheme="majorHAnsi"/>
                <w:color w:val="414042" w:themeColor="text1"/>
                <w:sz w:val="18"/>
                <w:szCs w:val="20"/>
              </w:rPr>
              <w:t>Mental stress</w:t>
            </w:r>
          </w:p>
        </w:tc>
        <w:tc>
          <w:tcPr>
            <w:tcW w:w="1559"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24ACE018" w14:textId="77777777" w:rsidR="00A73B4E" w:rsidRPr="00E01FCC" w:rsidRDefault="00A73B4E" w:rsidP="00B349CA">
            <w:pPr>
              <w:spacing w:after="0" w:line="252" w:lineRule="auto"/>
              <w:jc w:val="center"/>
              <w:rPr>
                <w:rFonts w:asciiTheme="majorHAnsi" w:hAnsiTheme="majorHAnsi" w:cstheme="majorHAnsi"/>
                <w:color w:val="414042" w:themeColor="text1"/>
                <w:sz w:val="18"/>
                <w:szCs w:val="20"/>
              </w:rPr>
            </w:pPr>
            <w:r w:rsidRPr="00E01FCC">
              <w:rPr>
                <w:rFonts w:asciiTheme="majorHAnsi" w:hAnsiTheme="majorHAnsi" w:cstheme="majorHAnsi"/>
                <w:color w:val="414042" w:themeColor="text1"/>
                <w:sz w:val="18"/>
                <w:szCs w:val="20"/>
              </w:rPr>
              <w:t>1</w:t>
            </w:r>
          </w:p>
        </w:tc>
      </w:tr>
      <w:tr w:rsidR="00F9716C" w:rsidRPr="00B349CA" w14:paraId="7243ABD1" w14:textId="77777777" w:rsidTr="006F5B74">
        <w:tc>
          <w:tcPr>
            <w:tcW w:w="2972"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6891C9C4" w14:textId="77777777" w:rsidR="00A73B4E" w:rsidRPr="00E01FCC" w:rsidRDefault="00A73B4E" w:rsidP="00B349CA">
            <w:pPr>
              <w:spacing w:after="0" w:line="252" w:lineRule="auto"/>
              <w:jc w:val="center"/>
              <w:rPr>
                <w:rFonts w:asciiTheme="majorHAnsi" w:hAnsiTheme="majorHAnsi" w:cstheme="majorHAnsi"/>
                <w:color w:val="414042" w:themeColor="text1"/>
                <w:sz w:val="18"/>
                <w:szCs w:val="20"/>
              </w:rPr>
            </w:pPr>
            <w:r w:rsidRPr="00E01FCC">
              <w:rPr>
                <w:rFonts w:asciiTheme="majorHAnsi" w:hAnsiTheme="majorHAnsi" w:cstheme="majorHAnsi"/>
                <w:color w:val="414042" w:themeColor="text1"/>
                <w:sz w:val="18"/>
                <w:szCs w:val="20"/>
              </w:rPr>
              <w:t>Other</w:t>
            </w:r>
          </w:p>
        </w:tc>
        <w:tc>
          <w:tcPr>
            <w:tcW w:w="1559"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3BF64862" w14:textId="78A8174F" w:rsidR="00A73B4E" w:rsidRPr="00E01FCC" w:rsidRDefault="004248CC" w:rsidP="00B349CA">
            <w:pPr>
              <w:spacing w:after="0" w:line="252" w:lineRule="auto"/>
              <w:jc w:val="center"/>
              <w:rPr>
                <w:rFonts w:asciiTheme="majorHAnsi" w:hAnsiTheme="majorHAnsi" w:cstheme="majorHAnsi"/>
                <w:color w:val="414042" w:themeColor="text1"/>
                <w:sz w:val="18"/>
                <w:szCs w:val="20"/>
              </w:rPr>
            </w:pPr>
            <w:r w:rsidRPr="00E01FCC">
              <w:rPr>
                <w:rFonts w:asciiTheme="majorHAnsi" w:hAnsiTheme="majorHAnsi" w:cstheme="majorHAnsi"/>
                <w:color w:val="414042" w:themeColor="text1"/>
                <w:sz w:val="18"/>
                <w:szCs w:val="20"/>
              </w:rPr>
              <w:t>4</w:t>
            </w:r>
          </w:p>
        </w:tc>
      </w:tr>
    </w:tbl>
    <w:p w14:paraId="15BB6A73" w14:textId="70540D61" w:rsidR="00B97377" w:rsidRPr="00F9716C" w:rsidRDefault="00B97377" w:rsidP="00A52AF4">
      <w:pPr>
        <w:spacing w:before="160" w:after="300"/>
        <w:rPr>
          <w:rFonts w:cs="Calibri Light"/>
          <w:color w:val="414042" w:themeColor="text1"/>
          <w:spacing w:val="-4"/>
          <w:szCs w:val="20"/>
        </w:rPr>
      </w:pPr>
      <w:r w:rsidRPr="00F9716C">
        <w:rPr>
          <w:color w:val="414042" w:themeColor="text1"/>
          <w:spacing w:val="-4"/>
        </w:rPr>
        <w:t xml:space="preserve">Of these 21 incidents, </w:t>
      </w:r>
      <w:r w:rsidR="003C1DE5" w:rsidRPr="00F9716C">
        <w:rPr>
          <w:color w:val="414042" w:themeColor="text1"/>
          <w:spacing w:val="-4"/>
        </w:rPr>
        <w:t>12</w:t>
      </w:r>
      <w:r w:rsidRPr="00F9716C">
        <w:rPr>
          <w:color w:val="414042" w:themeColor="text1"/>
          <w:spacing w:val="-4"/>
        </w:rPr>
        <w:t xml:space="preserve"> did not require treatment, first aid was provided for five incidents, and four required medical treatment. During the period one accepted WorkCover claim was managed. </w:t>
      </w:r>
      <w:r w:rsidRPr="00F9716C">
        <w:rPr>
          <w:color w:val="414042" w:themeColor="text1"/>
        </w:rPr>
        <w:t>We also provided one rehabilitation and return-to-work program, which resulted in the successful return to work for the employee.</w:t>
      </w:r>
      <w:r w:rsidR="00A52AF4">
        <w:rPr>
          <w:color w:val="414042" w:themeColor="text1"/>
        </w:rPr>
        <w:br w:type="column"/>
      </w:r>
    </w:p>
    <w:p w14:paraId="381EC265" w14:textId="77777777" w:rsidR="00A52AF4" w:rsidRDefault="00EC1069" w:rsidP="00E01FCC">
      <w:pPr>
        <w:pStyle w:val="Heading4"/>
      </w:pPr>
      <w:bookmarkStart w:id="1192" w:name="_Hlk175883468"/>
      <w:r w:rsidRPr="00E01FCC">
        <w:rPr>
          <w:rStyle w:val="FiguretableheadingChar"/>
          <w:b/>
          <w:bCs/>
          <w:lang w:val="en-AU" w:eastAsia="en-US"/>
        </w:rPr>
        <w:t xml:space="preserve">Figure </w:t>
      </w:r>
      <w:r w:rsidR="000F61E0" w:rsidRPr="00E01FCC">
        <w:rPr>
          <w:rStyle w:val="FiguretableheadingChar"/>
          <w:b/>
          <w:bCs/>
          <w:lang w:val="en-AU" w:eastAsia="en-US"/>
        </w:rPr>
        <w:t>2</w:t>
      </w:r>
      <w:r w:rsidR="000242E9" w:rsidRPr="00E01FCC">
        <w:rPr>
          <w:rStyle w:val="FiguretableheadingChar"/>
          <w:b/>
          <w:bCs/>
          <w:lang w:val="en-AU" w:eastAsia="en-US"/>
        </w:rPr>
        <w:t>2</w:t>
      </w:r>
      <w:r w:rsidRPr="00E01FCC">
        <w:rPr>
          <w:rStyle w:val="FiguretableheadingChar"/>
          <w:b/>
          <w:bCs/>
          <w:lang w:val="en-AU" w:eastAsia="en-US"/>
        </w:rPr>
        <w:t>: Workplace incidents, WorkCover claims and rehabilitation and return-to-work programs</w:t>
      </w:r>
      <w:bookmarkEnd w:id="1192"/>
      <w:r w:rsidR="00A368B5" w:rsidRPr="00F9716C">
        <w:drawing>
          <wp:inline distT="0" distB="0" distL="0" distR="0" wp14:anchorId="67109A99" wp14:editId="5E15F135">
            <wp:extent cx="2834640" cy="3503981"/>
            <wp:effectExtent l="0" t="0" r="0" b="0"/>
            <wp:docPr id="692" name="Chart 6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14:paraId="20981F9F" w14:textId="77777777" w:rsidR="00A52AF4" w:rsidRDefault="00A52AF4" w:rsidP="00E6408B">
      <w:pPr>
        <w:pStyle w:val="newBODYTEXT"/>
      </w:pPr>
    </w:p>
    <w:p w14:paraId="756182F0" w14:textId="0F1480A6" w:rsidR="004B5DD3" w:rsidRPr="00F9716C" w:rsidRDefault="00A368B5" w:rsidP="00346C70">
      <w:pPr>
        <w:pStyle w:val="3Heading-highlight"/>
      </w:pPr>
      <w:r w:rsidRPr="00F9716C">
        <w:t>E</w:t>
      </w:r>
      <w:r w:rsidR="004B5DD3" w:rsidRPr="00F9716C">
        <w:t>arly retirement, redundancy and retrenchment</w:t>
      </w:r>
    </w:p>
    <w:p w14:paraId="38E938CF" w14:textId="77777777" w:rsidR="004B5DD3" w:rsidRPr="00F9716C" w:rsidRDefault="004B5DD3" w:rsidP="004B5DD3">
      <w:pPr>
        <w:rPr>
          <w:color w:val="414042" w:themeColor="text1"/>
        </w:rPr>
      </w:pPr>
      <w:r w:rsidRPr="00F9716C">
        <w:rPr>
          <w:color w:val="414042" w:themeColor="text1"/>
        </w:rPr>
        <w:t>No redundancy, early retirement or retrenchment packages were paid during the period.</w:t>
      </w:r>
    </w:p>
    <w:p w14:paraId="29CD2A69" w14:textId="77777777" w:rsidR="00EC1069" w:rsidRPr="00F9716C" w:rsidRDefault="00EC1069" w:rsidP="00561686">
      <w:pPr>
        <w:rPr>
          <w:color w:val="414042" w:themeColor="text1"/>
        </w:rPr>
      </w:pPr>
    </w:p>
    <w:bookmarkEnd w:id="1191"/>
    <w:p w14:paraId="4E1D7D69" w14:textId="77777777" w:rsidR="004B5DD3" w:rsidRPr="00F9716C" w:rsidRDefault="004B5DD3" w:rsidP="00561686">
      <w:pPr>
        <w:rPr>
          <w:color w:val="414042" w:themeColor="text1"/>
        </w:rPr>
      </w:pPr>
    </w:p>
    <w:p w14:paraId="115F0CFF" w14:textId="77777777" w:rsidR="004B5DD3" w:rsidRPr="00F9716C" w:rsidRDefault="004B5DD3" w:rsidP="00561686">
      <w:pPr>
        <w:rPr>
          <w:color w:val="414042" w:themeColor="text1"/>
        </w:rPr>
      </w:pPr>
    </w:p>
    <w:p w14:paraId="4FC58CD3" w14:textId="77777777" w:rsidR="004B5DD3" w:rsidRPr="00F9716C" w:rsidRDefault="004B5DD3" w:rsidP="00561686">
      <w:pPr>
        <w:rPr>
          <w:color w:val="414042" w:themeColor="text1"/>
        </w:rPr>
      </w:pPr>
    </w:p>
    <w:p w14:paraId="4B455903" w14:textId="06824CB6" w:rsidR="004B5DD3" w:rsidRPr="00F9716C" w:rsidRDefault="004B5DD3" w:rsidP="00561686">
      <w:pPr>
        <w:rPr>
          <w:color w:val="414042" w:themeColor="text1"/>
        </w:rPr>
        <w:sectPr w:rsidR="004B5DD3" w:rsidRPr="00F9716C" w:rsidSect="00C77834">
          <w:headerReference w:type="even" r:id="rId241"/>
          <w:headerReference w:type="default" r:id="rId242"/>
          <w:headerReference w:type="first" r:id="rId243"/>
          <w:pgSz w:w="11906" w:h="16838" w:code="9"/>
          <w:pgMar w:top="2155" w:right="1134" w:bottom="964" w:left="1134" w:header="720" w:footer="284" w:gutter="0"/>
          <w:cols w:num="2" w:space="567"/>
          <w:noEndnote/>
          <w:docGrid w:linePitch="272"/>
        </w:sectPr>
      </w:pPr>
    </w:p>
    <w:p w14:paraId="1CFBE78C" w14:textId="77777777" w:rsidR="00561686" w:rsidRPr="00F9716C" w:rsidRDefault="00561686" w:rsidP="00E01FCC">
      <w:pPr>
        <w:pStyle w:val="2Heading"/>
        <w:sectPr w:rsidR="00561686" w:rsidRPr="00F9716C" w:rsidSect="00C77834">
          <w:type w:val="continuous"/>
          <w:pgSz w:w="11906" w:h="16838" w:code="9"/>
          <w:pgMar w:top="2155" w:right="1134" w:bottom="964" w:left="1134" w:header="720" w:footer="284" w:gutter="0"/>
          <w:cols w:space="567"/>
          <w:noEndnote/>
          <w:docGrid w:linePitch="272"/>
        </w:sectPr>
      </w:pPr>
      <w:bookmarkStart w:id="1193" w:name="_Our_governance_and"/>
      <w:bookmarkStart w:id="1194" w:name="OurGovernanceandOversight"/>
      <w:bookmarkStart w:id="1195" w:name="_Hlk109922130"/>
      <w:bookmarkStart w:id="1196" w:name="_Toc102038066"/>
      <w:bookmarkStart w:id="1197" w:name="_Toc102038427"/>
      <w:bookmarkStart w:id="1198" w:name="_Toc102038788"/>
      <w:bookmarkStart w:id="1199" w:name="_Toc102039140"/>
      <w:bookmarkStart w:id="1200" w:name="_Toc102039489"/>
      <w:bookmarkStart w:id="1201" w:name="_Toc102039851"/>
      <w:bookmarkStart w:id="1202" w:name="_Toc102040208"/>
      <w:bookmarkStart w:id="1203" w:name="_Toc102040536"/>
      <w:bookmarkStart w:id="1204" w:name="_Toc102040870"/>
      <w:bookmarkStart w:id="1205" w:name="_Toc102041198"/>
      <w:bookmarkStart w:id="1206" w:name="_Toc102041527"/>
      <w:bookmarkStart w:id="1207" w:name="_Toc102041859"/>
      <w:bookmarkStart w:id="1208" w:name="_Toc102042186"/>
      <w:bookmarkStart w:id="1209" w:name="_Toc102042516"/>
      <w:bookmarkStart w:id="1210" w:name="_Toc102045646"/>
      <w:bookmarkStart w:id="1211" w:name="_Hlk74320616"/>
      <w:bookmarkStart w:id="1212" w:name="_Hlk76025605"/>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3"/>
      <w:r w:rsidRPr="00F9716C">
        <w:t>Our governance and oversight</w:t>
      </w:r>
    </w:p>
    <w:bookmarkEnd w:id="1194"/>
    <w:p w14:paraId="06EEA7E0" w14:textId="0E04071C" w:rsidR="00561686" w:rsidRPr="00F9716C" w:rsidRDefault="00561686" w:rsidP="00252903">
      <w:pPr>
        <w:pStyle w:val="4H-Intro"/>
        <w:sectPr w:rsidR="00561686" w:rsidRPr="00F9716C" w:rsidSect="00C77834">
          <w:type w:val="continuous"/>
          <w:pgSz w:w="11906" w:h="16838" w:code="9"/>
          <w:pgMar w:top="2155" w:right="1134" w:bottom="964" w:left="1134" w:header="720" w:footer="284" w:gutter="0"/>
          <w:cols w:space="567"/>
          <w:noEndnote/>
          <w:docGrid w:linePitch="272"/>
        </w:sectPr>
      </w:pPr>
      <w:r w:rsidRPr="00F9716C">
        <w:t xml:space="preserve">The CCC’s </w:t>
      </w:r>
      <w:r w:rsidR="004B6AC2" w:rsidRPr="00F9716C">
        <w:rPr>
          <w:i/>
          <w:iCs/>
        </w:rPr>
        <w:t>Governance Framework</w:t>
      </w:r>
      <w:r w:rsidRPr="00F9716C">
        <w:t xml:space="preserve"> establishes the principles, behaviours and processes that guide our work. Good corporate governance not only supports good decision-making, it also helps us identify ways to improve our business processes and internal culture.</w:t>
      </w:r>
      <w:bookmarkStart w:id="1213" w:name="_Hlk76025474"/>
      <w:bookmarkEnd w:id="1195"/>
    </w:p>
    <w:p w14:paraId="0CAAF0D4" w14:textId="77777777" w:rsidR="00561686" w:rsidRPr="00F9716C" w:rsidRDefault="00561686" w:rsidP="00561686">
      <w:pPr>
        <w:pStyle w:val="Openingparagraph"/>
        <w:sectPr w:rsidR="00561686" w:rsidRPr="00F9716C" w:rsidSect="00C77834">
          <w:type w:val="continuous"/>
          <w:pgSz w:w="11906" w:h="16838" w:code="9"/>
          <w:pgMar w:top="2155" w:right="1134" w:bottom="964" w:left="1134" w:header="720" w:footer="284" w:gutter="0"/>
          <w:cols w:num="2" w:space="567"/>
          <w:noEndnote/>
          <w:docGrid w:linePitch="272"/>
        </w:sectPr>
      </w:pPr>
    </w:p>
    <w:p w14:paraId="14E5AE30" w14:textId="27E2E7BA" w:rsidR="00561686" w:rsidRPr="00F9716C" w:rsidRDefault="00561686" w:rsidP="00561686">
      <w:pPr>
        <w:rPr>
          <w:b/>
          <w:bCs/>
          <w:color w:val="414042" w:themeColor="text1"/>
        </w:rPr>
      </w:pPr>
      <w:r w:rsidRPr="00F9716C">
        <w:rPr>
          <w:color w:val="414042" w:themeColor="text1"/>
        </w:rPr>
        <w:t xml:space="preserve">The CCC’s </w:t>
      </w:r>
      <w:r w:rsidR="004B6AC2" w:rsidRPr="00F9716C">
        <w:rPr>
          <w:i/>
          <w:iCs/>
          <w:color w:val="414042" w:themeColor="text1"/>
        </w:rPr>
        <w:t>Governance Framework</w:t>
      </w:r>
      <w:r w:rsidR="004B6AC2" w:rsidRPr="00F9716C">
        <w:rPr>
          <w:color w:val="414042" w:themeColor="text1"/>
        </w:rPr>
        <w:t xml:space="preserve"> </w:t>
      </w:r>
      <w:r w:rsidRPr="00F9716C">
        <w:rPr>
          <w:color w:val="414042" w:themeColor="text1"/>
        </w:rPr>
        <w:t>includes the following elements:</w:t>
      </w:r>
    </w:p>
    <w:p w14:paraId="4A58319E" w14:textId="4F543226" w:rsidR="00561686" w:rsidRPr="00F9716C" w:rsidRDefault="00561686">
      <w:pPr>
        <w:pStyle w:val="Bullets"/>
        <w:rPr>
          <w:color w:val="414042" w:themeColor="text1"/>
        </w:rPr>
      </w:pPr>
      <w:r w:rsidRPr="00F9716C">
        <w:rPr>
          <w:rFonts w:asciiTheme="minorHAnsi" w:hAnsiTheme="minorHAnsi" w:cstheme="minorHAnsi"/>
          <w:b/>
          <w:color w:val="414042" w:themeColor="text1"/>
        </w:rPr>
        <w:t xml:space="preserve">Leadership </w:t>
      </w:r>
      <w:r w:rsidRPr="00CC240D">
        <w:rPr>
          <w:rFonts w:asciiTheme="minorHAnsi" w:hAnsiTheme="minorHAnsi" w:cstheme="minorHAnsi"/>
          <w:bCs/>
          <w:color w:val="414042" w:themeColor="text1"/>
        </w:rPr>
        <w:t>—</w:t>
      </w:r>
      <w:r w:rsidRPr="00F9716C">
        <w:rPr>
          <w:color w:val="414042" w:themeColor="text1"/>
        </w:rPr>
        <w:t xml:space="preserve"> We communicate a shared vision for the future and our decisions are guided by our strategic objectives.</w:t>
      </w:r>
    </w:p>
    <w:p w14:paraId="34744D7F" w14:textId="77777777" w:rsidR="00561686" w:rsidRPr="00F9716C" w:rsidRDefault="00561686">
      <w:pPr>
        <w:pStyle w:val="Bullets"/>
        <w:rPr>
          <w:color w:val="414042" w:themeColor="text1"/>
        </w:rPr>
      </w:pPr>
      <w:r w:rsidRPr="00F9716C">
        <w:rPr>
          <w:rFonts w:asciiTheme="minorHAnsi" w:hAnsiTheme="minorHAnsi" w:cstheme="minorHAnsi"/>
          <w:b/>
          <w:color w:val="414042" w:themeColor="text1"/>
        </w:rPr>
        <w:t xml:space="preserve">Culture </w:t>
      </w:r>
      <w:r w:rsidRPr="00CC240D">
        <w:rPr>
          <w:rFonts w:asciiTheme="minorHAnsi" w:hAnsiTheme="minorHAnsi" w:cstheme="minorHAnsi"/>
          <w:bCs/>
          <w:color w:val="414042" w:themeColor="text1"/>
        </w:rPr>
        <w:t>—</w:t>
      </w:r>
      <w:r w:rsidRPr="00F9716C">
        <w:rPr>
          <w:color w:val="414042" w:themeColor="text1"/>
        </w:rPr>
        <w:t xml:space="preserve"> We are a values-led agency, and we work together to achieve results for the people of Queensland.</w:t>
      </w:r>
    </w:p>
    <w:p w14:paraId="6CCDC578" w14:textId="77777777" w:rsidR="00561686" w:rsidRPr="00F9716C" w:rsidRDefault="00561686">
      <w:pPr>
        <w:pStyle w:val="Bullets"/>
        <w:rPr>
          <w:color w:val="414042" w:themeColor="text1"/>
        </w:rPr>
      </w:pPr>
      <w:r w:rsidRPr="00F9716C">
        <w:rPr>
          <w:rFonts w:asciiTheme="minorHAnsi" w:hAnsiTheme="minorHAnsi" w:cstheme="minorHAnsi"/>
          <w:b/>
          <w:color w:val="414042" w:themeColor="text1"/>
        </w:rPr>
        <w:t xml:space="preserve">Expectations </w:t>
      </w:r>
      <w:r w:rsidRPr="00CC240D">
        <w:rPr>
          <w:rFonts w:asciiTheme="minorHAnsi" w:hAnsiTheme="minorHAnsi" w:cstheme="minorHAnsi"/>
          <w:bCs/>
          <w:color w:val="414042" w:themeColor="text1"/>
        </w:rPr>
        <w:t>—</w:t>
      </w:r>
      <w:r w:rsidRPr="00F9716C">
        <w:rPr>
          <w:rFonts w:asciiTheme="minorHAnsi" w:hAnsiTheme="minorHAnsi" w:cstheme="minorHAnsi"/>
          <w:b/>
          <w:color w:val="414042" w:themeColor="text1"/>
        </w:rPr>
        <w:t xml:space="preserve"> </w:t>
      </w:r>
      <w:r w:rsidRPr="00F9716C">
        <w:rPr>
          <w:color w:val="414042" w:themeColor="text1"/>
        </w:rPr>
        <w:t>We set clear expectations for all staff, supported by robust internal controls.</w:t>
      </w:r>
    </w:p>
    <w:p w14:paraId="2D1D7F9C" w14:textId="77777777" w:rsidR="00561686" w:rsidRPr="00F9716C" w:rsidRDefault="00561686">
      <w:pPr>
        <w:pStyle w:val="Bullets"/>
        <w:rPr>
          <w:color w:val="414042" w:themeColor="text1"/>
        </w:rPr>
      </w:pPr>
      <w:r w:rsidRPr="00F9716C">
        <w:rPr>
          <w:rFonts w:asciiTheme="minorHAnsi" w:hAnsiTheme="minorHAnsi" w:cstheme="minorHAnsi"/>
          <w:b/>
          <w:color w:val="414042" w:themeColor="text1"/>
        </w:rPr>
        <w:t xml:space="preserve">Risk management </w:t>
      </w:r>
      <w:r w:rsidRPr="00CC240D">
        <w:rPr>
          <w:rFonts w:asciiTheme="minorHAnsi" w:hAnsiTheme="minorHAnsi" w:cstheme="minorHAnsi"/>
          <w:bCs/>
          <w:color w:val="414042" w:themeColor="text1"/>
        </w:rPr>
        <w:t>—</w:t>
      </w:r>
      <w:r w:rsidRPr="00F9716C">
        <w:rPr>
          <w:color w:val="414042" w:themeColor="text1"/>
        </w:rPr>
        <w:t xml:space="preserve"> We actively manage risk and maximise opportunities for improvement.</w:t>
      </w:r>
    </w:p>
    <w:p w14:paraId="5FB5569E" w14:textId="77777777" w:rsidR="00561686" w:rsidRPr="00F9716C" w:rsidRDefault="00561686">
      <w:pPr>
        <w:pStyle w:val="Bullets"/>
        <w:rPr>
          <w:color w:val="414042" w:themeColor="text1"/>
        </w:rPr>
      </w:pPr>
      <w:r w:rsidRPr="00F9716C">
        <w:rPr>
          <w:rFonts w:asciiTheme="minorHAnsi" w:hAnsiTheme="minorHAnsi" w:cstheme="minorHAnsi"/>
          <w:b/>
          <w:color w:val="414042" w:themeColor="text1"/>
        </w:rPr>
        <w:t xml:space="preserve">Service </w:t>
      </w:r>
      <w:r w:rsidRPr="00CC240D">
        <w:rPr>
          <w:rFonts w:asciiTheme="minorHAnsi" w:hAnsiTheme="minorHAnsi" w:cstheme="minorHAnsi"/>
          <w:bCs/>
          <w:color w:val="414042" w:themeColor="text1"/>
        </w:rPr>
        <w:t>—</w:t>
      </w:r>
      <w:r w:rsidRPr="00CC240D">
        <w:rPr>
          <w:bCs/>
          <w:color w:val="414042" w:themeColor="text1"/>
        </w:rPr>
        <w:t xml:space="preserve"> </w:t>
      </w:r>
      <w:r w:rsidRPr="00F9716C">
        <w:rPr>
          <w:color w:val="414042" w:themeColor="text1"/>
        </w:rPr>
        <w:t>We value our customers and use our resources to engage and innovate.</w:t>
      </w:r>
    </w:p>
    <w:p w14:paraId="13B3A1CB" w14:textId="13B878C8" w:rsidR="00561686" w:rsidRPr="00F9716C" w:rsidRDefault="00561686" w:rsidP="00A368B5">
      <w:pPr>
        <w:pStyle w:val="Bullets"/>
        <w:rPr>
          <w:color w:val="414042" w:themeColor="text1"/>
        </w:rPr>
      </w:pPr>
      <w:r w:rsidRPr="00F9716C">
        <w:rPr>
          <w:rFonts w:asciiTheme="minorHAnsi" w:hAnsiTheme="minorHAnsi" w:cstheme="minorHAnsi"/>
          <w:b/>
          <w:color w:val="414042" w:themeColor="text1"/>
        </w:rPr>
        <w:t xml:space="preserve">Performance management </w:t>
      </w:r>
      <w:r w:rsidRPr="00CC240D">
        <w:rPr>
          <w:rFonts w:asciiTheme="minorHAnsi" w:hAnsiTheme="minorHAnsi" w:cstheme="minorHAnsi"/>
          <w:bCs/>
          <w:color w:val="414042" w:themeColor="text1"/>
        </w:rPr>
        <w:t>—</w:t>
      </w:r>
      <w:r w:rsidRPr="00F9716C">
        <w:rPr>
          <w:color w:val="414042" w:themeColor="text1"/>
        </w:rPr>
        <w:t xml:space="preserve"> We are accountable for our performance, as individuals and as an agency.</w:t>
      </w:r>
    </w:p>
    <w:p w14:paraId="6D529480" w14:textId="77777777" w:rsidR="00561686" w:rsidRPr="00F9716C" w:rsidRDefault="00561686" w:rsidP="00C903A2">
      <w:pPr>
        <w:pStyle w:val="Heading3"/>
      </w:pPr>
      <w:bookmarkStart w:id="1214" w:name="_Toc102038061"/>
      <w:bookmarkStart w:id="1215" w:name="_Toc102038422"/>
      <w:bookmarkStart w:id="1216" w:name="_Toc102038783"/>
      <w:bookmarkStart w:id="1217" w:name="_Toc102039135"/>
      <w:bookmarkStart w:id="1218" w:name="_Toc102039484"/>
      <w:bookmarkStart w:id="1219" w:name="_Toc102039846"/>
      <w:bookmarkStart w:id="1220" w:name="_Toc102040203"/>
      <w:bookmarkStart w:id="1221" w:name="_Toc102040531"/>
      <w:bookmarkStart w:id="1222" w:name="_Toc102040865"/>
      <w:bookmarkStart w:id="1223" w:name="_Toc102041193"/>
      <w:bookmarkStart w:id="1224" w:name="_Toc102041522"/>
      <w:bookmarkStart w:id="1225" w:name="_Toc102041854"/>
      <w:bookmarkStart w:id="1226" w:name="_Toc102042181"/>
      <w:bookmarkStart w:id="1227" w:name="_Toc102042511"/>
      <w:bookmarkStart w:id="1228" w:name="_Toc102045641"/>
      <w:r w:rsidRPr="00F9716C">
        <w:t>Governance Committees</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1DC5D102" w14:textId="77777777" w:rsidR="0021273F" w:rsidRPr="00F9716C" w:rsidRDefault="0021273F" w:rsidP="00B02BC4">
      <w:pPr>
        <w:pStyle w:val="Heading4"/>
      </w:pPr>
      <w:bookmarkStart w:id="1229" w:name="_Toc102038062"/>
      <w:bookmarkStart w:id="1230" w:name="_Toc102038423"/>
      <w:bookmarkStart w:id="1231" w:name="_Toc102038784"/>
      <w:bookmarkStart w:id="1232" w:name="_Toc102039136"/>
      <w:bookmarkStart w:id="1233" w:name="_Toc102039485"/>
      <w:bookmarkStart w:id="1234" w:name="_Toc102039847"/>
      <w:bookmarkStart w:id="1235" w:name="_Toc102040204"/>
      <w:bookmarkStart w:id="1236" w:name="_Toc102040532"/>
      <w:bookmarkStart w:id="1237" w:name="_Toc102040866"/>
      <w:bookmarkStart w:id="1238" w:name="_Toc102041194"/>
      <w:bookmarkStart w:id="1239" w:name="_Toc102041523"/>
      <w:bookmarkStart w:id="1240" w:name="_Toc102041855"/>
      <w:bookmarkStart w:id="1241" w:name="_Toc102042182"/>
      <w:bookmarkStart w:id="1242" w:name="_Toc102042512"/>
      <w:bookmarkStart w:id="1243" w:name="_Toc102045642"/>
      <w:r w:rsidRPr="00F9716C">
        <w:t>Executive Leadership Team</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14:paraId="7639AFF6" w14:textId="6CF89C55" w:rsidR="00561686" w:rsidRPr="00F9716C" w:rsidRDefault="00561686" w:rsidP="00561686">
      <w:pPr>
        <w:rPr>
          <w:color w:val="414042" w:themeColor="text1"/>
        </w:rPr>
      </w:pPr>
      <w:r w:rsidRPr="00F9716C">
        <w:rPr>
          <w:color w:val="414042" w:themeColor="text1"/>
        </w:rPr>
        <w:t>The ELT supports the</w:t>
      </w:r>
      <w:r w:rsidR="001F4500" w:rsidRPr="00F9716C">
        <w:rPr>
          <w:color w:val="414042" w:themeColor="text1"/>
        </w:rPr>
        <w:t xml:space="preserve"> Chairperson and</w:t>
      </w:r>
      <w:r w:rsidRPr="00F9716C">
        <w:rPr>
          <w:color w:val="414042" w:themeColor="text1"/>
        </w:rPr>
        <w:t xml:space="preserve"> Commission by providing advice, leading discussions and making recommendations on strategic and operational matters that are critical to our performance. The ELT is responsible for:</w:t>
      </w:r>
    </w:p>
    <w:p w14:paraId="1E206BB4" w14:textId="77777777" w:rsidR="00561686" w:rsidRPr="00F9716C" w:rsidRDefault="00561686" w:rsidP="00346C70">
      <w:pPr>
        <w:pStyle w:val="Bulletpoints0"/>
      </w:pPr>
      <w:r w:rsidRPr="00F9716C">
        <w:rPr>
          <w:rFonts w:asciiTheme="minorHAnsi" w:hAnsiTheme="minorHAnsi" w:cstheme="minorHAnsi"/>
          <w:b/>
        </w:rPr>
        <w:t xml:space="preserve">Strategic oversight </w:t>
      </w:r>
      <w:r w:rsidRPr="00CC240D">
        <w:rPr>
          <w:rFonts w:asciiTheme="minorHAnsi" w:hAnsiTheme="minorHAnsi" w:cstheme="minorHAnsi"/>
          <w:bCs/>
        </w:rPr>
        <w:t>—</w:t>
      </w:r>
      <w:r w:rsidRPr="00F9716C">
        <w:rPr>
          <w:b/>
        </w:rPr>
        <w:t xml:space="preserve"> </w:t>
      </w:r>
      <w:r w:rsidRPr="00F9716C">
        <w:t>understanding the CCC’s operating environment, identifying strategic risks and issues, and steering the organisation towards achievement of strategic goals and objectives.</w:t>
      </w:r>
    </w:p>
    <w:p w14:paraId="5CD08B44" w14:textId="36FFD9D2" w:rsidR="00561686" w:rsidRPr="00F9716C" w:rsidRDefault="00561686" w:rsidP="00346C70">
      <w:pPr>
        <w:pStyle w:val="Bulletpoints0"/>
      </w:pPr>
      <w:r w:rsidRPr="00F9716C">
        <w:rPr>
          <w:rFonts w:asciiTheme="minorHAnsi" w:hAnsiTheme="minorHAnsi" w:cstheme="minorHAnsi"/>
          <w:b/>
        </w:rPr>
        <w:t xml:space="preserve">Corporate leadership </w:t>
      </w:r>
      <w:r w:rsidRPr="00CC240D">
        <w:rPr>
          <w:rFonts w:asciiTheme="minorHAnsi" w:hAnsiTheme="minorHAnsi" w:cstheme="minorHAnsi"/>
          <w:bCs/>
        </w:rPr>
        <w:t>—</w:t>
      </w:r>
      <w:r w:rsidRPr="00CC240D">
        <w:rPr>
          <w:bCs/>
        </w:rPr>
        <w:t xml:space="preserve"> </w:t>
      </w:r>
      <w:r w:rsidRPr="00F9716C">
        <w:t xml:space="preserve">guiding strategic and operational activities, setting the tone for how things are done and driving good governance through oversight of the CCC’s </w:t>
      </w:r>
      <w:r w:rsidR="004B6AC2" w:rsidRPr="00F9716C">
        <w:rPr>
          <w:i/>
          <w:iCs/>
        </w:rPr>
        <w:t>Governance Framework</w:t>
      </w:r>
      <w:r w:rsidRPr="00F9716C">
        <w:t>.</w:t>
      </w:r>
      <w:r w:rsidR="00346C70">
        <w:br w:type="column"/>
      </w:r>
    </w:p>
    <w:p w14:paraId="477B965B" w14:textId="2088BF4A" w:rsidR="00561686" w:rsidRPr="00F9716C" w:rsidRDefault="00561686" w:rsidP="00E01FCC">
      <w:pPr>
        <w:pStyle w:val="Bulletpoints0"/>
        <w:ind w:right="142"/>
      </w:pPr>
      <w:r w:rsidRPr="00F9716C">
        <w:rPr>
          <w:rFonts w:asciiTheme="minorHAnsi" w:hAnsiTheme="minorHAnsi" w:cstheme="minorHAnsi"/>
          <w:b/>
        </w:rPr>
        <w:t>Portfolio assessment</w:t>
      </w:r>
      <w:r w:rsidRPr="00CC240D">
        <w:rPr>
          <w:rFonts w:asciiTheme="minorHAnsi" w:hAnsiTheme="minorHAnsi" w:cstheme="minorHAnsi"/>
          <w:bCs/>
        </w:rPr>
        <w:t xml:space="preserve"> —</w:t>
      </w:r>
      <w:r w:rsidRPr="00F9716C">
        <w:rPr>
          <w:b/>
        </w:rPr>
        <w:t xml:space="preserve"> </w:t>
      </w:r>
      <w:r w:rsidRPr="00F9716C">
        <w:t xml:space="preserve">setting priorities in alignment with strategic goals and objectives, endorsing investigations for decision-maker approval, and approving projects (including resource allocation). </w:t>
      </w:r>
      <w:bookmarkStart w:id="1244" w:name="_Hlk136261672"/>
      <w:r w:rsidR="0060572C" w:rsidRPr="00F9716C">
        <w:t xml:space="preserve">This also includes assessing complaints assessed as meeting the elements of serious, systemic and strategic in accordance with the Complaints Assessment Model. </w:t>
      </w:r>
      <w:bookmarkEnd w:id="1244"/>
    </w:p>
    <w:p w14:paraId="6B43F50D" w14:textId="77777777" w:rsidR="00561686" w:rsidRPr="00F9716C" w:rsidRDefault="00561686" w:rsidP="006900F6">
      <w:pPr>
        <w:pStyle w:val="Bulletpoints0"/>
      </w:pPr>
      <w:r w:rsidRPr="00F9716C">
        <w:rPr>
          <w:rFonts w:asciiTheme="minorHAnsi" w:hAnsiTheme="minorHAnsi" w:cstheme="minorHAnsi"/>
          <w:b/>
        </w:rPr>
        <w:t>Portfolio review</w:t>
      </w:r>
      <w:r w:rsidRPr="00CC240D">
        <w:rPr>
          <w:rFonts w:asciiTheme="minorHAnsi" w:hAnsiTheme="minorHAnsi" w:cstheme="minorHAnsi"/>
          <w:bCs/>
        </w:rPr>
        <w:t xml:space="preserve"> —</w:t>
      </w:r>
      <w:r w:rsidRPr="00F9716C">
        <w:rPr>
          <w:b/>
        </w:rPr>
        <w:t xml:space="preserve"> </w:t>
      </w:r>
      <w:r w:rsidRPr="00F9716C">
        <w:t>analysing business activity and optimising the focus of CCC investment by regular oversight of approved investigations and projects.</w:t>
      </w:r>
    </w:p>
    <w:p w14:paraId="291CE551" w14:textId="77777777" w:rsidR="00561686" w:rsidRPr="00F9716C" w:rsidRDefault="00561686" w:rsidP="00CB5115">
      <w:pPr>
        <w:pStyle w:val="Bulletpoints0"/>
        <w:numPr>
          <w:ilvl w:val="0"/>
          <w:numId w:val="0"/>
        </w:numPr>
        <w:spacing w:after="240"/>
        <w:ind w:right="142"/>
      </w:pPr>
      <w:r w:rsidRPr="00F9716C">
        <w:t>Membership of the ELT includes the Chairperson, CEO, Senior Executive Officer (Corruption), Senior Executive Officer (Crime), General Manager, Operations Support and General Manager, Strategy and Renewal.</w:t>
      </w:r>
    </w:p>
    <w:p w14:paraId="549615FD" w14:textId="77777777" w:rsidR="00561686" w:rsidRPr="00F9716C" w:rsidRDefault="00561686" w:rsidP="00B02BC4">
      <w:pPr>
        <w:pStyle w:val="Heading4"/>
      </w:pPr>
      <w:r w:rsidRPr="00F9716C">
        <w:t>Budget Management Committee</w:t>
      </w:r>
    </w:p>
    <w:p w14:paraId="1CD66247" w14:textId="084FB88A" w:rsidR="00561686" w:rsidRPr="00F9716C" w:rsidRDefault="00561686" w:rsidP="0021273F">
      <w:pPr>
        <w:spacing w:before="120"/>
        <w:rPr>
          <w:color w:val="414042" w:themeColor="text1"/>
        </w:rPr>
      </w:pPr>
      <w:r w:rsidRPr="00F9716C">
        <w:rPr>
          <w:color w:val="414042" w:themeColor="text1"/>
        </w:rPr>
        <w:t xml:space="preserve">The Budget Management Committee </w:t>
      </w:r>
      <w:r w:rsidR="002E5C1B" w:rsidRPr="00F9716C">
        <w:rPr>
          <w:color w:val="414042" w:themeColor="text1"/>
        </w:rPr>
        <w:t xml:space="preserve">(BMC) </w:t>
      </w:r>
      <w:r w:rsidRPr="00F9716C">
        <w:rPr>
          <w:color w:val="414042" w:themeColor="text1"/>
        </w:rPr>
        <w:t xml:space="preserve">is a </w:t>
      </w:r>
      <w:r w:rsidR="00CB3E7D">
        <w:rPr>
          <w:color w:val="414042" w:themeColor="text1"/>
        </w:rPr>
        <w:br/>
      </w:r>
      <w:r w:rsidRPr="00F9716C">
        <w:rPr>
          <w:color w:val="414042" w:themeColor="text1"/>
        </w:rPr>
        <w:t xml:space="preserve">sub‐committee of the ELT and assists the </w:t>
      </w:r>
      <w:r w:rsidR="001F4500" w:rsidRPr="00F9716C">
        <w:rPr>
          <w:color w:val="414042" w:themeColor="text1"/>
        </w:rPr>
        <w:t xml:space="preserve">CEO </w:t>
      </w:r>
      <w:r w:rsidRPr="00F9716C">
        <w:rPr>
          <w:color w:val="414042" w:themeColor="text1"/>
        </w:rPr>
        <w:t xml:space="preserve">and the </w:t>
      </w:r>
      <w:r w:rsidR="001F4500" w:rsidRPr="00F9716C">
        <w:rPr>
          <w:color w:val="414042" w:themeColor="text1"/>
        </w:rPr>
        <w:t xml:space="preserve">Chairperson </w:t>
      </w:r>
      <w:r w:rsidRPr="00F9716C">
        <w:rPr>
          <w:color w:val="414042" w:themeColor="text1"/>
        </w:rPr>
        <w:t xml:space="preserve">in </w:t>
      </w:r>
      <w:r w:rsidR="001F4500" w:rsidRPr="00F9716C">
        <w:rPr>
          <w:color w:val="414042" w:themeColor="text1"/>
        </w:rPr>
        <w:t xml:space="preserve">their </w:t>
      </w:r>
      <w:r w:rsidRPr="00F9716C">
        <w:rPr>
          <w:color w:val="414042" w:themeColor="text1"/>
        </w:rPr>
        <w:t>responsibilities related to financial management.</w:t>
      </w:r>
    </w:p>
    <w:p w14:paraId="67850FB0" w14:textId="31EBF417" w:rsidR="00561686" w:rsidRPr="00F9716C" w:rsidRDefault="00561686" w:rsidP="00561686">
      <w:pPr>
        <w:rPr>
          <w:color w:val="414042" w:themeColor="text1"/>
        </w:rPr>
      </w:pPr>
      <w:r w:rsidRPr="00F9716C">
        <w:rPr>
          <w:color w:val="414042" w:themeColor="text1"/>
        </w:rPr>
        <w:t>The committee acts as a review body over the financial and budget processes of the CCC.</w:t>
      </w:r>
    </w:p>
    <w:bookmarkStart w:id="1245" w:name="_Toc102038063"/>
    <w:bookmarkStart w:id="1246" w:name="_Toc102038424"/>
    <w:bookmarkStart w:id="1247" w:name="_Toc102038785"/>
    <w:bookmarkStart w:id="1248" w:name="_Toc102039137"/>
    <w:bookmarkStart w:id="1249" w:name="_Toc102039486"/>
    <w:bookmarkStart w:id="1250" w:name="_Toc102039848"/>
    <w:bookmarkStart w:id="1251" w:name="_Toc102040205"/>
    <w:bookmarkStart w:id="1252" w:name="_Toc102040533"/>
    <w:bookmarkStart w:id="1253" w:name="_Toc102040867"/>
    <w:bookmarkStart w:id="1254" w:name="_Toc102041195"/>
    <w:bookmarkStart w:id="1255" w:name="_Toc102041524"/>
    <w:bookmarkStart w:id="1256" w:name="_Toc102041856"/>
    <w:bookmarkStart w:id="1257" w:name="_Toc102042183"/>
    <w:bookmarkStart w:id="1258" w:name="_Toc102042513"/>
    <w:bookmarkStart w:id="1259" w:name="_Toc102045643"/>
    <w:p w14:paraId="76B7C13B" w14:textId="77777777" w:rsidR="00561686" w:rsidRPr="00F9716C" w:rsidRDefault="00561686" w:rsidP="00561686">
      <w:pPr>
        <w:rPr>
          <w:color w:val="414042" w:themeColor="text1"/>
        </w:rPr>
      </w:pPr>
      <w:r w:rsidRPr="00F9716C">
        <w:rPr>
          <w:noProof/>
          <w:color w:val="414042" w:themeColor="text1"/>
        </w:rPr>
        <mc:AlternateContent>
          <mc:Choice Requires="wps">
            <w:drawing>
              <wp:anchor distT="45720" distB="45720" distL="114300" distR="114300" simplePos="0" relativeHeight="252332032" behindDoc="1" locked="0" layoutInCell="1" allowOverlap="1" wp14:anchorId="5B18FD51" wp14:editId="575B05E3">
                <wp:simplePos x="0" y="0"/>
                <wp:positionH relativeFrom="margin">
                  <wp:align>right</wp:align>
                </wp:positionH>
                <wp:positionV relativeFrom="topMargin">
                  <wp:align>bottom</wp:align>
                </wp:positionV>
                <wp:extent cx="6116320" cy="638175"/>
                <wp:effectExtent l="0" t="0" r="0" b="0"/>
                <wp:wrapSquare wrapText="bothSides"/>
                <wp:docPr id="1756626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638175"/>
                        </a:xfrm>
                        <a:prstGeom prst="rect">
                          <a:avLst/>
                        </a:prstGeom>
                        <a:noFill/>
                        <a:ln w="9525">
                          <a:noFill/>
                          <a:miter lim="800000"/>
                          <a:headEnd/>
                          <a:tailEnd/>
                        </a:ln>
                      </wps:spPr>
                      <wps:txbx>
                        <w:txbxContent>
                          <w:p w14:paraId="3BDD0F2C" w14:textId="77777777" w:rsidR="00561686" w:rsidRDefault="00561686" w:rsidP="005616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8FD51" id="_x0000_s1044" type="#_x0000_t202" style="position:absolute;margin-left:430.4pt;margin-top:0;width:481.6pt;height:50.25pt;z-index:-250984448;visibility:visible;mso-wrap-style:square;mso-width-percent:0;mso-height-percent:0;mso-wrap-distance-left:9pt;mso-wrap-distance-top:3.6pt;mso-wrap-distance-right:9pt;mso-wrap-distance-bottom:3.6pt;mso-position-horizontal:righ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" filled="f" stroked="f">
                <v:textbox>
                  <w:txbxContent>
                    <w:p w14:paraId="3BDD0F2C" w14:textId="77777777" w:rsidR="00561686" w:rsidRDefault="00561686" w:rsidP="00561686"/>
                  </w:txbxContent>
                </v:textbox>
                <w10:wrap type="square" anchorx="margin" anchory="margin"/>
              </v:shape>
            </w:pict>
          </mc:Fallback>
        </mc:AlternateContent>
      </w:r>
      <w:r w:rsidRPr="00F9716C">
        <w:rPr>
          <w:color w:val="414042" w:themeColor="text1"/>
        </w:rPr>
        <w:t>The Budget Management Committee comprises the ELT and the Chief Finance Officer.</w:t>
      </w:r>
    </w:p>
    <w:p w14:paraId="027CDCAA" w14:textId="75673243" w:rsidR="00561686" w:rsidRPr="00F9716C" w:rsidRDefault="00CB3E7D" w:rsidP="00B02BC4">
      <w:pPr>
        <w:pStyle w:val="Heading4"/>
      </w:pPr>
      <w:bookmarkStart w:id="1260" w:name="_Toc102038064"/>
      <w:bookmarkStart w:id="1261" w:name="_Toc102038425"/>
      <w:bookmarkStart w:id="1262" w:name="_Toc102038786"/>
      <w:bookmarkStart w:id="1263" w:name="_Toc102039138"/>
      <w:bookmarkStart w:id="1264" w:name="_Toc102039487"/>
      <w:bookmarkStart w:id="1265" w:name="_Toc102039849"/>
      <w:bookmarkStart w:id="1266" w:name="_Toc102040206"/>
      <w:bookmarkStart w:id="1267" w:name="_Toc102040534"/>
      <w:bookmarkStart w:id="1268" w:name="_Toc102040868"/>
      <w:bookmarkStart w:id="1269" w:name="_Toc102041196"/>
      <w:bookmarkStart w:id="1270" w:name="_Toc102041525"/>
      <w:bookmarkStart w:id="1271" w:name="_Toc102041857"/>
      <w:bookmarkStart w:id="1272" w:name="_Toc102042184"/>
      <w:bookmarkStart w:id="1273" w:name="_Toc102042514"/>
      <w:bookmarkStart w:id="1274" w:name="_Toc1020456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r>
        <w:br w:type="column"/>
      </w:r>
      <w:r w:rsidR="00561686" w:rsidRPr="00F9716C">
        <w:t>Organisational Safety and Wellbeing Committee</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0B2A0C59" w14:textId="77777777" w:rsidR="00561686" w:rsidRPr="00F9716C" w:rsidRDefault="00561686" w:rsidP="0021273F">
      <w:pPr>
        <w:spacing w:before="120"/>
        <w:rPr>
          <w:color w:val="414042" w:themeColor="text1"/>
          <w:spacing w:val="-4"/>
        </w:rPr>
      </w:pPr>
      <w:r w:rsidRPr="00F9716C">
        <w:rPr>
          <w:color w:val="414042" w:themeColor="text1"/>
          <w:spacing w:val="-4"/>
        </w:rPr>
        <w:t xml:space="preserve">The Organisational Safety and Wellbeing (OS&amp;W) Committee is </w:t>
      </w:r>
      <w:r w:rsidRPr="00F9716C">
        <w:rPr>
          <w:color w:val="414042" w:themeColor="text1"/>
        </w:rPr>
        <w:t>responsible</w:t>
      </w:r>
      <w:r w:rsidRPr="00F9716C">
        <w:rPr>
          <w:color w:val="414042" w:themeColor="text1"/>
          <w:spacing w:val="-4"/>
        </w:rPr>
        <w:t xml:space="preserve"> for providing a focal point for staff participation in the CCC’s safety and wellbeing program and assisting the CCC to meet its legislative requirements under the </w:t>
      </w:r>
      <w:r w:rsidRPr="00F9716C">
        <w:rPr>
          <w:i/>
          <w:iCs/>
          <w:color w:val="414042" w:themeColor="text1"/>
          <w:spacing w:val="-4"/>
        </w:rPr>
        <w:t>Work Health and Safety Act 2011</w:t>
      </w:r>
      <w:r w:rsidRPr="00F9716C">
        <w:rPr>
          <w:color w:val="414042" w:themeColor="text1"/>
          <w:spacing w:val="-4"/>
        </w:rPr>
        <w:t>.</w:t>
      </w:r>
    </w:p>
    <w:p w14:paraId="67287AB7" w14:textId="77777777" w:rsidR="00561686" w:rsidRPr="00F9716C" w:rsidRDefault="00561686" w:rsidP="00561686">
      <w:pPr>
        <w:pStyle w:val="CommentText"/>
        <w:rPr>
          <w:color w:val="414042" w:themeColor="text1"/>
        </w:rPr>
      </w:pPr>
      <w:r w:rsidRPr="00F9716C">
        <w:rPr>
          <w:color w:val="414042" w:themeColor="text1"/>
        </w:rPr>
        <w:t>The OS&amp;W Committee acts as a review body over the safety and wellbeing processes of the CCC by:</w:t>
      </w:r>
    </w:p>
    <w:p w14:paraId="16F89AC9" w14:textId="5E1B2EAE" w:rsidR="00561686" w:rsidRPr="00F9716C" w:rsidRDefault="00561686" w:rsidP="006900F6">
      <w:pPr>
        <w:pStyle w:val="Bulletpoints0"/>
      </w:pPr>
      <w:r w:rsidRPr="00F9716C">
        <w:t>monitoring conditions to ensure that staff safety and wellbeing are safeguarded</w:t>
      </w:r>
    </w:p>
    <w:p w14:paraId="5A56D32E" w14:textId="77777777" w:rsidR="00561686" w:rsidRPr="00F9716C" w:rsidRDefault="00561686" w:rsidP="006900F6">
      <w:pPr>
        <w:pStyle w:val="Bulletpoints0"/>
      </w:pPr>
      <w:r w:rsidRPr="00F9716C">
        <w:t>promoting a cooperative approach with regards to relevant safety and wellbeing issues.</w:t>
      </w:r>
    </w:p>
    <w:p w14:paraId="56B0AA28" w14:textId="5F4B434B" w:rsidR="00561686" w:rsidRPr="00F9716C" w:rsidRDefault="00561686" w:rsidP="00CB3E7D">
      <w:r w:rsidRPr="00F9716C">
        <w:rPr>
          <w:color w:val="414042" w:themeColor="text1"/>
        </w:rPr>
        <w:t>Committee membership comprises of both management and employee representatives from all divisions. The three management representatives are the CEO (committee Chair), the Director, Human Resources and the Safety Adviser.</w:t>
      </w:r>
      <w:bookmarkEnd w:id="1213"/>
      <w:r w:rsidR="00CB3E7D">
        <w:rPr>
          <w:color w:val="414042" w:themeColor="text1"/>
        </w:rPr>
        <w:br w:type="column"/>
      </w:r>
      <w:r w:rsidRPr="00CB3E7D">
        <w:rPr>
          <w:rFonts w:asciiTheme="minorHAnsi" w:eastAsia="Times New Roman" w:hAnsiTheme="minorHAnsi" w:cstheme="minorHAnsi"/>
          <w:b/>
          <w:noProof/>
          <w:color w:val="414042" w:themeColor="text1"/>
          <w:sz w:val="22"/>
          <w:lang w:eastAsia="en-AU"/>
        </w:rPr>
        <w:t>Audit and Risk Management Committee</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bookmarkEnd w:id="1211"/>
    <w:bookmarkEnd w:id="1212"/>
    <w:p w14:paraId="527CB1D2" w14:textId="77777777" w:rsidR="00561686" w:rsidRPr="00F9716C" w:rsidRDefault="00561686" w:rsidP="00CB5115">
      <w:pPr>
        <w:spacing w:before="120"/>
        <w:ind w:right="-1"/>
        <w:rPr>
          <w:color w:val="414042" w:themeColor="text1"/>
        </w:rPr>
      </w:pPr>
      <w:r w:rsidRPr="00F9716C">
        <w:rPr>
          <w:color w:val="414042" w:themeColor="text1"/>
        </w:rPr>
        <w:t>The Audit and Risk Management Committee (ARMC) provides independent assurance on risk, internal controls, compliance with legislative and regulatory requirements, and the financial management of our agency.</w:t>
      </w:r>
    </w:p>
    <w:p w14:paraId="14BEB7B5" w14:textId="201FEE23" w:rsidR="00561686" w:rsidRDefault="00561686" w:rsidP="00CB5115">
      <w:pPr>
        <w:ind w:right="-1"/>
        <w:rPr>
          <w:color w:val="414042" w:themeColor="text1"/>
        </w:rPr>
      </w:pPr>
      <w:r w:rsidRPr="00F9716C">
        <w:rPr>
          <w:color w:val="414042" w:themeColor="text1"/>
        </w:rPr>
        <w:t xml:space="preserve">The ARMC is a five-person committee consisting of the </w:t>
      </w:r>
      <w:r w:rsidR="00171C5D" w:rsidRPr="00F9716C">
        <w:rPr>
          <w:color w:val="414042" w:themeColor="text1"/>
        </w:rPr>
        <w:t>CEO</w:t>
      </w:r>
      <w:r w:rsidRPr="00F9716C">
        <w:rPr>
          <w:color w:val="414042" w:themeColor="text1"/>
        </w:rPr>
        <w:t xml:space="preserve"> (the Commission’s nominee), two internal members and two external members, one of whom is the ARMC Chair (see Table 1</w:t>
      </w:r>
      <w:r w:rsidR="004C1A3D" w:rsidRPr="00F9716C">
        <w:rPr>
          <w:color w:val="414042" w:themeColor="text1"/>
        </w:rPr>
        <w:t>0</w:t>
      </w:r>
      <w:r w:rsidRPr="00F9716C">
        <w:rPr>
          <w:color w:val="414042" w:themeColor="text1"/>
        </w:rPr>
        <w:t xml:space="preserve">). The CCC Chairperson is an ex officio member of the committee. The CCC’s Senior Internal Audit Manager and </w:t>
      </w:r>
      <w:r w:rsidR="0018391C" w:rsidRPr="00F9716C">
        <w:rPr>
          <w:color w:val="414042" w:themeColor="text1"/>
        </w:rPr>
        <w:t>Chief Financ</w:t>
      </w:r>
      <w:r w:rsidR="009F4BA4">
        <w:rPr>
          <w:color w:val="414042" w:themeColor="text1"/>
        </w:rPr>
        <w:t xml:space="preserve">e </w:t>
      </w:r>
      <w:r w:rsidR="0018391C" w:rsidRPr="00F9716C">
        <w:rPr>
          <w:color w:val="414042" w:themeColor="text1"/>
        </w:rPr>
        <w:t xml:space="preserve">Officer, as well as </w:t>
      </w:r>
      <w:r w:rsidRPr="00F9716C">
        <w:rPr>
          <w:color w:val="414042" w:themeColor="text1"/>
        </w:rPr>
        <w:t>representatives from the QAO</w:t>
      </w:r>
      <w:r w:rsidR="0018391C" w:rsidRPr="00F9716C">
        <w:rPr>
          <w:color w:val="414042" w:themeColor="text1"/>
        </w:rPr>
        <w:t>,</w:t>
      </w:r>
      <w:r w:rsidRPr="00F9716C">
        <w:rPr>
          <w:color w:val="414042" w:themeColor="text1"/>
        </w:rPr>
        <w:t xml:space="preserve"> </w:t>
      </w:r>
      <w:r w:rsidR="009F4BA4">
        <w:rPr>
          <w:color w:val="414042" w:themeColor="text1"/>
        </w:rPr>
        <w:br/>
      </w:r>
      <w:r w:rsidRPr="00F9716C">
        <w:rPr>
          <w:color w:val="414042" w:themeColor="text1"/>
        </w:rPr>
        <w:t>have standing invitations to attend ARMC meetings.</w:t>
      </w:r>
    </w:p>
    <w:p w14:paraId="74B194EC" w14:textId="77777777" w:rsidR="00CB3E7D" w:rsidRPr="00F9716C" w:rsidRDefault="00CB3E7D" w:rsidP="00CB5115">
      <w:pPr>
        <w:ind w:right="-1"/>
        <w:rPr>
          <w:color w:val="414042" w:themeColor="text1"/>
        </w:rPr>
      </w:pPr>
      <w:r w:rsidRPr="00F9716C">
        <w:rPr>
          <w:color w:val="414042" w:themeColor="text1"/>
        </w:rPr>
        <w:t>Key achievements for 2023–24:</w:t>
      </w:r>
    </w:p>
    <w:p w14:paraId="5BAB1606" w14:textId="77777777" w:rsidR="00CB3E7D" w:rsidRPr="00F9716C" w:rsidRDefault="00CB3E7D" w:rsidP="00CB5115">
      <w:pPr>
        <w:pStyle w:val="Bulletpoints0"/>
        <w:ind w:right="-1"/>
      </w:pPr>
      <w:r w:rsidRPr="00F9716C">
        <w:t xml:space="preserve">Endorsed the CCC Internal Audit Plan 2024–25, </w:t>
      </w:r>
      <w:r w:rsidRPr="00F9716C">
        <w:rPr>
          <w:i/>
          <w:iCs/>
        </w:rPr>
        <w:t>Strategic Internal Audit Plan 2024–29</w:t>
      </w:r>
      <w:r w:rsidRPr="00F9716C">
        <w:t xml:space="preserve"> and our Annual Financial Statements 2022–23.</w:t>
      </w:r>
    </w:p>
    <w:p w14:paraId="4D78BA6C" w14:textId="77777777" w:rsidR="00CB3E7D" w:rsidRPr="00F9716C" w:rsidRDefault="00CB3E7D" w:rsidP="00CB5115">
      <w:pPr>
        <w:pStyle w:val="Bulletpoints0"/>
        <w:ind w:right="-1"/>
      </w:pPr>
      <w:r w:rsidRPr="00F9716C">
        <w:t>Monitored the ongoing delivery of our Internal Audit Program 2023–24 and the progress of implementing internal audit and external review recommendations.</w:t>
      </w:r>
    </w:p>
    <w:p w14:paraId="2B949DB3" w14:textId="77777777" w:rsidR="00CB3E7D" w:rsidRPr="00F9716C" w:rsidRDefault="00CB3E7D" w:rsidP="00CB5115">
      <w:pPr>
        <w:pStyle w:val="Bulletpoints0"/>
        <w:ind w:right="-1"/>
      </w:pPr>
      <w:r w:rsidRPr="00F9716C">
        <w:t xml:space="preserve">Received and considered the QAO Closing Report 2022–23, Interim Management Report 2023–24 and endorsed their Audit Plan </w:t>
      </w:r>
      <w:r>
        <w:br/>
      </w:r>
      <w:r w:rsidRPr="00F9716C">
        <w:t>2023–24.</w:t>
      </w:r>
    </w:p>
    <w:p w14:paraId="1CD3B37A" w14:textId="35ADCC43" w:rsidR="00CB3E7D" w:rsidRPr="00CB3E7D" w:rsidRDefault="00CB3E7D" w:rsidP="00CB5115">
      <w:pPr>
        <w:pStyle w:val="Bulletpoints0"/>
        <w:ind w:right="-1"/>
        <w:sectPr w:rsidR="00CB3E7D" w:rsidRPr="00CB3E7D" w:rsidSect="00C77834">
          <w:type w:val="continuous"/>
          <w:pgSz w:w="11906" w:h="16838" w:code="9"/>
          <w:pgMar w:top="2155" w:right="1134" w:bottom="964" w:left="1134" w:header="720" w:footer="284" w:gutter="0"/>
          <w:cols w:num="2" w:space="567"/>
          <w:noEndnote/>
          <w:docGrid w:linePitch="272"/>
        </w:sectPr>
      </w:pPr>
      <w:r w:rsidRPr="00F9716C">
        <w:t>Noted updates to some of our accounting and financial related policies and the ARMC Charter. Meetings were held on a quarterly basis.</w:t>
      </w:r>
    </w:p>
    <w:p w14:paraId="00991CA7" w14:textId="77777777" w:rsidR="00CB3E7D" w:rsidRDefault="00CB3E7D" w:rsidP="00A368B5">
      <w:pPr>
        <w:jc w:val="both"/>
        <w:rPr>
          <w:color w:val="414042" w:themeColor="text1"/>
        </w:rPr>
        <w:sectPr w:rsidR="00CB3E7D" w:rsidSect="00CB3E7D">
          <w:type w:val="continuous"/>
          <w:pgSz w:w="11906" w:h="16838" w:code="9"/>
          <w:pgMar w:top="2155" w:right="1134" w:bottom="964" w:left="1134" w:header="720" w:footer="284" w:gutter="0"/>
          <w:cols w:space="567"/>
          <w:noEndnote/>
          <w:docGrid w:linePitch="272"/>
        </w:sectPr>
      </w:pPr>
    </w:p>
    <w:p w14:paraId="211660C6" w14:textId="1E407F9C" w:rsidR="00561686" w:rsidRPr="00CB5115" w:rsidRDefault="00561686" w:rsidP="00E41B49">
      <w:pPr>
        <w:pStyle w:val="Figuretableheading0"/>
      </w:pPr>
      <w:bookmarkStart w:id="1275" w:name="_Toc102038067"/>
      <w:bookmarkStart w:id="1276" w:name="_Toc102038428"/>
      <w:bookmarkStart w:id="1277" w:name="_Toc102038789"/>
      <w:bookmarkStart w:id="1278" w:name="_Toc102039141"/>
      <w:bookmarkStart w:id="1279" w:name="_Toc102039490"/>
      <w:bookmarkStart w:id="1280" w:name="_Toc102039852"/>
      <w:bookmarkStart w:id="1281" w:name="_Toc102040209"/>
      <w:bookmarkStart w:id="1282" w:name="_Toc102040537"/>
      <w:bookmarkStart w:id="1283" w:name="_Toc102040871"/>
      <w:bookmarkStart w:id="1284" w:name="_Toc102041199"/>
      <w:bookmarkStart w:id="1285" w:name="_Toc102041528"/>
      <w:bookmarkStart w:id="1286" w:name="_Toc102041860"/>
      <w:bookmarkStart w:id="1287" w:name="_Toc102042187"/>
      <w:bookmarkStart w:id="1288" w:name="_Toc102042517"/>
      <w:bookmarkStart w:id="1289" w:name="_Toc102045647"/>
      <w:r w:rsidRPr="00CB5115">
        <w:t xml:space="preserve">Table </w:t>
      </w:r>
      <w:r w:rsidR="00A73B4E" w:rsidRPr="00CB5115">
        <w:t>10</w:t>
      </w:r>
      <w:r w:rsidRPr="00CB5115">
        <w:t>: Membership and meetings of the ARMC</w:t>
      </w:r>
    </w:p>
    <w:tbl>
      <w:tblPr>
        <w:tblStyle w:val="Annualreport2020-21"/>
        <w:tblW w:w="9639" w:type="dxa"/>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3402"/>
        <w:gridCol w:w="4395"/>
        <w:gridCol w:w="1842"/>
      </w:tblGrid>
      <w:tr w:rsidR="00F9716C" w:rsidRPr="00F9716C" w14:paraId="6473856C" w14:textId="77777777" w:rsidTr="00CB5115">
        <w:trPr>
          <w:cnfStyle w:val="100000000000" w:firstRow="1" w:lastRow="0" w:firstColumn="0" w:lastColumn="0" w:oddVBand="0" w:evenVBand="0" w:oddHBand="0" w:evenHBand="0" w:firstRowFirstColumn="0" w:firstRowLastColumn="0" w:lastRowFirstColumn="0" w:lastRowLastColumn="0"/>
          <w:trHeight w:val="227"/>
        </w:trPr>
        <w:tc>
          <w:tcPr>
            <w:tcW w:w="3402" w:type="dxa"/>
            <w:tcBorders>
              <w:top w:val="single" w:sz="8" w:space="0" w:color="BCBEC0" w:themeColor="accent5"/>
              <w:left w:val="single" w:sz="8" w:space="0" w:color="BCBEC0" w:themeColor="accent5"/>
            </w:tcBorders>
          </w:tcPr>
          <w:p w14:paraId="728B5BE0" w14:textId="77777777" w:rsidR="00561686" w:rsidRPr="00CB5115" w:rsidRDefault="00561686" w:rsidP="00407FB6">
            <w:pPr>
              <w:spacing w:after="0"/>
              <w:contextualSpacing/>
              <w:jc w:val="left"/>
              <w:rPr>
                <w:rFonts w:asciiTheme="minorHAnsi" w:hAnsiTheme="minorHAnsi" w:cstheme="minorHAnsi"/>
              </w:rPr>
            </w:pPr>
            <w:r w:rsidRPr="00CB5115">
              <w:rPr>
                <w:rFonts w:asciiTheme="minorHAnsi" w:hAnsiTheme="minorHAnsi" w:cstheme="minorHAnsi"/>
              </w:rPr>
              <w:t>Name</w:t>
            </w:r>
          </w:p>
        </w:tc>
        <w:tc>
          <w:tcPr>
            <w:tcW w:w="4395" w:type="dxa"/>
            <w:tcBorders>
              <w:top w:val="single" w:sz="8" w:space="0" w:color="BCBEC0" w:themeColor="accent5"/>
            </w:tcBorders>
          </w:tcPr>
          <w:p w14:paraId="6750994F" w14:textId="77777777" w:rsidR="00561686" w:rsidRPr="00CB5115" w:rsidRDefault="00561686" w:rsidP="00407FB6">
            <w:pPr>
              <w:spacing w:after="0"/>
              <w:contextualSpacing/>
              <w:jc w:val="left"/>
              <w:rPr>
                <w:rFonts w:asciiTheme="minorHAnsi" w:hAnsiTheme="minorHAnsi" w:cstheme="minorHAnsi"/>
              </w:rPr>
            </w:pPr>
            <w:r w:rsidRPr="00CB5115">
              <w:rPr>
                <w:rFonts w:asciiTheme="minorHAnsi" w:hAnsiTheme="minorHAnsi" w:cstheme="minorHAnsi"/>
              </w:rPr>
              <w:t>Position</w:t>
            </w:r>
          </w:p>
        </w:tc>
        <w:tc>
          <w:tcPr>
            <w:tcW w:w="1842" w:type="dxa"/>
            <w:tcBorders>
              <w:top w:val="single" w:sz="8" w:space="0" w:color="BCBEC0" w:themeColor="accent5"/>
              <w:right w:val="single" w:sz="8" w:space="0" w:color="BCBEC0" w:themeColor="accent5"/>
            </w:tcBorders>
          </w:tcPr>
          <w:p w14:paraId="1A164C22" w14:textId="77777777" w:rsidR="00561686" w:rsidRPr="00CB5115" w:rsidRDefault="00561686" w:rsidP="00407FB6">
            <w:pPr>
              <w:spacing w:after="0"/>
              <w:contextualSpacing/>
              <w:rPr>
                <w:rFonts w:asciiTheme="minorHAnsi" w:hAnsiTheme="minorHAnsi" w:cstheme="minorHAnsi"/>
              </w:rPr>
            </w:pPr>
            <w:r w:rsidRPr="00CB5115">
              <w:rPr>
                <w:rFonts w:asciiTheme="minorHAnsi" w:hAnsiTheme="minorHAnsi" w:cstheme="minorHAnsi"/>
              </w:rPr>
              <w:t>Meetings attended</w:t>
            </w:r>
          </w:p>
        </w:tc>
      </w:tr>
      <w:tr w:rsidR="00F9716C" w:rsidRPr="00F9716C" w14:paraId="0FFEAD88" w14:textId="77777777" w:rsidTr="0047525A">
        <w:trPr>
          <w:trHeight w:val="227"/>
        </w:trPr>
        <w:tc>
          <w:tcPr>
            <w:tcW w:w="3402" w:type="dxa"/>
            <w:tcBorders>
              <w:left w:val="single" w:sz="8" w:space="0" w:color="BCBEC0" w:themeColor="accent5"/>
            </w:tcBorders>
          </w:tcPr>
          <w:p w14:paraId="3ED26E9B" w14:textId="3B9DF1D8" w:rsidR="006A5998" w:rsidRPr="00E01FCC" w:rsidRDefault="006A5998" w:rsidP="006A5998">
            <w:pPr>
              <w:spacing w:after="0"/>
              <w:contextualSpacing/>
              <w:rPr>
                <w:rFonts w:asciiTheme="majorHAnsi" w:hAnsiTheme="majorHAnsi" w:cstheme="majorHAnsi"/>
                <w:sz w:val="18"/>
                <w:szCs w:val="20"/>
              </w:rPr>
            </w:pPr>
            <w:r w:rsidRPr="00E01FCC">
              <w:rPr>
                <w:rFonts w:asciiTheme="majorHAnsi" w:hAnsiTheme="majorHAnsi" w:cstheme="majorHAnsi"/>
                <w:sz w:val="18"/>
                <w:szCs w:val="20"/>
              </w:rPr>
              <w:t>Mr Ian Hall</w:t>
            </w:r>
            <w:r w:rsidRPr="00E01FCC">
              <w:rPr>
                <w:rFonts w:asciiTheme="majorHAnsi" w:hAnsiTheme="majorHAnsi" w:cstheme="majorHAnsi"/>
                <w:sz w:val="18"/>
                <w:szCs w:val="20"/>
                <w:vertAlign w:val="superscript"/>
              </w:rPr>
              <w:t>1</w:t>
            </w:r>
          </w:p>
        </w:tc>
        <w:tc>
          <w:tcPr>
            <w:tcW w:w="4395" w:type="dxa"/>
          </w:tcPr>
          <w:p w14:paraId="29E9F924" w14:textId="68668926" w:rsidR="006A5998" w:rsidRPr="00E01FCC" w:rsidRDefault="006A5998" w:rsidP="006A5998">
            <w:pPr>
              <w:spacing w:after="0"/>
              <w:contextualSpacing/>
              <w:rPr>
                <w:rFonts w:asciiTheme="majorHAnsi" w:hAnsiTheme="majorHAnsi" w:cstheme="majorHAnsi"/>
                <w:sz w:val="18"/>
                <w:szCs w:val="20"/>
              </w:rPr>
            </w:pPr>
            <w:r w:rsidRPr="00E01FCC">
              <w:rPr>
                <w:rFonts w:asciiTheme="majorHAnsi" w:hAnsiTheme="majorHAnsi" w:cstheme="majorHAnsi"/>
                <w:sz w:val="18"/>
                <w:szCs w:val="20"/>
              </w:rPr>
              <w:t>ARMC Chair (external)</w:t>
            </w:r>
          </w:p>
        </w:tc>
        <w:tc>
          <w:tcPr>
            <w:tcW w:w="1842" w:type="dxa"/>
            <w:tcBorders>
              <w:right w:val="single" w:sz="8" w:space="0" w:color="BCBEC0" w:themeColor="accent5"/>
            </w:tcBorders>
          </w:tcPr>
          <w:p w14:paraId="1007A2D6" w14:textId="14B49569" w:rsidR="006A5998" w:rsidRPr="00E01FCC" w:rsidRDefault="006A5998" w:rsidP="006A5998">
            <w:pPr>
              <w:spacing w:after="0"/>
              <w:contextualSpacing/>
              <w:jc w:val="center"/>
              <w:rPr>
                <w:rFonts w:asciiTheme="majorHAnsi" w:hAnsiTheme="majorHAnsi" w:cstheme="majorHAnsi"/>
                <w:sz w:val="18"/>
                <w:szCs w:val="20"/>
              </w:rPr>
            </w:pPr>
            <w:r w:rsidRPr="00E01FCC">
              <w:rPr>
                <w:rFonts w:asciiTheme="majorHAnsi" w:hAnsiTheme="majorHAnsi" w:cstheme="majorHAnsi"/>
                <w:sz w:val="18"/>
                <w:szCs w:val="20"/>
              </w:rPr>
              <w:t>4</w:t>
            </w:r>
          </w:p>
        </w:tc>
      </w:tr>
      <w:tr w:rsidR="00F9716C" w:rsidRPr="00F9716C" w14:paraId="564482E5" w14:textId="77777777" w:rsidTr="0047525A">
        <w:trPr>
          <w:trHeight w:val="227"/>
        </w:trPr>
        <w:tc>
          <w:tcPr>
            <w:tcW w:w="3402" w:type="dxa"/>
            <w:tcBorders>
              <w:left w:val="single" w:sz="8" w:space="0" w:color="BCBEC0" w:themeColor="accent5"/>
            </w:tcBorders>
          </w:tcPr>
          <w:p w14:paraId="38540051" w14:textId="6AC5C08E" w:rsidR="006A5998" w:rsidRPr="00E01FCC" w:rsidRDefault="006A5998" w:rsidP="006A5998">
            <w:pPr>
              <w:spacing w:after="0"/>
              <w:contextualSpacing/>
              <w:rPr>
                <w:rFonts w:asciiTheme="majorHAnsi" w:hAnsiTheme="majorHAnsi" w:cstheme="majorHAnsi"/>
                <w:sz w:val="18"/>
                <w:szCs w:val="20"/>
              </w:rPr>
            </w:pPr>
            <w:r w:rsidRPr="00E01FCC">
              <w:rPr>
                <w:rFonts w:asciiTheme="majorHAnsi" w:hAnsiTheme="majorHAnsi" w:cstheme="majorHAnsi"/>
                <w:sz w:val="18"/>
                <w:szCs w:val="20"/>
              </w:rPr>
              <w:t>Mr Stuart Hatton</w:t>
            </w:r>
            <w:r w:rsidRPr="00E01FCC">
              <w:rPr>
                <w:rFonts w:asciiTheme="majorHAnsi" w:hAnsiTheme="majorHAnsi" w:cstheme="majorHAnsi"/>
                <w:sz w:val="18"/>
                <w:szCs w:val="20"/>
                <w:vertAlign w:val="superscript"/>
              </w:rPr>
              <w:t>2</w:t>
            </w:r>
          </w:p>
        </w:tc>
        <w:tc>
          <w:tcPr>
            <w:tcW w:w="4395" w:type="dxa"/>
          </w:tcPr>
          <w:p w14:paraId="099CE8F6" w14:textId="3368DFA5" w:rsidR="006A5998" w:rsidRPr="00E01FCC" w:rsidRDefault="006A5998" w:rsidP="006A5998">
            <w:pPr>
              <w:spacing w:after="0"/>
              <w:contextualSpacing/>
              <w:rPr>
                <w:rFonts w:asciiTheme="majorHAnsi" w:hAnsiTheme="majorHAnsi" w:cstheme="majorHAnsi"/>
                <w:sz w:val="18"/>
                <w:szCs w:val="20"/>
              </w:rPr>
            </w:pPr>
            <w:r w:rsidRPr="00E01FCC">
              <w:rPr>
                <w:rFonts w:asciiTheme="majorHAnsi" w:hAnsiTheme="majorHAnsi" w:cstheme="majorHAnsi"/>
                <w:sz w:val="18"/>
                <w:szCs w:val="20"/>
              </w:rPr>
              <w:t>External member</w:t>
            </w:r>
          </w:p>
        </w:tc>
        <w:tc>
          <w:tcPr>
            <w:tcW w:w="1842" w:type="dxa"/>
            <w:tcBorders>
              <w:right w:val="single" w:sz="8" w:space="0" w:color="BCBEC0" w:themeColor="accent5"/>
            </w:tcBorders>
          </w:tcPr>
          <w:p w14:paraId="63A1EE6C" w14:textId="35051AB1" w:rsidR="006A5998" w:rsidRPr="00E01FCC" w:rsidRDefault="006A5998" w:rsidP="006A5998">
            <w:pPr>
              <w:spacing w:after="0"/>
              <w:contextualSpacing/>
              <w:jc w:val="center"/>
              <w:rPr>
                <w:rFonts w:asciiTheme="majorHAnsi" w:hAnsiTheme="majorHAnsi" w:cstheme="majorHAnsi"/>
                <w:sz w:val="18"/>
                <w:szCs w:val="20"/>
              </w:rPr>
            </w:pPr>
            <w:r w:rsidRPr="00E01FCC">
              <w:rPr>
                <w:rFonts w:asciiTheme="majorHAnsi" w:hAnsiTheme="majorHAnsi" w:cstheme="majorHAnsi"/>
                <w:sz w:val="18"/>
                <w:szCs w:val="20"/>
              </w:rPr>
              <w:t>4</w:t>
            </w:r>
          </w:p>
        </w:tc>
      </w:tr>
      <w:tr w:rsidR="00F9716C" w:rsidRPr="00F9716C" w14:paraId="234B9A08" w14:textId="77777777" w:rsidTr="0047525A">
        <w:trPr>
          <w:trHeight w:val="227"/>
        </w:trPr>
        <w:tc>
          <w:tcPr>
            <w:tcW w:w="3402" w:type="dxa"/>
            <w:tcBorders>
              <w:left w:val="single" w:sz="8" w:space="0" w:color="BCBEC0" w:themeColor="accent5"/>
            </w:tcBorders>
          </w:tcPr>
          <w:p w14:paraId="1D5E66FB" w14:textId="1D37F0B7" w:rsidR="006A5998" w:rsidRPr="00E01FCC" w:rsidRDefault="006A5998" w:rsidP="006A5998">
            <w:pPr>
              <w:spacing w:after="0"/>
              <w:contextualSpacing/>
              <w:rPr>
                <w:rFonts w:asciiTheme="majorHAnsi" w:hAnsiTheme="majorHAnsi" w:cstheme="majorHAnsi"/>
                <w:sz w:val="18"/>
                <w:szCs w:val="20"/>
              </w:rPr>
            </w:pPr>
            <w:r w:rsidRPr="00E01FCC">
              <w:rPr>
                <w:rFonts w:asciiTheme="majorHAnsi" w:hAnsiTheme="majorHAnsi" w:cstheme="majorHAnsi"/>
                <w:sz w:val="18"/>
                <w:szCs w:val="20"/>
              </w:rPr>
              <w:t>Ms Jen O’Farrell</w:t>
            </w:r>
          </w:p>
        </w:tc>
        <w:tc>
          <w:tcPr>
            <w:tcW w:w="4395" w:type="dxa"/>
          </w:tcPr>
          <w:p w14:paraId="49A17237" w14:textId="3E514F72" w:rsidR="006A5998" w:rsidRPr="00E01FCC" w:rsidRDefault="006A5998" w:rsidP="006A5998">
            <w:pPr>
              <w:spacing w:after="0"/>
              <w:contextualSpacing/>
              <w:rPr>
                <w:rFonts w:asciiTheme="majorHAnsi" w:hAnsiTheme="majorHAnsi" w:cstheme="majorHAnsi"/>
                <w:sz w:val="18"/>
                <w:szCs w:val="20"/>
              </w:rPr>
            </w:pPr>
            <w:r w:rsidRPr="00E01FCC">
              <w:rPr>
                <w:rFonts w:asciiTheme="majorHAnsi" w:hAnsiTheme="majorHAnsi" w:cstheme="majorHAnsi"/>
                <w:sz w:val="18"/>
                <w:szCs w:val="20"/>
              </w:rPr>
              <w:t>CCC Chief Executive Officer</w:t>
            </w:r>
          </w:p>
        </w:tc>
        <w:tc>
          <w:tcPr>
            <w:tcW w:w="1842" w:type="dxa"/>
            <w:tcBorders>
              <w:right w:val="single" w:sz="8" w:space="0" w:color="BCBEC0" w:themeColor="accent5"/>
            </w:tcBorders>
          </w:tcPr>
          <w:p w14:paraId="51A78950" w14:textId="4E0A58BB" w:rsidR="006A5998" w:rsidRPr="00E01FCC" w:rsidRDefault="006A5998" w:rsidP="006A5998">
            <w:pPr>
              <w:spacing w:after="0"/>
              <w:contextualSpacing/>
              <w:jc w:val="center"/>
              <w:rPr>
                <w:rFonts w:asciiTheme="majorHAnsi" w:hAnsiTheme="majorHAnsi" w:cstheme="majorHAnsi"/>
                <w:sz w:val="18"/>
                <w:szCs w:val="20"/>
              </w:rPr>
            </w:pPr>
            <w:r w:rsidRPr="00E01FCC">
              <w:rPr>
                <w:rFonts w:asciiTheme="majorHAnsi" w:hAnsiTheme="majorHAnsi" w:cstheme="majorHAnsi"/>
                <w:sz w:val="18"/>
                <w:szCs w:val="20"/>
              </w:rPr>
              <w:t>4</w:t>
            </w:r>
          </w:p>
        </w:tc>
      </w:tr>
      <w:tr w:rsidR="00F9716C" w:rsidRPr="00F9716C" w14:paraId="4F737F23" w14:textId="77777777" w:rsidTr="0047525A">
        <w:trPr>
          <w:trHeight w:val="227"/>
        </w:trPr>
        <w:tc>
          <w:tcPr>
            <w:tcW w:w="3402" w:type="dxa"/>
            <w:tcBorders>
              <w:left w:val="single" w:sz="8" w:space="0" w:color="BCBEC0" w:themeColor="accent5"/>
            </w:tcBorders>
          </w:tcPr>
          <w:p w14:paraId="2660E1D3" w14:textId="1C9348D4" w:rsidR="006A5998" w:rsidRPr="00E01FCC" w:rsidRDefault="006A5998" w:rsidP="006A5998">
            <w:pPr>
              <w:spacing w:after="0"/>
              <w:contextualSpacing/>
              <w:rPr>
                <w:rFonts w:asciiTheme="majorHAnsi" w:hAnsiTheme="majorHAnsi" w:cstheme="majorHAnsi"/>
                <w:sz w:val="18"/>
                <w:szCs w:val="20"/>
              </w:rPr>
            </w:pPr>
            <w:r w:rsidRPr="00E01FCC">
              <w:rPr>
                <w:rFonts w:asciiTheme="majorHAnsi" w:hAnsiTheme="majorHAnsi" w:cstheme="majorHAnsi"/>
                <w:sz w:val="18"/>
                <w:szCs w:val="20"/>
              </w:rPr>
              <w:t>Ms Sharon Loder</w:t>
            </w:r>
          </w:p>
        </w:tc>
        <w:tc>
          <w:tcPr>
            <w:tcW w:w="4395" w:type="dxa"/>
          </w:tcPr>
          <w:p w14:paraId="6DC428FA" w14:textId="77365B34" w:rsidR="006A5998" w:rsidRPr="00E01FCC" w:rsidRDefault="006A5998" w:rsidP="006A5998">
            <w:pPr>
              <w:spacing w:after="0"/>
              <w:contextualSpacing/>
              <w:rPr>
                <w:rFonts w:asciiTheme="majorHAnsi" w:hAnsiTheme="majorHAnsi" w:cstheme="majorHAnsi"/>
                <w:sz w:val="18"/>
                <w:szCs w:val="20"/>
              </w:rPr>
            </w:pPr>
            <w:r w:rsidRPr="00E01FCC">
              <w:rPr>
                <w:rFonts w:asciiTheme="majorHAnsi" w:hAnsiTheme="majorHAnsi" w:cstheme="majorHAnsi"/>
                <w:sz w:val="18"/>
                <w:szCs w:val="20"/>
              </w:rPr>
              <w:t>CCC Senior Executive Officer (Crime)</w:t>
            </w:r>
          </w:p>
        </w:tc>
        <w:tc>
          <w:tcPr>
            <w:tcW w:w="1842" w:type="dxa"/>
            <w:tcBorders>
              <w:right w:val="single" w:sz="8" w:space="0" w:color="BCBEC0" w:themeColor="accent5"/>
            </w:tcBorders>
          </w:tcPr>
          <w:p w14:paraId="1964EA0C" w14:textId="245B01F9" w:rsidR="006A5998" w:rsidRPr="00E01FCC" w:rsidRDefault="006A5998" w:rsidP="006A5998">
            <w:pPr>
              <w:spacing w:after="0"/>
              <w:contextualSpacing/>
              <w:jc w:val="center"/>
              <w:rPr>
                <w:rFonts w:asciiTheme="majorHAnsi" w:hAnsiTheme="majorHAnsi" w:cstheme="majorHAnsi"/>
                <w:sz w:val="18"/>
                <w:szCs w:val="20"/>
              </w:rPr>
            </w:pPr>
            <w:r w:rsidRPr="00E01FCC">
              <w:rPr>
                <w:rFonts w:asciiTheme="majorHAnsi" w:hAnsiTheme="majorHAnsi" w:cstheme="majorHAnsi"/>
                <w:sz w:val="18"/>
                <w:szCs w:val="20"/>
              </w:rPr>
              <w:t>4</w:t>
            </w:r>
          </w:p>
        </w:tc>
      </w:tr>
      <w:tr w:rsidR="00F9716C" w:rsidRPr="00F9716C" w14:paraId="3E001F20" w14:textId="77777777" w:rsidTr="0047525A">
        <w:trPr>
          <w:trHeight w:val="227"/>
        </w:trPr>
        <w:tc>
          <w:tcPr>
            <w:tcW w:w="3402" w:type="dxa"/>
            <w:tcBorders>
              <w:left w:val="single" w:sz="8" w:space="0" w:color="BCBEC0" w:themeColor="accent5"/>
            </w:tcBorders>
          </w:tcPr>
          <w:p w14:paraId="1CE14512" w14:textId="64DBAD07" w:rsidR="006A5998" w:rsidRPr="00E01FCC" w:rsidRDefault="006A5998" w:rsidP="006A5998">
            <w:pPr>
              <w:spacing w:after="0"/>
              <w:contextualSpacing/>
              <w:rPr>
                <w:rFonts w:asciiTheme="majorHAnsi" w:hAnsiTheme="majorHAnsi" w:cstheme="majorHAnsi"/>
                <w:sz w:val="18"/>
                <w:szCs w:val="20"/>
              </w:rPr>
            </w:pPr>
            <w:r w:rsidRPr="00E01FCC">
              <w:rPr>
                <w:rFonts w:asciiTheme="majorHAnsi" w:hAnsiTheme="majorHAnsi" w:cstheme="majorHAnsi"/>
                <w:sz w:val="18"/>
                <w:szCs w:val="20"/>
              </w:rPr>
              <w:t>Mr David Caughlin</w:t>
            </w:r>
          </w:p>
        </w:tc>
        <w:tc>
          <w:tcPr>
            <w:tcW w:w="4395" w:type="dxa"/>
          </w:tcPr>
          <w:p w14:paraId="092397D6" w14:textId="7265D9ED" w:rsidR="006A5998" w:rsidRPr="00E01FCC" w:rsidRDefault="006A5998" w:rsidP="006A5998">
            <w:pPr>
              <w:spacing w:after="0"/>
              <w:contextualSpacing/>
              <w:rPr>
                <w:rFonts w:asciiTheme="majorHAnsi" w:hAnsiTheme="majorHAnsi" w:cstheme="majorHAnsi"/>
                <w:sz w:val="18"/>
                <w:szCs w:val="20"/>
              </w:rPr>
            </w:pPr>
            <w:r w:rsidRPr="00E01FCC">
              <w:rPr>
                <w:rFonts w:asciiTheme="majorHAnsi" w:hAnsiTheme="majorHAnsi" w:cstheme="majorHAnsi"/>
                <w:sz w:val="18"/>
                <w:szCs w:val="20"/>
              </w:rPr>
              <w:t>CCC Executive Director Legal, Risk and Compliance</w:t>
            </w:r>
          </w:p>
        </w:tc>
        <w:tc>
          <w:tcPr>
            <w:tcW w:w="1842" w:type="dxa"/>
            <w:tcBorders>
              <w:right w:val="single" w:sz="8" w:space="0" w:color="BCBEC0" w:themeColor="accent5"/>
            </w:tcBorders>
          </w:tcPr>
          <w:p w14:paraId="3584AD7B" w14:textId="160198D0" w:rsidR="006A5998" w:rsidRPr="00E01FCC" w:rsidRDefault="006A5998" w:rsidP="006A5998">
            <w:pPr>
              <w:spacing w:after="0"/>
              <w:contextualSpacing/>
              <w:jc w:val="center"/>
              <w:rPr>
                <w:rFonts w:asciiTheme="majorHAnsi" w:hAnsiTheme="majorHAnsi" w:cstheme="majorHAnsi"/>
                <w:sz w:val="18"/>
                <w:szCs w:val="20"/>
              </w:rPr>
            </w:pPr>
            <w:r w:rsidRPr="00E01FCC">
              <w:rPr>
                <w:rFonts w:asciiTheme="majorHAnsi" w:hAnsiTheme="majorHAnsi" w:cstheme="majorHAnsi"/>
                <w:sz w:val="18"/>
                <w:szCs w:val="20"/>
              </w:rPr>
              <w:t>3</w:t>
            </w:r>
          </w:p>
        </w:tc>
      </w:tr>
      <w:tr w:rsidR="00F9716C" w:rsidRPr="00F9716C" w14:paraId="74DB9095" w14:textId="77777777" w:rsidTr="00CB5115">
        <w:trPr>
          <w:trHeight w:val="227"/>
        </w:trPr>
        <w:tc>
          <w:tcPr>
            <w:tcW w:w="9639" w:type="dxa"/>
            <w:gridSpan w:val="3"/>
            <w:tcBorders>
              <w:left w:val="single" w:sz="8" w:space="0" w:color="BCBEC0" w:themeColor="accent5"/>
              <w:right w:val="single" w:sz="8" w:space="0" w:color="BCBEC0" w:themeColor="accent5"/>
            </w:tcBorders>
            <w:shd w:val="clear" w:color="auto" w:fill="E6E7E8" w:themeFill="accent6"/>
          </w:tcPr>
          <w:p w14:paraId="25B6E77E" w14:textId="5C456D23" w:rsidR="006A5998" w:rsidRPr="00E01FCC" w:rsidRDefault="006A5998" w:rsidP="006A5998">
            <w:pPr>
              <w:spacing w:after="0"/>
              <w:contextualSpacing/>
              <w:rPr>
                <w:rFonts w:asciiTheme="minorHAnsi" w:hAnsiTheme="minorHAnsi" w:cstheme="minorHAnsi"/>
                <w:b/>
                <w:bCs/>
                <w:sz w:val="18"/>
                <w:szCs w:val="20"/>
              </w:rPr>
            </w:pPr>
            <w:r w:rsidRPr="00E01FCC">
              <w:rPr>
                <w:rFonts w:asciiTheme="minorHAnsi" w:hAnsiTheme="minorHAnsi" w:cstheme="minorHAnsi"/>
                <w:b/>
                <w:bCs/>
                <w:sz w:val="18"/>
                <w:szCs w:val="20"/>
              </w:rPr>
              <w:t>Ex officio members</w:t>
            </w:r>
          </w:p>
        </w:tc>
      </w:tr>
      <w:tr w:rsidR="00F9716C" w:rsidRPr="00F9716C" w14:paraId="2519298A" w14:textId="77777777" w:rsidTr="0047525A">
        <w:trPr>
          <w:trHeight w:val="227"/>
        </w:trPr>
        <w:tc>
          <w:tcPr>
            <w:tcW w:w="3402" w:type="dxa"/>
            <w:tcBorders>
              <w:left w:val="single" w:sz="8" w:space="0" w:color="BCBEC0" w:themeColor="accent5"/>
            </w:tcBorders>
          </w:tcPr>
          <w:p w14:paraId="26468CBB" w14:textId="27D2FFAA" w:rsidR="006A5998" w:rsidRPr="00E01FCC" w:rsidRDefault="006A5998" w:rsidP="006A5998">
            <w:pPr>
              <w:spacing w:after="0"/>
              <w:contextualSpacing/>
              <w:rPr>
                <w:rFonts w:asciiTheme="majorHAnsi" w:hAnsiTheme="majorHAnsi" w:cstheme="majorHAnsi"/>
                <w:sz w:val="18"/>
                <w:szCs w:val="20"/>
              </w:rPr>
            </w:pPr>
            <w:r w:rsidRPr="00E01FCC">
              <w:rPr>
                <w:rFonts w:asciiTheme="majorHAnsi" w:hAnsiTheme="majorHAnsi" w:cstheme="majorHAnsi"/>
                <w:sz w:val="18"/>
                <w:szCs w:val="20"/>
              </w:rPr>
              <w:t>Mr Bruce Barbour</w:t>
            </w:r>
          </w:p>
        </w:tc>
        <w:tc>
          <w:tcPr>
            <w:tcW w:w="4395" w:type="dxa"/>
          </w:tcPr>
          <w:p w14:paraId="7B91AB49" w14:textId="71807D95" w:rsidR="006A5998" w:rsidRPr="00E01FCC" w:rsidRDefault="006A5998" w:rsidP="006A5998">
            <w:pPr>
              <w:spacing w:after="0"/>
              <w:contextualSpacing/>
              <w:rPr>
                <w:rFonts w:asciiTheme="majorHAnsi" w:hAnsiTheme="majorHAnsi" w:cstheme="majorHAnsi"/>
                <w:sz w:val="18"/>
                <w:szCs w:val="20"/>
              </w:rPr>
            </w:pPr>
            <w:r w:rsidRPr="00E01FCC">
              <w:rPr>
                <w:rFonts w:asciiTheme="majorHAnsi" w:hAnsiTheme="majorHAnsi" w:cstheme="majorHAnsi"/>
                <w:sz w:val="18"/>
                <w:szCs w:val="20"/>
              </w:rPr>
              <w:t>CCC Chairperson</w:t>
            </w:r>
          </w:p>
        </w:tc>
        <w:tc>
          <w:tcPr>
            <w:tcW w:w="1842" w:type="dxa"/>
            <w:tcBorders>
              <w:right w:val="single" w:sz="8" w:space="0" w:color="BCBEC0" w:themeColor="accent5"/>
            </w:tcBorders>
          </w:tcPr>
          <w:p w14:paraId="1E65090E" w14:textId="71AC41F8" w:rsidR="006A5998" w:rsidRPr="00E01FCC" w:rsidRDefault="006A5998" w:rsidP="006A5998">
            <w:pPr>
              <w:spacing w:after="0"/>
              <w:contextualSpacing/>
              <w:jc w:val="center"/>
              <w:rPr>
                <w:rFonts w:asciiTheme="majorHAnsi" w:hAnsiTheme="majorHAnsi" w:cstheme="majorHAnsi"/>
                <w:sz w:val="18"/>
                <w:szCs w:val="20"/>
              </w:rPr>
            </w:pPr>
            <w:r w:rsidRPr="00E01FCC">
              <w:rPr>
                <w:rFonts w:asciiTheme="majorHAnsi" w:hAnsiTheme="majorHAnsi" w:cstheme="majorHAnsi"/>
                <w:sz w:val="18"/>
                <w:szCs w:val="20"/>
              </w:rPr>
              <w:t>2</w:t>
            </w:r>
          </w:p>
        </w:tc>
      </w:tr>
      <w:tr w:rsidR="00F9716C" w:rsidRPr="00F9716C" w14:paraId="3AEF03F3" w14:textId="77777777" w:rsidTr="00CB5115">
        <w:trPr>
          <w:trHeight w:val="227"/>
        </w:trPr>
        <w:tc>
          <w:tcPr>
            <w:tcW w:w="9639" w:type="dxa"/>
            <w:gridSpan w:val="3"/>
            <w:tcBorders>
              <w:left w:val="single" w:sz="8" w:space="0" w:color="BCBEC0" w:themeColor="accent5"/>
              <w:right w:val="single" w:sz="8" w:space="0" w:color="BCBEC0" w:themeColor="accent5"/>
            </w:tcBorders>
            <w:shd w:val="clear" w:color="auto" w:fill="E6E7E8" w:themeFill="accent6"/>
          </w:tcPr>
          <w:p w14:paraId="515B6999" w14:textId="586DB014" w:rsidR="006A5998" w:rsidRPr="00E01FCC" w:rsidRDefault="006A5998" w:rsidP="006A5998">
            <w:pPr>
              <w:spacing w:after="0"/>
              <w:contextualSpacing/>
              <w:rPr>
                <w:rFonts w:asciiTheme="minorHAnsi" w:hAnsiTheme="minorHAnsi" w:cstheme="minorHAnsi"/>
                <w:b/>
                <w:bCs/>
                <w:sz w:val="18"/>
                <w:szCs w:val="20"/>
              </w:rPr>
            </w:pPr>
            <w:r w:rsidRPr="00E01FCC">
              <w:rPr>
                <w:rFonts w:asciiTheme="minorHAnsi" w:hAnsiTheme="minorHAnsi" w:cstheme="minorHAnsi"/>
                <w:b/>
                <w:bCs/>
                <w:sz w:val="18"/>
                <w:szCs w:val="20"/>
              </w:rPr>
              <w:t>Invitees</w:t>
            </w:r>
          </w:p>
        </w:tc>
      </w:tr>
      <w:tr w:rsidR="00F9716C" w:rsidRPr="00F9716C" w14:paraId="634DD09A" w14:textId="77777777" w:rsidTr="0047525A">
        <w:trPr>
          <w:trHeight w:val="227"/>
        </w:trPr>
        <w:tc>
          <w:tcPr>
            <w:tcW w:w="3402" w:type="dxa"/>
            <w:tcBorders>
              <w:left w:val="single" w:sz="8" w:space="0" w:color="BCBEC0" w:themeColor="accent5"/>
            </w:tcBorders>
          </w:tcPr>
          <w:p w14:paraId="7E77544B" w14:textId="051D4B35" w:rsidR="006A5998" w:rsidRPr="00E01FCC" w:rsidRDefault="006A5998" w:rsidP="006A5998">
            <w:pPr>
              <w:spacing w:after="0"/>
              <w:contextualSpacing/>
              <w:rPr>
                <w:rFonts w:asciiTheme="majorHAnsi" w:hAnsiTheme="majorHAnsi" w:cstheme="majorHAnsi"/>
                <w:strike/>
                <w:sz w:val="18"/>
                <w:szCs w:val="20"/>
              </w:rPr>
            </w:pPr>
            <w:r w:rsidRPr="00E01FCC">
              <w:rPr>
                <w:rFonts w:asciiTheme="majorHAnsi" w:hAnsiTheme="majorHAnsi" w:cstheme="majorHAnsi"/>
                <w:sz w:val="18"/>
                <w:szCs w:val="20"/>
              </w:rPr>
              <w:t>Mr Wayne van der Poll</w:t>
            </w:r>
          </w:p>
        </w:tc>
        <w:tc>
          <w:tcPr>
            <w:tcW w:w="4395" w:type="dxa"/>
          </w:tcPr>
          <w:p w14:paraId="42E9CB57" w14:textId="195FBC9F" w:rsidR="006A5998" w:rsidRPr="00E01FCC" w:rsidRDefault="006A5998" w:rsidP="006A5998">
            <w:pPr>
              <w:spacing w:after="0"/>
              <w:contextualSpacing/>
              <w:rPr>
                <w:rFonts w:asciiTheme="majorHAnsi" w:hAnsiTheme="majorHAnsi" w:cstheme="majorHAnsi"/>
                <w:strike/>
                <w:sz w:val="18"/>
                <w:szCs w:val="20"/>
              </w:rPr>
            </w:pPr>
            <w:r w:rsidRPr="00E01FCC">
              <w:rPr>
                <w:rFonts w:asciiTheme="majorHAnsi" w:hAnsiTheme="majorHAnsi" w:cstheme="majorHAnsi"/>
                <w:sz w:val="18"/>
                <w:szCs w:val="20"/>
              </w:rPr>
              <w:t>CCC Senior Internal Audit Manager</w:t>
            </w:r>
          </w:p>
        </w:tc>
        <w:tc>
          <w:tcPr>
            <w:tcW w:w="1842" w:type="dxa"/>
            <w:tcBorders>
              <w:right w:val="single" w:sz="8" w:space="0" w:color="BCBEC0" w:themeColor="accent5"/>
            </w:tcBorders>
          </w:tcPr>
          <w:p w14:paraId="1E2A9975" w14:textId="44161D68" w:rsidR="006A5998" w:rsidRPr="00E01FCC" w:rsidRDefault="006A5998" w:rsidP="006A5998">
            <w:pPr>
              <w:spacing w:after="0"/>
              <w:contextualSpacing/>
              <w:jc w:val="center"/>
              <w:rPr>
                <w:rFonts w:asciiTheme="majorHAnsi" w:hAnsiTheme="majorHAnsi" w:cstheme="majorHAnsi"/>
                <w:strike/>
                <w:sz w:val="18"/>
                <w:szCs w:val="20"/>
              </w:rPr>
            </w:pPr>
            <w:r w:rsidRPr="00E01FCC">
              <w:rPr>
                <w:rFonts w:asciiTheme="majorHAnsi" w:hAnsiTheme="majorHAnsi" w:cstheme="majorHAnsi"/>
                <w:sz w:val="18"/>
                <w:szCs w:val="20"/>
              </w:rPr>
              <w:t>4</w:t>
            </w:r>
          </w:p>
        </w:tc>
      </w:tr>
      <w:tr w:rsidR="00F9716C" w:rsidRPr="00F9716C" w14:paraId="05ACB3DA" w14:textId="77777777" w:rsidTr="0047525A">
        <w:trPr>
          <w:trHeight w:val="227"/>
        </w:trPr>
        <w:tc>
          <w:tcPr>
            <w:tcW w:w="3402" w:type="dxa"/>
            <w:tcBorders>
              <w:left w:val="single" w:sz="8" w:space="0" w:color="BCBEC0" w:themeColor="accent5"/>
              <w:bottom w:val="single" w:sz="8" w:space="0" w:color="BCBEC0" w:themeColor="accent5"/>
            </w:tcBorders>
          </w:tcPr>
          <w:p w14:paraId="3B489F81" w14:textId="180F2511" w:rsidR="006A5998" w:rsidRPr="00E01FCC" w:rsidRDefault="006A5998" w:rsidP="006A5998">
            <w:pPr>
              <w:spacing w:after="0"/>
              <w:contextualSpacing/>
              <w:rPr>
                <w:rFonts w:asciiTheme="majorHAnsi" w:hAnsiTheme="majorHAnsi" w:cstheme="majorHAnsi"/>
                <w:sz w:val="18"/>
                <w:szCs w:val="20"/>
              </w:rPr>
            </w:pPr>
            <w:r w:rsidRPr="00E01FCC">
              <w:rPr>
                <w:rFonts w:asciiTheme="majorHAnsi" w:hAnsiTheme="majorHAnsi" w:cstheme="majorHAnsi"/>
                <w:sz w:val="18"/>
                <w:szCs w:val="20"/>
              </w:rPr>
              <w:t>Mr Paul Bracegirdle</w:t>
            </w:r>
          </w:p>
        </w:tc>
        <w:tc>
          <w:tcPr>
            <w:tcW w:w="4395" w:type="dxa"/>
            <w:tcBorders>
              <w:bottom w:val="single" w:sz="8" w:space="0" w:color="BCBEC0" w:themeColor="accent5"/>
            </w:tcBorders>
          </w:tcPr>
          <w:p w14:paraId="6C1BDF7E" w14:textId="4EC2BED6" w:rsidR="006A5998" w:rsidRPr="00E01FCC" w:rsidRDefault="009F4BA4" w:rsidP="006A5998">
            <w:pPr>
              <w:spacing w:after="0"/>
              <w:contextualSpacing/>
              <w:rPr>
                <w:rFonts w:asciiTheme="majorHAnsi" w:hAnsiTheme="majorHAnsi" w:cstheme="majorHAnsi"/>
                <w:sz w:val="18"/>
                <w:szCs w:val="20"/>
              </w:rPr>
            </w:pPr>
            <w:r w:rsidRPr="00E01FCC">
              <w:rPr>
                <w:rFonts w:asciiTheme="majorHAnsi" w:hAnsiTheme="majorHAnsi" w:cstheme="majorHAnsi"/>
                <w:sz w:val="18"/>
                <w:szCs w:val="20"/>
              </w:rPr>
              <w:t xml:space="preserve">CCC </w:t>
            </w:r>
            <w:r w:rsidR="006A5998" w:rsidRPr="00E01FCC">
              <w:rPr>
                <w:rFonts w:asciiTheme="majorHAnsi" w:hAnsiTheme="majorHAnsi" w:cstheme="majorHAnsi"/>
                <w:sz w:val="18"/>
                <w:szCs w:val="20"/>
              </w:rPr>
              <w:t>Chief Finance Officer</w:t>
            </w:r>
          </w:p>
        </w:tc>
        <w:tc>
          <w:tcPr>
            <w:tcW w:w="1842" w:type="dxa"/>
            <w:tcBorders>
              <w:bottom w:val="single" w:sz="8" w:space="0" w:color="BCBEC0" w:themeColor="accent5"/>
              <w:right w:val="single" w:sz="8" w:space="0" w:color="BCBEC0" w:themeColor="accent5"/>
            </w:tcBorders>
          </w:tcPr>
          <w:p w14:paraId="0459D77E" w14:textId="14E178BA" w:rsidR="006A5998" w:rsidRPr="00E01FCC" w:rsidRDefault="006A5998" w:rsidP="006A5998">
            <w:pPr>
              <w:spacing w:after="0"/>
              <w:contextualSpacing/>
              <w:jc w:val="center"/>
              <w:rPr>
                <w:rFonts w:asciiTheme="majorHAnsi" w:hAnsiTheme="majorHAnsi" w:cstheme="majorHAnsi"/>
                <w:sz w:val="18"/>
                <w:szCs w:val="20"/>
              </w:rPr>
            </w:pPr>
            <w:r w:rsidRPr="00E01FCC">
              <w:rPr>
                <w:rFonts w:asciiTheme="majorHAnsi" w:hAnsiTheme="majorHAnsi" w:cstheme="majorHAnsi"/>
                <w:sz w:val="18"/>
                <w:szCs w:val="20"/>
              </w:rPr>
              <w:t>3</w:t>
            </w:r>
          </w:p>
        </w:tc>
      </w:tr>
    </w:tbl>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p w14:paraId="0E56ABC4" w14:textId="77777777" w:rsidR="00561686" w:rsidRPr="00AE2C78" w:rsidRDefault="00561686" w:rsidP="00561686">
      <w:pPr>
        <w:pStyle w:val="Notes"/>
        <w:spacing w:before="240"/>
        <w:ind w:left="360" w:hanging="360"/>
        <w:rPr>
          <w:sz w:val="14"/>
          <w:szCs w:val="14"/>
          <w:lang w:val="en-AU"/>
        </w:rPr>
      </w:pPr>
      <w:r w:rsidRPr="00AE2C78">
        <w:rPr>
          <w:sz w:val="14"/>
          <w:szCs w:val="14"/>
          <w:lang w:val="en-AU"/>
        </w:rPr>
        <w:t xml:space="preserve">Notes: </w:t>
      </w:r>
    </w:p>
    <w:p w14:paraId="2E0845E9" w14:textId="19258E3D" w:rsidR="00561686" w:rsidRPr="00AE2C78" w:rsidRDefault="00561686" w:rsidP="009313EB">
      <w:pPr>
        <w:pStyle w:val="Notes"/>
        <w:numPr>
          <w:ilvl w:val="0"/>
          <w:numId w:val="44"/>
        </w:numPr>
        <w:rPr>
          <w:strike/>
          <w:sz w:val="14"/>
          <w:szCs w:val="14"/>
          <w:lang w:val="en-AU"/>
        </w:rPr>
      </w:pPr>
      <w:r w:rsidRPr="00AE2C78">
        <w:rPr>
          <w:sz w:val="14"/>
          <w:szCs w:val="14"/>
          <w:lang w:val="en-AU"/>
        </w:rPr>
        <w:t xml:space="preserve">As an external Chair of the ARMC, Mr </w:t>
      </w:r>
      <w:r w:rsidR="00095DAF" w:rsidRPr="00AE2C78">
        <w:rPr>
          <w:sz w:val="14"/>
          <w:szCs w:val="14"/>
          <w:lang w:val="en-AU"/>
        </w:rPr>
        <w:t>Hall was</w:t>
      </w:r>
      <w:r w:rsidRPr="00AE2C78">
        <w:rPr>
          <w:sz w:val="14"/>
          <w:szCs w:val="14"/>
          <w:lang w:val="en-AU"/>
        </w:rPr>
        <w:t xml:space="preserve"> remunerated $8,000 during 202</w:t>
      </w:r>
      <w:r w:rsidR="009F3364" w:rsidRPr="00AE2C78">
        <w:rPr>
          <w:sz w:val="14"/>
          <w:szCs w:val="14"/>
          <w:lang w:val="en-AU"/>
        </w:rPr>
        <w:t>3</w:t>
      </w:r>
      <w:r w:rsidRPr="00AE2C78">
        <w:rPr>
          <w:sz w:val="14"/>
          <w:szCs w:val="14"/>
          <w:lang w:val="en-AU"/>
        </w:rPr>
        <w:t>–2</w:t>
      </w:r>
      <w:r w:rsidR="009F3364" w:rsidRPr="00AE2C78">
        <w:rPr>
          <w:sz w:val="14"/>
          <w:szCs w:val="14"/>
          <w:lang w:val="en-AU"/>
        </w:rPr>
        <w:t>4</w:t>
      </w:r>
      <w:r w:rsidRPr="00AE2C78">
        <w:rPr>
          <w:sz w:val="14"/>
          <w:szCs w:val="14"/>
          <w:lang w:val="en-AU"/>
        </w:rPr>
        <w:t>.</w:t>
      </w:r>
    </w:p>
    <w:p w14:paraId="0E6ECEF8" w14:textId="3F50E248" w:rsidR="00561686" w:rsidRPr="00AE2C78" w:rsidRDefault="00561686" w:rsidP="009313EB">
      <w:pPr>
        <w:pStyle w:val="Notes"/>
        <w:numPr>
          <w:ilvl w:val="0"/>
          <w:numId w:val="44"/>
        </w:numPr>
        <w:rPr>
          <w:sz w:val="14"/>
          <w:szCs w:val="14"/>
          <w:lang w:val="en-AU"/>
        </w:rPr>
      </w:pPr>
      <w:r w:rsidRPr="00AE2C78">
        <w:rPr>
          <w:sz w:val="14"/>
          <w:szCs w:val="14"/>
          <w:lang w:val="en-AU"/>
        </w:rPr>
        <w:t>As an external member of the ARMC, Mr Hatton was remunerated $5,000 during 202</w:t>
      </w:r>
      <w:r w:rsidR="009F3364" w:rsidRPr="00AE2C78">
        <w:rPr>
          <w:sz w:val="14"/>
          <w:szCs w:val="14"/>
          <w:lang w:val="en-AU"/>
        </w:rPr>
        <w:t>3</w:t>
      </w:r>
      <w:r w:rsidRPr="00AE2C78">
        <w:rPr>
          <w:sz w:val="14"/>
          <w:szCs w:val="14"/>
          <w:lang w:val="en-AU"/>
        </w:rPr>
        <w:t>–2</w:t>
      </w:r>
      <w:r w:rsidR="009F3364" w:rsidRPr="00AE2C78">
        <w:rPr>
          <w:sz w:val="14"/>
          <w:szCs w:val="14"/>
          <w:lang w:val="en-AU"/>
        </w:rPr>
        <w:t>4</w:t>
      </w:r>
      <w:r w:rsidRPr="00AE2C78">
        <w:rPr>
          <w:sz w:val="14"/>
          <w:szCs w:val="14"/>
          <w:lang w:val="en-AU"/>
        </w:rPr>
        <w:t>.</w:t>
      </w:r>
    </w:p>
    <w:p w14:paraId="38B215BC" w14:textId="77777777" w:rsidR="00561686" w:rsidRPr="00F9716C" w:rsidRDefault="00561686" w:rsidP="00407FB6">
      <w:pPr>
        <w:pStyle w:val="Notes"/>
        <w:rPr>
          <w:lang w:val="en-AU"/>
        </w:rPr>
      </w:pPr>
    </w:p>
    <w:p w14:paraId="4D8C4BD4" w14:textId="77777777" w:rsidR="00561686" w:rsidRPr="00F9716C" w:rsidRDefault="00561686" w:rsidP="00C903A2">
      <w:pPr>
        <w:pStyle w:val="Heading3"/>
        <w:sectPr w:rsidR="00561686" w:rsidRPr="00F9716C" w:rsidSect="00407FB6">
          <w:headerReference w:type="even" r:id="rId244"/>
          <w:headerReference w:type="default" r:id="rId245"/>
          <w:headerReference w:type="first" r:id="rId246"/>
          <w:type w:val="continuous"/>
          <w:pgSz w:w="11906" w:h="16838" w:code="9"/>
          <w:pgMar w:top="2155" w:right="1134" w:bottom="964" w:left="1134" w:header="720" w:footer="284" w:gutter="0"/>
          <w:cols w:space="567"/>
          <w:noEndnote/>
          <w:docGrid w:linePitch="272"/>
        </w:sectPr>
      </w:pPr>
      <w:bookmarkStart w:id="1290" w:name="_Toc102038068"/>
      <w:bookmarkStart w:id="1291" w:name="_Toc102038429"/>
      <w:bookmarkStart w:id="1292" w:name="_Toc102038790"/>
      <w:bookmarkStart w:id="1293" w:name="_Toc102039142"/>
      <w:bookmarkStart w:id="1294" w:name="_Toc102039491"/>
      <w:bookmarkStart w:id="1295" w:name="_Toc102039853"/>
      <w:bookmarkStart w:id="1296" w:name="_Toc102040210"/>
      <w:bookmarkStart w:id="1297" w:name="_Toc102040538"/>
      <w:bookmarkStart w:id="1298" w:name="_Toc102040872"/>
      <w:bookmarkStart w:id="1299" w:name="_Toc102041200"/>
      <w:bookmarkStart w:id="1300" w:name="_Toc102041529"/>
      <w:bookmarkStart w:id="1301" w:name="_Toc102041861"/>
      <w:bookmarkStart w:id="1302" w:name="_Toc102042188"/>
      <w:bookmarkStart w:id="1303" w:name="_Toc102042518"/>
      <w:bookmarkStart w:id="1304" w:name="_Toc102045648"/>
      <w:bookmarkStart w:id="1305" w:name="_Hlk74051313"/>
      <w:bookmarkStart w:id="1306" w:name="_Hlk74909137"/>
      <w:bookmarkStart w:id="1307" w:name="_Hlk74320623"/>
    </w:p>
    <w:p w14:paraId="1A45EBF2" w14:textId="77777777" w:rsidR="00561686" w:rsidRPr="00F9716C" w:rsidRDefault="00561686" w:rsidP="00B13332">
      <w:pPr>
        <w:pStyle w:val="3Heading-highlight"/>
      </w:pPr>
      <w:r w:rsidRPr="00F9716C">
        <w:t>Risk management</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3F9D48B3" w14:textId="75C3F8D0" w:rsidR="006355E3" w:rsidRPr="00F9716C" w:rsidRDefault="006355E3" w:rsidP="00B13332">
      <w:pPr>
        <w:ind w:right="140"/>
        <w:rPr>
          <w:color w:val="414042" w:themeColor="text1"/>
        </w:rPr>
      </w:pPr>
      <w:r w:rsidRPr="00F9716C">
        <w:rPr>
          <w:color w:val="414042" w:themeColor="text1"/>
        </w:rPr>
        <w:t xml:space="preserve">Risk management is a key element of good governance and essential in providing risk-based data to inform decision making in the management of the CCC’s business operations and pursuit of its statutory purpose. In accordance with the </w:t>
      </w:r>
      <w:r w:rsidRPr="00F9716C">
        <w:rPr>
          <w:i/>
          <w:iCs/>
          <w:color w:val="414042" w:themeColor="text1"/>
        </w:rPr>
        <w:t>Financial</w:t>
      </w:r>
      <w:r w:rsidR="00AE2C78">
        <w:rPr>
          <w:i/>
          <w:iCs/>
          <w:color w:val="414042" w:themeColor="text1"/>
        </w:rPr>
        <w:t xml:space="preserve"> </w:t>
      </w:r>
      <w:r w:rsidRPr="00F9716C">
        <w:rPr>
          <w:i/>
          <w:iCs/>
          <w:color w:val="414042" w:themeColor="text1"/>
        </w:rPr>
        <w:t>Accountability Act 2009</w:t>
      </w:r>
      <w:r w:rsidRPr="00F9716C">
        <w:rPr>
          <w:color w:val="414042" w:themeColor="text1"/>
        </w:rPr>
        <w:t xml:space="preserve">, overall accountability for risk management resides with the Commission which is responsible for setting our agency’s </w:t>
      </w:r>
      <w:r w:rsidRPr="00F9716C">
        <w:rPr>
          <w:i/>
          <w:iCs/>
          <w:color w:val="414042" w:themeColor="text1"/>
        </w:rPr>
        <w:t>Risk Appetite Statement</w:t>
      </w:r>
      <w:r w:rsidRPr="00F9716C">
        <w:rPr>
          <w:color w:val="414042" w:themeColor="text1"/>
        </w:rPr>
        <w:t xml:space="preserve"> and ensuring our strategic risks are identified and managed in accordance with our </w:t>
      </w:r>
      <w:r w:rsidR="00AE2C78">
        <w:rPr>
          <w:color w:val="414042" w:themeColor="text1"/>
        </w:rPr>
        <w:br/>
      </w:r>
      <w:r w:rsidRPr="00F9716C">
        <w:rPr>
          <w:i/>
          <w:iCs/>
          <w:color w:val="414042" w:themeColor="text1"/>
        </w:rPr>
        <w:t>Risk Management Framework</w:t>
      </w:r>
      <w:r w:rsidRPr="00F9716C">
        <w:rPr>
          <w:color w:val="414042" w:themeColor="text1"/>
        </w:rPr>
        <w:t>.</w:t>
      </w:r>
    </w:p>
    <w:p w14:paraId="0FFAD249" w14:textId="7A2D33A7" w:rsidR="006355E3" w:rsidRPr="00F9716C" w:rsidRDefault="006355E3" w:rsidP="00B13332">
      <w:pPr>
        <w:ind w:right="140"/>
        <w:rPr>
          <w:color w:val="414042" w:themeColor="text1"/>
        </w:rPr>
      </w:pPr>
      <w:r w:rsidRPr="00F9716C">
        <w:rPr>
          <w:color w:val="414042" w:themeColor="text1"/>
        </w:rPr>
        <w:t xml:space="preserve">Our </w:t>
      </w:r>
      <w:r w:rsidRPr="00F9716C">
        <w:rPr>
          <w:i/>
          <w:iCs/>
          <w:color w:val="414042" w:themeColor="text1"/>
        </w:rPr>
        <w:t>Risk Management Framework</w:t>
      </w:r>
      <w:r w:rsidRPr="00F9716C">
        <w:rPr>
          <w:color w:val="414042" w:themeColor="text1"/>
        </w:rPr>
        <w:t xml:space="preserve"> aligns with the international standard ISO 31000:2018 Risk Management – Guideline and incorporates the principles of the ‘three lines of defence model’. </w:t>
      </w:r>
      <w:r w:rsidR="00AE2C78">
        <w:rPr>
          <w:color w:val="414042" w:themeColor="text1"/>
        </w:rPr>
        <w:br/>
      </w:r>
      <w:r w:rsidRPr="00F9716C">
        <w:rPr>
          <w:color w:val="414042" w:themeColor="text1"/>
        </w:rPr>
        <w:t xml:space="preserve">The </w:t>
      </w:r>
      <w:r w:rsidRPr="00F9716C">
        <w:rPr>
          <w:i/>
          <w:iCs/>
          <w:color w:val="414042" w:themeColor="text1"/>
        </w:rPr>
        <w:t>Risk Management Framework</w:t>
      </w:r>
      <w:r w:rsidRPr="00F9716C">
        <w:rPr>
          <w:color w:val="414042" w:themeColor="text1"/>
        </w:rPr>
        <w:t xml:space="preserve"> embeds the </w:t>
      </w:r>
      <w:r w:rsidRPr="00F9716C">
        <w:rPr>
          <w:i/>
          <w:iCs/>
          <w:color w:val="414042" w:themeColor="text1"/>
        </w:rPr>
        <w:t>Risk Appetite Statement</w:t>
      </w:r>
      <w:r w:rsidRPr="00F9716C">
        <w:rPr>
          <w:color w:val="414042" w:themeColor="text1"/>
        </w:rPr>
        <w:t xml:space="preserve"> set by the CCC leadership across our agency. The </w:t>
      </w:r>
      <w:r w:rsidRPr="00F9716C">
        <w:rPr>
          <w:i/>
          <w:iCs/>
          <w:color w:val="414042" w:themeColor="text1"/>
        </w:rPr>
        <w:t>Risk Appetite Statement</w:t>
      </w:r>
      <w:r w:rsidRPr="00F9716C">
        <w:rPr>
          <w:color w:val="414042" w:themeColor="text1"/>
        </w:rPr>
        <w:t xml:space="preserve"> informs the approach taken by Commission officers in their day-to-day work, including when making decisions, undertaking activities and assessing identified risks.</w:t>
      </w:r>
    </w:p>
    <w:p w14:paraId="2461EED2" w14:textId="1CBE1CF5" w:rsidR="006355E3" w:rsidRPr="00F9716C" w:rsidRDefault="006355E3" w:rsidP="00B13332">
      <w:pPr>
        <w:ind w:right="140"/>
        <w:rPr>
          <w:color w:val="414042" w:themeColor="text1"/>
        </w:rPr>
      </w:pPr>
      <w:r w:rsidRPr="00F9716C">
        <w:rPr>
          <w:color w:val="414042" w:themeColor="text1"/>
        </w:rPr>
        <w:t>The management of our strategic risks is also embedded across our strategic, operational and business plans to ensure they are addressed effectively and consistently across our agency and minimised through targeted resource allocation and a robust system of internal controls. A new, problem-based approach to the management of strategic risks has been adopted in 2023-24. The CCC is putting in place risk management</w:t>
      </w:r>
      <w:r w:rsidR="005A0AED" w:rsidRPr="00F9716C">
        <w:rPr>
          <w:color w:val="414042" w:themeColor="text1"/>
        </w:rPr>
        <w:t xml:space="preserve"> plans</w:t>
      </w:r>
      <w:r w:rsidRPr="00F9716C">
        <w:rPr>
          <w:color w:val="414042" w:themeColor="text1"/>
        </w:rPr>
        <w:t xml:space="preserve"> for key divisions and work areas. </w:t>
      </w:r>
    </w:p>
    <w:p w14:paraId="5C13BFE2" w14:textId="77777777" w:rsidR="006355E3" w:rsidRPr="00F9716C" w:rsidRDefault="006355E3" w:rsidP="00B13332">
      <w:pPr>
        <w:ind w:right="140"/>
        <w:rPr>
          <w:color w:val="414042" w:themeColor="text1"/>
        </w:rPr>
      </w:pPr>
      <w:r w:rsidRPr="00F9716C">
        <w:rPr>
          <w:color w:val="414042" w:themeColor="text1"/>
        </w:rPr>
        <w:t xml:space="preserve">The management of risk in our projects is embedded in our </w:t>
      </w:r>
      <w:r w:rsidRPr="00F9716C">
        <w:rPr>
          <w:i/>
          <w:iCs/>
          <w:color w:val="414042" w:themeColor="text1"/>
        </w:rPr>
        <w:t>Portfolio, Program and Project Management Framework</w:t>
      </w:r>
      <w:r w:rsidRPr="00F9716C">
        <w:rPr>
          <w:color w:val="414042" w:themeColor="text1"/>
        </w:rPr>
        <w:t xml:space="preserve"> and supporting project management tools.</w:t>
      </w:r>
    </w:p>
    <w:p w14:paraId="7CB539E2" w14:textId="77777777" w:rsidR="006355E3" w:rsidRPr="00F9716C" w:rsidRDefault="006355E3" w:rsidP="00B13332">
      <w:pPr>
        <w:ind w:right="140"/>
        <w:rPr>
          <w:color w:val="414042" w:themeColor="text1"/>
        </w:rPr>
      </w:pPr>
      <w:r w:rsidRPr="00F9716C">
        <w:rPr>
          <w:color w:val="414042" w:themeColor="text1"/>
        </w:rPr>
        <w:t>We utilise other frameworks to assist us in making risk-informed decisions to support the strategic and operational work of our agency, including our:</w:t>
      </w:r>
    </w:p>
    <w:p w14:paraId="4F7A8BCF" w14:textId="38622BDD" w:rsidR="006355E3" w:rsidRPr="00F9716C" w:rsidRDefault="006355E3" w:rsidP="00B13332">
      <w:pPr>
        <w:pStyle w:val="Bulletpoints0"/>
      </w:pPr>
      <w:r w:rsidRPr="00F9716C">
        <w:t>Fraud and Corruption Control Plan (aligns to AS 8001–2021)</w:t>
      </w:r>
      <w:r w:rsidR="00306EC5" w:rsidRPr="00F9716C">
        <w:t>.</w:t>
      </w:r>
    </w:p>
    <w:p w14:paraId="2B527604" w14:textId="77777777" w:rsidR="006355E3" w:rsidRPr="00F9716C" w:rsidRDefault="006355E3" w:rsidP="00B13332">
      <w:pPr>
        <w:pStyle w:val="Bulletpoints0"/>
      </w:pPr>
      <w:r w:rsidRPr="00F9716C">
        <w:t>Information Security Management Framework (aligns to QG IS18:2018 and ISO/IEC 27001).</w:t>
      </w:r>
    </w:p>
    <w:p w14:paraId="42EA1E44" w14:textId="77777777" w:rsidR="009043D5" w:rsidRPr="00F9716C" w:rsidRDefault="006355E3" w:rsidP="004F20B5">
      <w:pPr>
        <w:spacing w:after="340"/>
        <w:rPr>
          <w:color w:val="414042" w:themeColor="text1"/>
        </w:rPr>
      </w:pPr>
      <w:r w:rsidRPr="00F9716C">
        <w:rPr>
          <w:color w:val="414042" w:themeColor="text1"/>
        </w:rPr>
        <w:br w:type="column"/>
      </w:r>
    </w:p>
    <w:p w14:paraId="15864DEC" w14:textId="3671B2EE" w:rsidR="006355E3" w:rsidRPr="00F9716C" w:rsidRDefault="006355E3" w:rsidP="00B13332">
      <w:pPr>
        <w:ind w:right="140"/>
        <w:rPr>
          <w:color w:val="414042" w:themeColor="text1"/>
        </w:rPr>
      </w:pPr>
      <w:r w:rsidRPr="00F9716C">
        <w:rPr>
          <w:color w:val="414042" w:themeColor="text1"/>
        </w:rPr>
        <w:t>In 2023–24, we:</w:t>
      </w:r>
    </w:p>
    <w:p w14:paraId="5C6821BC" w14:textId="56782FEA" w:rsidR="006355E3" w:rsidRPr="002F23D4" w:rsidRDefault="00262465" w:rsidP="00262465">
      <w:pPr>
        <w:pStyle w:val="Bulletpoints0"/>
      </w:pPr>
      <w:r>
        <w:t>D</w:t>
      </w:r>
      <w:r w:rsidR="006355E3" w:rsidRPr="002F23D4">
        <w:t>elivered a data-driven approach to risk-based resource allocation that supports the CCC in delivering on its purpose and strategic objectives to mitigate risk and leverage opportunities</w:t>
      </w:r>
      <w:r>
        <w:t>.</w:t>
      </w:r>
    </w:p>
    <w:p w14:paraId="21E322AF" w14:textId="55988020" w:rsidR="006355E3" w:rsidRPr="002F23D4" w:rsidRDefault="00262465" w:rsidP="00262465">
      <w:pPr>
        <w:pStyle w:val="Bulletpoints0"/>
      </w:pPr>
      <w:r>
        <w:t>U</w:t>
      </w:r>
      <w:r w:rsidR="006355E3" w:rsidRPr="002F23D4">
        <w:t>ndertook the process of mapping risks to the risk appetite statement to deliver insights on the relationship to risks, opportunities for greater risk management to be adopted, and impact of treatments on performance</w:t>
      </w:r>
      <w:r>
        <w:t>.</w:t>
      </w:r>
    </w:p>
    <w:p w14:paraId="21B650F1" w14:textId="2A1DD59C" w:rsidR="006355E3" w:rsidRPr="002F23D4" w:rsidRDefault="00262465" w:rsidP="00262465">
      <w:pPr>
        <w:pStyle w:val="Bulletpoints0"/>
      </w:pPr>
      <w:r>
        <w:t>A</w:t>
      </w:r>
      <w:r w:rsidR="006355E3" w:rsidRPr="002F23D4">
        <w:t>dopted a holistic approach to governance, risk and compliance that leads to better policy and risk management outcomes</w:t>
      </w:r>
      <w:r>
        <w:t>.</w:t>
      </w:r>
    </w:p>
    <w:p w14:paraId="6A4BFE52" w14:textId="00391D18" w:rsidR="006355E3" w:rsidRPr="002F23D4" w:rsidRDefault="00262465" w:rsidP="00262465">
      <w:pPr>
        <w:pStyle w:val="Bulletpoints0"/>
      </w:pPr>
      <w:r>
        <w:t>D</w:t>
      </w:r>
      <w:r w:rsidR="006355E3" w:rsidRPr="002F23D4">
        <w:t>eveloped tools to identify risks with a prioritisation of data capture and analysis to prioritise risks for treatment.</w:t>
      </w:r>
    </w:p>
    <w:p w14:paraId="3A2B9F87" w14:textId="5644CF11" w:rsidR="00561686" w:rsidRPr="00F9716C" w:rsidRDefault="006355E3" w:rsidP="00B13332">
      <w:pPr>
        <w:ind w:right="140"/>
        <w:rPr>
          <w:color w:val="414042" w:themeColor="text1"/>
        </w:rPr>
      </w:pPr>
      <w:r w:rsidRPr="00F9716C">
        <w:rPr>
          <w:color w:val="414042" w:themeColor="text1"/>
        </w:rPr>
        <w:t>In June 2024, a pilot was undertaken that aimed to develop a renewed approach to the development and drafting of internal policy documentation (including the Operations Manual) to ensure they are understood, applied correctly and clear. This work will continue into 2024</w:t>
      </w:r>
      <w:r w:rsidR="00794C79" w:rsidRPr="00F9716C">
        <w:rPr>
          <w:color w:val="414042" w:themeColor="text1"/>
        </w:rPr>
        <w:t>–</w:t>
      </w:r>
      <w:r w:rsidRPr="00F9716C">
        <w:rPr>
          <w:color w:val="414042" w:themeColor="text1"/>
        </w:rPr>
        <w:t>25 with policies prioritised with a risk-based approach and comprehensive internal consultation</w:t>
      </w:r>
      <w:r w:rsidR="00561686" w:rsidRPr="00F9716C">
        <w:rPr>
          <w:color w:val="414042" w:themeColor="text1"/>
        </w:rPr>
        <w:t>.</w:t>
      </w:r>
    </w:p>
    <w:p w14:paraId="3693C5E6" w14:textId="691B09DB" w:rsidR="00561686" w:rsidRPr="00F9716C" w:rsidRDefault="00561686" w:rsidP="00B13332">
      <w:pPr>
        <w:pStyle w:val="4H-Intro"/>
        <w:ind w:right="140"/>
      </w:pPr>
      <w:bookmarkStart w:id="1308" w:name="_Hlk171671732"/>
      <w:r w:rsidRPr="00F9716C">
        <w:t>Responding to emerging opportunities and risks</w:t>
      </w:r>
    </w:p>
    <w:p w14:paraId="5E1BE9CF" w14:textId="3FB2A846" w:rsidR="00561686" w:rsidRPr="00F9716C" w:rsidRDefault="00561686" w:rsidP="00B13332">
      <w:pPr>
        <w:spacing w:before="120"/>
        <w:ind w:right="140"/>
        <w:rPr>
          <w:color w:val="414042" w:themeColor="text1"/>
        </w:rPr>
      </w:pPr>
      <w:r w:rsidRPr="00F9716C">
        <w:rPr>
          <w:color w:val="414042" w:themeColor="text1"/>
        </w:rPr>
        <w:t>Each year through the annual strategic planning process, we consider the changing nature of our operating environment on the risk profile of our work. At the end of 202</w:t>
      </w:r>
      <w:r w:rsidR="009F3364" w:rsidRPr="00F9716C">
        <w:rPr>
          <w:color w:val="414042" w:themeColor="text1"/>
        </w:rPr>
        <w:t>3</w:t>
      </w:r>
      <w:r w:rsidRPr="00F9716C">
        <w:rPr>
          <w:color w:val="414042" w:themeColor="text1"/>
        </w:rPr>
        <w:t>–2</w:t>
      </w:r>
      <w:r w:rsidR="009F3364" w:rsidRPr="00F9716C">
        <w:rPr>
          <w:color w:val="414042" w:themeColor="text1"/>
        </w:rPr>
        <w:t>4</w:t>
      </w:r>
      <w:r w:rsidRPr="00F9716C">
        <w:rPr>
          <w:color w:val="414042" w:themeColor="text1"/>
        </w:rPr>
        <w:t xml:space="preserve">, our risk strategy was drafted to address </w:t>
      </w:r>
      <w:r w:rsidR="00114DDB" w:rsidRPr="00F9716C">
        <w:rPr>
          <w:color w:val="414042" w:themeColor="text1"/>
        </w:rPr>
        <w:t xml:space="preserve">strategic risks and opportunities in </w:t>
      </w:r>
      <w:r w:rsidR="00D06A6F" w:rsidRPr="00F9716C">
        <w:rPr>
          <w:color w:val="414042" w:themeColor="text1"/>
        </w:rPr>
        <w:t>our</w:t>
      </w:r>
      <w:r w:rsidR="00114DDB" w:rsidRPr="00F9716C">
        <w:rPr>
          <w:color w:val="414042" w:themeColor="text1"/>
        </w:rPr>
        <w:t xml:space="preserve"> strategic plan 2023–27.</w:t>
      </w:r>
    </w:p>
    <w:bookmarkEnd w:id="1308"/>
    <w:p w14:paraId="0D42BCF8" w14:textId="77777777" w:rsidR="00267FE1" w:rsidRPr="00F9716C" w:rsidRDefault="00267FE1" w:rsidP="00561686">
      <w:pPr>
        <w:rPr>
          <w:color w:val="414042" w:themeColor="text1"/>
        </w:rPr>
        <w:sectPr w:rsidR="00267FE1" w:rsidRPr="00F9716C" w:rsidSect="00C77834">
          <w:pgSz w:w="11906" w:h="16838" w:code="9"/>
          <w:pgMar w:top="2155" w:right="1134" w:bottom="964" w:left="1134" w:header="720" w:footer="284" w:gutter="0"/>
          <w:cols w:num="2" w:space="567"/>
          <w:noEndnote/>
          <w:docGrid w:linePitch="272"/>
        </w:sectPr>
      </w:pPr>
    </w:p>
    <w:p w14:paraId="50200B64" w14:textId="250D6CE0" w:rsidR="00561686" w:rsidRPr="00F9716C" w:rsidRDefault="00561686" w:rsidP="00B13332">
      <w:pPr>
        <w:pStyle w:val="3Heading-highlight"/>
      </w:pPr>
      <w:bookmarkStart w:id="1309" w:name="_Hlk74321052"/>
      <w:bookmarkStart w:id="1310" w:name="_Hlk76025688"/>
      <w:bookmarkStart w:id="1311" w:name="_Toc102038070"/>
      <w:bookmarkStart w:id="1312" w:name="_Toc102038431"/>
      <w:bookmarkStart w:id="1313" w:name="_Toc102038792"/>
      <w:bookmarkStart w:id="1314" w:name="_Toc102039144"/>
      <w:bookmarkStart w:id="1315" w:name="_Toc102039493"/>
      <w:bookmarkStart w:id="1316" w:name="_Toc102039855"/>
      <w:bookmarkStart w:id="1317" w:name="_Toc102040212"/>
      <w:bookmarkStart w:id="1318" w:name="_Toc102040540"/>
      <w:bookmarkStart w:id="1319" w:name="_Toc102040874"/>
      <w:bookmarkStart w:id="1320" w:name="_Toc102041202"/>
      <w:bookmarkStart w:id="1321" w:name="_Toc102041531"/>
      <w:bookmarkStart w:id="1322" w:name="_Toc102041863"/>
      <w:bookmarkStart w:id="1323" w:name="_Toc102042190"/>
      <w:bookmarkStart w:id="1324" w:name="_Toc102042520"/>
      <w:bookmarkStart w:id="1325" w:name="_Toc102045650"/>
      <w:bookmarkEnd w:id="1305"/>
      <w:bookmarkEnd w:id="1306"/>
      <w:bookmarkEnd w:id="1307"/>
      <w:r w:rsidRPr="00F9716C">
        <w:t>Internal audit</w:t>
      </w:r>
    </w:p>
    <w:p w14:paraId="7861E8CC" w14:textId="77777777" w:rsidR="00561686" w:rsidRPr="00F9716C" w:rsidRDefault="00561686" w:rsidP="00561686">
      <w:pPr>
        <w:rPr>
          <w:color w:val="414042" w:themeColor="text1"/>
        </w:rPr>
      </w:pPr>
      <w:r w:rsidRPr="00F9716C">
        <w:rPr>
          <w:color w:val="414042" w:themeColor="text1"/>
        </w:rPr>
        <w:t>Internal audit is a statutory function established to provide an independent appraisal of internal control systems in place within our agency, and extends to identifying deficiencies in our other operating systems and processes.</w:t>
      </w:r>
    </w:p>
    <w:p w14:paraId="5F2CC268" w14:textId="77777777" w:rsidR="00561686" w:rsidRPr="00F9716C" w:rsidRDefault="00561686" w:rsidP="00561686">
      <w:pPr>
        <w:rPr>
          <w:color w:val="414042" w:themeColor="text1"/>
        </w:rPr>
      </w:pPr>
      <w:r w:rsidRPr="00F9716C">
        <w:rPr>
          <w:color w:val="414042" w:themeColor="text1"/>
        </w:rPr>
        <w:t>To ensure our internal audit function is effective, efficient and economical, we have implemented the use of standardised templates on each internal audit in conjunction with the quarterly status update reporting of various performance indicators to our ARMC.</w:t>
      </w:r>
    </w:p>
    <w:p w14:paraId="532B09FD" w14:textId="0B6AED40" w:rsidR="00561686" w:rsidRPr="00F9716C" w:rsidRDefault="00561686" w:rsidP="00561686">
      <w:pPr>
        <w:rPr>
          <w:color w:val="414042" w:themeColor="text1"/>
        </w:rPr>
      </w:pPr>
      <w:r w:rsidRPr="00F9716C">
        <w:rPr>
          <w:color w:val="414042" w:themeColor="text1"/>
        </w:rPr>
        <w:t>Key achievements for 202</w:t>
      </w:r>
      <w:r w:rsidR="009F3364" w:rsidRPr="00F9716C">
        <w:rPr>
          <w:color w:val="414042" w:themeColor="text1"/>
        </w:rPr>
        <w:t>3</w:t>
      </w:r>
      <w:r w:rsidRPr="00F9716C">
        <w:rPr>
          <w:color w:val="414042" w:themeColor="text1"/>
        </w:rPr>
        <w:t>–2</w:t>
      </w:r>
      <w:r w:rsidR="009F3364" w:rsidRPr="00F9716C">
        <w:rPr>
          <w:color w:val="414042" w:themeColor="text1"/>
        </w:rPr>
        <w:t>4</w:t>
      </w:r>
      <w:r w:rsidRPr="00F9716C">
        <w:rPr>
          <w:color w:val="414042" w:themeColor="text1"/>
        </w:rPr>
        <w:t xml:space="preserve"> include:</w:t>
      </w:r>
    </w:p>
    <w:p w14:paraId="7BB975FA" w14:textId="38018E16" w:rsidR="00637E5D" w:rsidRPr="00F9716C" w:rsidRDefault="0055367B" w:rsidP="006900F6">
      <w:pPr>
        <w:pStyle w:val="Bulletpoints0"/>
      </w:pPr>
      <w:r w:rsidRPr="00F9716C">
        <w:t>D</w:t>
      </w:r>
      <w:r w:rsidR="00637E5D" w:rsidRPr="00F9716C">
        <w:t xml:space="preserve">eveloping our </w:t>
      </w:r>
      <w:r w:rsidR="00637E5D" w:rsidRPr="00F9716C">
        <w:rPr>
          <w:i/>
          <w:iCs/>
        </w:rPr>
        <w:t>Internal Audit Plan 2024–25</w:t>
      </w:r>
      <w:r w:rsidR="00637E5D" w:rsidRPr="00F9716C">
        <w:t xml:space="preserve"> and </w:t>
      </w:r>
      <w:r w:rsidR="00637E5D" w:rsidRPr="00F9716C">
        <w:rPr>
          <w:i/>
          <w:iCs/>
        </w:rPr>
        <w:t>Strategic Internal Audit Plan 2024–29</w:t>
      </w:r>
      <w:r w:rsidR="00637E5D" w:rsidRPr="00F9716C">
        <w:t xml:space="preserve"> based on our strategic and operational risks and presented both plans to our ARMC</w:t>
      </w:r>
      <w:r w:rsidRPr="00F9716C">
        <w:t>.</w:t>
      </w:r>
    </w:p>
    <w:p w14:paraId="14EFE751" w14:textId="29F7FDBB" w:rsidR="00637E5D" w:rsidRPr="00F9716C" w:rsidRDefault="0055367B" w:rsidP="006900F6">
      <w:pPr>
        <w:pStyle w:val="Bulletpoints0"/>
      </w:pPr>
      <w:r w:rsidRPr="00F9716C">
        <w:t>C</w:t>
      </w:r>
      <w:r w:rsidR="00637E5D" w:rsidRPr="00F9716C">
        <w:t>ompleting seven internal audits (DTP - Vic Roads Agreement; AUSTRAC Memorandum of Understanding; Personal Property Securities Register Memorandum of Understanding; Overt and Covert corporate credit cards, Fleet Management, Timesheet and Leave Management).</w:t>
      </w:r>
    </w:p>
    <w:p w14:paraId="0F5C5B4E" w14:textId="5B159356" w:rsidR="00561686" w:rsidRPr="00F9716C" w:rsidRDefault="0055367B" w:rsidP="006900F6">
      <w:pPr>
        <w:pStyle w:val="Bulletpoints0"/>
      </w:pPr>
      <w:r w:rsidRPr="00F9716C">
        <w:t>M</w:t>
      </w:r>
      <w:r w:rsidR="00561686" w:rsidRPr="00F9716C">
        <w:t>onitoring and reporting on the status of implementation of recommendations from internal audits and external reviews</w:t>
      </w:r>
      <w:r w:rsidRPr="00F9716C">
        <w:t>.</w:t>
      </w:r>
    </w:p>
    <w:p w14:paraId="652771E9" w14:textId="66AC82BF" w:rsidR="00561686" w:rsidRPr="00F9716C" w:rsidRDefault="0055367B" w:rsidP="006900F6">
      <w:pPr>
        <w:pStyle w:val="Bulletpoints0"/>
      </w:pPr>
      <w:r w:rsidRPr="00F9716C">
        <w:t>S</w:t>
      </w:r>
      <w:r w:rsidR="00561686" w:rsidRPr="00F9716C">
        <w:t>upporting management by providing advice on governance and related issues including risk management.</w:t>
      </w:r>
    </w:p>
    <w:p w14:paraId="3549E8CA" w14:textId="77777777" w:rsidR="00561686" w:rsidRPr="00F9716C" w:rsidRDefault="00561686" w:rsidP="00B13332">
      <w:pPr>
        <w:pStyle w:val="3Heading-highlight"/>
      </w:pPr>
      <w:r w:rsidRPr="00F9716C">
        <w:t>External audit</w:t>
      </w:r>
    </w:p>
    <w:p w14:paraId="6F744B7F" w14:textId="77777777" w:rsidR="00561686" w:rsidRPr="00F9716C" w:rsidRDefault="00561686" w:rsidP="00B13332">
      <w:pPr>
        <w:ind w:right="-1"/>
        <w:rPr>
          <w:color w:val="414042" w:themeColor="text1"/>
        </w:rPr>
      </w:pPr>
      <w:r w:rsidRPr="00F9716C">
        <w:rPr>
          <w:color w:val="414042" w:themeColor="text1"/>
        </w:rPr>
        <w:t xml:space="preserve">External audits and reviews add value to the public sector through recommendations to improve business operations.  </w:t>
      </w:r>
    </w:p>
    <w:p w14:paraId="0730A216" w14:textId="67213A1C" w:rsidR="00561686" w:rsidRPr="00F9716C" w:rsidRDefault="00561686" w:rsidP="00B13332">
      <w:pPr>
        <w:ind w:right="-1"/>
        <w:rPr>
          <w:color w:val="414042" w:themeColor="text1"/>
        </w:rPr>
      </w:pPr>
      <w:r w:rsidRPr="00F9716C">
        <w:rPr>
          <w:color w:val="414042" w:themeColor="text1"/>
        </w:rPr>
        <w:t xml:space="preserve">The QAO audits the CCC’s financial statements in accordance with the </w:t>
      </w:r>
      <w:r w:rsidRPr="00F9716C">
        <w:rPr>
          <w:i/>
          <w:iCs/>
          <w:color w:val="414042" w:themeColor="text1"/>
        </w:rPr>
        <w:t>Financial Accountability Act 2009</w:t>
      </w:r>
      <w:r w:rsidRPr="00F9716C">
        <w:rPr>
          <w:color w:val="414042" w:themeColor="text1"/>
        </w:rPr>
        <w:t xml:space="preserve"> and other applicable laws. In 202</w:t>
      </w:r>
      <w:r w:rsidR="009F3364" w:rsidRPr="00F9716C">
        <w:rPr>
          <w:color w:val="414042" w:themeColor="text1"/>
        </w:rPr>
        <w:t>3</w:t>
      </w:r>
      <w:r w:rsidRPr="00F9716C">
        <w:rPr>
          <w:color w:val="414042" w:themeColor="text1"/>
        </w:rPr>
        <w:t>–2</w:t>
      </w:r>
      <w:r w:rsidR="009F3364" w:rsidRPr="00F9716C">
        <w:rPr>
          <w:color w:val="414042" w:themeColor="text1"/>
        </w:rPr>
        <w:t>4</w:t>
      </w:r>
      <w:r w:rsidRPr="00F9716C">
        <w:rPr>
          <w:color w:val="414042" w:themeColor="text1"/>
        </w:rPr>
        <w:t>, the CCC received an unqualified audit report.</w:t>
      </w:r>
      <w:bookmarkStart w:id="1326" w:name="_Hlk75168754"/>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3B0D3CB5" w14:textId="6CD949FE" w:rsidR="00561686" w:rsidRPr="00F9716C" w:rsidRDefault="00B13332" w:rsidP="00B13332">
      <w:pPr>
        <w:pStyle w:val="3Heading-highlight"/>
      </w:pPr>
      <w:bookmarkStart w:id="1327" w:name="_Toc102038074"/>
      <w:bookmarkStart w:id="1328" w:name="_Toc102038435"/>
      <w:bookmarkStart w:id="1329" w:name="_Toc102038796"/>
      <w:bookmarkStart w:id="1330" w:name="_Toc102039148"/>
      <w:bookmarkStart w:id="1331" w:name="_Toc102039497"/>
      <w:bookmarkStart w:id="1332" w:name="_Toc102039859"/>
      <w:bookmarkStart w:id="1333" w:name="_Toc102040216"/>
      <w:bookmarkStart w:id="1334" w:name="_Toc102040544"/>
      <w:bookmarkStart w:id="1335" w:name="_Toc102040878"/>
      <w:bookmarkStart w:id="1336" w:name="_Toc102041206"/>
      <w:bookmarkStart w:id="1337" w:name="_Toc102041535"/>
      <w:bookmarkStart w:id="1338" w:name="_Toc102041867"/>
      <w:bookmarkStart w:id="1339" w:name="_Toc102042194"/>
      <w:bookmarkStart w:id="1340" w:name="_Toc102042524"/>
      <w:bookmarkStart w:id="1341" w:name="_Toc102045654"/>
      <w:r>
        <w:br w:type="column"/>
      </w:r>
      <w:r w:rsidR="00561686" w:rsidRPr="00F9716C">
        <w:t>External scrutiny</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05DEAD78" w14:textId="77777777" w:rsidR="00561686" w:rsidRPr="00F9716C" w:rsidRDefault="00561686" w:rsidP="00B13332">
      <w:pPr>
        <w:pStyle w:val="4H-Intro"/>
      </w:pPr>
      <w:bookmarkStart w:id="1342" w:name="_Toc102038075"/>
      <w:bookmarkStart w:id="1343" w:name="_Toc102038436"/>
      <w:bookmarkStart w:id="1344" w:name="_Toc102038797"/>
      <w:bookmarkStart w:id="1345" w:name="_Toc102039149"/>
      <w:bookmarkStart w:id="1346" w:name="_Toc102039498"/>
      <w:bookmarkStart w:id="1347" w:name="_Toc102039860"/>
      <w:bookmarkStart w:id="1348" w:name="_Toc102040217"/>
      <w:bookmarkStart w:id="1349" w:name="_Toc102040545"/>
      <w:bookmarkStart w:id="1350" w:name="_Toc102040879"/>
      <w:bookmarkStart w:id="1351" w:name="_Toc102041207"/>
      <w:bookmarkStart w:id="1352" w:name="_Toc102041536"/>
      <w:bookmarkStart w:id="1353" w:name="_Toc102041868"/>
      <w:bookmarkStart w:id="1354" w:name="_Toc102042195"/>
      <w:bookmarkStart w:id="1355" w:name="_Toc102042525"/>
      <w:bookmarkStart w:id="1356" w:name="_Toc102045655"/>
      <w:bookmarkStart w:id="1357" w:name="_Hlk74319841"/>
      <w:r w:rsidRPr="00F9716C">
        <w:t>Parliamentary Crime and Corruption Committee</w:t>
      </w:r>
    </w:p>
    <w:p w14:paraId="4AB19388" w14:textId="332383AE" w:rsidR="00561686" w:rsidRPr="00F9716C" w:rsidRDefault="00561686" w:rsidP="000358F3">
      <w:pPr>
        <w:spacing w:before="120"/>
        <w:rPr>
          <w:color w:val="414042" w:themeColor="text1"/>
        </w:rPr>
      </w:pPr>
      <w:r w:rsidRPr="00F9716C">
        <w:rPr>
          <w:color w:val="414042" w:themeColor="text1"/>
        </w:rPr>
        <w:t xml:space="preserve">The PCCC is a bipartisan committee whose principal functions are to monitor and review the performance </w:t>
      </w:r>
      <w:r w:rsidR="00AE2C78">
        <w:rPr>
          <w:color w:val="414042" w:themeColor="text1"/>
        </w:rPr>
        <w:br/>
      </w:r>
      <w:r w:rsidRPr="00F9716C">
        <w:rPr>
          <w:color w:val="414042" w:themeColor="text1"/>
        </w:rPr>
        <w:t xml:space="preserve">of the CCC’s functions and structure, reporting to the Queensland Parliament on relevant matters, and considering and giving bipartisan support to the appointment of the CCC’s </w:t>
      </w:r>
      <w:r w:rsidR="00EF06F9" w:rsidRPr="00F9716C">
        <w:rPr>
          <w:color w:val="414042" w:themeColor="text1"/>
        </w:rPr>
        <w:t xml:space="preserve">Chairperson, Deputy Chairperson, Ordinary </w:t>
      </w:r>
      <w:r w:rsidRPr="00F9716C">
        <w:rPr>
          <w:color w:val="414042" w:themeColor="text1"/>
        </w:rPr>
        <w:t xml:space="preserve">Commissioners and </w:t>
      </w:r>
      <w:r w:rsidR="00171C5D" w:rsidRPr="00F9716C">
        <w:rPr>
          <w:color w:val="414042" w:themeColor="text1"/>
        </w:rPr>
        <w:t>CEO</w:t>
      </w:r>
      <w:r w:rsidRPr="00F9716C">
        <w:rPr>
          <w:color w:val="414042" w:themeColor="text1"/>
        </w:rPr>
        <w:t>.</w:t>
      </w:r>
    </w:p>
    <w:p w14:paraId="1975B86D" w14:textId="5D71DB23" w:rsidR="00561686" w:rsidRPr="00F9716C" w:rsidRDefault="00561686" w:rsidP="000358F3">
      <w:pPr>
        <w:spacing w:before="120"/>
        <w:rPr>
          <w:color w:val="414042" w:themeColor="text1"/>
        </w:rPr>
      </w:pPr>
      <w:r w:rsidRPr="00F9716C">
        <w:rPr>
          <w:color w:val="414042" w:themeColor="text1"/>
        </w:rPr>
        <w:t>In its monitoring and reviewing role, the PCCC also conducts specific inquiries in respect of matters pertaining to our agency. In monitoring our activities, the committee:</w:t>
      </w:r>
    </w:p>
    <w:p w14:paraId="5430F647" w14:textId="763845CD" w:rsidR="00561686" w:rsidRPr="00F9716C" w:rsidRDefault="005B4BF3" w:rsidP="006900F6">
      <w:pPr>
        <w:pStyle w:val="Bulletpoints0"/>
      </w:pPr>
      <w:r w:rsidRPr="00F9716C">
        <w:t>R</w:t>
      </w:r>
      <w:r w:rsidR="00561686" w:rsidRPr="00F9716C">
        <w:t>eceives and considers complaints against our agency</w:t>
      </w:r>
      <w:r w:rsidRPr="00F9716C">
        <w:t>.</w:t>
      </w:r>
    </w:p>
    <w:p w14:paraId="7564E2F9" w14:textId="31825B0B" w:rsidR="00561686" w:rsidRPr="00F9716C" w:rsidRDefault="005B4BF3" w:rsidP="006900F6">
      <w:pPr>
        <w:pStyle w:val="Bulletpoints0"/>
      </w:pPr>
      <w:r w:rsidRPr="00F9716C">
        <w:t>R</w:t>
      </w:r>
      <w:r w:rsidR="00561686" w:rsidRPr="00F9716C">
        <w:t>eviews our guidelines and policies and may make suggestions for improvement of practices</w:t>
      </w:r>
      <w:r w:rsidRPr="00F9716C">
        <w:t>.</w:t>
      </w:r>
    </w:p>
    <w:p w14:paraId="3A645ADA" w14:textId="67D922ED" w:rsidR="00561686" w:rsidRPr="00F9716C" w:rsidRDefault="005B4BF3" w:rsidP="006900F6">
      <w:pPr>
        <w:pStyle w:val="Bulletpoints0"/>
      </w:pPr>
      <w:r w:rsidRPr="00F9716C">
        <w:t>R</w:t>
      </w:r>
      <w:r w:rsidR="00561686" w:rsidRPr="00F9716C">
        <w:t>eviews our reports, including the annual report and research reports</w:t>
      </w:r>
      <w:r w:rsidRPr="00F9716C">
        <w:t>.</w:t>
      </w:r>
    </w:p>
    <w:p w14:paraId="36FE225B" w14:textId="2D0F18A7" w:rsidR="00561686" w:rsidRPr="00F9716C" w:rsidRDefault="005B4BF3" w:rsidP="006900F6">
      <w:pPr>
        <w:pStyle w:val="Bulletpoints0"/>
      </w:pPr>
      <w:r w:rsidRPr="00F9716C">
        <w:t>R</w:t>
      </w:r>
      <w:r w:rsidR="00561686" w:rsidRPr="00F9716C">
        <w:t>equests reports from us on matters which have come to the committee’s attention, through the media or by other means</w:t>
      </w:r>
      <w:r w:rsidRPr="00F9716C">
        <w:t>.</w:t>
      </w:r>
    </w:p>
    <w:p w14:paraId="4E78C9A2" w14:textId="03C02FE5" w:rsidR="00561686" w:rsidRPr="00F9716C" w:rsidRDefault="005B4BF3" w:rsidP="006900F6">
      <w:pPr>
        <w:pStyle w:val="Bulletpoints0"/>
      </w:pPr>
      <w:r w:rsidRPr="00F9716C">
        <w:t>D</w:t>
      </w:r>
      <w:r w:rsidR="00561686" w:rsidRPr="00F9716C">
        <w:t>eals with ad hoc issues concerning us.</w:t>
      </w:r>
    </w:p>
    <w:p w14:paraId="4C6B376C" w14:textId="57FEA504" w:rsidR="00673BFF" w:rsidRPr="00F9716C" w:rsidRDefault="00561686" w:rsidP="00561686">
      <w:pPr>
        <w:rPr>
          <w:color w:val="414042" w:themeColor="text1"/>
        </w:rPr>
      </w:pPr>
      <w:r w:rsidRPr="00F9716C">
        <w:rPr>
          <w:color w:val="414042" w:themeColor="text1"/>
        </w:rPr>
        <w:t>In 202</w:t>
      </w:r>
      <w:r w:rsidR="009F3364" w:rsidRPr="00F9716C">
        <w:rPr>
          <w:color w:val="414042" w:themeColor="text1"/>
        </w:rPr>
        <w:t>3</w:t>
      </w:r>
      <w:r w:rsidRPr="00F9716C">
        <w:rPr>
          <w:color w:val="414042" w:themeColor="text1"/>
        </w:rPr>
        <w:t>–2</w:t>
      </w:r>
      <w:r w:rsidR="009F3364" w:rsidRPr="00F9716C">
        <w:rPr>
          <w:color w:val="414042" w:themeColor="text1"/>
        </w:rPr>
        <w:t>4</w:t>
      </w:r>
      <w:r w:rsidRPr="00F9716C">
        <w:rPr>
          <w:color w:val="414042" w:themeColor="text1"/>
        </w:rPr>
        <w:t xml:space="preserve">, the CCC met formally with the PCCC </w:t>
      </w:r>
      <w:r w:rsidR="009A3ABD" w:rsidRPr="00F9716C">
        <w:rPr>
          <w:color w:val="414042" w:themeColor="text1"/>
        </w:rPr>
        <w:t>four</w:t>
      </w:r>
      <w:r w:rsidRPr="00F9716C">
        <w:rPr>
          <w:color w:val="414042" w:themeColor="text1"/>
        </w:rPr>
        <w:t xml:space="preserve"> times in both public and private meetings, to discuss our current activities and performance.</w:t>
      </w:r>
    </w:p>
    <w:p w14:paraId="76BDA76C" w14:textId="6A4ABE97" w:rsidR="00673BFF" w:rsidRPr="00F9716C" w:rsidRDefault="00673BFF" w:rsidP="00A368B5">
      <w:pPr>
        <w:spacing w:before="240"/>
        <w:rPr>
          <w:i/>
          <w:color w:val="414042" w:themeColor="text1"/>
          <w:szCs w:val="20"/>
        </w:rPr>
      </w:pPr>
      <w:r w:rsidRPr="00F9716C">
        <w:rPr>
          <w:i/>
          <w:color w:val="414042" w:themeColor="text1"/>
          <w:szCs w:val="20"/>
        </w:rPr>
        <w:t xml:space="preserve">See pages </w:t>
      </w:r>
      <w:r w:rsidR="0074101C" w:rsidRPr="00F9716C">
        <w:rPr>
          <w:i/>
          <w:color w:val="414042" w:themeColor="text1"/>
          <w:szCs w:val="20"/>
        </w:rPr>
        <w:t>27</w:t>
      </w:r>
      <w:r w:rsidRPr="00F9716C">
        <w:rPr>
          <w:i/>
          <w:color w:val="414042" w:themeColor="text1"/>
          <w:szCs w:val="20"/>
        </w:rPr>
        <w:t>–</w:t>
      </w:r>
      <w:r w:rsidR="0074101C" w:rsidRPr="00F9716C">
        <w:rPr>
          <w:i/>
          <w:color w:val="414042" w:themeColor="text1"/>
          <w:szCs w:val="20"/>
        </w:rPr>
        <w:t>30</w:t>
      </w:r>
      <w:r w:rsidRPr="00F9716C">
        <w:rPr>
          <w:i/>
          <w:color w:val="414042" w:themeColor="text1"/>
          <w:szCs w:val="20"/>
        </w:rPr>
        <w:t xml:space="preserve"> for more information related to our reporting on our progress against recent external </w:t>
      </w:r>
      <w:r w:rsidR="00253AE5" w:rsidRPr="00F9716C">
        <w:rPr>
          <w:i/>
          <w:color w:val="414042" w:themeColor="text1"/>
          <w:szCs w:val="20"/>
        </w:rPr>
        <w:t xml:space="preserve">inquiries and </w:t>
      </w:r>
      <w:r w:rsidRPr="00F9716C">
        <w:rPr>
          <w:i/>
          <w:color w:val="414042" w:themeColor="text1"/>
          <w:szCs w:val="20"/>
        </w:rPr>
        <w:t>reviews.</w:t>
      </w:r>
    </w:p>
    <w:p w14:paraId="3E47DED0" w14:textId="135216C3" w:rsidR="00561686" w:rsidRPr="00F9716C" w:rsidRDefault="00B13332" w:rsidP="00B13332">
      <w:pPr>
        <w:pStyle w:val="4H-Intro"/>
      </w:pPr>
      <w:r>
        <w:br w:type="column"/>
      </w:r>
      <w:r w:rsidR="00561686" w:rsidRPr="00F9716C">
        <w:t>Parliamentary Crime and Corruption Commissioner</w:t>
      </w:r>
    </w:p>
    <w:p w14:paraId="663BAA33" w14:textId="747F8758" w:rsidR="00561686" w:rsidRPr="00F9716C" w:rsidRDefault="00561686" w:rsidP="000358F3">
      <w:pPr>
        <w:spacing w:before="120"/>
        <w:rPr>
          <w:color w:val="414042" w:themeColor="text1"/>
        </w:rPr>
      </w:pPr>
      <w:r w:rsidRPr="00F9716C">
        <w:rPr>
          <w:color w:val="414042" w:themeColor="text1"/>
        </w:rPr>
        <w:t>The PCCC is assisted in its oversight process by the Parliamentary Crime and Corruption Commissioner</w:t>
      </w:r>
      <w:r w:rsidR="002E61F7" w:rsidRPr="00F9716C">
        <w:rPr>
          <w:color w:val="414042" w:themeColor="text1"/>
        </w:rPr>
        <w:t xml:space="preserve"> </w:t>
      </w:r>
      <w:r w:rsidR="00AE2C78">
        <w:rPr>
          <w:color w:val="414042" w:themeColor="text1"/>
        </w:rPr>
        <w:br/>
      </w:r>
      <w:r w:rsidR="002E61F7" w:rsidRPr="00F9716C">
        <w:rPr>
          <w:color w:val="414042" w:themeColor="text1"/>
        </w:rPr>
        <w:t>(the ‘Parliamentary Commissioner’)</w:t>
      </w:r>
      <w:r w:rsidRPr="00F9716C">
        <w:rPr>
          <w:color w:val="414042" w:themeColor="text1"/>
        </w:rPr>
        <w:t>, who investigates complaints against our agency or our employees. The Parliamentary Commissioner may independently initiate an investigation of a matter that involves, or may involve, the corrupt conduct of a commission officer. The Parliamentary Commissioner also conducts</w:t>
      </w:r>
      <w:r w:rsidR="00DE5325" w:rsidRPr="00F9716C">
        <w:rPr>
          <w:color w:val="414042" w:themeColor="text1"/>
        </w:rPr>
        <w:t xml:space="preserve"> inspections and</w:t>
      </w:r>
      <w:r w:rsidRPr="00F9716C">
        <w:rPr>
          <w:color w:val="414042" w:themeColor="text1"/>
        </w:rPr>
        <w:t xml:space="preserve"> audits of the CCC’s records and files.</w:t>
      </w:r>
    </w:p>
    <w:p w14:paraId="19FD6229" w14:textId="30D9CFE7" w:rsidR="00561686" w:rsidRPr="00F9716C" w:rsidRDefault="00561686" w:rsidP="00561686">
      <w:pPr>
        <w:rPr>
          <w:color w:val="414042" w:themeColor="text1"/>
        </w:rPr>
      </w:pPr>
      <w:r w:rsidRPr="00F9716C">
        <w:rPr>
          <w:color w:val="414042" w:themeColor="text1"/>
        </w:rPr>
        <w:t>In 202</w:t>
      </w:r>
      <w:r w:rsidR="009F3364" w:rsidRPr="00F9716C">
        <w:rPr>
          <w:color w:val="414042" w:themeColor="text1"/>
        </w:rPr>
        <w:t>3</w:t>
      </w:r>
      <w:r w:rsidRPr="00F9716C">
        <w:rPr>
          <w:color w:val="414042" w:themeColor="text1"/>
        </w:rPr>
        <w:t>–2</w:t>
      </w:r>
      <w:r w:rsidR="009F3364" w:rsidRPr="00F9716C">
        <w:rPr>
          <w:color w:val="414042" w:themeColor="text1"/>
        </w:rPr>
        <w:t>4</w:t>
      </w:r>
      <w:r w:rsidRPr="00F9716C">
        <w:rPr>
          <w:color w:val="414042" w:themeColor="text1"/>
        </w:rPr>
        <w:t>, the Parliamentary Commissioner:</w:t>
      </w:r>
    </w:p>
    <w:p w14:paraId="28AB8D7F" w14:textId="6A628895" w:rsidR="00561686" w:rsidRPr="00F9716C" w:rsidRDefault="00D931AF" w:rsidP="006900F6">
      <w:pPr>
        <w:pStyle w:val="Bulletpoints0"/>
      </w:pPr>
      <w:r w:rsidRPr="00F9716C">
        <w:t>I</w:t>
      </w:r>
      <w:r w:rsidR="00561686" w:rsidRPr="00F9716C">
        <w:t>nspected the CCC’s records to determine compliance with legislation governing surveillance device warrants, retrieval warrants, emergency authorisations and controlled operations</w:t>
      </w:r>
      <w:r w:rsidRPr="00F9716C">
        <w:t>.</w:t>
      </w:r>
    </w:p>
    <w:p w14:paraId="5860095E" w14:textId="55BFB160" w:rsidR="00561686" w:rsidRPr="00F9716C" w:rsidRDefault="00D931AF" w:rsidP="006900F6">
      <w:pPr>
        <w:pStyle w:val="Bulletpoints0"/>
      </w:pPr>
      <w:r w:rsidRPr="00F9716C">
        <w:t>A</w:t>
      </w:r>
      <w:r w:rsidR="00561686" w:rsidRPr="00F9716C">
        <w:t>udited records related to the use of assumed identities</w:t>
      </w:r>
      <w:r w:rsidRPr="00F9716C">
        <w:t>.</w:t>
      </w:r>
    </w:p>
    <w:p w14:paraId="775438E1" w14:textId="5A53CEC7" w:rsidR="00561686" w:rsidRPr="00F9716C" w:rsidRDefault="00D931AF" w:rsidP="006900F6">
      <w:pPr>
        <w:pStyle w:val="Bulletpoints0"/>
      </w:pPr>
      <w:r w:rsidRPr="00F9716C">
        <w:t>I</w:t>
      </w:r>
      <w:r w:rsidR="00561686" w:rsidRPr="00F9716C">
        <w:t>nspected the telecommunications interception records</w:t>
      </w:r>
      <w:r w:rsidRPr="00F9716C">
        <w:t>.</w:t>
      </w:r>
    </w:p>
    <w:p w14:paraId="751718DB" w14:textId="4D983188" w:rsidR="00561686" w:rsidRPr="00F9716C" w:rsidRDefault="00D931AF" w:rsidP="006900F6">
      <w:pPr>
        <w:pStyle w:val="Bulletpoints0"/>
      </w:pPr>
      <w:r w:rsidRPr="00F9716C">
        <w:t>R</w:t>
      </w:r>
      <w:r w:rsidR="00561686" w:rsidRPr="00F9716C">
        <w:t>eviewed intelligence data held by the CCC.</w:t>
      </w:r>
    </w:p>
    <w:p w14:paraId="122172FC" w14:textId="5633B8FC" w:rsidR="00561686" w:rsidRPr="00F9716C" w:rsidRDefault="00561686" w:rsidP="00561686">
      <w:pPr>
        <w:rPr>
          <w:color w:val="414042" w:themeColor="text1"/>
        </w:rPr>
      </w:pPr>
      <w:r w:rsidRPr="00F9716C">
        <w:rPr>
          <w:color w:val="414042" w:themeColor="text1"/>
        </w:rPr>
        <w:t>Where issues were raised by the audits and inspections, we took appropriate action to address those issues.</w:t>
      </w:r>
    </w:p>
    <w:p w14:paraId="2844F6E7" w14:textId="77777777" w:rsidR="00561686" w:rsidRPr="00F9716C" w:rsidRDefault="00561686" w:rsidP="00B13332">
      <w:pPr>
        <w:pStyle w:val="5A-Headingintext"/>
      </w:pPr>
      <w:r w:rsidRPr="00F9716C">
        <w:t>Ministerial oversight</w:t>
      </w:r>
    </w:p>
    <w:p w14:paraId="78C0CF16" w14:textId="1F72641B" w:rsidR="00561686" w:rsidRPr="00F9716C" w:rsidRDefault="00561686" w:rsidP="000358F3">
      <w:pPr>
        <w:spacing w:before="120"/>
        <w:rPr>
          <w:color w:val="414042" w:themeColor="text1"/>
        </w:rPr>
      </w:pPr>
      <w:r w:rsidRPr="00F9716C">
        <w:rPr>
          <w:color w:val="414042" w:themeColor="text1"/>
        </w:rPr>
        <w:t xml:space="preserve">As required by section 260 of </w:t>
      </w:r>
      <w:r w:rsidRPr="00F9716C">
        <w:rPr>
          <w:color w:val="414042" w:themeColor="text1"/>
          <w:spacing w:val="2"/>
        </w:rPr>
        <w:t xml:space="preserve">the </w:t>
      </w:r>
      <w:r w:rsidRPr="00F9716C">
        <w:rPr>
          <w:i/>
          <w:iCs/>
          <w:color w:val="414042" w:themeColor="text1"/>
          <w:spacing w:val="2"/>
        </w:rPr>
        <w:t xml:space="preserve">Crime and Corruption </w:t>
      </w:r>
      <w:r w:rsidRPr="00F9716C">
        <w:rPr>
          <w:i/>
          <w:iCs/>
          <w:color w:val="414042" w:themeColor="text1"/>
          <w:spacing w:val="2"/>
        </w:rPr>
        <w:br/>
        <w:t>Act 2001</w:t>
      </w:r>
      <w:r w:rsidRPr="00F9716C">
        <w:rPr>
          <w:color w:val="414042" w:themeColor="text1"/>
        </w:rPr>
        <w:t xml:space="preserve">, we provide six-monthly reports on the efficiency, effectiveness, economy and timeliness of our systems and processes to the Minister. </w:t>
      </w:r>
      <w:r w:rsidR="00EF06F9" w:rsidRPr="00F9716C">
        <w:rPr>
          <w:color w:val="414042" w:themeColor="text1"/>
        </w:rPr>
        <w:t xml:space="preserve">The Commission also submits to the Minister an annual budget. </w:t>
      </w:r>
    </w:p>
    <w:p w14:paraId="17D570A9" w14:textId="77777777" w:rsidR="00561686" w:rsidRPr="00F9716C" w:rsidRDefault="00561686" w:rsidP="00B13332">
      <w:pPr>
        <w:pStyle w:val="5A-Headingintext"/>
      </w:pPr>
      <w:r w:rsidRPr="00F9716C">
        <w:t>Public Interest Monitor</w:t>
      </w:r>
    </w:p>
    <w:p w14:paraId="724FCBFF" w14:textId="4B203FAA" w:rsidR="00561686" w:rsidRPr="00F9716C" w:rsidRDefault="0021260D" w:rsidP="000358F3">
      <w:pPr>
        <w:spacing w:before="120"/>
        <w:rPr>
          <w:color w:val="414042" w:themeColor="text1"/>
        </w:rPr>
      </w:pPr>
      <w:r w:rsidRPr="00F9716C">
        <w:rPr>
          <w:color w:val="414042" w:themeColor="text1"/>
        </w:rPr>
        <w:t xml:space="preserve">The Public Interest Monitor </w:t>
      </w:r>
      <w:r w:rsidR="00561686" w:rsidRPr="00F9716C">
        <w:rPr>
          <w:color w:val="414042" w:themeColor="text1"/>
        </w:rPr>
        <w:t xml:space="preserve">must ensure the CCC complies with the </w:t>
      </w:r>
      <w:r w:rsidR="00561686" w:rsidRPr="00F9716C">
        <w:rPr>
          <w:i/>
          <w:iCs/>
          <w:color w:val="414042" w:themeColor="text1"/>
          <w:spacing w:val="2"/>
        </w:rPr>
        <w:t>Crime and Corruption Act 2001</w:t>
      </w:r>
      <w:r w:rsidR="00561686" w:rsidRPr="00F9716C">
        <w:rPr>
          <w:color w:val="414042" w:themeColor="text1"/>
        </w:rPr>
        <w:t xml:space="preserve">, the </w:t>
      </w:r>
      <w:r w:rsidR="00561686" w:rsidRPr="00F9716C">
        <w:rPr>
          <w:i/>
          <w:iCs/>
          <w:color w:val="414042" w:themeColor="text1"/>
          <w:spacing w:val="2"/>
        </w:rPr>
        <w:t>Police Powers and Responsibilities Act 2000</w:t>
      </w:r>
      <w:r w:rsidR="00561686" w:rsidRPr="00F9716C">
        <w:rPr>
          <w:color w:val="414042" w:themeColor="text1"/>
        </w:rPr>
        <w:t xml:space="preserve"> and the </w:t>
      </w:r>
      <w:r w:rsidR="00561686" w:rsidRPr="00F9716C">
        <w:rPr>
          <w:i/>
          <w:iCs/>
          <w:color w:val="414042" w:themeColor="text1"/>
          <w:spacing w:val="2"/>
        </w:rPr>
        <w:t>Telecommunications Interception Act 2009</w:t>
      </w:r>
      <w:r w:rsidR="00561686" w:rsidRPr="00F9716C">
        <w:rPr>
          <w:color w:val="414042" w:themeColor="text1"/>
        </w:rPr>
        <w:t>. This includes examining the CCC’s applications for covert search warrants and surveillance warrants.</w:t>
      </w:r>
    </w:p>
    <w:p w14:paraId="7A51F636" w14:textId="2FF69DB6" w:rsidR="00561686" w:rsidRPr="00F9716C" w:rsidRDefault="00561686" w:rsidP="00B13332">
      <w:pPr>
        <w:pStyle w:val="5A-Headingintext"/>
      </w:pPr>
      <w:r w:rsidRPr="00F9716C">
        <w:t>The courts</w:t>
      </w:r>
    </w:p>
    <w:p w14:paraId="355F6A22" w14:textId="77777777" w:rsidR="00561686" w:rsidRPr="00F9716C" w:rsidRDefault="00561686" w:rsidP="000358F3">
      <w:pPr>
        <w:spacing w:before="120"/>
        <w:rPr>
          <w:color w:val="414042" w:themeColor="text1"/>
        </w:rPr>
      </w:pPr>
      <w:r w:rsidRPr="00F9716C">
        <w:rPr>
          <w:color w:val="414042" w:themeColor="text1"/>
        </w:rPr>
        <w:t>The courts, in particular the Supreme Court of Queensland, play a significant role in the use of the CCC’s coercive powers, including applications for warrants, in the review of our decisions and in deciding contempt of court matters in relation to our hearings.</w:t>
      </w:r>
    </w:p>
    <w:p w14:paraId="54F222F6" w14:textId="4F3FF69A" w:rsidR="00561686" w:rsidRPr="00F9716C" w:rsidRDefault="00B13332" w:rsidP="00B13332">
      <w:pPr>
        <w:pStyle w:val="5A-Headingintext"/>
      </w:pPr>
      <w:bookmarkStart w:id="1358" w:name="_Toc102038080"/>
      <w:bookmarkStart w:id="1359" w:name="_Toc102038441"/>
      <w:bookmarkStart w:id="1360" w:name="_Toc102038802"/>
      <w:bookmarkStart w:id="1361" w:name="_Toc102039154"/>
      <w:bookmarkStart w:id="1362" w:name="_Toc102039503"/>
      <w:bookmarkStart w:id="1363" w:name="_Toc102039865"/>
      <w:bookmarkStart w:id="1364" w:name="_Toc102040222"/>
      <w:bookmarkStart w:id="1365" w:name="_Toc102040550"/>
      <w:bookmarkStart w:id="1366" w:name="_Toc102040884"/>
      <w:bookmarkStart w:id="1367" w:name="_Toc102041212"/>
      <w:bookmarkStart w:id="1368" w:name="_Toc102041541"/>
      <w:bookmarkStart w:id="1369" w:name="_Toc102041873"/>
      <w:bookmarkStart w:id="1370" w:name="_Toc102042200"/>
      <w:bookmarkStart w:id="1371" w:name="_Toc102042530"/>
      <w:bookmarkStart w:id="1372" w:name="_Toc102045660"/>
      <w:bookmarkStart w:id="1373" w:name="_Hlk75168772"/>
      <w:bookmarkStart w:id="1374" w:name="_Hlk74301720"/>
      <w:bookmarkEnd w:id="1326"/>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r>
        <w:br w:type="column"/>
      </w:r>
      <w:r w:rsidR="00561686" w:rsidRPr="00F9716C">
        <w:t>Crime Reference Committee</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68340FC8" w14:textId="77777777" w:rsidR="00561686" w:rsidRPr="00F9716C" w:rsidRDefault="00561686" w:rsidP="000358F3">
      <w:pPr>
        <w:spacing w:before="120"/>
        <w:rPr>
          <w:color w:val="414042" w:themeColor="text1"/>
        </w:rPr>
      </w:pPr>
      <w:r w:rsidRPr="00F9716C">
        <w:rPr>
          <w:color w:val="414042" w:themeColor="text1"/>
        </w:rPr>
        <w:t xml:space="preserve">The Crime Reference Committee is a committee established under Part 2 of Chapter 6 of the </w:t>
      </w:r>
      <w:r w:rsidRPr="00F9716C">
        <w:rPr>
          <w:i/>
          <w:color w:val="414042" w:themeColor="text1"/>
          <w:spacing w:val="2"/>
        </w:rPr>
        <w:t>Crime and Corruption Act 2001</w:t>
      </w:r>
      <w:r w:rsidRPr="00F9716C">
        <w:rPr>
          <w:color w:val="414042" w:themeColor="text1"/>
        </w:rPr>
        <w:t xml:space="preserve"> to oversee the general conduct of the performance of the CCC’s functions in relation to major crime and specific intelligence operations. The CCC’s jurisdiction for major crime investigations and intelligence operations is enlivened by way of referrals or authorisations made or approved by the Committee.</w:t>
      </w:r>
    </w:p>
    <w:p w14:paraId="304E5262" w14:textId="77777777" w:rsidR="00561686" w:rsidRPr="00F9716C" w:rsidRDefault="00561686" w:rsidP="000358F3">
      <w:pPr>
        <w:spacing w:before="120"/>
        <w:rPr>
          <w:color w:val="414042" w:themeColor="text1"/>
        </w:rPr>
      </w:pPr>
      <w:r w:rsidRPr="00F9716C">
        <w:rPr>
          <w:color w:val="414042" w:themeColor="text1"/>
        </w:rPr>
        <w:t>The members of the Crime Reference Committee are:</w:t>
      </w:r>
    </w:p>
    <w:p w14:paraId="47BB5490" w14:textId="0A7C11F9" w:rsidR="00561686" w:rsidRPr="00F9716C" w:rsidRDefault="00794C79" w:rsidP="006900F6">
      <w:pPr>
        <w:pStyle w:val="Bulletpoints0"/>
      </w:pPr>
      <w:r w:rsidRPr="00F9716C">
        <w:t>t</w:t>
      </w:r>
      <w:r w:rsidR="00561686" w:rsidRPr="00F9716C">
        <w:t>he CCC Chairperson</w:t>
      </w:r>
      <w:r w:rsidR="00561686" w:rsidRPr="00F9716C">
        <w:rPr>
          <w:b/>
          <w:bCs/>
        </w:rPr>
        <w:t xml:space="preserve"> — </w:t>
      </w:r>
      <w:r w:rsidR="00561686" w:rsidRPr="00F9716C">
        <w:t>Chair of the committee</w:t>
      </w:r>
    </w:p>
    <w:p w14:paraId="78A805C8" w14:textId="77777777" w:rsidR="00561686" w:rsidRPr="00F9716C" w:rsidRDefault="00561686" w:rsidP="006900F6">
      <w:pPr>
        <w:pStyle w:val="Bulletpoints0"/>
      </w:pPr>
      <w:r w:rsidRPr="00F9716C">
        <w:t>the Commissioner of Police</w:t>
      </w:r>
    </w:p>
    <w:p w14:paraId="60F2B1F4" w14:textId="77777777" w:rsidR="00561686" w:rsidRPr="00F9716C" w:rsidRDefault="00561686" w:rsidP="006900F6">
      <w:pPr>
        <w:pStyle w:val="Bulletpoints0"/>
      </w:pPr>
      <w:r w:rsidRPr="00F9716C">
        <w:t>the Principal Commissioner, Queensland Family and Child Commission</w:t>
      </w:r>
    </w:p>
    <w:p w14:paraId="59A1D7D9" w14:textId="4D9C87E7" w:rsidR="00561686" w:rsidRPr="00F9716C" w:rsidRDefault="00561686" w:rsidP="006900F6">
      <w:pPr>
        <w:pStyle w:val="Bulletpoints0"/>
      </w:pPr>
      <w:r w:rsidRPr="00F9716C">
        <w:t>the CCC Senior Executive Officer (Crime)</w:t>
      </w:r>
    </w:p>
    <w:p w14:paraId="30E2837D" w14:textId="77777777" w:rsidR="00561686" w:rsidRPr="00F9716C" w:rsidRDefault="00561686" w:rsidP="006900F6">
      <w:pPr>
        <w:pStyle w:val="Bulletpoints0"/>
      </w:pPr>
      <w:r w:rsidRPr="00F9716C">
        <w:t>two community representatives appointed by the Governor-in-Council upon the recommendation of the Minister.</w:t>
      </w:r>
    </w:p>
    <w:p w14:paraId="7CDB1C36" w14:textId="77777777" w:rsidR="00561686" w:rsidRPr="00F9716C" w:rsidRDefault="00561686" w:rsidP="000358F3">
      <w:pPr>
        <w:spacing w:before="120"/>
        <w:rPr>
          <w:color w:val="414042" w:themeColor="text1"/>
        </w:rPr>
      </w:pPr>
      <w:r w:rsidRPr="00F9716C">
        <w:rPr>
          <w:color w:val="414042" w:themeColor="text1"/>
        </w:rPr>
        <w:t xml:space="preserve">The Senior Executive Officer (Corruption) is also a member of the Committee if it is considering </w:t>
      </w:r>
      <w:r w:rsidRPr="00F9716C">
        <w:rPr>
          <w:color w:val="414042" w:themeColor="text1"/>
        </w:rPr>
        <w:br/>
        <w:t xml:space="preserve">whether to authorise an intelligence operation </w:t>
      </w:r>
      <w:r w:rsidRPr="00F9716C">
        <w:rPr>
          <w:color w:val="414042" w:themeColor="text1"/>
        </w:rPr>
        <w:br/>
        <w:t>relating to suspected corruption.</w:t>
      </w:r>
    </w:p>
    <w:p w14:paraId="7CD64098" w14:textId="70649E58" w:rsidR="00561686" w:rsidRPr="00F9716C" w:rsidRDefault="00133E62" w:rsidP="00B02BC4">
      <w:pPr>
        <w:pStyle w:val="Heading4"/>
      </w:pPr>
      <w:r w:rsidRPr="00F9716C">
        <w:br w:type="column"/>
      </w:r>
      <w:r w:rsidR="00561686" w:rsidRPr="00F9716C">
        <w:t>Controlled Operations Committee</w:t>
      </w:r>
    </w:p>
    <w:p w14:paraId="42790686" w14:textId="77777777" w:rsidR="00561686" w:rsidRPr="00F9716C" w:rsidRDefault="00561686" w:rsidP="000358F3">
      <w:pPr>
        <w:spacing w:before="120"/>
        <w:rPr>
          <w:color w:val="414042" w:themeColor="text1"/>
        </w:rPr>
      </w:pPr>
      <w:r w:rsidRPr="00F9716C">
        <w:rPr>
          <w:color w:val="414042" w:themeColor="text1"/>
        </w:rPr>
        <w:t xml:space="preserve">The Controlled Operations Committee was established under the </w:t>
      </w:r>
      <w:r w:rsidRPr="00F9716C">
        <w:rPr>
          <w:i/>
          <w:color w:val="414042" w:themeColor="text1"/>
          <w:spacing w:val="2"/>
        </w:rPr>
        <w:t>Police Powers and Responsibilities Act 2000</w:t>
      </w:r>
      <w:r w:rsidRPr="00F9716C">
        <w:rPr>
          <w:color w:val="414042" w:themeColor="text1"/>
        </w:rPr>
        <w:t xml:space="preserve"> </w:t>
      </w:r>
      <w:r w:rsidRPr="00F9716C">
        <w:rPr>
          <w:color w:val="414042" w:themeColor="text1"/>
        </w:rPr>
        <w:br/>
        <w:t>to consider and make recommendations about applications for controlled operations to be undertaken by the CCC or the QPS.</w:t>
      </w:r>
    </w:p>
    <w:p w14:paraId="37FC0D89" w14:textId="3F4260B8" w:rsidR="00561686" w:rsidRPr="00F9716C" w:rsidRDefault="00561686" w:rsidP="000358F3">
      <w:pPr>
        <w:spacing w:before="120"/>
        <w:rPr>
          <w:color w:val="414042" w:themeColor="text1"/>
        </w:rPr>
      </w:pPr>
      <w:r w:rsidRPr="00F9716C">
        <w:rPr>
          <w:color w:val="414042" w:themeColor="text1"/>
        </w:rPr>
        <w:t xml:space="preserve">Controlled operations are investigations of serious indictable offences, misconduct or organised crime </w:t>
      </w:r>
      <w:r w:rsidRPr="00F9716C">
        <w:rPr>
          <w:color w:val="414042" w:themeColor="text1"/>
        </w:rPr>
        <w:br/>
        <w:t xml:space="preserve">that may involve authorised police officers and others engaging in activities that may </w:t>
      </w:r>
      <w:r w:rsidR="006F3054" w:rsidRPr="00F9716C">
        <w:rPr>
          <w:color w:val="414042" w:themeColor="text1"/>
        </w:rPr>
        <w:t xml:space="preserve">otherwise </w:t>
      </w:r>
      <w:r w:rsidRPr="00F9716C">
        <w:rPr>
          <w:color w:val="414042" w:themeColor="text1"/>
        </w:rPr>
        <w:t>be unlawful — for example, buying illicit drugs.</w:t>
      </w:r>
    </w:p>
    <w:p w14:paraId="5BA005DA" w14:textId="48A3BE03" w:rsidR="00561686" w:rsidRPr="00F9716C" w:rsidRDefault="00561686" w:rsidP="000358F3">
      <w:pPr>
        <w:spacing w:before="120"/>
        <w:rPr>
          <w:color w:val="414042" w:themeColor="text1"/>
        </w:rPr>
      </w:pPr>
      <w:r w:rsidRPr="00F9716C">
        <w:rPr>
          <w:color w:val="414042" w:themeColor="text1"/>
        </w:rPr>
        <w:t>The committee comprises:</w:t>
      </w:r>
    </w:p>
    <w:p w14:paraId="250D682B" w14:textId="77777777" w:rsidR="00561686" w:rsidRPr="00F9716C" w:rsidRDefault="00561686" w:rsidP="006900F6">
      <w:pPr>
        <w:pStyle w:val="Bulletpoints0"/>
      </w:pPr>
      <w:r w:rsidRPr="00F9716C">
        <w:t>the Commissioner of Police (or a nominee)</w:t>
      </w:r>
    </w:p>
    <w:p w14:paraId="0E6209A6" w14:textId="22806BE9" w:rsidR="00561686" w:rsidRPr="00F9716C" w:rsidRDefault="00561686" w:rsidP="006900F6">
      <w:pPr>
        <w:pStyle w:val="Bulletpoints0"/>
      </w:pPr>
      <w:r w:rsidRPr="00F9716C">
        <w:t>the CCC Chairperson</w:t>
      </w:r>
    </w:p>
    <w:p w14:paraId="6218D87B" w14:textId="77777777" w:rsidR="00561686" w:rsidRPr="00F9716C" w:rsidRDefault="00561686" w:rsidP="006900F6">
      <w:pPr>
        <w:pStyle w:val="Bulletpoints0"/>
      </w:pPr>
      <w:r w:rsidRPr="00F9716C">
        <w:t>an independent member, who is the Chair.</w:t>
      </w:r>
    </w:p>
    <w:p w14:paraId="6E35C2D8" w14:textId="77777777" w:rsidR="00561686" w:rsidRPr="00F9716C" w:rsidRDefault="00561686" w:rsidP="000358F3">
      <w:pPr>
        <w:spacing w:before="120"/>
        <w:rPr>
          <w:color w:val="414042" w:themeColor="text1"/>
        </w:rPr>
      </w:pPr>
      <w:r w:rsidRPr="00F9716C">
        <w:rPr>
          <w:color w:val="414042" w:themeColor="text1"/>
        </w:rPr>
        <w:t>In the case of any controlled operation by the CCC that involves investigating a police officer, the CCC Chairperson may approve the application without referring it to the committee but must first contact the independent member and obtain their agreement.</w:t>
      </w:r>
    </w:p>
    <w:p w14:paraId="1F80C258" w14:textId="212EACD6" w:rsidR="00561686" w:rsidRPr="00F9716C" w:rsidRDefault="00561686" w:rsidP="00B02BC4">
      <w:pPr>
        <w:pStyle w:val="Heading4"/>
      </w:pPr>
      <w:bookmarkStart w:id="1375" w:name="_Toc102038082"/>
      <w:bookmarkStart w:id="1376" w:name="_Toc102038443"/>
      <w:bookmarkStart w:id="1377" w:name="_Toc102038804"/>
      <w:bookmarkStart w:id="1378" w:name="_Toc102039156"/>
      <w:bookmarkStart w:id="1379" w:name="_Toc102039505"/>
      <w:bookmarkStart w:id="1380" w:name="_Toc102039867"/>
      <w:bookmarkStart w:id="1381" w:name="_Toc102040224"/>
      <w:bookmarkStart w:id="1382" w:name="_Toc102040552"/>
      <w:bookmarkStart w:id="1383" w:name="_Toc102040886"/>
      <w:bookmarkStart w:id="1384" w:name="_Toc102041214"/>
      <w:bookmarkStart w:id="1385" w:name="_Toc102041543"/>
      <w:bookmarkStart w:id="1386" w:name="_Toc102041875"/>
      <w:bookmarkStart w:id="1387" w:name="_Toc102042202"/>
      <w:bookmarkStart w:id="1388" w:name="_Toc102042532"/>
      <w:bookmarkStart w:id="1389" w:name="_Toc102045662"/>
      <w:bookmarkEnd w:id="1373"/>
      <w:bookmarkEnd w:id="1374"/>
      <w:r w:rsidRPr="00F9716C">
        <w:t>Witness identity protection certificates issued</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14:paraId="29AC76C6" w14:textId="77777777" w:rsidR="00561686" w:rsidRPr="00F9716C" w:rsidRDefault="00561686" w:rsidP="000358F3">
      <w:pPr>
        <w:spacing w:before="120"/>
        <w:rPr>
          <w:color w:val="414042" w:themeColor="text1"/>
        </w:rPr>
      </w:pPr>
      <w:r w:rsidRPr="00F9716C">
        <w:rPr>
          <w:color w:val="414042" w:themeColor="text1"/>
        </w:rPr>
        <w:t xml:space="preserve">Section 21KG(1) of the </w:t>
      </w:r>
      <w:r w:rsidRPr="00F9716C">
        <w:rPr>
          <w:i/>
          <w:iCs/>
          <w:color w:val="414042" w:themeColor="text1"/>
          <w:spacing w:val="2"/>
        </w:rPr>
        <w:t>Evidence Act 1977</w:t>
      </w:r>
      <w:r w:rsidRPr="00F9716C">
        <w:rPr>
          <w:color w:val="414042" w:themeColor="text1"/>
        </w:rPr>
        <w:t xml:space="preserve"> requires the CCC to include information in our annual report about witness identity protection certificates given by the CCC Chairperson and the Commissioner of Police in Queensland.</w:t>
      </w:r>
    </w:p>
    <w:p w14:paraId="5A2CE46D" w14:textId="11C0BCE1" w:rsidR="00561686" w:rsidRPr="00F9716C" w:rsidRDefault="0066704B" w:rsidP="000358F3">
      <w:pPr>
        <w:spacing w:before="120"/>
        <w:rPr>
          <w:color w:val="414042" w:themeColor="text1"/>
        </w:rPr>
      </w:pPr>
      <w:bookmarkStart w:id="1390" w:name="_Hlk74319801"/>
      <w:r w:rsidRPr="00F9716C">
        <w:rPr>
          <w:color w:val="414042" w:themeColor="text1"/>
        </w:rPr>
        <w:t>During the reporting period</w:t>
      </w:r>
      <w:r w:rsidR="00561686" w:rsidRPr="00F9716C">
        <w:rPr>
          <w:color w:val="414042" w:themeColor="text1"/>
        </w:rPr>
        <w:t xml:space="preserve">, </w:t>
      </w:r>
      <w:r w:rsidR="008176C5" w:rsidRPr="00F9716C">
        <w:rPr>
          <w:color w:val="414042" w:themeColor="text1"/>
        </w:rPr>
        <w:t xml:space="preserve">14 </w:t>
      </w:r>
      <w:r w:rsidR="00561686" w:rsidRPr="00F9716C">
        <w:rPr>
          <w:color w:val="414042" w:themeColor="text1"/>
        </w:rPr>
        <w:t>certificates were issued by the Commissioner of Police on the basis that they were satisfied the disclosure of the operative’s identity was likely to endanger the safety of the operative.</w:t>
      </w:r>
      <w:r w:rsidR="00267745" w:rsidRPr="00F9716C">
        <w:rPr>
          <w:color w:val="414042" w:themeColor="text1"/>
        </w:rPr>
        <w:t xml:space="preserve"> </w:t>
      </w:r>
      <w:r w:rsidR="008176C5" w:rsidRPr="00F9716C">
        <w:rPr>
          <w:color w:val="414042" w:themeColor="text1"/>
        </w:rPr>
        <w:t xml:space="preserve">Six </w:t>
      </w:r>
      <w:r w:rsidR="00561686" w:rsidRPr="00F9716C">
        <w:rPr>
          <w:color w:val="414042" w:themeColor="text1"/>
        </w:rPr>
        <w:t>witness identity protection certificate</w:t>
      </w:r>
      <w:r w:rsidR="00794C79" w:rsidRPr="00F9716C">
        <w:rPr>
          <w:color w:val="414042" w:themeColor="text1"/>
        </w:rPr>
        <w:t>s</w:t>
      </w:r>
      <w:r w:rsidR="00561686" w:rsidRPr="00F9716C">
        <w:rPr>
          <w:color w:val="414042" w:themeColor="text1"/>
        </w:rPr>
        <w:t xml:space="preserve"> issued by </w:t>
      </w:r>
      <w:r w:rsidR="00561686" w:rsidRPr="00F9716C">
        <w:rPr>
          <w:color w:val="414042" w:themeColor="text1"/>
        </w:rPr>
        <w:br/>
        <w:t xml:space="preserve">the Commissioner of Police </w:t>
      </w:r>
      <w:r w:rsidR="008176C5" w:rsidRPr="00F9716C">
        <w:rPr>
          <w:color w:val="414042" w:themeColor="text1"/>
        </w:rPr>
        <w:t>were</w:t>
      </w:r>
      <w:r w:rsidR="00561686" w:rsidRPr="00F9716C">
        <w:rPr>
          <w:color w:val="414042" w:themeColor="text1"/>
        </w:rPr>
        <w:t xml:space="preserve"> cancelled</w:t>
      </w:r>
      <w:r w:rsidR="004A0A06" w:rsidRPr="00F9716C">
        <w:rPr>
          <w:color w:val="414042" w:themeColor="text1"/>
        </w:rPr>
        <w:t xml:space="preserve"> due </w:t>
      </w:r>
      <w:r w:rsidR="00561686" w:rsidRPr="00F9716C">
        <w:rPr>
          <w:color w:val="414042" w:themeColor="text1"/>
        </w:rPr>
        <w:t>to no evidence being required by the operative.</w:t>
      </w:r>
    </w:p>
    <w:p w14:paraId="2F347C96" w14:textId="2D3E076C" w:rsidR="00561686" w:rsidRPr="00AE2C78" w:rsidRDefault="00E83586" w:rsidP="00AE2C78">
      <w:pPr>
        <w:spacing w:before="120"/>
        <w:rPr>
          <w:color w:val="414042" w:themeColor="text1"/>
        </w:rPr>
      </w:pPr>
      <w:r w:rsidRPr="00F9716C">
        <w:rPr>
          <w:color w:val="414042" w:themeColor="text1"/>
        </w:rPr>
        <w:t>N</w:t>
      </w:r>
      <w:r w:rsidR="00794C79" w:rsidRPr="00F9716C">
        <w:rPr>
          <w:color w:val="414042" w:themeColor="text1"/>
        </w:rPr>
        <w:t>o</w:t>
      </w:r>
      <w:r w:rsidR="00561686" w:rsidRPr="00F9716C">
        <w:rPr>
          <w:color w:val="414042" w:themeColor="text1"/>
        </w:rPr>
        <w:t xml:space="preserve"> certificates were issued by the CCC Chairperson</w:t>
      </w:r>
      <w:r w:rsidR="0066704B" w:rsidRPr="00F9716C">
        <w:rPr>
          <w:color w:val="414042" w:themeColor="text1"/>
        </w:rPr>
        <w:t xml:space="preserve"> in 202</w:t>
      </w:r>
      <w:r w:rsidR="00825BAE" w:rsidRPr="00F9716C">
        <w:rPr>
          <w:color w:val="414042" w:themeColor="text1"/>
        </w:rPr>
        <w:t>3</w:t>
      </w:r>
      <w:r w:rsidR="0066704B" w:rsidRPr="00F9716C">
        <w:rPr>
          <w:color w:val="414042" w:themeColor="text1"/>
        </w:rPr>
        <w:t>–2</w:t>
      </w:r>
      <w:r w:rsidR="00825BAE" w:rsidRPr="00F9716C">
        <w:rPr>
          <w:color w:val="414042" w:themeColor="text1"/>
        </w:rPr>
        <w:t>4</w:t>
      </w:r>
      <w:bookmarkStart w:id="1391" w:name="_Toc102038083"/>
      <w:bookmarkStart w:id="1392" w:name="_Toc102038444"/>
      <w:bookmarkStart w:id="1393" w:name="_Toc102038805"/>
      <w:bookmarkStart w:id="1394" w:name="_Toc102039157"/>
      <w:bookmarkStart w:id="1395" w:name="_Toc102039506"/>
      <w:bookmarkStart w:id="1396" w:name="_Toc102039868"/>
      <w:bookmarkStart w:id="1397" w:name="_Toc102040225"/>
      <w:bookmarkStart w:id="1398" w:name="_Toc102040553"/>
      <w:bookmarkStart w:id="1399" w:name="_Toc102040887"/>
      <w:bookmarkStart w:id="1400" w:name="_Toc102041215"/>
      <w:bookmarkStart w:id="1401" w:name="_Toc102041544"/>
      <w:bookmarkStart w:id="1402" w:name="_Toc102041876"/>
      <w:bookmarkStart w:id="1403" w:name="_Toc102042203"/>
      <w:bookmarkStart w:id="1404" w:name="_Toc102042533"/>
      <w:bookmarkStart w:id="1405" w:name="_Toc102045663"/>
      <w:r w:rsidR="00AE2C78">
        <w:rPr>
          <w:color w:val="414042" w:themeColor="text1"/>
        </w:rPr>
        <w:t>.</w:t>
      </w:r>
      <w:r w:rsidR="00B13332">
        <w:br w:type="column"/>
      </w:r>
      <w:r w:rsidR="00561686" w:rsidRPr="002F23D4">
        <w:rPr>
          <w:rFonts w:asciiTheme="minorHAnsi" w:eastAsia="Times New Roman" w:hAnsiTheme="minorHAnsi" w:cstheme="minorHAnsi"/>
          <w:b/>
          <w:bCs/>
          <w:noProof/>
          <w:color w:val="414042" w:themeColor="text1"/>
          <w:sz w:val="22"/>
          <w:lang w:eastAsia="en-AU"/>
        </w:rPr>
        <w:t>Audits of our warrant records</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bookmarkEnd w:id="1390"/>
    <w:p w14:paraId="6D687F85" w14:textId="085320C5" w:rsidR="006355E3" w:rsidRPr="00F9716C" w:rsidRDefault="006355E3" w:rsidP="00E01FCC">
      <w:pPr>
        <w:ind w:right="-285"/>
        <w:rPr>
          <w:color w:val="414042" w:themeColor="text1"/>
        </w:rPr>
      </w:pPr>
      <w:r w:rsidRPr="00F9716C">
        <w:rPr>
          <w:color w:val="414042" w:themeColor="text1"/>
        </w:rPr>
        <w:t>The Commonwealth Ombudsman conducts inspections of the CCC’s stored communications and</w:t>
      </w:r>
      <w:r w:rsidR="00E01FCC">
        <w:rPr>
          <w:color w:val="414042" w:themeColor="text1"/>
        </w:rPr>
        <w:t xml:space="preserve"> </w:t>
      </w:r>
      <w:r w:rsidRPr="00F9716C">
        <w:rPr>
          <w:color w:val="414042" w:themeColor="text1"/>
        </w:rPr>
        <w:t>telecommunications data records, while Queensland’s Parliamentary Commissioner inspects telecommunications interception records.</w:t>
      </w:r>
    </w:p>
    <w:p w14:paraId="5CF0F87E" w14:textId="77777777" w:rsidR="006355E3" w:rsidRPr="00F9716C" w:rsidRDefault="006355E3" w:rsidP="00E01FCC">
      <w:pPr>
        <w:ind w:right="-285"/>
        <w:rPr>
          <w:color w:val="414042" w:themeColor="text1"/>
        </w:rPr>
      </w:pPr>
      <w:r w:rsidRPr="00F9716C">
        <w:rPr>
          <w:color w:val="414042" w:themeColor="text1"/>
        </w:rPr>
        <w:t>The Parliamentary Commissioner continues to report favourably on the CCC’s procedures regarding obtaining telecommunications interception warrants and managing telecommunications interception warrant information. Both the September 2023 and February 2024 reports noted that the CCC was compliant with record keeping obligations under sections 14, 15 and 16 of the TI Act and restricted records obligations under sections 18, 19 and 20 of the Act.</w:t>
      </w:r>
    </w:p>
    <w:p w14:paraId="2379D843" w14:textId="43EE569D" w:rsidR="006355E3" w:rsidRPr="00F9716C" w:rsidRDefault="006355E3" w:rsidP="00E01FCC">
      <w:pPr>
        <w:ind w:right="-285"/>
        <w:rPr>
          <w:color w:val="414042" w:themeColor="text1"/>
        </w:rPr>
      </w:pPr>
      <w:r w:rsidRPr="00F9716C">
        <w:rPr>
          <w:color w:val="414042" w:themeColor="text1"/>
        </w:rPr>
        <w:t xml:space="preserve">The CCC self-reported two contraventions of the TIA Act to the Parliamentary Commissioner. </w:t>
      </w:r>
    </w:p>
    <w:p w14:paraId="710527C5" w14:textId="77777777" w:rsidR="00B13332" w:rsidRDefault="006355E3" w:rsidP="00E01FCC">
      <w:pPr>
        <w:ind w:right="-285"/>
        <w:rPr>
          <w:color w:val="414042" w:themeColor="text1"/>
        </w:rPr>
      </w:pPr>
      <w:r w:rsidRPr="00F9716C">
        <w:rPr>
          <w:color w:val="414042" w:themeColor="text1"/>
        </w:rPr>
        <w:t xml:space="preserve">In November 2023, the Commonwealth Ombudsman conducted an inspection of the CCC’s telecommunications data and stored communications records for the period 1 July 2022 to 30 September 2023. </w:t>
      </w:r>
    </w:p>
    <w:p w14:paraId="49E7415D" w14:textId="7677E7D1" w:rsidR="006355E3" w:rsidRPr="00F9716C" w:rsidRDefault="006355E3" w:rsidP="00E01FCC">
      <w:pPr>
        <w:ind w:right="-285"/>
        <w:rPr>
          <w:color w:val="414042" w:themeColor="text1"/>
        </w:rPr>
      </w:pPr>
      <w:r w:rsidRPr="00F9716C">
        <w:rPr>
          <w:color w:val="414042" w:themeColor="text1"/>
        </w:rPr>
        <w:t>The CCC was assessed as having a mature compliance culture in relation to its telecommunications data records. The Commonwealth Ombudsman commented that the CCC demonstrated a continued commitment to compliance, evidenced by a comprehensive governance framework comprising templates, training packages, fit for purpose guidance documents and robust quality assurance processes including monthly audits.</w:t>
      </w:r>
    </w:p>
    <w:p w14:paraId="47C3723D" w14:textId="77777777" w:rsidR="006355E3" w:rsidRPr="00F9716C" w:rsidRDefault="006355E3" w:rsidP="00E01FCC">
      <w:pPr>
        <w:ind w:right="-285"/>
        <w:rPr>
          <w:color w:val="414042" w:themeColor="text1"/>
        </w:rPr>
      </w:pPr>
      <w:r w:rsidRPr="00F9716C">
        <w:rPr>
          <w:color w:val="414042" w:themeColor="text1"/>
        </w:rPr>
        <w:t>The Commonwealth Ombudsman identified an error in the Commission’s telecommunications data annual report statistics but was satisfied that the CCC had implemented controls to ensure accuracy in Ministerial reporting.</w:t>
      </w:r>
    </w:p>
    <w:p w14:paraId="478173FF" w14:textId="225B1052" w:rsidR="00BB4157" w:rsidRPr="00F9716C" w:rsidRDefault="006355E3" w:rsidP="00E01FCC">
      <w:pPr>
        <w:ind w:right="-285"/>
        <w:rPr>
          <w:color w:val="414042" w:themeColor="text1"/>
        </w:rPr>
      </w:pPr>
      <w:r w:rsidRPr="00F9716C">
        <w:rPr>
          <w:color w:val="414042" w:themeColor="text1"/>
        </w:rPr>
        <w:t xml:space="preserve">The Commonwealth Ombudsman was unable to accurately assess the CCC’s compliance culture in relation to stored communications as the powers had not been used during the reporting period. However, the Commonwealth Ombudsman inspected the Commission’s governance framework and was confident that the CCC had strong practices in place. </w:t>
      </w:r>
    </w:p>
    <w:p w14:paraId="0A0D8064" w14:textId="3E56243F" w:rsidR="00BB4157" w:rsidRPr="00F9716C" w:rsidRDefault="00BB4157" w:rsidP="00561686">
      <w:pPr>
        <w:ind w:right="-143"/>
        <w:rPr>
          <w:color w:val="414042" w:themeColor="text1"/>
        </w:rPr>
        <w:sectPr w:rsidR="00BB4157" w:rsidRPr="00F9716C" w:rsidSect="00C77834">
          <w:headerReference w:type="even" r:id="rId247"/>
          <w:headerReference w:type="default" r:id="rId248"/>
          <w:headerReference w:type="first" r:id="rId249"/>
          <w:pgSz w:w="11906" w:h="16838" w:code="9"/>
          <w:pgMar w:top="2155" w:right="1134" w:bottom="964" w:left="1134" w:header="720" w:footer="284" w:gutter="0"/>
          <w:cols w:num="2" w:space="567"/>
          <w:noEndnote/>
          <w:docGrid w:linePitch="272"/>
        </w:sectPr>
      </w:pPr>
    </w:p>
    <w:p w14:paraId="10C0FC10" w14:textId="47104BFA" w:rsidR="00C15205" w:rsidRPr="00F9716C" w:rsidRDefault="00C15205" w:rsidP="00E41B49">
      <w:pPr>
        <w:pStyle w:val="Figuretableheading0"/>
      </w:pPr>
      <w:bookmarkStart w:id="1406" w:name="_Toc102038084"/>
      <w:bookmarkStart w:id="1407" w:name="_Toc102038445"/>
      <w:bookmarkStart w:id="1408" w:name="_Toc102038806"/>
      <w:bookmarkStart w:id="1409" w:name="_Toc102039158"/>
      <w:bookmarkStart w:id="1410" w:name="_Toc102039507"/>
      <w:bookmarkStart w:id="1411" w:name="_Toc102039869"/>
      <w:bookmarkStart w:id="1412" w:name="_Toc102040226"/>
      <w:bookmarkStart w:id="1413" w:name="_Toc102040554"/>
      <w:bookmarkStart w:id="1414" w:name="_Toc102040888"/>
      <w:bookmarkStart w:id="1415" w:name="_Toc102041216"/>
      <w:bookmarkStart w:id="1416" w:name="_Toc102041545"/>
      <w:bookmarkStart w:id="1417" w:name="_Toc102041877"/>
      <w:bookmarkStart w:id="1418" w:name="_Toc102042204"/>
      <w:bookmarkStart w:id="1419" w:name="_Toc102042534"/>
      <w:bookmarkStart w:id="1420" w:name="_Toc102045664"/>
      <w:bookmarkStart w:id="1421" w:name="_Hlk74319792"/>
      <w:r w:rsidRPr="00F9716C">
        <w:t xml:space="preserve">Table </w:t>
      </w:r>
      <w:r w:rsidR="00136712" w:rsidRPr="00F9716C">
        <w:t>1</w:t>
      </w:r>
      <w:r w:rsidR="00A73B4E" w:rsidRPr="00F9716C">
        <w:t>1</w:t>
      </w:r>
      <w:r w:rsidRPr="00F9716C">
        <w:t>: Use of powers 2023–24</w:t>
      </w:r>
      <w:r w:rsidRPr="00F9716C">
        <w:rPr>
          <w:vertAlign w:val="superscript"/>
        </w:rPr>
        <w:t>1</w:t>
      </w:r>
    </w:p>
    <w:tbl>
      <w:tblPr>
        <w:tblStyle w:val="Annualreport2020-21"/>
        <w:tblW w:w="9754" w:type="dxa"/>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2977"/>
        <w:gridCol w:w="1701"/>
        <w:gridCol w:w="1701"/>
        <w:gridCol w:w="1566"/>
        <w:gridCol w:w="1809"/>
      </w:tblGrid>
      <w:tr w:rsidR="00F9716C" w:rsidRPr="00F9716C" w14:paraId="40A70B40" w14:textId="77777777" w:rsidTr="007F64FE">
        <w:trPr>
          <w:cnfStyle w:val="100000000000" w:firstRow="1" w:lastRow="0" w:firstColumn="0" w:lastColumn="0" w:oddVBand="0" w:evenVBand="0" w:oddHBand="0" w:evenHBand="0" w:firstRowFirstColumn="0" w:firstRowLastColumn="0" w:lastRowFirstColumn="0" w:lastRowLastColumn="0"/>
          <w:trHeight w:val="20"/>
        </w:trPr>
        <w:tc>
          <w:tcPr>
            <w:tcW w:w="2977" w:type="dxa"/>
            <w:vMerge w:val="restart"/>
          </w:tcPr>
          <w:p w14:paraId="6D6D3693" w14:textId="77777777" w:rsidR="00561686" w:rsidRPr="00F9716C" w:rsidRDefault="00561686" w:rsidP="007F64FE">
            <w:pPr>
              <w:spacing w:after="0"/>
              <w:rPr>
                <w:rFonts w:asciiTheme="minorHAnsi" w:hAnsiTheme="minorHAnsi" w:cstheme="minorHAnsi"/>
              </w:rPr>
            </w:pPr>
            <w:r w:rsidRPr="00F9716C">
              <w:rPr>
                <w:rFonts w:asciiTheme="minorHAnsi" w:hAnsiTheme="minorHAnsi" w:cstheme="minorHAnsi"/>
              </w:rPr>
              <w:t>Description</w:t>
            </w:r>
          </w:p>
        </w:tc>
        <w:tc>
          <w:tcPr>
            <w:tcW w:w="3402" w:type="dxa"/>
            <w:gridSpan w:val="2"/>
          </w:tcPr>
          <w:p w14:paraId="11D388AF" w14:textId="77777777" w:rsidR="00561686" w:rsidRPr="00F9716C" w:rsidRDefault="00561686" w:rsidP="007F64FE">
            <w:pPr>
              <w:spacing w:after="0"/>
              <w:rPr>
                <w:rFonts w:asciiTheme="minorHAnsi" w:hAnsiTheme="minorHAnsi" w:cstheme="minorHAnsi"/>
              </w:rPr>
            </w:pPr>
            <w:r w:rsidRPr="00F9716C">
              <w:rPr>
                <w:rFonts w:asciiTheme="minorHAnsi" w:hAnsiTheme="minorHAnsi" w:cstheme="minorHAnsi"/>
              </w:rPr>
              <w:t>Crime</w:t>
            </w:r>
          </w:p>
        </w:tc>
        <w:tc>
          <w:tcPr>
            <w:tcW w:w="1566" w:type="dxa"/>
            <w:vMerge w:val="restart"/>
          </w:tcPr>
          <w:p w14:paraId="7B2F6EF9" w14:textId="77777777" w:rsidR="00561686" w:rsidRPr="00F9716C" w:rsidRDefault="00561686" w:rsidP="007F64FE">
            <w:pPr>
              <w:spacing w:after="0"/>
              <w:rPr>
                <w:rFonts w:asciiTheme="minorHAnsi" w:hAnsiTheme="minorHAnsi" w:cstheme="minorHAnsi"/>
              </w:rPr>
            </w:pPr>
            <w:r w:rsidRPr="00F9716C">
              <w:rPr>
                <w:rFonts w:asciiTheme="minorHAnsi" w:hAnsiTheme="minorHAnsi" w:cstheme="minorHAnsi"/>
              </w:rPr>
              <w:t>Corruption</w:t>
            </w:r>
          </w:p>
        </w:tc>
        <w:tc>
          <w:tcPr>
            <w:tcW w:w="1809" w:type="dxa"/>
            <w:vMerge w:val="restart"/>
          </w:tcPr>
          <w:p w14:paraId="65C138A5" w14:textId="77777777" w:rsidR="00561686" w:rsidRPr="00F9716C" w:rsidRDefault="00561686" w:rsidP="007F64FE">
            <w:pPr>
              <w:spacing w:after="0"/>
              <w:rPr>
                <w:rFonts w:asciiTheme="minorHAnsi" w:hAnsiTheme="minorHAnsi" w:cstheme="minorHAnsi"/>
              </w:rPr>
            </w:pPr>
            <w:r w:rsidRPr="00F9716C">
              <w:rPr>
                <w:rFonts w:asciiTheme="minorHAnsi" w:hAnsiTheme="minorHAnsi" w:cstheme="minorHAnsi"/>
              </w:rPr>
              <w:t>Proceeds of crime</w:t>
            </w:r>
          </w:p>
        </w:tc>
      </w:tr>
      <w:tr w:rsidR="00F9716C" w:rsidRPr="00F9716C" w14:paraId="68A5CFA6" w14:textId="77777777" w:rsidTr="007F64FE">
        <w:trPr>
          <w:trHeight w:val="20"/>
        </w:trPr>
        <w:tc>
          <w:tcPr>
            <w:tcW w:w="2977" w:type="dxa"/>
            <w:vMerge/>
          </w:tcPr>
          <w:p w14:paraId="63677302" w14:textId="77777777" w:rsidR="00561686" w:rsidRPr="00F9716C" w:rsidRDefault="00561686" w:rsidP="00270F15">
            <w:pPr>
              <w:spacing w:after="0"/>
            </w:pPr>
          </w:p>
        </w:tc>
        <w:tc>
          <w:tcPr>
            <w:tcW w:w="1701" w:type="dxa"/>
            <w:shd w:val="clear" w:color="auto" w:fill="E6E7E8" w:themeFill="accent6"/>
          </w:tcPr>
          <w:p w14:paraId="12B40EFD" w14:textId="77777777" w:rsidR="00561686" w:rsidRPr="00F9716C" w:rsidRDefault="00561686" w:rsidP="007F64FE">
            <w:pPr>
              <w:spacing w:after="0"/>
              <w:jc w:val="center"/>
              <w:rPr>
                <w:rFonts w:asciiTheme="minorHAnsi" w:hAnsiTheme="minorHAnsi" w:cstheme="minorHAnsi"/>
                <w:b/>
                <w:bCs/>
              </w:rPr>
            </w:pPr>
            <w:r w:rsidRPr="00F9716C">
              <w:rPr>
                <w:rFonts w:asciiTheme="minorHAnsi" w:hAnsiTheme="minorHAnsi" w:cstheme="minorHAnsi"/>
                <w:b/>
                <w:bCs/>
              </w:rPr>
              <w:t>Investigation</w:t>
            </w:r>
          </w:p>
        </w:tc>
        <w:tc>
          <w:tcPr>
            <w:tcW w:w="1701" w:type="dxa"/>
            <w:shd w:val="clear" w:color="auto" w:fill="E6E7E8" w:themeFill="accent6"/>
          </w:tcPr>
          <w:p w14:paraId="20AFABAC" w14:textId="77777777" w:rsidR="00561686" w:rsidRPr="00F9716C" w:rsidRDefault="00561686" w:rsidP="007F64FE">
            <w:pPr>
              <w:spacing w:after="0"/>
              <w:jc w:val="center"/>
              <w:rPr>
                <w:rFonts w:asciiTheme="minorHAnsi" w:hAnsiTheme="minorHAnsi" w:cstheme="minorHAnsi"/>
                <w:b/>
                <w:bCs/>
              </w:rPr>
            </w:pPr>
            <w:r w:rsidRPr="00F9716C">
              <w:rPr>
                <w:rFonts w:asciiTheme="minorHAnsi" w:hAnsiTheme="minorHAnsi" w:cstheme="minorHAnsi"/>
                <w:b/>
                <w:bCs/>
              </w:rPr>
              <w:t>Intelligence</w:t>
            </w:r>
          </w:p>
        </w:tc>
        <w:tc>
          <w:tcPr>
            <w:tcW w:w="1566" w:type="dxa"/>
            <w:vMerge/>
          </w:tcPr>
          <w:p w14:paraId="0E599BF6" w14:textId="77777777" w:rsidR="00561686" w:rsidRPr="00F9716C" w:rsidRDefault="00561686" w:rsidP="00270F15">
            <w:pPr>
              <w:spacing w:after="0"/>
            </w:pPr>
          </w:p>
        </w:tc>
        <w:tc>
          <w:tcPr>
            <w:tcW w:w="1809" w:type="dxa"/>
            <w:vMerge/>
          </w:tcPr>
          <w:p w14:paraId="1EC0E1DE" w14:textId="77777777" w:rsidR="00561686" w:rsidRPr="00F9716C" w:rsidRDefault="00561686" w:rsidP="00270F15">
            <w:pPr>
              <w:spacing w:after="0"/>
            </w:pPr>
          </w:p>
        </w:tc>
      </w:tr>
      <w:tr w:rsidR="00F9716C" w:rsidRPr="00F9716C" w14:paraId="537D6F0C" w14:textId="77777777" w:rsidTr="0047525A">
        <w:trPr>
          <w:trHeight w:val="20"/>
        </w:trPr>
        <w:tc>
          <w:tcPr>
            <w:tcW w:w="2977" w:type="dxa"/>
          </w:tcPr>
          <w:p w14:paraId="3C1BF084" w14:textId="77777777" w:rsidR="0014246E" w:rsidRPr="00E01FCC" w:rsidRDefault="0014246E" w:rsidP="007F64FE">
            <w:pPr>
              <w:spacing w:after="0"/>
              <w:jc w:val="center"/>
              <w:rPr>
                <w:sz w:val="18"/>
                <w:szCs w:val="20"/>
              </w:rPr>
            </w:pPr>
            <w:r w:rsidRPr="00E01FCC">
              <w:rPr>
                <w:sz w:val="18"/>
                <w:szCs w:val="20"/>
              </w:rPr>
              <w:t>Notices issued to attend hearing</w:t>
            </w:r>
          </w:p>
        </w:tc>
        <w:tc>
          <w:tcPr>
            <w:tcW w:w="1701" w:type="dxa"/>
          </w:tcPr>
          <w:p w14:paraId="16E6D04C" w14:textId="70C9CD82" w:rsidR="0014246E" w:rsidRPr="00E01FCC" w:rsidRDefault="0014246E" w:rsidP="007F64FE">
            <w:pPr>
              <w:spacing w:after="0"/>
              <w:jc w:val="center"/>
              <w:rPr>
                <w:sz w:val="18"/>
                <w:szCs w:val="20"/>
              </w:rPr>
            </w:pPr>
            <w:r w:rsidRPr="00E01FCC">
              <w:rPr>
                <w:sz w:val="18"/>
                <w:szCs w:val="20"/>
              </w:rPr>
              <w:t>156</w:t>
            </w:r>
          </w:p>
        </w:tc>
        <w:tc>
          <w:tcPr>
            <w:tcW w:w="1701" w:type="dxa"/>
          </w:tcPr>
          <w:p w14:paraId="2FD1AD01" w14:textId="457B5732" w:rsidR="0014246E" w:rsidRPr="00E01FCC" w:rsidRDefault="0014246E" w:rsidP="007F64FE">
            <w:pPr>
              <w:spacing w:after="0"/>
              <w:jc w:val="center"/>
              <w:rPr>
                <w:sz w:val="18"/>
                <w:szCs w:val="20"/>
              </w:rPr>
            </w:pPr>
            <w:r w:rsidRPr="00E01FCC">
              <w:rPr>
                <w:sz w:val="18"/>
                <w:szCs w:val="20"/>
              </w:rPr>
              <w:t>0</w:t>
            </w:r>
          </w:p>
        </w:tc>
        <w:tc>
          <w:tcPr>
            <w:tcW w:w="1566" w:type="dxa"/>
          </w:tcPr>
          <w:p w14:paraId="19E6DE73" w14:textId="7A517907" w:rsidR="0014246E" w:rsidRPr="00E01FCC" w:rsidRDefault="0014246E" w:rsidP="007F64FE">
            <w:pPr>
              <w:spacing w:after="0"/>
              <w:jc w:val="center"/>
              <w:rPr>
                <w:sz w:val="18"/>
                <w:szCs w:val="20"/>
              </w:rPr>
            </w:pPr>
            <w:r w:rsidRPr="00E01FCC">
              <w:rPr>
                <w:sz w:val="18"/>
                <w:szCs w:val="20"/>
              </w:rPr>
              <w:t>19</w:t>
            </w:r>
          </w:p>
        </w:tc>
        <w:tc>
          <w:tcPr>
            <w:tcW w:w="1809" w:type="dxa"/>
          </w:tcPr>
          <w:p w14:paraId="48F0A882" w14:textId="79EEC9DC" w:rsidR="0014246E" w:rsidRPr="00E01FCC" w:rsidRDefault="0014246E" w:rsidP="007F64FE">
            <w:pPr>
              <w:spacing w:after="0"/>
              <w:jc w:val="center"/>
              <w:rPr>
                <w:sz w:val="18"/>
                <w:szCs w:val="20"/>
              </w:rPr>
            </w:pPr>
            <w:r w:rsidRPr="00E01FCC">
              <w:rPr>
                <w:sz w:val="18"/>
                <w:szCs w:val="20"/>
              </w:rPr>
              <w:t>N/A</w:t>
            </w:r>
          </w:p>
        </w:tc>
      </w:tr>
      <w:tr w:rsidR="00F9716C" w:rsidRPr="00F9716C" w14:paraId="77F81F79" w14:textId="77777777" w:rsidTr="0047525A">
        <w:trPr>
          <w:trHeight w:val="20"/>
        </w:trPr>
        <w:tc>
          <w:tcPr>
            <w:tcW w:w="2977" w:type="dxa"/>
          </w:tcPr>
          <w:p w14:paraId="0E1A07D0" w14:textId="77777777" w:rsidR="0014246E" w:rsidRPr="00E01FCC" w:rsidRDefault="0014246E" w:rsidP="007F64FE">
            <w:pPr>
              <w:spacing w:after="0"/>
              <w:jc w:val="center"/>
              <w:rPr>
                <w:sz w:val="18"/>
                <w:szCs w:val="20"/>
              </w:rPr>
            </w:pPr>
            <w:r w:rsidRPr="00E01FCC">
              <w:rPr>
                <w:sz w:val="18"/>
                <w:szCs w:val="20"/>
              </w:rPr>
              <w:t>Notices to produce</w:t>
            </w:r>
          </w:p>
        </w:tc>
        <w:tc>
          <w:tcPr>
            <w:tcW w:w="1701" w:type="dxa"/>
          </w:tcPr>
          <w:p w14:paraId="17AA71FC" w14:textId="4BF120E3" w:rsidR="0014246E" w:rsidRPr="00E01FCC" w:rsidRDefault="0014246E" w:rsidP="007F64FE">
            <w:pPr>
              <w:spacing w:after="0"/>
              <w:jc w:val="center"/>
              <w:rPr>
                <w:sz w:val="18"/>
                <w:szCs w:val="20"/>
              </w:rPr>
            </w:pPr>
            <w:r w:rsidRPr="00E01FCC">
              <w:rPr>
                <w:sz w:val="18"/>
                <w:szCs w:val="20"/>
              </w:rPr>
              <w:t>141</w:t>
            </w:r>
          </w:p>
        </w:tc>
        <w:tc>
          <w:tcPr>
            <w:tcW w:w="1701" w:type="dxa"/>
          </w:tcPr>
          <w:p w14:paraId="00E3859A" w14:textId="737B79B9" w:rsidR="0014246E" w:rsidRPr="00E01FCC" w:rsidRDefault="0014246E" w:rsidP="007F64FE">
            <w:pPr>
              <w:spacing w:after="0"/>
              <w:jc w:val="center"/>
              <w:rPr>
                <w:sz w:val="18"/>
                <w:szCs w:val="20"/>
              </w:rPr>
            </w:pPr>
            <w:r w:rsidRPr="00E01FCC">
              <w:rPr>
                <w:sz w:val="18"/>
                <w:szCs w:val="20"/>
              </w:rPr>
              <w:t>0</w:t>
            </w:r>
          </w:p>
        </w:tc>
        <w:tc>
          <w:tcPr>
            <w:tcW w:w="1566" w:type="dxa"/>
          </w:tcPr>
          <w:p w14:paraId="33890923" w14:textId="1DF5974B" w:rsidR="0014246E" w:rsidRPr="00E01FCC" w:rsidRDefault="0014246E" w:rsidP="007F64FE">
            <w:pPr>
              <w:spacing w:after="0"/>
              <w:jc w:val="center"/>
              <w:rPr>
                <w:sz w:val="18"/>
                <w:szCs w:val="20"/>
              </w:rPr>
            </w:pPr>
            <w:r w:rsidRPr="00E01FCC">
              <w:rPr>
                <w:sz w:val="18"/>
                <w:szCs w:val="20"/>
              </w:rPr>
              <w:t>N/A</w:t>
            </w:r>
          </w:p>
        </w:tc>
        <w:tc>
          <w:tcPr>
            <w:tcW w:w="1809" w:type="dxa"/>
          </w:tcPr>
          <w:p w14:paraId="2B30534B" w14:textId="016A1721" w:rsidR="0014246E" w:rsidRPr="00E01FCC" w:rsidRDefault="0014246E" w:rsidP="007F64FE">
            <w:pPr>
              <w:spacing w:after="0"/>
              <w:jc w:val="center"/>
              <w:rPr>
                <w:sz w:val="18"/>
                <w:szCs w:val="20"/>
              </w:rPr>
            </w:pPr>
            <w:r w:rsidRPr="00E01FCC">
              <w:rPr>
                <w:sz w:val="18"/>
                <w:szCs w:val="20"/>
              </w:rPr>
              <w:t>78</w:t>
            </w:r>
          </w:p>
        </w:tc>
      </w:tr>
      <w:tr w:rsidR="00F9716C" w:rsidRPr="00F9716C" w14:paraId="7BA4C521" w14:textId="77777777" w:rsidTr="0047525A">
        <w:trPr>
          <w:trHeight w:val="20"/>
        </w:trPr>
        <w:tc>
          <w:tcPr>
            <w:tcW w:w="2977" w:type="dxa"/>
          </w:tcPr>
          <w:p w14:paraId="04DC687F" w14:textId="77777777" w:rsidR="0014246E" w:rsidRPr="00E01FCC" w:rsidRDefault="0014246E" w:rsidP="007F64FE">
            <w:pPr>
              <w:spacing w:after="0"/>
              <w:jc w:val="center"/>
              <w:rPr>
                <w:sz w:val="18"/>
                <w:szCs w:val="20"/>
              </w:rPr>
            </w:pPr>
            <w:r w:rsidRPr="00E01FCC">
              <w:rPr>
                <w:sz w:val="18"/>
                <w:szCs w:val="20"/>
              </w:rPr>
              <w:t>Search warrants</w:t>
            </w:r>
          </w:p>
        </w:tc>
        <w:tc>
          <w:tcPr>
            <w:tcW w:w="1701" w:type="dxa"/>
          </w:tcPr>
          <w:p w14:paraId="16A191DA" w14:textId="29AE0B7D" w:rsidR="0014246E" w:rsidRPr="00E01FCC" w:rsidRDefault="0014246E" w:rsidP="007F64FE">
            <w:pPr>
              <w:spacing w:after="0"/>
              <w:jc w:val="center"/>
              <w:rPr>
                <w:sz w:val="18"/>
                <w:szCs w:val="20"/>
              </w:rPr>
            </w:pPr>
            <w:r w:rsidRPr="00E01FCC">
              <w:rPr>
                <w:sz w:val="18"/>
                <w:szCs w:val="20"/>
              </w:rPr>
              <w:t>53</w:t>
            </w:r>
          </w:p>
        </w:tc>
        <w:tc>
          <w:tcPr>
            <w:tcW w:w="1701" w:type="dxa"/>
          </w:tcPr>
          <w:p w14:paraId="4F651722" w14:textId="0FA76D21" w:rsidR="0014246E" w:rsidRPr="00E01FCC" w:rsidRDefault="0014246E" w:rsidP="007F64FE">
            <w:pPr>
              <w:spacing w:after="0"/>
              <w:jc w:val="center"/>
              <w:rPr>
                <w:sz w:val="18"/>
                <w:szCs w:val="20"/>
              </w:rPr>
            </w:pPr>
            <w:r w:rsidRPr="00E01FCC">
              <w:rPr>
                <w:sz w:val="18"/>
                <w:szCs w:val="20"/>
              </w:rPr>
              <w:t>0</w:t>
            </w:r>
          </w:p>
        </w:tc>
        <w:tc>
          <w:tcPr>
            <w:tcW w:w="1566" w:type="dxa"/>
          </w:tcPr>
          <w:p w14:paraId="7435635E" w14:textId="466F1E5C" w:rsidR="0014246E" w:rsidRPr="00E01FCC" w:rsidRDefault="0014246E" w:rsidP="007F64FE">
            <w:pPr>
              <w:spacing w:after="0"/>
              <w:jc w:val="center"/>
              <w:rPr>
                <w:sz w:val="18"/>
                <w:szCs w:val="20"/>
              </w:rPr>
            </w:pPr>
            <w:r w:rsidRPr="00E01FCC">
              <w:rPr>
                <w:sz w:val="18"/>
                <w:szCs w:val="20"/>
              </w:rPr>
              <w:t>7</w:t>
            </w:r>
          </w:p>
        </w:tc>
        <w:tc>
          <w:tcPr>
            <w:tcW w:w="1809" w:type="dxa"/>
          </w:tcPr>
          <w:p w14:paraId="3F31FC31" w14:textId="232C208E" w:rsidR="0014246E" w:rsidRPr="00E01FCC" w:rsidRDefault="0014246E" w:rsidP="007F64FE">
            <w:pPr>
              <w:spacing w:after="0"/>
              <w:jc w:val="center"/>
              <w:rPr>
                <w:sz w:val="18"/>
                <w:szCs w:val="20"/>
              </w:rPr>
            </w:pPr>
            <w:r w:rsidRPr="00E01FCC">
              <w:rPr>
                <w:sz w:val="18"/>
                <w:szCs w:val="20"/>
              </w:rPr>
              <w:t>N/A</w:t>
            </w:r>
          </w:p>
        </w:tc>
      </w:tr>
      <w:tr w:rsidR="00F9716C" w:rsidRPr="00F9716C" w14:paraId="73DBDBA5" w14:textId="77777777" w:rsidTr="0047525A">
        <w:trPr>
          <w:trHeight w:val="20"/>
        </w:trPr>
        <w:tc>
          <w:tcPr>
            <w:tcW w:w="2977" w:type="dxa"/>
          </w:tcPr>
          <w:p w14:paraId="7B2B8150" w14:textId="77777777" w:rsidR="0014246E" w:rsidRPr="00E01FCC" w:rsidRDefault="0014246E" w:rsidP="007F64FE">
            <w:pPr>
              <w:spacing w:after="0"/>
              <w:jc w:val="center"/>
              <w:rPr>
                <w:sz w:val="18"/>
                <w:szCs w:val="20"/>
              </w:rPr>
            </w:pPr>
            <w:r w:rsidRPr="00E01FCC">
              <w:rPr>
                <w:sz w:val="18"/>
                <w:szCs w:val="20"/>
              </w:rPr>
              <w:t>Notices to discover information</w:t>
            </w:r>
          </w:p>
        </w:tc>
        <w:tc>
          <w:tcPr>
            <w:tcW w:w="1701" w:type="dxa"/>
          </w:tcPr>
          <w:p w14:paraId="4F0CE3DB" w14:textId="1313E4CE" w:rsidR="0014246E" w:rsidRPr="00E01FCC" w:rsidRDefault="0014246E" w:rsidP="007F64FE">
            <w:pPr>
              <w:spacing w:after="0"/>
              <w:jc w:val="center"/>
              <w:rPr>
                <w:sz w:val="18"/>
                <w:szCs w:val="20"/>
              </w:rPr>
            </w:pPr>
            <w:r w:rsidRPr="00E01FCC">
              <w:rPr>
                <w:sz w:val="18"/>
                <w:szCs w:val="20"/>
              </w:rPr>
              <w:t>N/A</w:t>
            </w:r>
          </w:p>
        </w:tc>
        <w:tc>
          <w:tcPr>
            <w:tcW w:w="1701" w:type="dxa"/>
          </w:tcPr>
          <w:p w14:paraId="3C8E23E6" w14:textId="3AF4B56C" w:rsidR="0014246E" w:rsidRPr="00E01FCC" w:rsidRDefault="0014246E" w:rsidP="007F64FE">
            <w:pPr>
              <w:spacing w:after="0"/>
              <w:jc w:val="center"/>
              <w:rPr>
                <w:sz w:val="18"/>
                <w:szCs w:val="20"/>
              </w:rPr>
            </w:pPr>
            <w:r w:rsidRPr="00E01FCC">
              <w:rPr>
                <w:sz w:val="18"/>
                <w:szCs w:val="20"/>
              </w:rPr>
              <w:t>N/A</w:t>
            </w:r>
          </w:p>
        </w:tc>
        <w:tc>
          <w:tcPr>
            <w:tcW w:w="1566" w:type="dxa"/>
          </w:tcPr>
          <w:p w14:paraId="3403F224" w14:textId="3EE3B88C" w:rsidR="0014246E" w:rsidRPr="00E01FCC" w:rsidRDefault="0014246E" w:rsidP="007F64FE">
            <w:pPr>
              <w:spacing w:after="0"/>
              <w:jc w:val="center"/>
              <w:rPr>
                <w:sz w:val="18"/>
                <w:szCs w:val="20"/>
              </w:rPr>
            </w:pPr>
            <w:r w:rsidRPr="00E01FCC">
              <w:rPr>
                <w:sz w:val="18"/>
                <w:szCs w:val="20"/>
              </w:rPr>
              <w:t>108</w:t>
            </w:r>
          </w:p>
        </w:tc>
        <w:tc>
          <w:tcPr>
            <w:tcW w:w="1809" w:type="dxa"/>
          </w:tcPr>
          <w:p w14:paraId="166D22C7" w14:textId="40BE8108" w:rsidR="0014246E" w:rsidRPr="00E01FCC" w:rsidRDefault="0014246E" w:rsidP="007F64FE">
            <w:pPr>
              <w:spacing w:after="0"/>
              <w:jc w:val="center"/>
              <w:rPr>
                <w:sz w:val="18"/>
                <w:szCs w:val="20"/>
              </w:rPr>
            </w:pPr>
            <w:r w:rsidRPr="00E01FCC">
              <w:rPr>
                <w:sz w:val="18"/>
                <w:szCs w:val="20"/>
              </w:rPr>
              <w:t>N/A</w:t>
            </w:r>
          </w:p>
        </w:tc>
      </w:tr>
    </w:tbl>
    <w:p w14:paraId="5486415A" w14:textId="77777777" w:rsidR="00561686" w:rsidRPr="00F9716C" w:rsidRDefault="00561686" w:rsidP="00561686">
      <w:pPr>
        <w:pStyle w:val="Notes"/>
        <w:spacing w:before="120"/>
        <w:ind w:left="360" w:hanging="360"/>
        <w:rPr>
          <w:lang w:val="en-AU"/>
        </w:rPr>
      </w:pPr>
      <w:r w:rsidRPr="00F9716C">
        <w:rPr>
          <w:lang w:val="en-AU"/>
        </w:rPr>
        <w:t>Note:</w:t>
      </w:r>
    </w:p>
    <w:p w14:paraId="3D85EFA3" w14:textId="155D721C" w:rsidR="00561686" w:rsidRPr="00F9716C" w:rsidRDefault="00561686" w:rsidP="009313EB">
      <w:pPr>
        <w:pStyle w:val="Notes"/>
        <w:numPr>
          <w:ilvl w:val="0"/>
          <w:numId w:val="42"/>
        </w:numPr>
        <w:ind w:left="284" w:hanging="284"/>
        <w:rPr>
          <w:rFonts w:asciiTheme="minorHAnsi" w:hAnsiTheme="minorHAnsi" w:cstheme="minorHAnsi"/>
        </w:rPr>
      </w:pPr>
      <w:r w:rsidRPr="00F9716C">
        <w:rPr>
          <w:lang w:val="en-AU"/>
        </w:rPr>
        <w:t xml:space="preserve">This table refers to notices and warrants authorised by </w:t>
      </w:r>
      <w:r w:rsidR="0066704B" w:rsidRPr="00F9716C">
        <w:rPr>
          <w:lang w:val="en-AU"/>
        </w:rPr>
        <w:t xml:space="preserve">our </w:t>
      </w:r>
      <w:r w:rsidRPr="00F9716C">
        <w:rPr>
          <w:lang w:val="en-AU"/>
        </w:rPr>
        <w:t>Chairperson or delegate.</w:t>
      </w:r>
    </w:p>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14:paraId="5647272A" w14:textId="77777777" w:rsidR="00561686" w:rsidRPr="00F9716C" w:rsidRDefault="00561686" w:rsidP="00C903A2">
      <w:pPr>
        <w:pStyle w:val="Heading3"/>
        <w:sectPr w:rsidR="00561686" w:rsidRPr="00F9716C" w:rsidSect="00C77834">
          <w:type w:val="continuous"/>
          <w:pgSz w:w="11906" w:h="16838" w:code="9"/>
          <w:pgMar w:top="2155" w:right="1134" w:bottom="964" w:left="1134" w:header="720" w:footer="284" w:gutter="0"/>
          <w:cols w:space="567"/>
          <w:noEndnote/>
          <w:docGrid w:linePitch="272"/>
        </w:sectPr>
      </w:pPr>
    </w:p>
    <w:p w14:paraId="3C4AE132" w14:textId="77777777" w:rsidR="00413E78" w:rsidRPr="00F9716C" w:rsidRDefault="00413E78" w:rsidP="00C903A2">
      <w:pPr>
        <w:pStyle w:val="Heading3"/>
        <w:sectPr w:rsidR="00413E78" w:rsidRPr="00F9716C" w:rsidSect="00C77834">
          <w:headerReference w:type="even" r:id="rId250"/>
          <w:headerReference w:type="default" r:id="rId251"/>
          <w:headerReference w:type="first" r:id="rId252"/>
          <w:type w:val="continuous"/>
          <w:pgSz w:w="11906" w:h="16838" w:code="9"/>
          <w:pgMar w:top="2155" w:right="1134" w:bottom="964" w:left="1134" w:header="720" w:footer="284" w:gutter="0"/>
          <w:cols w:num="2" w:space="567"/>
          <w:noEndnote/>
          <w:docGrid w:linePitch="272"/>
        </w:sectPr>
      </w:pPr>
      <w:bookmarkStart w:id="1422" w:name="_Toc102038085"/>
      <w:bookmarkStart w:id="1423" w:name="_Toc102038446"/>
      <w:bookmarkStart w:id="1424" w:name="_Toc102038807"/>
      <w:bookmarkStart w:id="1425" w:name="_Toc102039159"/>
      <w:bookmarkStart w:id="1426" w:name="_Toc102039508"/>
      <w:bookmarkStart w:id="1427" w:name="_Toc102039870"/>
      <w:bookmarkStart w:id="1428" w:name="_Toc102040227"/>
      <w:bookmarkStart w:id="1429" w:name="_Toc102040555"/>
      <w:bookmarkStart w:id="1430" w:name="_Toc102040889"/>
      <w:bookmarkStart w:id="1431" w:name="_Toc102041217"/>
      <w:bookmarkStart w:id="1432" w:name="_Toc102041546"/>
      <w:bookmarkStart w:id="1433" w:name="_Toc102041878"/>
      <w:bookmarkStart w:id="1434" w:name="_Toc102042205"/>
      <w:bookmarkStart w:id="1435" w:name="_Toc102042535"/>
      <w:bookmarkStart w:id="1436" w:name="_Toc102045665"/>
    </w:p>
    <w:p w14:paraId="2A78BABC" w14:textId="56F1674F" w:rsidR="00561686" w:rsidRPr="00F9716C" w:rsidRDefault="00EE593F" w:rsidP="00E01FCC">
      <w:pPr>
        <w:pStyle w:val="3Heading-highlight"/>
      </w:pPr>
      <w:r>
        <mc:AlternateContent>
          <mc:Choice Requires="wps">
            <w:drawing>
              <wp:anchor distT="0" distB="0" distL="114300" distR="114300" simplePos="0" relativeHeight="252544000" behindDoc="1" locked="0" layoutInCell="1" allowOverlap="1" wp14:anchorId="06151E64" wp14:editId="77AD9D0F">
                <wp:simplePos x="0" y="0"/>
                <wp:positionH relativeFrom="column">
                  <wp:posOffset>3224530</wp:posOffset>
                </wp:positionH>
                <wp:positionV relativeFrom="page">
                  <wp:posOffset>1433520</wp:posOffset>
                </wp:positionV>
                <wp:extent cx="2891790" cy="0"/>
                <wp:effectExtent l="0" t="0" r="0" b="0"/>
                <wp:wrapTight wrapText="bothSides">
                  <wp:wrapPolygon edited="0">
                    <wp:start x="0" y="0"/>
                    <wp:lineTo x="0" y="21600"/>
                    <wp:lineTo x="21600" y="21600"/>
                    <wp:lineTo x="21600" y="0"/>
                  </wp:wrapPolygon>
                </wp:wrapTight>
                <wp:docPr id="299506757" name="Straight Connector 1"/>
                <wp:cNvGraphicFramePr/>
                <a:graphic xmlns:a="http://schemas.openxmlformats.org/drawingml/2006/main">
                  <a:graphicData uri="http://schemas.microsoft.com/office/word/2010/wordprocessingShape">
                    <wps:wsp>
                      <wps:cNvCnPr/>
                      <wps:spPr>
                        <a:xfrm>
                          <a:off x="0" y="0"/>
                          <a:ext cx="2891790" cy="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CDE6FA" id="Straight Connector 1" o:spid="_x0000_s1026" style="position:absolute;z-index:-2507724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53.9pt,112.9pt" to="481.6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" stroked="f" strokeweight=".5pt">
                <v:stroke joinstyle="miter"/>
                <w10:wrap type="tight" anchory="page"/>
              </v:line>
            </w:pict>
          </mc:Fallback>
        </mc:AlternateContent>
      </w:r>
      <w:r w:rsidR="00561686" w:rsidRPr="00F9716C">
        <w:t>Securing and managing our information</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74A0815B" w14:textId="77777777" w:rsidR="00561686" w:rsidRPr="00F9716C" w:rsidRDefault="00561686" w:rsidP="00E01FCC">
      <w:pPr>
        <w:pStyle w:val="4H-Intro"/>
      </w:pPr>
      <w:r w:rsidRPr="00F9716C">
        <w:t>Information Security attestation</w:t>
      </w:r>
    </w:p>
    <w:p w14:paraId="22E780C7" w14:textId="77777777" w:rsidR="00BF7415" w:rsidRPr="00F9716C" w:rsidRDefault="00BF7415" w:rsidP="000358F3">
      <w:pPr>
        <w:spacing w:before="120"/>
        <w:rPr>
          <w:color w:val="414042" w:themeColor="text1"/>
        </w:rPr>
      </w:pPr>
      <w:bookmarkStart w:id="1437" w:name="_Toc102038087"/>
      <w:bookmarkStart w:id="1438" w:name="_Toc102038448"/>
      <w:bookmarkStart w:id="1439" w:name="_Toc102038809"/>
      <w:bookmarkStart w:id="1440" w:name="_Toc102039161"/>
      <w:bookmarkStart w:id="1441" w:name="_Toc102039510"/>
      <w:bookmarkStart w:id="1442" w:name="_Toc102039872"/>
      <w:bookmarkStart w:id="1443" w:name="_Toc102040229"/>
      <w:bookmarkStart w:id="1444" w:name="_Toc102040557"/>
      <w:bookmarkStart w:id="1445" w:name="_Toc102040891"/>
      <w:bookmarkStart w:id="1446" w:name="_Toc102041219"/>
      <w:bookmarkStart w:id="1447" w:name="_Toc102041548"/>
      <w:bookmarkStart w:id="1448" w:name="_Toc102041880"/>
      <w:bookmarkStart w:id="1449" w:name="_Toc102042207"/>
      <w:bookmarkStart w:id="1450" w:name="_Toc102042537"/>
      <w:bookmarkStart w:id="1451" w:name="_Toc102045667"/>
      <w:r w:rsidRPr="00F9716C">
        <w:rPr>
          <w:color w:val="414042" w:themeColor="text1"/>
        </w:rPr>
        <w:t xml:space="preserve">Departments and other State bodies are required to submit an Information Security Annual Return which includes attestation of their information security posture and compliance with the </w:t>
      </w:r>
      <w:r w:rsidRPr="00F9716C">
        <w:rPr>
          <w:i/>
          <w:iCs/>
          <w:color w:val="414042" w:themeColor="text1"/>
        </w:rPr>
        <w:t>Queensland Government Enterprise Architecture Information Security Policy (IS18:2018)</w:t>
      </w:r>
      <w:r w:rsidRPr="00F9716C">
        <w:rPr>
          <w:color w:val="414042" w:themeColor="text1"/>
        </w:rPr>
        <w:t xml:space="preserve">. Our </w:t>
      </w:r>
      <w:r w:rsidRPr="00F9716C">
        <w:rPr>
          <w:i/>
          <w:iCs/>
          <w:color w:val="414042" w:themeColor="text1"/>
        </w:rPr>
        <w:t>Information Security Management System</w:t>
      </w:r>
      <w:r w:rsidRPr="00F9716C">
        <w:rPr>
          <w:color w:val="414042" w:themeColor="text1"/>
        </w:rPr>
        <w:t xml:space="preserve"> and underlying security controls are consistent with the requirements of IS18:2018.</w:t>
      </w:r>
    </w:p>
    <w:p w14:paraId="264413EF" w14:textId="77777777" w:rsidR="00BF7415" w:rsidRPr="00F9716C" w:rsidRDefault="00BF7415" w:rsidP="000358F3">
      <w:pPr>
        <w:spacing w:before="120"/>
        <w:rPr>
          <w:color w:val="414042" w:themeColor="text1"/>
        </w:rPr>
      </w:pPr>
      <w:r w:rsidRPr="00F9716C">
        <w:rPr>
          <w:color w:val="414042" w:themeColor="text1"/>
        </w:rPr>
        <w:t>During the mandatory annual Information Security reporting process, the CEO attested to the appropriateness of the information security risk management within our agency to the Queensland Government Chief Information Security Officer, noting that appropriate assurance activities have been undertaken to inform this opinion and our agency’s information security risk position.</w:t>
      </w:r>
    </w:p>
    <w:p w14:paraId="1CBD6FCC" w14:textId="77777777" w:rsidR="00BF7415" w:rsidRPr="00F9716C" w:rsidRDefault="00BF7415" w:rsidP="000358F3">
      <w:pPr>
        <w:spacing w:before="120"/>
        <w:rPr>
          <w:color w:val="414042" w:themeColor="text1"/>
          <w:szCs w:val="20"/>
        </w:rPr>
      </w:pPr>
      <w:r w:rsidRPr="00F9716C">
        <w:rPr>
          <w:color w:val="414042" w:themeColor="text1"/>
          <w:szCs w:val="20"/>
        </w:rPr>
        <w:t>There were no information security issues of material concern in 2023–24.</w:t>
      </w:r>
    </w:p>
    <w:p w14:paraId="548138DE" w14:textId="7ED393CC" w:rsidR="00561686" w:rsidRPr="00F9716C" w:rsidRDefault="00561686" w:rsidP="00E01FCC">
      <w:pPr>
        <w:pStyle w:val="4H-Intro"/>
      </w:pPr>
      <w:r w:rsidRPr="00F9716C">
        <w:t>Managing our records</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p w14:paraId="7C6F87A5" w14:textId="6264E154" w:rsidR="00561686" w:rsidRPr="00F9716C" w:rsidRDefault="00561686" w:rsidP="000358F3">
      <w:pPr>
        <w:spacing w:before="120"/>
        <w:rPr>
          <w:color w:val="414042" w:themeColor="text1"/>
        </w:rPr>
      </w:pPr>
      <w:r w:rsidRPr="00F9716C">
        <w:rPr>
          <w:color w:val="414042" w:themeColor="text1"/>
        </w:rPr>
        <w:t xml:space="preserve">We are committed to the responsible management of records in line with the requirements of the </w:t>
      </w:r>
      <w:r w:rsidRPr="00F9716C">
        <w:rPr>
          <w:i/>
          <w:iCs/>
          <w:color w:val="414042" w:themeColor="text1"/>
        </w:rPr>
        <w:t>Public Records Act 2002</w:t>
      </w:r>
      <w:r w:rsidRPr="00F9716C">
        <w:rPr>
          <w:color w:val="414042" w:themeColor="text1"/>
        </w:rPr>
        <w:t xml:space="preserve">, the QSA </w:t>
      </w:r>
      <w:r w:rsidRPr="00F9716C">
        <w:rPr>
          <w:i/>
          <w:iCs/>
          <w:color w:val="414042" w:themeColor="text1"/>
        </w:rPr>
        <w:t>Records Governance Policy and approved Retention and Disposal Schedules</w:t>
      </w:r>
      <w:r w:rsidRPr="00F9716C">
        <w:rPr>
          <w:color w:val="414042" w:themeColor="text1"/>
        </w:rPr>
        <w:t xml:space="preserve">. Our </w:t>
      </w:r>
      <w:r w:rsidR="00076199" w:rsidRPr="00F9716C">
        <w:rPr>
          <w:color w:val="414042" w:themeColor="text1"/>
        </w:rPr>
        <w:t>g</w:t>
      </w:r>
      <w:r w:rsidRPr="00F9716C">
        <w:rPr>
          <w:color w:val="414042" w:themeColor="text1"/>
        </w:rPr>
        <w:t xml:space="preserve">eneral </w:t>
      </w:r>
      <w:r w:rsidRPr="00F9716C">
        <w:rPr>
          <w:i/>
          <w:iCs/>
          <w:color w:val="414042" w:themeColor="text1"/>
        </w:rPr>
        <w:t xml:space="preserve">Recordkeeping </w:t>
      </w:r>
      <w:r w:rsidR="00076199" w:rsidRPr="00F9716C">
        <w:rPr>
          <w:i/>
          <w:iCs/>
          <w:color w:val="414042" w:themeColor="text1"/>
        </w:rPr>
        <w:t>P</w:t>
      </w:r>
      <w:r w:rsidRPr="00F9716C">
        <w:rPr>
          <w:i/>
          <w:iCs/>
          <w:color w:val="414042" w:themeColor="text1"/>
        </w:rPr>
        <w:t>olicy</w:t>
      </w:r>
      <w:r w:rsidRPr="00F9716C">
        <w:rPr>
          <w:color w:val="414042" w:themeColor="text1"/>
        </w:rPr>
        <w:t xml:space="preserve"> details the roles and responsibilities for creating, managing and disposing </w:t>
      </w:r>
      <w:r w:rsidR="00AE2C78">
        <w:rPr>
          <w:color w:val="414042" w:themeColor="text1"/>
        </w:rPr>
        <w:br/>
      </w:r>
      <w:r w:rsidRPr="00F9716C">
        <w:rPr>
          <w:color w:val="414042" w:themeColor="text1"/>
        </w:rPr>
        <w:t>of public records in line with the approved records retention and disposal schedule.</w:t>
      </w:r>
    </w:p>
    <w:p w14:paraId="5DB3AD77" w14:textId="1E79027B" w:rsidR="00561686" w:rsidRPr="00F9716C" w:rsidRDefault="00561686" w:rsidP="000358F3">
      <w:pPr>
        <w:spacing w:before="120"/>
        <w:rPr>
          <w:color w:val="414042" w:themeColor="text1"/>
        </w:rPr>
      </w:pPr>
      <w:r w:rsidRPr="00F9716C">
        <w:rPr>
          <w:color w:val="414042" w:themeColor="text1"/>
        </w:rPr>
        <w:t xml:space="preserve">Our employees are advised of their recordkeeping responsibilities during our mandatory induction program, with training refreshed annually. New </w:t>
      </w:r>
      <w:r w:rsidR="002E61F7" w:rsidRPr="00F9716C">
        <w:rPr>
          <w:color w:val="414042" w:themeColor="text1"/>
        </w:rPr>
        <w:t>employees</w:t>
      </w:r>
      <w:r w:rsidRPr="00F9716C">
        <w:rPr>
          <w:color w:val="414042" w:themeColor="text1"/>
        </w:rPr>
        <w:t xml:space="preserve"> are provided copies of the CCC </w:t>
      </w:r>
      <w:r w:rsidRPr="00F9716C">
        <w:rPr>
          <w:i/>
          <w:iCs/>
          <w:color w:val="414042" w:themeColor="text1"/>
        </w:rPr>
        <w:t xml:space="preserve">Recordkeeping </w:t>
      </w:r>
      <w:r w:rsidR="00A93559" w:rsidRPr="00F9716C">
        <w:rPr>
          <w:i/>
          <w:iCs/>
          <w:color w:val="414042" w:themeColor="text1"/>
        </w:rPr>
        <w:t>P</w:t>
      </w:r>
      <w:r w:rsidRPr="00F9716C">
        <w:rPr>
          <w:i/>
          <w:iCs/>
          <w:color w:val="414042" w:themeColor="text1"/>
        </w:rPr>
        <w:t>olicy</w:t>
      </w:r>
      <w:r w:rsidRPr="00F9716C">
        <w:rPr>
          <w:color w:val="414042" w:themeColor="text1"/>
        </w:rPr>
        <w:t xml:space="preserve"> and the </w:t>
      </w:r>
      <w:r w:rsidRPr="00F9716C">
        <w:rPr>
          <w:i/>
          <w:iCs/>
          <w:color w:val="414042" w:themeColor="text1"/>
        </w:rPr>
        <w:t xml:space="preserve">Information Security Classification </w:t>
      </w:r>
      <w:r w:rsidR="00A93559" w:rsidRPr="00F9716C">
        <w:rPr>
          <w:i/>
          <w:iCs/>
          <w:color w:val="414042" w:themeColor="text1"/>
        </w:rPr>
        <w:t>P</w:t>
      </w:r>
      <w:r w:rsidRPr="00F9716C">
        <w:rPr>
          <w:i/>
          <w:iCs/>
          <w:color w:val="414042" w:themeColor="text1"/>
        </w:rPr>
        <w:t xml:space="preserve">olicy and </w:t>
      </w:r>
      <w:r w:rsidR="00A93559" w:rsidRPr="00F9716C">
        <w:rPr>
          <w:i/>
          <w:iCs/>
          <w:color w:val="414042" w:themeColor="text1"/>
        </w:rPr>
        <w:t>P</w:t>
      </w:r>
      <w:r w:rsidRPr="00F9716C">
        <w:rPr>
          <w:i/>
          <w:iCs/>
          <w:color w:val="414042" w:themeColor="text1"/>
        </w:rPr>
        <w:t>rocedure</w:t>
      </w:r>
      <w:r w:rsidRPr="00F9716C">
        <w:rPr>
          <w:color w:val="414042" w:themeColor="text1"/>
        </w:rPr>
        <w:t xml:space="preserve"> to help them understand how records are securely managed within the CCC. All </w:t>
      </w:r>
      <w:r w:rsidR="002E61F7" w:rsidRPr="00F9716C">
        <w:rPr>
          <w:color w:val="414042" w:themeColor="text1"/>
        </w:rPr>
        <w:t xml:space="preserve">employees </w:t>
      </w:r>
      <w:r w:rsidRPr="00F9716C">
        <w:rPr>
          <w:color w:val="414042" w:themeColor="text1"/>
        </w:rPr>
        <w:t xml:space="preserve">of the </w:t>
      </w:r>
      <w:r w:rsidR="002E61F7" w:rsidRPr="00F9716C">
        <w:rPr>
          <w:color w:val="414042" w:themeColor="text1"/>
        </w:rPr>
        <w:t xml:space="preserve">CCC </w:t>
      </w:r>
      <w:r w:rsidRPr="00F9716C">
        <w:rPr>
          <w:color w:val="414042" w:themeColor="text1"/>
        </w:rPr>
        <w:t>who utilise the electronic document and records management system (eDRMS) are also subject to regular auditing to ensure compliance with both CCC and legislative guidelines.</w:t>
      </w:r>
    </w:p>
    <w:p w14:paraId="5112970E" w14:textId="77777777" w:rsidR="00561686" w:rsidRDefault="00561686" w:rsidP="00EE593F">
      <w:pPr>
        <w:pStyle w:val="newBODYTEXT"/>
      </w:pPr>
      <w:r w:rsidRPr="00F9716C">
        <w:t>We regularly review our whole-of-organisation records management systems and processes to ensure they are secure, compliant, and contemporary.</w:t>
      </w:r>
    </w:p>
    <w:p w14:paraId="5139D258" w14:textId="422697F8" w:rsidR="00561686" w:rsidRPr="00F9716C" w:rsidRDefault="006924CD" w:rsidP="00EE593F">
      <w:pPr>
        <w:pStyle w:val="newBODYTEXT"/>
        <w:rPr>
          <w:spacing w:val="-4"/>
        </w:rPr>
      </w:pPr>
      <w:r w:rsidRPr="00F9716C">
        <w:rPr>
          <w:spacing w:val="-4"/>
        </w:rPr>
        <w:t>Throughout the reporting period, t</w:t>
      </w:r>
      <w:r w:rsidR="00561686" w:rsidRPr="00F9716C">
        <w:rPr>
          <w:spacing w:val="-4"/>
        </w:rPr>
        <w:t xml:space="preserve">he management and handling of sensitive information across the CCC </w:t>
      </w:r>
      <w:r w:rsidR="00A85F66" w:rsidRPr="00F9716C">
        <w:rPr>
          <w:spacing w:val="-4"/>
        </w:rPr>
        <w:t>was</w:t>
      </w:r>
      <w:r w:rsidR="007F64FE">
        <w:rPr>
          <w:spacing w:val="-4"/>
        </w:rPr>
        <w:t xml:space="preserve"> </w:t>
      </w:r>
      <w:r w:rsidR="00561686" w:rsidRPr="00F9716C">
        <w:rPr>
          <w:spacing w:val="-4"/>
        </w:rPr>
        <w:t xml:space="preserve">strengthened through the review and reworking of </w:t>
      </w:r>
      <w:r w:rsidR="0087308C">
        <w:rPr>
          <w:spacing w:val="-4"/>
        </w:rPr>
        <w:br/>
      </w:r>
      <w:r w:rsidR="0087308C">
        <w:rPr>
          <w:spacing w:val="-4"/>
        </w:rPr>
        <w:br/>
      </w:r>
      <w:r w:rsidR="0087308C">
        <w:rPr>
          <w:spacing w:val="-4"/>
        </w:rPr>
        <w:br/>
      </w:r>
      <w:r w:rsidR="0087308C">
        <w:rPr>
          <w:spacing w:val="-4"/>
        </w:rPr>
        <w:br/>
      </w:r>
      <w:r w:rsidR="0087308C">
        <w:rPr>
          <w:spacing w:val="-4"/>
        </w:rPr>
        <w:br/>
      </w:r>
      <w:r w:rsidR="00561686" w:rsidRPr="00F9716C">
        <w:rPr>
          <w:spacing w:val="-4"/>
        </w:rPr>
        <w:t>document filing structures to ensure that they continue to meet the requirements of operational areas</w:t>
      </w:r>
      <w:r w:rsidR="00561686" w:rsidRPr="00F9716C" w:rsidDel="00E656F6">
        <w:rPr>
          <w:spacing w:val="-4"/>
        </w:rPr>
        <w:t xml:space="preserve"> </w:t>
      </w:r>
      <w:r w:rsidR="00561686" w:rsidRPr="00F9716C">
        <w:rPr>
          <w:spacing w:val="-4"/>
        </w:rPr>
        <w:t>whilst remaining compliant with our legal recordkeeping obligations.</w:t>
      </w:r>
    </w:p>
    <w:p w14:paraId="32476724" w14:textId="422D85CF" w:rsidR="00561686" w:rsidRPr="00F9716C" w:rsidRDefault="00561686" w:rsidP="00EE593F">
      <w:pPr>
        <w:pStyle w:val="newBODYTEXT"/>
      </w:pPr>
      <w:r w:rsidRPr="00F9716C">
        <w:t xml:space="preserve">We have continued reviewing the electronic storage and management of lawfully obtained Telecommunication Interceptions to ensure that our processes remain consistent with the </w:t>
      </w:r>
      <w:r w:rsidRPr="00F9716C">
        <w:rPr>
          <w:i/>
          <w:iCs/>
        </w:rPr>
        <w:t>TI</w:t>
      </w:r>
      <w:r w:rsidR="00C92707" w:rsidRPr="00F9716C">
        <w:rPr>
          <w:i/>
          <w:iCs/>
        </w:rPr>
        <w:t xml:space="preserve">A </w:t>
      </w:r>
      <w:r w:rsidRPr="00F9716C">
        <w:rPr>
          <w:i/>
          <w:iCs/>
        </w:rPr>
        <w:t xml:space="preserve">Act </w:t>
      </w:r>
      <w:r w:rsidRPr="00F9716C">
        <w:t xml:space="preserve">and the </w:t>
      </w:r>
      <w:r w:rsidRPr="00F9716C">
        <w:rPr>
          <w:i/>
          <w:iCs/>
        </w:rPr>
        <w:t>TI</w:t>
      </w:r>
      <w:r w:rsidR="00C92707" w:rsidRPr="00F9716C">
        <w:rPr>
          <w:i/>
          <w:iCs/>
        </w:rPr>
        <w:t xml:space="preserve"> Act</w:t>
      </w:r>
      <w:r w:rsidRPr="00F9716C">
        <w:rPr>
          <w:i/>
          <w:iCs/>
        </w:rPr>
        <w:t xml:space="preserve"> </w:t>
      </w:r>
      <w:r w:rsidRPr="00F9716C">
        <w:t>and continue to be appropriate.</w:t>
      </w:r>
    </w:p>
    <w:p w14:paraId="2E1CE532" w14:textId="73D89A52" w:rsidR="00561686" w:rsidRPr="00F9716C" w:rsidRDefault="00FF6EA8" w:rsidP="00E01FCC">
      <w:pPr>
        <w:pStyle w:val="4H-Intro"/>
      </w:pPr>
      <w:bookmarkStart w:id="1452" w:name="_Toc102038088"/>
      <w:bookmarkStart w:id="1453" w:name="_Toc102038449"/>
      <w:bookmarkStart w:id="1454" w:name="_Toc102038810"/>
      <w:bookmarkStart w:id="1455" w:name="_Toc102039162"/>
      <w:bookmarkStart w:id="1456" w:name="_Toc102039511"/>
      <w:bookmarkStart w:id="1457" w:name="_Toc102039873"/>
      <w:bookmarkStart w:id="1458" w:name="_Toc102040230"/>
      <w:bookmarkStart w:id="1459" w:name="_Toc102040558"/>
      <w:bookmarkStart w:id="1460" w:name="_Toc102040892"/>
      <w:bookmarkStart w:id="1461" w:name="_Toc102041220"/>
      <w:bookmarkStart w:id="1462" w:name="_Toc102041549"/>
      <w:bookmarkStart w:id="1463" w:name="_Toc102041881"/>
      <w:bookmarkStart w:id="1464" w:name="_Toc102042208"/>
      <w:bookmarkStart w:id="1465" w:name="_Toc102042538"/>
      <w:bookmarkStart w:id="1466" w:name="_Toc102045668"/>
      <w:r w:rsidRPr="00F9716C">
        <w:t>Secure file sharing platform</w:t>
      </w:r>
    </w:p>
    <w:p w14:paraId="43EE55A1" w14:textId="77777777" w:rsidR="00BF7415" w:rsidRPr="00F9716C" w:rsidRDefault="00BF7415" w:rsidP="000358F3">
      <w:pPr>
        <w:spacing w:before="120"/>
        <w:rPr>
          <w:color w:val="414042" w:themeColor="text1"/>
          <w:spacing w:val="-2"/>
        </w:rPr>
      </w:pPr>
      <w:bookmarkStart w:id="1467" w:name="_Toc102038089"/>
      <w:bookmarkStart w:id="1468" w:name="_Toc102038450"/>
      <w:bookmarkStart w:id="1469" w:name="_Toc102038811"/>
      <w:bookmarkStart w:id="1470" w:name="_Toc102039163"/>
      <w:bookmarkStart w:id="1471" w:name="_Toc102039512"/>
      <w:bookmarkStart w:id="1472" w:name="_Toc102039874"/>
      <w:bookmarkStart w:id="1473" w:name="_Toc102040231"/>
      <w:bookmarkStart w:id="1474" w:name="_Toc102040559"/>
      <w:bookmarkStart w:id="1475" w:name="_Toc102040893"/>
      <w:bookmarkStart w:id="1476" w:name="_Toc102041221"/>
      <w:bookmarkStart w:id="1477" w:name="_Toc102041550"/>
      <w:bookmarkStart w:id="1478" w:name="_Toc102041882"/>
      <w:bookmarkStart w:id="1479" w:name="_Toc102042209"/>
      <w:bookmarkStart w:id="1480" w:name="_Toc102042539"/>
      <w:bookmarkStart w:id="1481" w:name="_Toc102045669"/>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r w:rsidRPr="00F9716C">
        <w:rPr>
          <w:color w:val="414042" w:themeColor="text1"/>
          <w:spacing w:val="-2"/>
        </w:rPr>
        <w:t>We completed implementation of a secure file sharing platform. This solution will greatly assist in interagency information exchange in a secure electronic way. This will service the expanding need to exchange large or numerous files in a timely and efficiency way. It will facilitate a significant reduction in the physical exchanges of information.</w:t>
      </w:r>
    </w:p>
    <w:p w14:paraId="15A35F84" w14:textId="77777777" w:rsidR="00561686" w:rsidRPr="00F9716C" w:rsidRDefault="00561686" w:rsidP="00E01FCC">
      <w:pPr>
        <w:pStyle w:val="4H-Intro"/>
      </w:pPr>
      <w:r w:rsidRPr="00F9716C">
        <w:t>Retention and disposal of records</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1792002D" w14:textId="0D0AFE79" w:rsidR="00BF7415" w:rsidRPr="00F9716C" w:rsidRDefault="00BF7415" w:rsidP="000358F3">
      <w:pPr>
        <w:spacing w:before="120"/>
        <w:rPr>
          <w:color w:val="414042" w:themeColor="text1"/>
        </w:rPr>
      </w:pPr>
      <w:r w:rsidRPr="00F9716C">
        <w:rPr>
          <w:color w:val="414042" w:themeColor="text1"/>
        </w:rPr>
        <w:t xml:space="preserve">We retain our records in accordance with retention and disposal schedules approved by the QSA. We are progressing a backlog of disposals with </w:t>
      </w:r>
      <w:r w:rsidR="00250D9F" w:rsidRPr="00F9716C">
        <w:rPr>
          <w:color w:val="414042" w:themeColor="text1"/>
        </w:rPr>
        <w:t>an</w:t>
      </w:r>
      <w:r w:rsidRPr="00F9716C">
        <w:rPr>
          <w:color w:val="414042" w:themeColor="text1"/>
        </w:rPr>
        <w:t xml:space="preserve"> additional resourcing.</w:t>
      </w:r>
    </w:p>
    <w:p w14:paraId="3929883F" w14:textId="63D71F7C" w:rsidR="00561686" w:rsidRPr="00F9716C" w:rsidRDefault="00561686" w:rsidP="00E01FCC">
      <w:pPr>
        <w:pStyle w:val="4H-Intro"/>
      </w:pPr>
      <w:r w:rsidRPr="00F9716C">
        <w:t>Aligning our services</w:t>
      </w:r>
    </w:p>
    <w:p w14:paraId="2BA4744F" w14:textId="46631210" w:rsidR="00DD2DE1" w:rsidRPr="00F9716C" w:rsidRDefault="00DD2DE1" w:rsidP="000358F3">
      <w:pPr>
        <w:spacing w:before="120"/>
        <w:rPr>
          <w:rFonts w:eastAsia="Calibri" w:cs="Arial"/>
          <w:color w:val="414042" w:themeColor="text1"/>
        </w:rPr>
      </w:pPr>
      <w:bookmarkStart w:id="1482" w:name="_Toc102038090"/>
      <w:bookmarkStart w:id="1483" w:name="_Toc102038451"/>
      <w:bookmarkStart w:id="1484" w:name="_Toc102038812"/>
      <w:bookmarkStart w:id="1485" w:name="_Toc102039164"/>
      <w:bookmarkStart w:id="1486" w:name="_Toc102039513"/>
      <w:bookmarkStart w:id="1487" w:name="_Toc102039875"/>
      <w:bookmarkStart w:id="1488" w:name="_Toc102040232"/>
      <w:bookmarkStart w:id="1489" w:name="_Toc102040560"/>
      <w:bookmarkStart w:id="1490" w:name="_Toc102040894"/>
      <w:bookmarkStart w:id="1491" w:name="_Toc102041222"/>
      <w:bookmarkStart w:id="1492" w:name="_Toc102041551"/>
      <w:bookmarkStart w:id="1493" w:name="_Toc102041883"/>
      <w:bookmarkStart w:id="1494" w:name="_Toc102042210"/>
      <w:bookmarkStart w:id="1495" w:name="_Toc102042540"/>
      <w:bookmarkStart w:id="1496" w:name="_Toc102045670"/>
      <w:r w:rsidRPr="00F9716C">
        <w:rPr>
          <w:color w:val="414042" w:themeColor="text1"/>
        </w:rPr>
        <w:t>To improve our maturity and ensure continued alignment with changing and growing business expectations, we have implemented a new operating model for the Information Services division, which seeks to grow the records management function with the broader aim of encompassing management of a larger component of the organisation’s information holdings.</w:t>
      </w:r>
      <w:r w:rsidRPr="00F9716C">
        <w:rPr>
          <w:rFonts w:eastAsia="Calibri" w:cs="Arial"/>
          <w:color w:val="414042" w:themeColor="text1"/>
        </w:rPr>
        <w:t xml:space="preserve"> This will provide for greater scope in terms of the auditing we can undertake which will boost the integrity/accuracy of our information management and improve the breadth of records visibility in the </w:t>
      </w:r>
      <w:r w:rsidR="0048059F" w:rsidRPr="00F9716C">
        <w:rPr>
          <w:rFonts w:eastAsia="Calibri" w:cs="Arial"/>
          <w:color w:val="414042" w:themeColor="text1"/>
        </w:rPr>
        <w:t>CCC.</w:t>
      </w:r>
    </w:p>
    <w:p w14:paraId="44E25400" w14:textId="0FB1A627" w:rsidR="00561686" w:rsidRPr="00F9716C" w:rsidRDefault="00DD2DE1" w:rsidP="00E01FCC">
      <w:pPr>
        <w:pStyle w:val="4H-Intro"/>
      </w:pPr>
      <w:r w:rsidRPr="00F9716C">
        <w:t xml:space="preserve">CCC </w:t>
      </w:r>
      <w:r w:rsidR="00561686" w:rsidRPr="00F9716C">
        <w:t>Open Data</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39BD5CCA" w14:textId="266BBC23" w:rsidR="00561686" w:rsidRPr="00F9716C" w:rsidRDefault="00561686" w:rsidP="000358F3">
      <w:pPr>
        <w:spacing w:before="120"/>
        <w:rPr>
          <w:color w:val="414042" w:themeColor="text1"/>
        </w:rPr>
      </w:pPr>
      <w:r w:rsidRPr="00F9716C">
        <w:rPr>
          <w:color w:val="414042" w:themeColor="text1"/>
        </w:rPr>
        <w:t>The following data sets are published on the Open Data website at</w:t>
      </w:r>
      <w:r w:rsidR="00AE2C78" w:rsidRPr="00AE2C78">
        <w:rPr>
          <w:rStyle w:val="newBODYTEXTChar"/>
        </w:rPr>
        <w:t xml:space="preserve"> </w:t>
      </w:r>
      <w:hyperlink r:id="rId253" w:history="1">
        <w:r w:rsidR="00AE2C78" w:rsidRPr="00446CCC">
          <w:rPr>
            <w:rStyle w:val="Hyperlink"/>
          </w:rPr>
          <w:t>www.data.qld.gov.au</w:t>
        </w:r>
      </w:hyperlink>
      <w:r w:rsidRPr="00F9716C">
        <w:rPr>
          <w:rStyle w:val="Hyperlink"/>
          <w:color w:val="414042" w:themeColor="text1"/>
          <w:u w:color="BCBEC0" w:themeColor="accent5"/>
        </w:rPr>
        <w:t>:</w:t>
      </w:r>
    </w:p>
    <w:p w14:paraId="309D9497" w14:textId="77777777" w:rsidR="00561686" w:rsidRPr="00F9716C" w:rsidRDefault="00561686" w:rsidP="006900F6">
      <w:pPr>
        <w:pStyle w:val="Bulletpoints0"/>
      </w:pPr>
      <w:r w:rsidRPr="00F9716C">
        <w:t>Consultancies</w:t>
      </w:r>
    </w:p>
    <w:p w14:paraId="285A2B37" w14:textId="77777777" w:rsidR="00561686" w:rsidRPr="00F9716C" w:rsidRDefault="00561686" w:rsidP="006900F6">
      <w:pPr>
        <w:pStyle w:val="Bulletpoints0"/>
      </w:pPr>
      <w:r w:rsidRPr="00F9716C">
        <w:t>Overseas travel</w:t>
      </w:r>
    </w:p>
    <w:p w14:paraId="2638A5F6" w14:textId="77777777" w:rsidR="00561686" w:rsidRPr="00F9716C" w:rsidRDefault="00561686" w:rsidP="006900F6">
      <w:pPr>
        <w:pStyle w:val="Bulletpoints0"/>
      </w:pPr>
      <w:r w:rsidRPr="00F9716C">
        <w:t>Language services.</w:t>
      </w:r>
    </w:p>
    <w:p w14:paraId="574CE3D1" w14:textId="1B7CE518" w:rsidR="00561686" w:rsidRPr="00F9716C" w:rsidRDefault="00561686" w:rsidP="00561686">
      <w:pPr>
        <w:rPr>
          <w:color w:val="414042" w:themeColor="text1"/>
        </w:rPr>
        <w:sectPr w:rsidR="00561686" w:rsidRPr="00F9716C" w:rsidSect="00413E78">
          <w:pgSz w:w="11906" w:h="16838" w:code="9"/>
          <w:pgMar w:top="2155" w:right="1134" w:bottom="964" w:left="1134" w:header="720" w:footer="284" w:gutter="0"/>
          <w:cols w:num="2" w:space="567"/>
          <w:noEndnote/>
          <w:docGrid w:linePitch="272"/>
        </w:sectPr>
      </w:pPr>
      <w:r w:rsidRPr="00F9716C">
        <w:rPr>
          <w:color w:val="414042" w:themeColor="text1"/>
        </w:rPr>
        <w:t>We have also published information on our website regarding the remuneration of members of government bodies relevant to our agency.</w:t>
      </w:r>
      <w:bookmarkStart w:id="1497" w:name="_Setting_our_strategic"/>
      <w:bookmarkStart w:id="1498" w:name="_Our_transformation_journey"/>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497"/>
      <w:bookmarkEnd w:id="1498"/>
    </w:p>
    <w:p w14:paraId="46B094FA" w14:textId="77777777" w:rsidR="00561686" w:rsidRPr="00F9716C" w:rsidRDefault="00561686" w:rsidP="00E046BF">
      <w:pPr>
        <w:pStyle w:val="Bulletlist"/>
        <w:framePr w:wrap="around"/>
        <w:rPr>
          <w:color w:val="414042" w:themeColor="text1"/>
        </w:rPr>
        <w:sectPr w:rsidR="00561686" w:rsidRPr="00F9716C" w:rsidSect="00C77834">
          <w:headerReference w:type="even" r:id="rId254"/>
          <w:headerReference w:type="default" r:id="rId255"/>
          <w:headerReference w:type="first" r:id="rId256"/>
          <w:type w:val="continuous"/>
          <w:pgSz w:w="11906" w:h="16838" w:code="9"/>
          <w:pgMar w:top="2155" w:right="1134" w:bottom="964" w:left="1134" w:header="720" w:footer="284" w:gutter="0"/>
          <w:cols w:num="2" w:space="567"/>
          <w:noEndnote/>
          <w:docGrid w:linePitch="272"/>
        </w:sectPr>
      </w:pPr>
      <w:bookmarkStart w:id="1499" w:name="_Our_Strategic_Plan"/>
      <w:bookmarkEnd w:id="1499"/>
    </w:p>
    <w:p w14:paraId="224D45F6" w14:textId="79749A7E" w:rsidR="00561686" w:rsidRPr="00F9716C" w:rsidRDefault="00561686" w:rsidP="00561686">
      <w:pPr>
        <w:rPr>
          <w:color w:val="414042" w:themeColor="text1"/>
        </w:rPr>
        <w:sectPr w:rsidR="00561686" w:rsidRPr="00F9716C" w:rsidSect="00C77834">
          <w:headerReference w:type="even" r:id="rId257"/>
          <w:headerReference w:type="default" r:id="rId258"/>
          <w:headerReference w:type="first" r:id="rId259"/>
          <w:type w:val="continuous"/>
          <w:pgSz w:w="11906" w:h="16838" w:code="9"/>
          <w:pgMar w:top="2155" w:right="1134" w:bottom="964" w:left="1134" w:header="720" w:footer="284" w:gutter="0"/>
          <w:cols w:space="567"/>
          <w:noEndnote/>
          <w:docGrid w:linePitch="272"/>
        </w:sectPr>
      </w:pPr>
      <w:bookmarkStart w:id="1500" w:name="_Our_Crime_Position"/>
      <w:bookmarkEnd w:id="1500"/>
    </w:p>
    <w:p w14:paraId="1D083ECD" w14:textId="3D7324A2" w:rsidR="000868AA" w:rsidRPr="00F9716C" w:rsidRDefault="000868AA" w:rsidP="006D51E2">
      <w:pPr>
        <w:pStyle w:val="Heading1"/>
      </w:pPr>
      <w:bookmarkStart w:id="1501" w:name="_Financial_information"/>
      <w:bookmarkStart w:id="1502" w:name="_Toc102038091"/>
      <w:bookmarkStart w:id="1503" w:name="_Toc102038452"/>
      <w:bookmarkStart w:id="1504" w:name="_Toc102038813"/>
      <w:bookmarkStart w:id="1505" w:name="_Toc102039165"/>
      <w:bookmarkStart w:id="1506" w:name="_Toc102039514"/>
      <w:bookmarkStart w:id="1507" w:name="_Toc102039876"/>
      <w:bookmarkStart w:id="1508" w:name="_Toc102040233"/>
      <w:bookmarkStart w:id="1509" w:name="_Toc102040561"/>
      <w:bookmarkStart w:id="1510" w:name="_Toc102040895"/>
      <w:bookmarkStart w:id="1511" w:name="_Toc102041223"/>
      <w:bookmarkStart w:id="1512" w:name="_Toc102041552"/>
      <w:bookmarkStart w:id="1513" w:name="_Toc102041884"/>
      <w:bookmarkStart w:id="1514" w:name="_Toc102042211"/>
      <w:bookmarkStart w:id="1515" w:name="_Toc102042541"/>
      <w:bookmarkStart w:id="1516" w:name="_Toc102045671"/>
      <w:bookmarkStart w:id="1517" w:name="FinancialInformation"/>
      <w:bookmarkEnd w:id="1501"/>
      <w:r w:rsidRPr="00F9716C">
        <w:t>Financial information</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tbl>
      <w:tblPr>
        <w:tblW w:w="4846" w:type="pct"/>
        <w:tblBorders>
          <w:insideH w:val="single" w:sz="8" w:space="0" w:color="FFFFFF" w:themeColor="background1"/>
        </w:tblBorders>
        <w:tblLook w:val="04A0" w:firstRow="1" w:lastRow="0" w:firstColumn="1" w:lastColumn="0" w:noHBand="0" w:noVBand="1"/>
      </w:tblPr>
      <w:tblGrid>
        <w:gridCol w:w="7833"/>
        <w:gridCol w:w="1508"/>
      </w:tblGrid>
      <w:tr w:rsidR="0006123B" w:rsidRPr="0006123B" w14:paraId="69D82BE2" w14:textId="77777777" w:rsidTr="008B0438">
        <w:trPr>
          <w:trHeight w:val="737"/>
        </w:trPr>
        <w:tc>
          <w:tcPr>
            <w:tcW w:w="4193" w:type="pct"/>
            <w:tcBorders>
              <w:bottom w:val="single" w:sz="12" w:space="0" w:color="FFFFFF" w:themeColor="background1"/>
            </w:tcBorders>
            <w:shd w:val="clear" w:color="auto" w:fill="auto"/>
            <w:vAlign w:val="center"/>
          </w:tcPr>
          <w:bookmarkEnd w:id="1517"/>
          <w:p w14:paraId="08B817BA" w14:textId="72F503B4" w:rsidR="002139D6" w:rsidRPr="00E6408B" w:rsidRDefault="00DE395D" w:rsidP="00DD31B5">
            <w:pPr>
              <w:pStyle w:val="71Sectionnumbering"/>
              <w:framePr w:wrap="around"/>
              <w:rPr>
                <w:rFonts w:cs="Calibri Light"/>
                <w:szCs w:val="20"/>
              </w:rPr>
            </w:pPr>
            <w:r w:rsidRPr="0006123B">
              <w:rPr>
                <w:rFonts w:cs="Calibri Light"/>
                <w:szCs w:val="20"/>
              </w:rPr>
              <w:fldChar w:fldCharType="begin"/>
            </w:r>
            <w:r w:rsidRPr="0006123B">
              <w:rPr>
                <w:rFonts w:cs="Calibri Light"/>
                <w:szCs w:val="20"/>
              </w:rPr>
              <w:instrText>HYPERLINK  \l "AboutTheFinancials"</w:instrText>
            </w:r>
            <w:r w:rsidRPr="0006123B">
              <w:rPr>
                <w:rFonts w:cs="Calibri Light"/>
                <w:szCs w:val="20"/>
              </w:rPr>
            </w:r>
            <w:r w:rsidRPr="0006123B">
              <w:rPr>
                <w:rFonts w:cs="Calibri Light"/>
                <w:szCs w:val="20"/>
              </w:rPr>
              <w:fldChar w:fldCharType="separate"/>
            </w:r>
            <w:r w:rsidR="002139D6" w:rsidRPr="00E6408B">
              <w:rPr>
                <w:rStyle w:val="Hyperlink"/>
                <w:rFonts w:cs="Calibri Light"/>
                <w:color w:val="auto"/>
                <w:szCs w:val="20"/>
                <w:u w:val="none"/>
              </w:rPr>
              <w:t xml:space="preserve">About the </w:t>
            </w:r>
            <w:r w:rsidR="001A0142" w:rsidRPr="00E6408B">
              <w:rPr>
                <w:rStyle w:val="Hyperlink"/>
                <w:rFonts w:cs="Calibri Light"/>
                <w:color w:val="auto"/>
                <w:szCs w:val="20"/>
                <w:u w:val="none"/>
              </w:rPr>
              <w:t>F</w:t>
            </w:r>
            <w:r w:rsidR="002139D6" w:rsidRPr="00E6408B">
              <w:rPr>
                <w:rStyle w:val="Hyperlink"/>
                <w:rFonts w:cs="Calibri Light"/>
                <w:color w:val="auto"/>
                <w:szCs w:val="20"/>
                <w:u w:val="none"/>
              </w:rPr>
              <w:t xml:space="preserve">inancial </w:t>
            </w:r>
            <w:r w:rsidR="001A0142" w:rsidRPr="00E6408B">
              <w:rPr>
                <w:rStyle w:val="Hyperlink"/>
                <w:rFonts w:cs="Calibri Light"/>
                <w:color w:val="auto"/>
                <w:szCs w:val="20"/>
                <w:u w:val="none"/>
              </w:rPr>
              <w:t>S</w:t>
            </w:r>
            <w:r w:rsidR="002139D6" w:rsidRPr="00E6408B">
              <w:rPr>
                <w:rStyle w:val="Hyperlink"/>
                <w:rFonts w:cs="Calibri Light"/>
                <w:color w:val="auto"/>
                <w:szCs w:val="20"/>
                <w:u w:val="none"/>
              </w:rPr>
              <w:t>tatements</w:t>
            </w:r>
            <w:r w:rsidRPr="0006123B">
              <w:rPr>
                <w:rFonts w:cs="Calibri Light"/>
                <w:szCs w:val="20"/>
              </w:rPr>
              <w:fldChar w:fldCharType="end"/>
            </w:r>
          </w:p>
        </w:tc>
        <w:tc>
          <w:tcPr>
            <w:tcW w:w="807" w:type="pct"/>
            <w:tcBorders>
              <w:bottom w:val="single" w:sz="12" w:space="0" w:color="FFFFFF" w:themeColor="background1"/>
            </w:tcBorders>
            <w:shd w:val="clear" w:color="auto" w:fill="auto"/>
            <w:vAlign w:val="center"/>
          </w:tcPr>
          <w:p w14:paraId="1972F2C5" w14:textId="26AAFB1B" w:rsidR="002139D6" w:rsidRPr="00E6408B" w:rsidRDefault="00507575" w:rsidP="00DD31B5">
            <w:pPr>
              <w:pStyle w:val="71Sectionnumbering"/>
              <w:framePr w:wrap="around"/>
            </w:pPr>
            <w:hyperlink w:anchor="AboutTheFinancials" w:history="1">
              <w:r w:rsidR="0015477A" w:rsidRPr="00E6408B">
                <w:rPr>
                  <w:rStyle w:val="Hyperlink"/>
                  <w:color w:val="auto"/>
                  <w:u w:val="none"/>
                </w:rPr>
                <w:t>72</w:t>
              </w:r>
            </w:hyperlink>
          </w:p>
        </w:tc>
      </w:tr>
      <w:tr w:rsidR="0006123B" w:rsidRPr="0006123B" w14:paraId="50BD4D8A" w14:textId="77777777" w:rsidTr="008B0438">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63B80E3C" w14:textId="68FE1478" w:rsidR="001A0142" w:rsidRPr="00E6408B" w:rsidRDefault="00507575" w:rsidP="00DD31B5">
            <w:pPr>
              <w:pStyle w:val="71Sectionnumbering"/>
              <w:framePr w:wrap="around"/>
            </w:pPr>
            <w:hyperlink w:anchor="FinancialStatements" w:history="1">
              <w:r w:rsidR="001A0142" w:rsidRPr="00E6408B">
                <w:rPr>
                  <w:rStyle w:val="Hyperlink"/>
                  <w:color w:val="auto"/>
                  <w:u w:val="none"/>
                </w:rPr>
                <w:t>Financial Statements</w:t>
              </w:r>
            </w:hyperlink>
          </w:p>
        </w:tc>
        <w:tc>
          <w:tcPr>
            <w:tcW w:w="807" w:type="pct"/>
            <w:tcBorders>
              <w:top w:val="single" w:sz="12" w:space="0" w:color="FFFFFF" w:themeColor="background1"/>
              <w:bottom w:val="single" w:sz="12" w:space="0" w:color="FFFFFF" w:themeColor="background1"/>
            </w:tcBorders>
            <w:shd w:val="clear" w:color="auto" w:fill="auto"/>
            <w:vAlign w:val="center"/>
          </w:tcPr>
          <w:p w14:paraId="2706F3A2" w14:textId="03DD9449" w:rsidR="001A0142" w:rsidRPr="00E6408B" w:rsidRDefault="00507575" w:rsidP="00DD31B5">
            <w:pPr>
              <w:pStyle w:val="71Sectionnumbering"/>
              <w:framePr w:wrap="around"/>
              <w:rPr>
                <w:bCs/>
              </w:rPr>
            </w:pPr>
            <w:hyperlink w:anchor="FinancialStatements" w:history="1">
              <w:r w:rsidR="0015477A" w:rsidRPr="00E6408B">
                <w:rPr>
                  <w:rStyle w:val="Hyperlink"/>
                  <w:bCs/>
                  <w:color w:val="auto"/>
                  <w:u w:val="none"/>
                </w:rPr>
                <w:t>74</w:t>
              </w:r>
            </w:hyperlink>
          </w:p>
        </w:tc>
      </w:tr>
      <w:tr w:rsidR="0006123B" w:rsidRPr="0006123B" w14:paraId="3B019B13" w14:textId="77777777" w:rsidTr="008B0438">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34D7C080" w14:textId="5E169577" w:rsidR="001A0142" w:rsidRPr="00E6408B" w:rsidRDefault="00507575" w:rsidP="00DD31B5">
            <w:pPr>
              <w:pStyle w:val="71Sectionnumbering"/>
              <w:framePr w:wrap="around"/>
            </w:pPr>
            <w:hyperlink w:anchor="AuditorsReport" w:history="1">
              <w:r w:rsidR="001A0142" w:rsidRPr="00E6408B">
                <w:rPr>
                  <w:rStyle w:val="Hyperlink"/>
                  <w:color w:val="auto"/>
                  <w:u w:val="none"/>
                </w:rPr>
                <w:t>Independent Auditor’s Report</w:t>
              </w:r>
            </w:hyperlink>
          </w:p>
        </w:tc>
        <w:tc>
          <w:tcPr>
            <w:tcW w:w="807" w:type="pct"/>
            <w:tcBorders>
              <w:top w:val="single" w:sz="12" w:space="0" w:color="FFFFFF" w:themeColor="background1"/>
              <w:bottom w:val="single" w:sz="12" w:space="0" w:color="FFFFFF" w:themeColor="background1"/>
            </w:tcBorders>
            <w:shd w:val="clear" w:color="auto" w:fill="auto"/>
            <w:vAlign w:val="center"/>
          </w:tcPr>
          <w:p w14:paraId="5400BA8D" w14:textId="3E48F06B" w:rsidR="001A0142" w:rsidRPr="00E6408B" w:rsidRDefault="00507575" w:rsidP="00DD31B5">
            <w:pPr>
              <w:pStyle w:val="71Sectionnumbering"/>
              <w:framePr w:wrap="around"/>
              <w:rPr>
                <w:bCs/>
              </w:rPr>
            </w:pPr>
            <w:hyperlink w:anchor="AuditorsReport" w:history="1">
              <w:r w:rsidR="0015477A" w:rsidRPr="00E6408B">
                <w:rPr>
                  <w:rStyle w:val="Hyperlink"/>
                  <w:bCs/>
                  <w:color w:val="auto"/>
                  <w:u w:val="none"/>
                </w:rPr>
                <w:t>106</w:t>
              </w:r>
            </w:hyperlink>
          </w:p>
        </w:tc>
      </w:tr>
    </w:tbl>
    <w:p w14:paraId="0DCA8234" w14:textId="77777777" w:rsidR="00700873" w:rsidRPr="00F9716C" w:rsidRDefault="00700873" w:rsidP="000868AA">
      <w:pPr>
        <w:rPr>
          <w:color w:val="414042" w:themeColor="text1"/>
        </w:rPr>
        <w:sectPr w:rsidR="00700873" w:rsidRPr="00F9716C" w:rsidSect="00C77834">
          <w:headerReference w:type="even" r:id="rId260"/>
          <w:headerReference w:type="default" r:id="rId261"/>
          <w:headerReference w:type="first" r:id="rId262"/>
          <w:pgSz w:w="11906" w:h="16838" w:code="9"/>
          <w:pgMar w:top="2155" w:right="1134" w:bottom="964" w:left="1134" w:header="720" w:footer="284" w:gutter="0"/>
          <w:cols w:space="567"/>
          <w:noEndnote/>
          <w:docGrid w:linePitch="272"/>
        </w:sectPr>
      </w:pPr>
    </w:p>
    <w:p w14:paraId="605DF398" w14:textId="1F4124DE" w:rsidR="000868AA" w:rsidRPr="00F9716C" w:rsidRDefault="000868AA" w:rsidP="002139D6">
      <w:pPr>
        <w:pStyle w:val="Heading2"/>
      </w:pPr>
      <w:bookmarkStart w:id="1518" w:name="_About_the_financial"/>
      <w:bookmarkStart w:id="1519" w:name="_Toc102038092"/>
      <w:bookmarkStart w:id="1520" w:name="_Toc102038453"/>
      <w:bookmarkStart w:id="1521" w:name="_Toc102038814"/>
      <w:bookmarkStart w:id="1522" w:name="_Toc102039166"/>
      <w:bookmarkStart w:id="1523" w:name="_Toc102039515"/>
      <w:bookmarkStart w:id="1524" w:name="_Toc102039877"/>
      <w:bookmarkStart w:id="1525" w:name="_Toc102040234"/>
      <w:bookmarkStart w:id="1526" w:name="_Toc102040562"/>
      <w:bookmarkStart w:id="1527" w:name="_Toc102040896"/>
      <w:bookmarkStart w:id="1528" w:name="_Toc102041224"/>
      <w:bookmarkStart w:id="1529" w:name="_Toc102041553"/>
      <w:bookmarkStart w:id="1530" w:name="_Toc102041885"/>
      <w:bookmarkStart w:id="1531" w:name="_Toc102042212"/>
      <w:bookmarkStart w:id="1532" w:name="_Toc102042542"/>
      <w:bookmarkStart w:id="1533" w:name="_Toc102045672"/>
      <w:bookmarkStart w:id="1534" w:name="AboutTheFinancials"/>
      <w:bookmarkEnd w:id="1518"/>
      <w:r w:rsidRPr="00F9716C">
        <w:t xml:space="preserve">About the </w:t>
      </w:r>
      <w:r w:rsidR="00EF1A9F" w:rsidRPr="00F9716C">
        <w:t>f</w:t>
      </w:r>
      <w:r w:rsidRPr="00F9716C">
        <w:t xml:space="preserve">inancial </w:t>
      </w:r>
      <w:r w:rsidR="00EF1A9F" w:rsidRPr="00F9716C">
        <w:t>s</w:t>
      </w:r>
      <w:r w:rsidRPr="00F9716C">
        <w:t>tatements</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bookmarkEnd w:id="1534"/>
    <w:p w14:paraId="3C88E17A" w14:textId="42720387" w:rsidR="00CF1D36" w:rsidRPr="00F9716C" w:rsidRDefault="00CF1D36" w:rsidP="0037124B">
      <w:pPr>
        <w:pStyle w:val="Openingparagraph"/>
      </w:pPr>
      <w:r w:rsidRPr="00F9716C">
        <w:t>The financial statements highlight our financial performance and overall position as at 30 June 202</w:t>
      </w:r>
      <w:r w:rsidR="003B0A22" w:rsidRPr="00F9716C">
        <w:t>4</w:t>
      </w:r>
      <w:r w:rsidRPr="00F9716C">
        <w:t>.</w:t>
      </w:r>
    </w:p>
    <w:p w14:paraId="6A3ED0EC" w14:textId="77777777" w:rsidR="00CF1D36" w:rsidRPr="00F9716C" w:rsidRDefault="00CF1D36" w:rsidP="0037124B">
      <w:pPr>
        <w:spacing w:after="0"/>
        <w:rPr>
          <w:strike/>
          <w:color w:val="414042" w:themeColor="text1"/>
        </w:rPr>
        <w:sectPr w:rsidR="00CF1D36" w:rsidRPr="00F9716C" w:rsidSect="00C77834">
          <w:headerReference w:type="even" r:id="rId263"/>
          <w:headerReference w:type="default" r:id="rId264"/>
          <w:footerReference w:type="even" r:id="rId265"/>
          <w:headerReference w:type="first" r:id="rId266"/>
          <w:pgSz w:w="11906" w:h="16838"/>
          <w:pgMar w:top="2155" w:right="1134" w:bottom="964" w:left="1134" w:header="720" w:footer="284" w:gutter="0"/>
          <w:cols w:space="720"/>
        </w:sectPr>
      </w:pPr>
    </w:p>
    <w:p w14:paraId="06E1D224" w14:textId="77777777" w:rsidR="00CF1D36" w:rsidRPr="00F9716C" w:rsidRDefault="00CF1D36" w:rsidP="0037124B">
      <w:pPr>
        <w:rPr>
          <w:color w:val="414042" w:themeColor="text1"/>
        </w:rPr>
      </w:pPr>
      <w:r w:rsidRPr="00F9716C">
        <w:rPr>
          <w:color w:val="414042" w:themeColor="text1"/>
        </w:rPr>
        <w:t>The financial statements consist of five parts:</w:t>
      </w:r>
    </w:p>
    <w:p w14:paraId="204771D7" w14:textId="6497B853" w:rsidR="00CF1D36" w:rsidRPr="00F9716C" w:rsidRDefault="00CF1D36" w:rsidP="006900F6">
      <w:pPr>
        <w:pStyle w:val="Bulletpoints0"/>
      </w:pPr>
      <w:r w:rsidRPr="00F9716C">
        <w:t>Statement of Comprehensive Income</w:t>
      </w:r>
      <w:r w:rsidR="000D28E1" w:rsidRPr="00F9716C">
        <w:t>.</w:t>
      </w:r>
    </w:p>
    <w:p w14:paraId="6FE718DF" w14:textId="2B874057" w:rsidR="00CF1D36" w:rsidRPr="00F9716C" w:rsidRDefault="00CF1D36" w:rsidP="006900F6">
      <w:pPr>
        <w:pStyle w:val="Bulletpoints0"/>
      </w:pPr>
      <w:r w:rsidRPr="00F9716C">
        <w:t>Statement of Financial Position</w:t>
      </w:r>
      <w:r w:rsidR="000D28E1" w:rsidRPr="00F9716C">
        <w:t>.</w:t>
      </w:r>
    </w:p>
    <w:p w14:paraId="0FB22611" w14:textId="7EBC0A91" w:rsidR="00CF1D36" w:rsidRPr="00F9716C" w:rsidRDefault="00CF1D36" w:rsidP="006900F6">
      <w:pPr>
        <w:pStyle w:val="Bulletpoints0"/>
      </w:pPr>
      <w:r w:rsidRPr="00F9716C">
        <w:t>Statement of Changes in Equity</w:t>
      </w:r>
      <w:r w:rsidR="000D28E1" w:rsidRPr="00F9716C">
        <w:t>.</w:t>
      </w:r>
    </w:p>
    <w:p w14:paraId="406B01D0" w14:textId="0EEE4907" w:rsidR="00CF1D36" w:rsidRPr="00F9716C" w:rsidRDefault="00CF1D36" w:rsidP="006900F6">
      <w:pPr>
        <w:pStyle w:val="Bulletpoints0"/>
      </w:pPr>
      <w:r w:rsidRPr="00F9716C">
        <w:t>Statement of Cash Flows</w:t>
      </w:r>
      <w:r w:rsidR="000D28E1" w:rsidRPr="00F9716C">
        <w:t>.</w:t>
      </w:r>
    </w:p>
    <w:p w14:paraId="643165C5" w14:textId="77777777" w:rsidR="00CF1D36" w:rsidRPr="00F9716C" w:rsidRDefault="00CF1D36" w:rsidP="006900F6">
      <w:pPr>
        <w:pStyle w:val="Bulletpoints0"/>
      </w:pPr>
      <w:r w:rsidRPr="00F9716C">
        <w:t>Notes to and forming part of the Financial Statements.</w:t>
      </w:r>
    </w:p>
    <w:p w14:paraId="561A3545" w14:textId="1B2123BE" w:rsidR="00CF1D36" w:rsidRPr="00F9716C" w:rsidRDefault="00CF1D36" w:rsidP="0037124B">
      <w:pPr>
        <w:rPr>
          <w:color w:val="414042" w:themeColor="text1"/>
        </w:rPr>
      </w:pPr>
      <w:r w:rsidRPr="00F9716C">
        <w:rPr>
          <w:color w:val="414042" w:themeColor="text1"/>
        </w:rPr>
        <w:t xml:space="preserve">The financial statements are prepared by our finance area, reviewed by our </w:t>
      </w:r>
      <w:r w:rsidR="00171C5D" w:rsidRPr="00F9716C">
        <w:rPr>
          <w:color w:val="414042" w:themeColor="text1"/>
        </w:rPr>
        <w:t>CEO</w:t>
      </w:r>
      <w:r w:rsidRPr="00F9716C">
        <w:rPr>
          <w:color w:val="414042" w:themeColor="text1"/>
        </w:rPr>
        <w:t xml:space="preserve"> and ARMC and then audited by the QAO.</w:t>
      </w:r>
    </w:p>
    <w:p w14:paraId="467A77D3" w14:textId="77777777" w:rsidR="00CF1D36" w:rsidRPr="00F9716C" w:rsidRDefault="00CF1D36" w:rsidP="00B02BC4">
      <w:pPr>
        <w:pStyle w:val="Heading4"/>
      </w:pPr>
      <w:r w:rsidRPr="00F9716C">
        <w:t>Statement of Comprehensive Income</w:t>
      </w:r>
    </w:p>
    <w:p w14:paraId="6353B8BC" w14:textId="77777777" w:rsidR="00CF1D36" w:rsidRPr="00F9716C" w:rsidRDefault="00CF1D36" w:rsidP="0037124B">
      <w:pPr>
        <w:rPr>
          <w:color w:val="414042" w:themeColor="text1"/>
        </w:rPr>
      </w:pPr>
      <w:r w:rsidRPr="00F9716C">
        <w:rPr>
          <w:color w:val="414042" w:themeColor="text1"/>
        </w:rPr>
        <w:t>The Statement of Comprehensive Income measures an entity’s financial performance over a specific period (usually 12 months). The Statement of Comprehensive Income comprises a profit and loss statement which compares revenues received against expenses incurred. Excess revenue over expenses results in an operating surplus, while excess expenses over revenue results in an operating deficit.</w:t>
      </w:r>
    </w:p>
    <w:p w14:paraId="25ED9099" w14:textId="77777777" w:rsidR="003B0A22" w:rsidRPr="00F9716C" w:rsidRDefault="003B0A22" w:rsidP="0037124B">
      <w:pPr>
        <w:rPr>
          <w:color w:val="414042" w:themeColor="text1"/>
        </w:rPr>
      </w:pPr>
      <w:r w:rsidRPr="00F9716C">
        <w:rPr>
          <w:color w:val="414042" w:themeColor="text1"/>
        </w:rPr>
        <w:t xml:space="preserve">For the year ended 30 June 2024, our expenses exceeded revenues by $0.156 million, resulting in an operating deficit. The CCC deferred $6.4 million in funding to future years to utilise to invest in the development of new </w:t>
      </w:r>
      <w:r w:rsidRPr="00F9716C">
        <w:rPr>
          <w:i/>
          <w:iCs/>
          <w:color w:val="414042" w:themeColor="text1"/>
        </w:rPr>
        <w:t>Investigation Case Management Systems</w:t>
      </w:r>
      <w:r w:rsidRPr="00F9716C">
        <w:rPr>
          <w:color w:val="414042" w:themeColor="text1"/>
        </w:rPr>
        <w:t xml:space="preserve"> for its crime and corruption functions.</w:t>
      </w:r>
    </w:p>
    <w:p w14:paraId="26537527" w14:textId="77777777" w:rsidR="00CF1D36" w:rsidRPr="00F9716C" w:rsidRDefault="00CF1D36" w:rsidP="00B02BC4">
      <w:pPr>
        <w:pStyle w:val="Heading4"/>
      </w:pPr>
      <w:r w:rsidRPr="00F9716C">
        <w:t>Statement of Financial Position</w:t>
      </w:r>
    </w:p>
    <w:p w14:paraId="6AC21B41" w14:textId="3BA2C888" w:rsidR="00CF1D36" w:rsidRPr="00F9716C" w:rsidRDefault="00CF1D36" w:rsidP="0037124B">
      <w:pPr>
        <w:rPr>
          <w:color w:val="414042" w:themeColor="text1"/>
        </w:rPr>
      </w:pPr>
      <w:r w:rsidRPr="00F9716C">
        <w:rPr>
          <w:color w:val="414042" w:themeColor="text1"/>
        </w:rPr>
        <w:t xml:space="preserve">The Statement of Financial Position provides a snapshot of the financial health of an entity at the end of the reporting period. It presents the value of the assets held, amounts owing (liabilities), and the equity </w:t>
      </w:r>
      <w:r w:rsidR="00AE2C78">
        <w:rPr>
          <w:color w:val="414042" w:themeColor="text1"/>
        </w:rPr>
        <w:br/>
      </w:r>
      <w:r w:rsidRPr="00F9716C">
        <w:rPr>
          <w:color w:val="414042" w:themeColor="text1"/>
        </w:rPr>
        <w:t>(net worth) of the entity.</w:t>
      </w:r>
    </w:p>
    <w:p w14:paraId="6E0BD7C9" w14:textId="51CB0D00" w:rsidR="00DF02AA" w:rsidRPr="00F9716C" w:rsidRDefault="00DF02AA" w:rsidP="0037124B">
      <w:pPr>
        <w:rPr>
          <w:color w:val="414042" w:themeColor="text1"/>
        </w:rPr>
      </w:pPr>
      <w:r w:rsidRPr="00F9716C">
        <w:rPr>
          <w:color w:val="414042" w:themeColor="text1"/>
        </w:rPr>
        <w:t>As at 30 June 2024, our equity was valued at $29.855 million, decreasing by $0.156 million due to the operating deficit for 2023–24.</w:t>
      </w:r>
    </w:p>
    <w:p w14:paraId="1343F41B" w14:textId="6C3B5751" w:rsidR="00CF1D36" w:rsidRPr="00F9716C" w:rsidRDefault="00CF1D36" w:rsidP="00B02BC4">
      <w:pPr>
        <w:pStyle w:val="Heading4"/>
      </w:pPr>
      <w:r w:rsidRPr="00F9716C">
        <w:br w:type="column"/>
        <w:t>Assets</w:t>
      </w:r>
    </w:p>
    <w:p w14:paraId="30F87A5D" w14:textId="77777777" w:rsidR="00CF1D36" w:rsidRPr="00F9716C" w:rsidRDefault="00CF1D36" w:rsidP="0037124B">
      <w:pPr>
        <w:rPr>
          <w:color w:val="414042" w:themeColor="text1"/>
        </w:rPr>
      </w:pPr>
      <w:r w:rsidRPr="00F9716C">
        <w:rPr>
          <w:color w:val="414042" w:themeColor="text1"/>
        </w:rPr>
        <w:t xml:space="preserve">Assets are items of value controlled by an entity, from which future economic benefits are expected to flow to the entity. Assets are classed as ‘current assets’ or </w:t>
      </w:r>
      <w:r w:rsidRPr="00F9716C">
        <w:rPr>
          <w:color w:val="414042" w:themeColor="text1"/>
        </w:rPr>
        <w:br/>
        <w:t>‘non-current assets’.</w:t>
      </w:r>
    </w:p>
    <w:p w14:paraId="477B115C" w14:textId="77777777" w:rsidR="00CF1D36" w:rsidRPr="00F9716C" w:rsidRDefault="00CF1D36" w:rsidP="0037124B">
      <w:pPr>
        <w:rPr>
          <w:color w:val="414042" w:themeColor="text1"/>
        </w:rPr>
      </w:pPr>
      <w:r w:rsidRPr="00F9716C">
        <w:rPr>
          <w:color w:val="414042" w:themeColor="text1"/>
        </w:rPr>
        <w:t>Current assets are those assets that can be readily converted into cash within the next 12 months. Our current assets include cash, trade debtors and other receivables, and pre-paid expenditure.</w:t>
      </w:r>
    </w:p>
    <w:p w14:paraId="62AF0074" w14:textId="77777777" w:rsidR="003B0A22" w:rsidRPr="00F9716C" w:rsidRDefault="003B0A22" w:rsidP="0037124B">
      <w:pPr>
        <w:rPr>
          <w:color w:val="414042" w:themeColor="text1"/>
          <w:spacing w:val="-4"/>
        </w:rPr>
      </w:pPr>
      <w:r w:rsidRPr="00F9716C">
        <w:rPr>
          <w:color w:val="414042" w:themeColor="text1"/>
          <w:spacing w:val="-4"/>
        </w:rPr>
        <w:t>Non-current assets are those assets that are not easily converted into cash and that an entity does not expect to convert into cash within the next 12 months. At 30 June 2024, our non-current assets of $5.785 million included the book value of leasehold improvements, motor vehicles, computer and other technical equipment, software (intangibles), and work in progress.</w:t>
      </w:r>
    </w:p>
    <w:p w14:paraId="1193B27B" w14:textId="77777777" w:rsidR="00CF1D36" w:rsidRPr="00F9716C" w:rsidRDefault="00CF1D36" w:rsidP="00B02BC4">
      <w:pPr>
        <w:pStyle w:val="Heading4"/>
      </w:pPr>
      <w:r w:rsidRPr="00F9716C">
        <w:t>Liabilities</w:t>
      </w:r>
    </w:p>
    <w:p w14:paraId="6A32D9F2" w14:textId="77777777" w:rsidR="00CF1D36" w:rsidRPr="00F9716C" w:rsidRDefault="00CF1D36" w:rsidP="0037124B">
      <w:pPr>
        <w:rPr>
          <w:color w:val="414042" w:themeColor="text1"/>
        </w:rPr>
      </w:pPr>
      <w:r w:rsidRPr="00F9716C">
        <w:rPr>
          <w:color w:val="414042" w:themeColor="text1"/>
        </w:rPr>
        <w:t>Liabilities are the amounts owed by the entity. Similarly, to assets, they are classed as ‘current liabilities’ and ‘non-current liabilities’.</w:t>
      </w:r>
    </w:p>
    <w:p w14:paraId="5630A6E1" w14:textId="77777777" w:rsidR="003B0A22" w:rsidRPr="00F9716C" w:rsidRDefault="003B0A22" w:rsidP="0037124B">
      <w:pPr>
        <w:rPr>
          <w:color w:val="414042" w:themeColor="text1"/>
        </w:rPr>
      </w:pPr>
      <w:r w:rsidRPr="00F9716C">
        <w:rPr>
          <w:color w:val="414042" w:themeColor="text1"/>
        </w:rPr>
        <w:t>Current liabilities are amounts owing that an entity plans to pay within the next 12 months. Our current liabilities include amounts owed to suppliers (usually settled on 20-day terms), amounts owing for leave entitlements to be paid to the Annual Leave Central Scheme, provisions for expenditure incurred based on contractual obligations and expected to be settled within the next 12 months.</w:t>
      </w:r>
    </w:p>
    <w:p w14:paraId="1AA439F3" w14:textId="1E72CD46" w:rsidR="00CF1D36" w:rsidRPr="00F9716C" w:rsidRDefault="00CF1D36" w:rsidP="0037124B">
      <w:pPr>
        <w:ind w:right="-143"/>
        <w:rPr>
          <w:color w:val="414042" w:themeColor="text1"/>
        </w:rPr>
      </w:pPr>
      <w:r w:rsidRPr="00F9716C">
        <w:rPr>
          <w:color w:val="414042" w:themeColor="text1"/>
        </w:rPr>
        <w:t>Non-current liabilities are those liabilities which an entity is not expected to pay within 12 months or which the entity has no legal requirement to settle within the next 12 months. Our non-current liabilities relate to the provision for costs to restore the leased premises to its original condition and deferred lease liabilities which have arisen due to recognising lease payments in accordance with the new leasing standard implemented on</w:t>
      </w:r>
      <w:r w:rsidR="00AE2C78">
        <w:rPr>
          <w:color w:val="414042" w:themeColor="text1"/>
        </w:rPr>
        <w:t xml:space="preserve"> </w:t>
      </w:r>
      <w:r w:rsidRPr="00F9716C">
        <w:rPr>
          <w:color w:val="414042" w:themeColor="text1"/>
        </w:rPr>
        <w:t xml:space="preserve">1 July 2019 (see </w:t>
      </w:r>
      <w:r w:rsidR="00733003" w:rsidRPr="00F9716C">
        <w:rPr>
          <w:color w:val="414042" w:themeColor="text1"/>
        </w:rPr>
        <w:t>N</w:t>
      </w:r>
      <w:r w:rsidRPr="00F9716C">
        <w:rPr>
          <w:color w:val="414042" w:themeColor="text1"/>
        </w:rPr>
        <w:t>otes 10 and 11) over the term of the lease.</w:t>
      </w:r>
    </w:p>
    <w:p w14:paraId="294FE5B6" w14:textId="0CAD6B8B" w:rsidR="00CF1D36" w:rsidRPr="00F9716C" w:rsidRDefault="007F64FE" w:rsidP="00B02BC4">
      <w:pPr>
        <w:pStyle w:val="Heading4"/>
      </w:pPr>
      <w:r>
        <w:br w:type="column"/>
      </w:r>
      <w:r w:rsidR="00CF1D36" w:rsidRPr="00F9716C">
        <w:t>Net assets</w:t>
      </w:r>
    </w:p>
    <w:p w14:paraId="792C4710" w14:textId="3EF4CEC1" w:rsidR="00CF1D36" w:rsidRPr="00F9716C" w:rsidRDefault="00CF1D36" w:rsidP="0037124B">
      <w:pPr>
        <w:ind w:right="-143"/>
        <w:rPr>
          <w:color w:val="414042" w:themeColor="text1"/>
        </w:rPr>
      </w:pPr>
      <w:r w:rsidRPr="00F9716C">
        <w:rPr>
          <w:color w:val="414042" w:themeColor="text1"/>
        </w:rPr>
        <w:t xml:space="preserve">This term is used to describe the difference between </w:t>
      </w:r>
      <w:r w:rsidRPr="00F9716C">
        <w:rPr>
          <w:color w:val="414042" w:themeColor="text1"/>
        </w:rPr>
        <w:br/>
        <w:t>the value of total assets and the value of total liabilities.</w:t>
      </w:r>
      <w:r w:rsidRPr="00F9716C">
        <w:rPr>
          <w:color w:val="414042" w:themeColor="text1"/>
        </w:rPr>
        <w:br/>
        <w:t xml:space="preserve">It represents the net worth of the CCC as </w:t>
      </w:r>
      <w:r w:rsidR="00000629" w:rsidRPr="00F9716C">
        <w:rPr>
          <w:color w:val="414042" w:themeColor="text1"/>
        </w:rPr>
        <w:t>at 30 June 202</w:t>
      </w:r>
      <w:r w:rsidR="003B0A22" w:rsidRPr="00F9716C">
        <w:rPr>
          <w:color w:val="414042" w:themeColor="text1"/>
        </w:rPr>
        <w:t>4</w:t>
      </w:r>
      <w:r w:rsidRPr="00F9716C">
        <w:rPr>
          <w:color w:val="414042" w:themeColor="text1"/>
        </w:rPr>
        <w:t>.</w:t>
      </w:r>
    </w:p>
    <w:p w14:paraId="32AF29BF" w14:textId="77777777" w:rsidR="00CF1D36" w:rsidRPr="00F9716C" w:rsidRDefault="00CF1D36" w:rsidP="00B02BC4">
      <w:pPr>
        <w:pStyle w:val="Heading4"/>
      </w:pPr>
      <w:r w:rsidRPr="00F9716C">
        <w:t>Equity</w:t>
      </w:r>
    </w:p>
    <w:p w14:paraId="04E164D3" w14:textId="77777777" w:rsidR="00CF1D36" w:rsidRPr="00F9716C" w:rsidRDefault="00CF1D36" w:rsidP="00AC41C4">
      <w:pPr>
        <w:ind w:left="28"/>
        <w:rPr>
          <w:color w:val="414042" w:themeColor="text1"/>
        </w:rPr>
      </w:pPr>
      <w:r w:rsidRPr="00F9716C">
        <w:rPr>
          <w:color w:val="414042" w:themeColor="text1"/>
        </w:rPr>
        <w:t>Equity is the net worth of the entity and is represented by total assets less total liabilities in the Statement of Financial Position. An entity’s equity balance is made up of initial capital (contributions), accumulated surplus/deficit and reserves.</w:t>
      </w:r>
    </w:p>
    <w:p w14:paraId="55E59D5C" w14:textId="77777777" w:rsidR="00CF1D36" w:rsidRPr="00F9716C" w:rsidRDefault="00CF1D36" w:rsidP="00B02BC4">
      <w:pPr>
        <w:pStyle w:val="Heading4"/>
      </w:pPr>
      <w:r w:rsidRPr="00F9716C">
        <w:t>Statement of Changes in Equity</w:t>
      </w:r>
    </w:p>
    <w:p w14:paraId="64D2C0CA" w14:textId="77777777" w:rsidR="00CF1D36" w:rsidRPr="00F9716C" w:rsidRDefault="00CF1D36" w:rsidP="00AC41C4">
      <w:pPr>
        <w:ind w:left="28"/>
        <w:rPr>
          <w:color w:val="414042" w:themeColor="text1"/>
        </w:rPr>
      </w:pPr>
      <w:r w:rsidRPr="00F9716C">
        <w:rPr>
          <w:color w:val="414042" w:themeColor="text1"/>
        </w:rPr>
        <w:t>The Statement of Changes in Equity details movements in the equity of an entity during the reporting period. The equity balance is affected by the operating result (surplus or deficit) for the period, equity injections or withdrawals, and asset revaluations.</w:t>
      </w:r>
    </w:p>
    <w:p w14:paraId="043AF495" w14:textId="77777777" w:rsidR="00CF1D36" w:rsidRPr="00F9716C" w:rsidRDefault="00CF1D36" w:rsidP="00B02BC4">
      <w:pPr>
        <w:pStyle w:val="Heading4"/>
      </w:pPr>
      <w:r w:rsidRPr="00F9716C">
        <w:br w:type="column"/>
        <w:t>Statement of Cash Flows</w:t>
      </w:r>
    </w:p>
    <w:p w14:paraId="40ED93DA" w14:textId="50716FB0" w:rsidR="003B0A22" w:rsidRPr="00F9716C" w:rsidRDefault="003B0A22" w:rsidP="0037124B">
      <w:pPr>
        <w:ind w:right="140"/>
        <w:rPr>
          <w:color w:val="414042" w:themeColor="text1"/>
        </w:rPr>
      </w:pPr>
      <w:r w:rsidRPr="00F9716C">
        <w:rPr>
          <w:color w:val="414042" w:themeColor="text1"/>
        </w:rPr>
        <w:t xml:space="preserve">This statement shows the actual movements of cash during the financial year. During the 2023–24 financial year, we received $72.487 million in cash and paid out $70.559 million in cash to manage our operating activities. In addition, $1.227 million in cash was invested in capital acquisitions. Our cash balance at </w:t>
      </w:r>
      <w:r w:rsidR="007A6267">
        <w:rPr>
          <w:color w:val="414042" w:themeColor="text1"/>
        </w:rPr>
        <w:br/>
      </w:r>
      <w:r w:rsidRPr="00F9716C">
        <w:rPr>
          <w:color w:val="414042" w:themeColor="text1"/>
        </w:rPr>
        <w:t>30 June 2024 was $25.931 million compared with $25.215 million at 30 June 2023. The increase in cash of $0.716 million is mainly due to the current year operating deficit plus depreciation and amortisation expenses when compared with capital expenditure for the year to 30 June 2024.</w:t>
      </w:r>
    </w:p>
    <w:p w14:paraId="0BC5C878" w14:textId="77777777" w:rsidR="00CF1D36" w:rsidRPr="00F9716C" w:rsidRDefault="00CF1D36" w:rsidP="00B02BC4">
      <w:pPr>
        <w:pStyle w:val="Heading4"/>
      </w:pPr>
      <w:r w:rsidRPr="00F9716C">
        <w:t>Notes to and forming part of the Financial Statements</w:t>
      </w:r>
    </w:p>
    <w:p w14:paraId="3DA86981" w14:textId="77777777" w:rsidR="00CF1D36" w:rsidRPr="00F9716C" w:rsidRDefault="00CF1D36" w:rsidP="0037124B">
      <w:pPr>
        <w:ind w:right="-1"/>
        <w:rPr>
          <w:color w:val="414042" w:themeColor="text1"/>
        </w:rPr>
      </w:pPr>
      <w:r w:rsidRPr="00F9716C">
        <w:rPr>
          <w:color w:val="414042" w:themeColor="text1"/>
        </w:rPr>
        <w:t>The notes to the financial statements provide a more detailed breakup of line items presented in the financial statements. They also disclose other matters such as the CCC’s accounting policies, budget reporting disclosures including explanations of major budget variances, outstanding commitments at the end of the reporting period and other financial disclosures including key executive management personnel and remuneration. The financial statements should be read in conjunction with these accompanying notes.</w:t>
      </w:r>
    </w:p>
    <w:p w14:paraId="00E43F67" w14:textId="77777777" w:rsidR="00CF1D36" w:rsidRPr="007A1087" w:rsidRDefault="00CF1D36" w:rsidP="00CF1D36">
      <w:pPr>
        <w:rPr>
          <w:strike/>
          <w:color w:val="414042" w:themeColor="text1"/>
        </w:rPr>
      </w:pPr>
    </w:p>
    <w:p w14:paraId="4F60F51C" w14:textId="77777777" w:rsidR="00CF1D36" w:rsidRPr="007A1087" w:rsidRDefault="00CF1D36" w:rsidP="00CF1D36">
      <w:pPr>
        <w:rPr>
          <w:strike/>
          <w:color w:val="414042" w:themeColor="text1"/>
        </w:rPr>
        <w:sectPr w:rsidR="00CF1D36" w:rsidRPr="007A1087" w:rsidSect="00C77834">
          <w:headerReference w:type="even" r:id="rId267"/>
          <w:headerReference w:type="first" r:id="rId268"/>
          <w:type w:val="continuous"/>
          <w:pgSz w:w="11906" w:h="16838" w:code="9"/>
          <w:pgMar w:top="2155" w:right="1134" w:bottom="964" w:left="1134" w:header="720" w:footer="284" w:gutter="0"/>
          <w:cols w:num="2" w:space="567"/>
          <w:noEndnote/>
          <w:docGrid w:linePitch="272"/>
        </w:sectPr>
      </w:pPr>
    </w:p>
    <w:p w14:paraId="55A810D5" w14:textId="77777777" w:rsidR="00CF1D36" w:rsidRPr="007A1087" w:rsidRDefault="00CF1D36" w:rsidP="00CF1D36">
      <w:pPr>
        <w:spacing w:before="120" w:after="0" w:line="260" w:lineRule="exact"/>
        <w:rPr>
          <w:strike/>
          <w:color w:val="414042" w:themeColor="text1"/>
        </w:rPr>
        <w:sectPr w:rsidR="00CF1D36" w:rsidRPr="007A1087" w:rsidSect="00C77834">
          <w:headerReference w:type="even" r:id="rId269"/>
          <w:headerReference w:type="default" r:id="rId270"/>
          <w:footerReference w:type="even" r:id="rId271"/>
          <w:headerReference w:type="first" r:id="rId272"/>
          <w:footerReference w:type="first" r:id="rId273"/>
          <w:type w:val="continuous"/>
          <w:pgSz w:w="11906" w:h="16838"/>
          <w:pgMar w:top="2155" w:right="1134" w:bottom="964" w:left="1134" w:header="720" w:footer="283" w:gutter="0"/>
          <w:cols w:space="708"/>
          <w:titlePg/>
          <w:docGrid w:linePitch="360"/>
        </w:sectPr>
      </w:pPr>
      <w:r w:rsidRPr="007A1087">
        <w:rPr>
          <w:strike/>
          <w:color w:val="414042" w:themeColor="text1"/>
        </w:rPr>
        <w:br w:type="page"/>
      </w:r>
    </w:p>
    <w:p w14:paraId="7B456631" w14:textId="306E60C2" w:rsidR="00C30C67" w:rsidRDefault="00C30C67" w:rsidP="00C30C67">
      <w:pPr>
        <w:rPr>
          <w:color w:val="414042" w:themeColor="text1"/>
        </w:rPr>
      </w:pPr>
      <w:bookmarkStart w:id="1535" w:name="_Heading"/>
      <w:bookmarkStart w:id="1536" w:name="_Financial_Statements"/>
      <w:bookmarkEnd w:id="1535"/>
      <w:bookmarkEnd w:id="1536"/>
    </w:p>
    <w:p w14:paraId="628BCA0F" w14:textId="3298ABED" w:rsidR="00F96E14" w:rsidRPr="00E6408B" w:rsidRDefault="00075DD9" w:rsidP="00E6408B">
      <w:pPr>
        <w:pStyle w:val="1Heading"/>
        <w:rPr>
          <w:color w:val="FFFFFF" w:themeColor="background1"/>
          <w:sz w:val="16"/>
          <w:szCs w:val="16"/>
        </w:rPr>
      </w:pPr>
      <w:r w:rsidRPr="00E6408B">
        <w:rPr>
          <w:color w:val="FFFFFF" w:themeColor="background1"/>
          <w:sz w:val="16"/>
          <w:szCs w:val="16"/>
        </w:rPr>
        <w:t>Financial Statements</w:t>
      </w:r>
    </w:p>
    <w:p w14:paraId="69CE9A19" w14:textId="77777777" w:rsidR="00221B4D" w:rsidRPr="007A1087" w:rsidRDefault="00221B4D" w:rsidP="00221B4D">
      <w:pPr>
        <w:tabs>
          <w:tab w:val="right" w:pos="8505"/>
        </w:tabs>
        <w:rPr>
          <w:rFonts w:asciiTheme="minorHAnsi" w:hAnsiTheme="minorHAnsi" w:cstheme="minorHAnsi"/>
          <w:b/>
          <w:szCs w:val="18"/>
        </w:rPr>
      </w:pPr>
      <w:bookmarkStart w:id="1537" w:name="FinancialStatements"/>
      <w:r w:rsidRPr="007A1087">
        <w:rPr>
          <w:rFonts w:asciiTheme="minorHAnsi" w:hAnsiTheme="minorHAnsi" w:cstheme="minorHAnsi"/>
          <w:b/>
          <w:sz w:val="24"/>
          <w:szCs w:val="24"/>
        </w:rPr>
        <w:t>Contents</w:t>
      </w:r>
      <w:r w:rsidRPr="007A1087">
        <w:rPr>
          <w:rFonts w:asciiTheme="minorHAnsi" w:hAnsiTheme="minorHAnsi" w:cstheme="minorHAnsi"/>
          <w:szCs w:val="18"/>
        </w:rPr>
        <w:tab/>
      </w:r>
      <w:r w:rsidRPr="007A1087">
        <w:rPr>
          <w:rFonts w:asciiTheme="minorHAnsi" w:hAnsiTheme="minorHAnsi" w:cstheme="minorHAnsi"/>
          <w:b/>
          <w:szCs w:val="18"/>
        </w:rPr>
        <w:t>Page</w:t>
      </w:r>
    </w:p>
    <w:bookmarkEnd w:id="1537"/>
    <w:p w14:paraId="35FA9EC7" w14:textId="68261745" w:rsidR="00221B4D" w:rsidRPr="007A1087" w:rsidRDefault="00221B4D" w:rsidP="00221B4D">
      <w:pPr>
        <w:tabs>
          <w:tab w:val="right" w:leader="dot" w:pos="8505"/>
        </w:tabs>
        <w:outlineLvl w:val="0"/>
        <w:rPr>
          <w:rFonts w:asciiTheme="minorHAnsi" w:hAnsiTheme="minorHAnsi" w:cstheme="minorHAnsi"/>
          <w:szCs w:val="20"/>
        </w:rPr>
      </w:pPr>
      <w:r w:rsidRPr="007A1087">
        <w:rPr>
          <w:rFonts w:asciiTheme="minorHAnsi" w:hAnsiTheme="minorHAnsi" w:cstheme="minorHAnsi"/>
          <w:szCs w:val="20"/>
        </w:rPr>
        <w:t>Statement of Comprehensive Income</w:t>
      </w:r>
      <w:r w:rsidRPr="007A1087">
        <w:rPr>
          <w:rFonts w:asciiTheme="minorHAnsi" w:hAnsiTheme="minorHAnsi" w:cstheme="minorHAnsi"/>
          <w:szCs w:val="20"/>
        </w:rPr>
        <w:tab/>
        <w:t xml:space="preserve"> </w:t>
      </w:r>
      <w:r w:rsidR="00255ADB">
        <w:rPr>
          <w:rFonts w:asciiTheme="minorHAnsi" w:hAnsiTheme="minorHAnsi" w:cstheme="minorHAnsi"/>
          <w:szCs w:val="20"/>
        </w:rPr>
        <w:t>7</w:t>
      </w:r>
      <w:r w:rsidR="00D85CC0">
        <w:rPr>
          <w:rFonts w:asciiTheme="minorHAnsi" w:hAnsiTheme="minorHAnsi" w:cstheme="minorHAnsi"/>
          <w:szCs w:val="20"/>
        </w:rPr>
        <w:t>5</w:t>
      </w:r>
    </w:p>
    <w:p w14:paraId="6AAA0F22" w14:textId="729369F5" w:rsidR="00221B4D" w:rsidRPr="007A1087" w:rsidRDefault="00221B4D" w:rsidP="00221B4D">
      <w:pPr>
        <w:tabs>
          <w:tab w:val="right" w:leader="dot" w:pos="8505"/>
        </w:tabs>
        <w:outlineLvl w:val="0"/>
        <w:rPr>
          <w:rFonts w:asciiTheme="minorHAnsi" w:hAnsiTheme="minorHAnsi" w:cstheme="minorHAnsi"/>
          <w:szCs w:val="20"/>
        </w:rPr>
      </w:pPr>
      <w:r w:rsidRPr="007A1087">
        <w:rPr>
          <w:rFonts w:asciiTheme="minorHAnsi" w:hAnsiTheme="minorHAnsi" w:cstheme="minorHAnsi"/>
          <w:szCs w:val="20"/>
        </w:rPr>
        <w:t>Statement of Financial Position</w:t>
      </w:r>
      <w:r w:rsidRPr="007A1087">
        <w:rPr>
          <w:rFonts w:asciiTheme="minorHAnsi" w:hAnsiTheme="minorHAnsi" w:cstheme="minorHAnsi"/>
          <w:szCs w:val="20"/>
        </w:rPr>
        <w:tab/>
        <w:t xml:space="preserve"> </w:t>
      </w:r>
      <w:r w:rsidR="00255ADB">
        <w:rPr>
          <w:rFonts w:asciiTheme="minorHAnsi" w:hAnsiTheme="minorHAnsi" w:cstheme="minorHAnsi"/>
          <w:szCs w:val="20"/>
        </w:rPr>
        <w:t>7</w:t>
      </w:r>
      <w:r w:rsidR="00D85CC0">
        <w:rPr>
          <w:rFonts w:asciiTheme="minorHAnsi" w:hAnsiTheme="minorHAnsi" w:cstheme="minorHAnsi"/>
          <w:szCs w:val="20"/>
        </w:rPr>
        <w:t>6</w:t>
      </w:r>
    </w:p>
    <w:p w14:paraId="19137933" w14:textId="7DBED883" w:rsidR="00221B4D" w:rsidRPr="007A1087" w:rsidRDefault="00221B4D" w:rsidP="00221B4D">
      <w:pPr>
        <w:tabs>
          <w:tab w:val="right" w:leader="dot" w:pos="8505"/>
        </w:tabs>
        <w:outlineLvl w:val="0"/>
        <w:rPr>
          <w:rFonts w:asciiTheme="minorHAnsi" w:hAnsiTheme="minorHAnsi" w:cstheme="minorHAnsi"/>
          <w:szCs w:val="20"/>
        </w:rPr>
      </w:pPr>
      <w:r w:rsidRPr="007A1087">
        <w:rPr>
          <w:rFonts w:asciiTheme="minorHAnsi" w:hAnsiTheme="minorHAnsi" w:cstheme="minorHAnsi"/>
          <w:szCs w:val="20"/>
        </w:rPr>
        <w:t>Statement of Changes in Equity</w:t>
      </w:r>
      <w:r w:rsidRPr="007A1087">
        <w:rPr>
          <w:rFonts w:asciiTheme="minorHAnsi" w:hAnsiTheme="minorHAnsi" w:cstheme="minorHAnsi"/>
          <w:szCs w:val="20"/>
        </w:rPr>
        <w:tab/>
        <w:t xml:space="preserve"> </w:t>
      </w:r>
      <w:r w:rsidR="00255ADB">
        <w:rPr>
          <w:rFonts w:asciiTheme="minorHAnsi" w:hAnsiTheme="minorHAnsi" w:cstheme="minorHAnsi"/>
          <w:szCs w:val="20"/>
        </w:rPr>
        <w:t>7</w:t>
      </w:r>
      <w:r w:rsidR="00D85CC0">
        <w:rPr>
          <w:rFonts w:asciiTheme="minorHAnsi" w:hAnsiTheme="minorHAnsi" w:cstheme="minorHAnsi"/>
          <w:szCs w:val="20"/>
        </w:rPr>
        <w:t>7</w:t>
      </w:r>
    </w:p>
    <w:p w14:paraId="1B1D57F2" w14:textId="1757E5C4" w:rsidR="00221B4D" w:rsidRPr="007A1087" w:rsidRDefault="00221B4D" w:rsidP="00221B4D">
      <w:pPr>
        <w:tabs>
          <w:tab w:val="right" w:leader="dot" w:pos="8505"/>
        </w:tabs>
        <w:outlineLvl w:val="0"/>
        <w:rPr>
          <w:rFonts w:asciiTheme="minorHAnsi" w:hAnsiTheme="minorHAnsi" w:cstheme="minorHAnsi"/>
          <w:szCs w:val="20"/>
        </w:rPr>
      </w:pPr>
      <w:r w:rsidRPr="007A1087">
        <w:rPr>
          <w:rFonts w:asciiTheme="minorHAnsi" w:hAnsiTheme="minorHAnsi" w:cstheme="minorHAnsi"/>
          <w:szCs w:val="20"/>
        </w:rPr>
        <w:t>Statement of Cash Flows</w:t>
      </w:r>
      <w:r w:rsidRPr="007A1087">
        <w:rPr>
          <w:rFonts w:asciiTheme="minorHAnsi" w:hAnsiTheme="minorHAnsi" w:cstheme="minorHAnsi"/>
          <w:szCs w:val="20"/>
        </w:rPr>
        <w:tab/>
        <w:t xml:space="preserve"> </w:t>
      </w:r>
      <w:r w:rsidR="00255ADB">
        <w:rPr>
          <w:rFonts w:asciiTheme="minorHAnsi" w:hAnsiTheme="minorHAnsi" w:cstheme="minorHAnsi"/>
          <w:szCs w:val="20"/>
        </w:rPr>
        <w:t>7</w:t>
      </w:r>
      <w:r w:rsidR="00D85CC0">
        <w:rPr>
          <w:rFonts w:asciiTheme="minorHAnsi" w:hAnsiTheme="minorHAnsi" w:cstheme="minorHAnsi"/>
          <w:szCs w:val="20"/>
        </w:rPr>
        <w:t>8</w:t>
      </w:r>
    </w:p>
    <w:p w14:paraId="4FC39E27" w14:textId="4F4E2C6B" w:rsidR="00221B4D" w:rsidRPr="007A1087" w:rsidRDefault="00221B4D" w:rsidP="00221B4D">
      <w:pPr>
        <w:tabs>
          <w:tab w:val="right" w:leader="dot" w:pos="8505"/>
        </w:tabs>
        <w:outlineLvl w:val="0"/>
        <w:rPr>
          <w:rFonts w:asciiTheme="minorHAnsi" w:hAnsiTheme="minorHAnsi" w:cstheme="minorHAnsi"/>
          <w:szCs w:val="20"/>
        </w:rPr>
      </w:pPr>
      <w:r w:rsidRPr="007A1087">
        <w:rPr>
          <w:rFonts w:asciiTheme="minorHAnsi" w:hAnsiTheme="minorHAnsi" w:cstheme="minorHAnsi"/>
          <w:szCs w:val="20"/>
        </w:rPr>
        <w:t>Notes to and forming part of the Financial Statements</w:t>
      </w:r>
      <w:r w:rsidRPr="007A1087">
        <w:rPr>
          <w:rFonts w:asciiTheme="minorHAnsi" w:hAnsiTheme="minorHAnsi" w:cstheme="minorHAnsi"/>
          <w:szCs w:val="20"/>
        </w:rPr>
        <w:tab/>
        <w:t xml:space="preserve"> </w:t>
      </w:r>
      <w:r w:rsidR="001D6A76">
        <w:rPr>
          <w:rFonts w:asciiTheme="minorHAnsi" w:hAnsiTheme="minorHAnsi" w:cstheme="minorHAnsi"/>
          <w:szCs w:val="20"/>
        </w:rPr>
        <w:t>8</w:t>
      </w:r>
      <w:r w:rsidR="00D85CC0">
        <w:rPr>
          <w:rFonts w:asciiTheme="minorHAnsi" w:hAnsiTheme="minorHAnsi" w:cstheme="minorHAnsi"/>
          <w:szCs w:val="20"/>
        </w:rPr>
        <w:t>0</w:t>
      </w:r>
    </w:p>
    <w:p w14:paraId="1E9723B3" w14:textId="104D786B" w:rsidR="00221B4D" w:rsidRPr="007A1087" w:rsidRDefault="00221B4D" w:rsidP="00221B4D">
      <w:pPr>
        <w:tabs>
          <w:tab w:val="right" w:leader="dot" w:pos="8505"/>
        </w:tabs>
        <w:outlineLvl w:val="0"/>
        <w:rPr>
          <w:rFonts w:asciiTheme="minorHAnsi" w:hAnsiTheme="minorHAnsi" w:cstheme="minorHAnsi"/>
          <w:szCs w:val="20"/>
        </w:rPr>
      </w:pPr>
      <w:r w:rsidRPr="007A1087">
        <w:rPr>
          <w:rFonts w:asciiTheme="minorHAnsi" w:hAnsiTheme="minorHAnsi" w:cstheme="minorHAnsi"/>
          <w:szCs w:val="20"/>
        </w:rPr>
        <w:t>Management Certificate</w:t>
      </w:r>
      <w:r w:rsidRPr="007A1087">
        <w:rPr>
          <w:rFonts w:asciiTheme="minorHAnsi" w:hAnsiTheme="minorHAnsi" w:cstheme="minorHAnsi"/>
          <w:szCs w:val="20"/>
        </w:rPr>
        <w:tab/>
      </w:r>
      <w:r w:rsidR="001D6A76">
        <w:rPr>
          <w:rFonts w:asciiTheme="minorHAnsi" w:hAnsiTheme="minorHAnsi" w:cstheme="minorHAnsi"/>
          <w:szCs w:val="20"/>
        </w:rPr>
        <w:t>10</w:t>
      </w:r>
      <w:r w:rsidR="00D85CC0">
        <w:rPr>
          <w:rFonts w:asciiTheme="minorHAnsi" w:hAnsiTheme="minorHAnsi" w:cstheme="minorHAnsi"/>
          <w:szCs w:val="20"/>
        </w:rPr>
        <w:t>5</w:t>
      </w:r>
    </w:p>
    <w:p w14:paraId="00216653" w14:textId="1C5F39F3" w:rsidR="00C30C67" w:rsidRDefault="00C30C67" w:rsidP="00C30C67">
      <w:pPr>
        <w:rPr>
          <w:color w:val="414042" w:themeColor="text1"/>
        </w:rPr>
      </w:pPr>
    </w:p>
    <w:p w14:paraId="0C1E95A8" w14:textId="77777777" w:rsidR="003A1DE7" w:rsidRDefault="003A1DE7" w:rsidP="00C30C67">
      <w:pPr>
        <w:rPr>
          <w:color w:val="414042" w:themeColor="text1"/>
        </w:rPr>
      </w:pPr>
    </w:p>
    <w:p w14:paraId="5A042B73" w14:textId="77777777" w:rsidR="003A1DE7" w:rsidRPr="007A1087" w:rsidRDefault="003A1DE7" w:rsidP="00C30C67">
      <w:pPr>
        <w:rPr>
          <w:color w:val="414042" w:themeColor="text1"/>
        </w:rPr>
      </w:pPr>
    </w:p>
    <w:p w14:paraId="0C3ED0CF" w14:textId="77777777" w:rsidR="00C30C67" w:rsidRPr="007A1087" w:rsidRDefault="00C30C67" w:rsidP="00C30C67">
      <w:pPr>
        <w:rPr>
          <w:color w:val="414042" w:themeColor="text1"/>
        </w:rPr>
      </w:pPr>
    </w:p>
    <w:p w14:paraId="5991D7A3" w14:textId="77777777" w:rsidR="00221B4D" w:rsidRPr="007A1087" w:rsidRDefault="00221B4D" w:rsidP="0037124B">
      <w:pPr>
        <w:rPr>
          <w:rFonts w:asciiTheme="minorHAnsi" w:hAnsiTheme="minorHAnsi" w:cstheme="minorHAnsi"/>
          <w:b/>
          <w:sz w:val="24"/>
          <w:szCs w:val="24"/>
        </w:rPr>
      </w:pPr>
      <w:r w:rsidRPr="007A1087">
        <w:rPr>
          <w:rFonts w:asciiTheme="minorHAnsi" w:hAnsiTheme="minorHAnsi" w:cstheme="minorHAnsi"/>
          <w:b/>
          <w:sz w:val="24"/>
          <w:szCs w:val="24"/>
        </w:rPr>
        <w:t>General information</w:t>
      </w:r>
    </w:p>
    <w:p w14:paraId="4B0A6533" w14:textId="77777777" w:rsidR="00221B4D" w:rsidRPr="007A1087" w:rsidRDefault="00221B4D" w:rsidP="0037124B">
      <w:pPr>
        <w:rPr>
          <w:rFonts w:asciiTheme="minorHAnsi" w:hAnsiTheme="minorHAnsi" w:cstheme="minorHAnsi"/>
          <w:szCs w:val="20"/>
        </w:rPr>
      </w:pPr>
      <w:r w:rsidRPr="007A1087">
        <w:rPr>
          <w:rFonts w:asciiTheme="minorHAnsi" w:hAnsiTheme="minorHAnsi" w:cstheme="minorHAnsi"/>
          <w:szCs w:val="20"/>
        </w:rPr>
        <w:t xml:space="preserve">These financial statements cover the Crime and Corruption Commission (CCC), an independent statutory body established under the </w:t>
      </w:r>
      <w:r w:rsidRPr="007A1087">
        <w:rPr>
          <w:rFonts w:asciiTheme="minorHAnsi" w:hAnsiTheme="minorHAnsi" w:cstheme="minorHAnsi"/>
          <w:i/>
          <w:szCs w:val="20"/>
        </w:rPr>
        <w:t>Crime and Corruption Act 2001</w:t>
      </w:r>
      <w:r w:rsidRPr="007A1087">
        <w:rPr>
          <w:rFonts w:asciiTheme="minorHAnsi" w:hAnsiTheme="minorHAnsi" w:cstheme="minorHAnsi"/>
          <w:szCs w:val="20"/>
        </w:rPr>
        <w:t xml:space="preserve">, which reports directly to the Queensland Parliament. </w:t>
      </w:r>
    </w:p>
    <w:p w14:paraId="68D93F53" w14:textId="77777777" w:rsidR="00221B4D" w:rsidRPr="007A1087" w:rsidRDefault="00221B4D" w:rsidP="0037124B">
      <w:pPr>
        <w:rPr>
          <w:rFonts w:asciiTheme="minorHAnsi" w:hAnsiTheme="minorHAnsi" w:cstheme="minorHAnsi"/>
          <w:szCs w:val="20"/>
        </w:rPr>
      </w:pPr>
      <w:r w:rsidRPr="007A1087">
        <w:rPr>
          <w:rFonts w:asciiTheme="minorHAnsi" w:hAnsiTheme="minorHAnsi" w:cstheme="minorHAnsi"/>
          <w:szCs w:val="20"/>
        </w:rPr>
        <w:t xml:space="preserve">For financial reporting purposes, the CCC is a statutory body in terms of the </w:t>
      </w:r>
      <w:r w:rsidRPr="007A1087">
        <w:rPr>
          <w:rFonts w:asciiTheme="minorHAnsi" w:hAnsiTheme="minorHAnsi" w:cstheme="minorHAnsi"/>
          <w:i/>
          <w:szCs w:val="20"/>
        </w:rPr>
        <w:t>Financial Accountability Act 2009</w:t>
      </w:r>
      <w:r w:rsidRPr="007A1087">
        <w:rPr>
          <w:rFonts w:asciiTheme="minorHAnsi" w:hAnsiTheme="minorHAnsi" w:cstheme="minorHAnsi"/>
          <w:szCs w:val="20"/>
        </w:rPr>
        <w:t>, and is subsequently consolidated into the whole-of-government financial statements.</w:t>
      </w:r>
    </w:p>
    <w:p w14:paraId="715F3F45" w14:textId="77777777" w:rsidR="00221B4D" w:rsidRPr="007A1087" w:rsidRDefault="00221B4D" w:rsidP="0037124B">
      <w:pPr>
        <w:rPr>
          <w:rFonts w:asciiTheme="minorHAnsi" w:hAnsiTheme="minorHAnsi" w:cstheme="minorHAnsi"/>
          <w:szCs w:val="20"/>
        </w:rPr>
      </w:pPr>
      <w:r w:rsidRPr="007A1087">
        <w:rPr>
          <w:rFonts w:asciiTheme="minorHAnsi" w:hAnsiTheme="minorHAnsi" w:cstheme="minorHAnsi"/>
          <w:szCs w:val="20"/>
        </w:rPr>
        <w:t>The head office and principal place of business of the CCC is:                                                                                     Level 2, North Tower Green Square                                                                                                                                      515 St Pauls Terrace                                                                                                                                                                        Fortitude Valley QLD 4006</w:t>
      </w:r>
    </w:p>
    <w:p w14:paraId="6E0B3E63" w14:textId="77777777" w:rsidR="00221B4D" w:rsidRPr="007A1087" w:rsidRDefault="00221B4D" w:rsidP="0037124B">
      <w:pPr>
        <w:rPr>
          <w:rFonts w:asciiTheme="minorHAnsi" w:hAnsiTheme="minorHAnsi" w:cstheme="minorHAnsi"/>
          <w:szCs w:val="20"/>
        </w:rPr>
      </w:pPr>
      <w:r w:rsidRPr="007A1087">
        <w:rPr>
          <w:rFonts w:asciiTheme="minorHAnsi" w:hAnsiTheme="minorHAnsi" w:cstheme="minorHAnsi"/>
          <w:szCs w:val="20"/>
        </w:rPr>
        <w:t xml:space="preserve">A description of the nature of the CCC’s operations and its principal activities is included in the notes to the financial statements. </w:t>
      </w:r>
    </w:p>
    <w:p w14:paraId="5975F9C7" w14:textId="461485A8" w:rsidR="00C25B64" w:rsidRPr="007A1087" w:rsidRDefault="00221B4D" w:rsidP="0037124B">
      <w:pPr>
        <w:rPr>
          <w:rFonts w:asciiTheme="minorHAnsi" w:hAnsiTheme="minorHAnsi" w:cstheme="minorHAnsi"/>
          <w:szCs w:val="20"/>
        </w:rPr>
        <w:sectPr w:rsidR="00C25B64" w:rsidRPr="007A1087" w:rsidSect="002232A6">
          <w:headerReference w:type="even" r:id="rId274"/>
          <w:headerReference w:type="default" r:id="rId275"/>
          <w:headerReference w:type="first" r:id="rId276"/>
          <w:pgSz w:w="11906" w:h="16838"/>
          <w:pgMar w:top="1701" w:right="1418" w:bottom="1588" w:left="1418" w:header="709" w:footer="283" w:gutter="0"/>
          <w:cols w:space="708"/>
          <w:docGrid w:linePitch="360"/>
        </w:sectPr>
      </w:pPr>
      <w:r w:rsidRPr="007A1087">
        <w:rPr>
          <w:rFonts w:asciiTheme="minorHAnsi" w:hAnsiTheme="minorHAnsi" w:cstheme="minorHAnsi"/>
          <w:szCs w:val="20"/>
        </w:rPr>
        <w:t xml:space="preserve">For information relating to the CCC’s financial statements, please call 07 3360 6060, email </w:t>
      </w:r>
      <w:hyperlink r:id="rId277" w:history="1">
        <w:r w:rsidR="006A512B" w:rsidRPr="00C57BE4">
          <w:rPr>
            <w:rStyle w:val="Hyperlink"/>
            <w:rFonts w:asciiTheme="minorHAnsi" w:hAnsiTheme="minorHAnsi" w:cstheme="minorHAnsi"/>
            <w:szCs w:val="20"/>
          </w:rPr>
          <w:t>mailbox@ccc.qld.gov.au</w:t>
        </w:r>
      </w:hyperlink>
      <w:r w:rsidRPr="007A1087">
        <w:rPr>
          <w:rFonts w:asciiTheme="minorHAnsi" w:hAnsiTheme="minorHAnsi" w:cstheme="minorHAnsi"/>
          <w:szCs w:val="20"/>
        </w:rPr>
        <w:t xml:space="preserve"> or visit the CCC’s website at </w:t>
      </w:r>
      <w:hyperlink r:id="rId278" w:history="1">
        <w:r w:rsidR="006A512B" w:rsidRPr="00E468A0">
          <w:rPr>
            <w:rStyle w:val="Hyperlink"/>
            <w:rFonts w:asciiTheme="minorHAnsi" w:hAnsiTheme="minorHAnsi" w:cstheme="minorHAnsi"/>
            <w:szCs w:val="20"/>
          </w:rPr>
          <w:t>www.ccc.qld.gov.au</w:t>
        </w:r>
      </w:hyperlink>
      <w:r w:rsidRPr="007A1087">
        <w:rPr>
          <w:rFonts w:asciiTheme="minorHAnsi" w:hAnsiTheme="minorHAnsi" w:cstheme="minorHAnsi"/>
          <w:szCs w:val="20"/>
        </w:rPr>
        <w:t>.</w:t>
      </w:r>
    </w:p>
    <w:p w14:paraId="406553C7" w14:textId="77777777" w:rsidR="00221B4D" w:rsidRPr="007A1087" w:rsidRDefault="00221B4D" w:rsidP="00221B4D">
      <w:pPr>
        <w:jc w:val="both"/>
        <w:rPr>
          <w:rFonts w:asciiTheme="minorHAnsi" w:hAnsiTheme="minorHAnsi" w:cstheme="minorHAnsi"/>
          <w:szCs w:val="20"/>
        </w:rPr>
        <w:sectPr w:rsidR="00221B4D" w:rsidRPr="007A1087" w:rsidSect="00C25B64">
          <w:type w:val="continuous"/>
          <w:pgSz w:w="11906" w:h="16838"/>
          <w:pgMar w:top="1701" w:right="1418" w:bottom="1588" w:left="1418" w:header="709" w:footer="709" w:gutter="0"/>
          <w:cols w:space="708"/>
          <w:docGrid w:linePitch="360"/>
        </w:sectPr>
      </w:pPr>
    </w:p>
    <w:p w14:paraId="68FFD308" w14:textId="77777777" w:rsidR="00AB33EC" w:rsidRPr="003E75E2" w:rsidRDefault="00AB33EC" w:rsidP="00AB33EC">
      <w:pPr>
        <w:spacing w:line="260" w:lineRule="atLeast"/>
        <w:rPr>
          <w:rFonts w:asciiTheme="minorHAnsi" w:hAnsiTheme="minorHAnsi" w:cstheme="minorHAnsi"/>
          <w:snapToGrid w:val="0"/>
          <w:szCs w:val="20"/>
        </w:rPr>
      </w:pPr>
      <w:bookmarkStart w:id="1538" w:name="_Hlk141260740"/>
      <w:bookmarkStart w:id="1539" w:name="_Toc443037420"/>
      <w:bookmarkStart w:id="1540" w:name="_Toc45705579"/>
    </w:p>
    <w:tbl>
      <w:tblPr>
        <w:tblW w:w="9407" w:type="dxa"/>
        <w:tblLook w:val="04A0" w:firstRow="1" w:lastRow="0" w:firstColumn="1" w:lastColumn="0" w:noHBand="0" w:noVBand="1"/>
      </w:tblPr>
      <w:tblGrid>
        <w:gridCol w:w="4480"/>
        <w:gridCol w:w="823"/>
        <w:gridCol w:w="1020"/>
        <w:gridCol w:w="1020"/>
        <w:gridCol w:w="1044"/>
        <w:gridCol w:w="1020"/>
      </w:tblGrid>
      <w:tr w:rsidR="00AB33EC" w:rsidRPr="003E75E2" w14:paraId="1DD96A0B" w14:textId="77777777" w:rsidTr="00B721B7">
        <w:trPr>
          <w:trHeight w:val="780"/>
        </w:trPr>
        <w:tc>
          <w:tcPr>
            <w:tcW w:w="4480" w:type="dxa"/>
            <w:tcBorders>
              <w:top w:val="nil"/>
              <w:left w:val="nil"/>
              <w:bottom w:val="nil"/>
              <w:right w:val="nil"/>
            </w:tcBorders>
            <w:shd w:val="clear" w:color="000000" w:fill="FFFFFF"/>
            <w:noWrap/>
            <w:vAlign w:val="center"/>
            <w:hideMark/>
          </w:tcPr>
          <w:p w14:paraId="394FC547" w14:textId="77777777" w:rsidR="00AB33EC" w:rsidRPr="00E80281" w:rsidRDefault="00AB33EC" w:rsidP="00B721B7">
            <w:pPr>
              <w:spacing w:after="8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OPERATING RESULT</w:t>
            </w:r>
          </w:p>
        </w:tc>
        <w:tc>
          <w:tcPr>
            <w:tcW w:w="823" w:type="dxa"/>
            <w:tcBorders>
              <w:top w:val="nil"/>
              <w:left w:val="nil"/>
              <w:bottom w:val="nil"/>
              <w:right w:val="nil"/>
            </w:tcBorders>
            <w:shd w:val="clear" w:color="000000" w:fill="FFFFFF"/>
            <w:noWrap/>
            <w:vAlign w:val="center"/>
            <w:hideMark/>
          </w:tcPr>
          <w:p w14:paraId="445019CC" w14:textId="77777777" w:rsidR="00AB33EC" w:rsidRPr="00E80281" w:rsidRDefault="00AB33EC" w:rsidP="00B721B7">
            <w:pPr>
              <w:spacing w:after="80"/>
              <w:jc w:val="center"/>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Notes</w:t>
            </w:r>
          </w:p>
        </w:tc>
        <w:tc>
          <w:tcPr>
            <w:tcW w:w="1020" w:type="dxa"/>
            <w:tcBorders>
              <w:top w:val="nil"/>
              <w:left w:val="nil"/>
              <w:bottom w:val="nil"/>
              <w:right w:val="nil"/>
            </w:tcBorders>
            <w:shd w:val="clear" w:color="auto" w:fill="F1F1F2" w:themeFill="accent5" w:themeFillTint="33"/>
            <w:vAlign w:val="bottom"/>
            <w:hideMark/>
          </w:tcPr>
          <w:p w14:paraId="4FFA7B41"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2024</w:t>
            </w:r>
            <w:r w:rsidRPr="00E80281">
              <w:rPr>
                <w:rFonts w:asciiTheme="minorHAnsi" w:eastAsia="Times New Roman" w:hAnsiTheme="minorHAnsi" w:cstheme="minorHAnsi"/>
                <w:b/>
                <w:bCs/>
                <w:color w:val="000000"/>
                <w:szCs w:val="20"/>
                <w:lang w:eastAsia="en-AU"/>
              </w:rPr>
              <w:br/>
              <w:t>Actual</w:t>
            </w:r>
          </w:p>
        </w:tc>
        <w:tc>
          <w:tcPr>
            <w:tcW w:w="1020" w:type="dxa"/>
            <w:tcBorders>
              <w:top w:val="nil"/>
              <w:left w:val="nil"/>
              <w:bottom w:val="nil"/>
              <w:right w:val="nil"/>
            </w:tcBorders>
            <w:shd w:val="clear" w:color="000000" w:fill="FFFFFF"/>
            <w:vAlign w:val="bottom"/>
            <w:hideMark/>
          </w:tcPr>
          <w:p w14:paraId="575745C7"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2024 Original Budget</w:t>
            </w:r>
          </w:p>
        </w:tc>
        <w:tc>
          <w:tcPr>
            <w:tcW w:w="1044" w:type="dxa"/>
            <w:tcBorders>
              <w:top w:val="nil"/>
              <w:left w:val="nil"/>
              <w:bottom w:val="nil"/>
              <w:right w:val="nil"/>
            </w:tcBorders>
            <w:shd w:val="clear" w:color="000000" w:fill="FFFFFF"/>
            <w:vAlign w:val="bottom"/>
            <w:hideMark/>
          </w:tcPr>
          <w:p w14:paraId="4A1CC2FA"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xml:space="preserve">Budget </w:t>
            </w:r>
            <w:r w:rsidRPr="00E80281">
              <w:rPr>
                <w:rFonts w:asciiTheme="minorHAnsi" w:eastAsia="Times New Roman" w:hAnsiTheme="minorHAnsi" w:cstheme="minorHAnsi"/>
                <w:b/>
                <w:bCs/>
                <w:color w:val="000000"/>
                <w:szCs w:val="20"/>
                <w:lang w:eastAsia="en-AU"/>
              </w:rPr>
              <w:br/>
              <w:t>Variance*</w:t>
            </w:r>
          </w:p>
        </w:tc>
        <w:tc>
          <w:tcPr>
            <w:tcW w:w="1020" w:type="dxa"/>
            <w:tcBorders>
              <w:top w:val="nil"/>
              <w:left w:val="nil"/>
              <w:bottom w:val="nil"/>
              <w:right w:val="nil"/>
            </w:tcBorders>
            <w:shd w:val="clear" w:color="000000" w:fill="FFFFFF"/>
            <w:vAlign w:val="bottom"/>
            <w:hideMark/>
          </w:tcPr>
          <w:p w14:paraId="4C70C8F0"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2023</w:t>
            </w:r>
            <w:r w:rsidRPr="00E80281">
              <w:rPr>
                <w:rFonts w:asciiTheme="minorHAnsi" w:eastAsia="Times New Roman" w:hAnsiTheme="minorHAnsi" w:cstheme="minorHAnsi"/>
                <w:b/>
                <w:bCs/>
                <w:color w:val="000000"/>
                <w:szCs w:val="20"/>
                <w:lang w:eastAsia="en-AU"/>
              </w:rPr>
              <w:br/>
              <w:t>Actual</w:t>
            </w:r>
          </w:p>
        </w:tc>
      </w:tr>
      <w:tr w:rsidR="00AB33EC" w:rsidRPr="003E75E2" w14:paraId="67612B5B" w14:textId="77777777" w:rsidTr="00B721B7">
        <w:trPr>
          <w:trHeight w:val="300"/>
        </w:trPr>
        <w:tc>
          <w:tcPr>
            <w:tcW w:w="4480" w:type="dxa"/>
            <w:tcBorders>
              <w:top w:val="nil"/>
              <w:left w:val="nil"/>
              <w:bottom w:val="nil"/>
              <w:right w:val="nil"/>
            </w:tcBorders>
            <w:shd w:val="clear" w:color="000000" w:fill="FFFFFF"/>
            <w:noWrap/>
            <w:vAlign w:val="bottom"/>
            <w:hideMark/>
          </w:tcPr>
          <w:p w14:paraId="38C5ED15" w14:textId="77777777" w:rsidR="00AB33EC" w:rsidRPr="00E80281" w:rsidRDefault="00AB33EC" w:rsidP="00B721B7">
            <w:pPr>
              <w:spacing w:after="12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c>
          <w:tcPr>
            <w:tcW w:w="823" w:type="dxa"/>
            <w:tcBorders>
              <w:top w:val="nil"/>
              <w:left w:val="nil"/>
              <w:bottom w:val="nil"/>
              <w:right w:val="nil"/>
            </w:tcBorders>
            <w:shd w:val="clear" w:color="000000" w:fill="FFFFFF"/>
            <w:noWrap/>
            <w:vAlign w:val="center"/>
            <w:hideMark/>
          </w:tcPr>
          <w:p w14:paraId="1C25043D"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20" w:type="dxa"/>
            <w:tcBorders>
              <w:top w:val="nil"/>
              <w:left w:val="nil"/>
              <w:bottom w:val="nil"/>
              <w:right w:val="nil"/>
            </w:tcBorders>
            <w:shd w:val="clear" w:color="auto" w:fill="F1F1F2" w:themeFill="accent5" w:themeFillTint="33"/>
            <w:vAlign w:val="center"/>
            <w:hideMark/>
          </w:tcPr>
          <w:p w14:paraId="5320682F" w14:textId="77777777" w:rsidR="00AB33EC" w:rsidRPr="00E80281" w:rsidRDefault="00AB33EC" w:rsidP="00B721B7">
            <w:pPr>
              <w:spacing w:after="12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$’000</w:t>
            </w:r>
          </w:p>
        </w:tc>
        <w:tc>
          <w:tcPr>
            <w:tcW w:w="1020" w:type="dxa"/>
            <w:tcBorders>
              <w:top w:val="nil"/>
              <w:left w:val="nil"/>
              <w:bottom w:val="nil"/>
              <w:right w:val="nil"/>
            </w:tcBorders>
            <w:shd w:val="clear" w:color="000000" w:fill="FFFFFF"/>
            <w:vAlign w:val="center"/>
            <w:hideMark/>
          </w:tcPr>
          <w:p w14:paraId="1D49AC9E" w14:textId="77777777" w:rsidR="00AB33EC" w:rsidRPr="00E80281" w:rsidRDefault="00AB33EC" w:rsidP="00B721B7">
            <w:pPr>
              <w:spacing w:after="12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$’000</w:t>
            </w:r>
          </w:p>
        </w:tc>
        <w:tc>
          <w:tcPr>
            <w:tcW w:w="1044" w:type="dxa"/>
            <w:tcBorders>
              <w:top w:val="nil"/>
              <w:left w:val="nil"/>
              <w:bottom w:val="nil"/>
              <w:right w:val="nil"/>
            </w:tcBorders>
            <w:shd w:val="clear" w:color="000000" w:fill="FFFFFF"/>
            <w:noWrap/>
            <w:vAlign w:val="center"/>
            <w:hideMark/>
          </w:tcPr>
          <w:p w14:paraId="2E6FDF33" w14:textId="77777777" w:rsidR="00AB33EC" w:rsidRPr="00E80281" w:rsidRDefault="00AB33EC" w:rsidP="00B721B7">
            <w:pPr>
              <w:spacing w:after="12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$’000</w:t>
            </w:r>
          </w:p>
        </w:tc>
        <w:tc>
          <w:tcPr>
            <w:tcW w:w="1020" w:type="dxa"/>
            <w:tcBorders>
              <w:top w:val="nil"/>
              <w:left w:val="nil"/>
              <w:bottom w:val="nil"/>
              <w:right w:val="nil"/>
            </w:tcBorders>
            <w:shd w:val="clear" w:color="000000" w:fill="FFFFFF"/>
            <w:vAlign w:val="center"/>
            <w:hideMark/>
          </w:tcPr>
          <w:p w14:paraId="14D26B0A" w14:textId="77777777" w:rsidR="00AB33EC" w:rsidRPr="00E80281" w:rsidRDefault="00AB33EC" w:rsidP="00B721B7">
            <w:pPr>
              <w:spacing w:after="12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$’000</w:t>
            </w:r>
          </w:p>
        </w:tc>
      </w:tr>
      <w:tr w:rsidR="00AB33EC" w:rsidRPr="003E75E2" w14:paraId="231FF0CA" w14:textId="77777777" w:rsidTr="00B721B7">
        <w:trPr>
          <w:trHeight w:val="300"/>
        </w:trPr>
        <w:tc>
          <w:tcPr>
            <w:tcW w:w="4480" w:type="dxa"/>
            <w:tcBorders>
              <w:top w:val="nil"/>
              <w:left w:val="nil"/>
              <w:bottom w:val="nil"/>
              <w:right w:val="nil"/>
            </w:tcBorders>
            <w:shd w:val="clear" w:color="000000" w:fill="FFFFFF"/>
            <w:noWrap/>
            <w:vAlign w:val="center"/>
            <w:hideMark/>
          </w:tcPr>
          <w:p w14:paraId="15C94244" w14:textId="77777777" w:rsidR="00AB33EC" w:rsidRPr="00E80281" w:rsidRDefault="00AB33EC" w:rsidP="00B721B7">
            <w:pPr>
              <w:spacing w:after="12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823" w:type="dxa"/>
            <w:tcBorders>
              <w:top w:val="nil"/>
              <w:left w:val="nil"/>
              <w:bottom w:val="nil"/>
              <w:right w:val="nil"/>
            </w:tcBorders>
            <w:shd w:val="clear" w:color="000000" w:fill="FFFFFF"/>
            <w:noWrap/>
            <w:vAlign w:val="center"/>
            <w:hideMark/>
          </w:tcPr>
          <w:p w14:paraId="64FFD602" w14:textId="77777777" w:rsidR="00AB33EC" w:rsidRPr="00E80281" w:rsidRDefault="00AB33EC" w:rsidP="00B721B7">
            <w:pPr>
              <w:spacing w:after="120"/>
              <w:jc w:val="center"/>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20" w:type="dxa"/>
            <w:tcBorders>
              <w:top w:val="nil"/>
              <w:left w:val="nil"/>
              <w:bottom w:val="nil"/>
              <w:right w:val="nil"/>
            </w:tcBorders>
            <w:shd w:val="clear" w:color="auto" w:fill="F1F1F2" w:themeFill="accent5" w:themeFillTint="33"/>
            <w:vAlign w:val="center"/>
            <w:hideMark/>
          </w:tcPr>
          <w:p w14:paraId="45C20A7B" w14:textId="77777777" w:rsidR="00AB33EC" w:rsidRPr="00E80281" w:rsidRDefault="00AB33EC" w:rsidP="00B721B7">
            <w:pPr>
              <w:spacing w:after="12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20" w:type="dxa"/>
            <w:tcBorders>
              <w:top w:val="nil"/>
              <w:left w:val="nil"/>
              <w:bottom w:val="nil"/>
              <w:right w:val="nil"/>
            </w:tcBorders>
            <w:shd w:val="clear" w:color="000000" w:fill="FFFFFF"/>
            <w:vAlign w:val="center"/>
            <w:hideMark/>
          </w:tcPr>
          <w:p w14:paraId="4018DEE9" w14:textId="77777777" w:rsidR="00AB33EC" w:rsidRPr="00E80281" w:rsidRDefault="00AB33EC" w:rsidP="00B721B7">
            <w:pPr>
              <w:spacing w:after="12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44" w:type="dxa"/>
            <w:tcBorders>
              <w:top w:val="nil"/>
              <w:left w:val="nil"/>
              <w:bottom w:val="nil"/>
              <w:right w:val="nil"/>
            </w:tcBorders>
            <w:shd w:val="clear" w:color="000000" w:fill="FFFFFF"/>
            <w:noWrap/>
            <w:vAlign w:val="center"/>
            <w:hideMark/>
          </w:tcPr>
          <w:p w14:paraId="152C5C66" w14:textId="77777777" w:rsidR="00AB33EC" w:rsidRPr="00E80281" w:rsidRDefault="00AB33EC" w:rsidP="00B721B7">
            <w:pPr>
              <w:spacing w:after="12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20" w:type="dxa"/>
            <w:tcBorders>
              <w:top w:val="nil"/>
              <w:left w:val="nil"/>
              <w:bottom w:val="nil"/>
              <w:right w:val="nil"/>
            </w:tcBorders>
            <w:shd w:val="clear" w:color="000000" w:fill="FFFFFF"/>
            <w:vAlign w:val="center"/>
            <w:hideMark/>
          </w:tcPr>
          <w:p w14:paraId="61E18108" w14:textId="77777777" w:rsidR="00AB33EC" w:rsidRPr="00E80281" w:rsidRDefault="00AB33EC" w:rsidP="00B721B7">
            <w:pPr>
              <w:spacing w:after="12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r>
      <w:tr w:rsidR="00AB33EC" w:rsidRPr="003E75E2" w14:paraId="1AF1C9D9" w14:textId="77777777" w:rsidTr="00B721B7">
        <w:trPr>
          <w:trHeight w:val="300"/>
        </w:trPr>
        <w:tc>
          <w:tcPr>
            <w:tcW w:w="4480" w:type="dxa"/>
            <w:tcBorders>
              <w:top w:val="nil"/>
              <w:left w:val="nil"/>
              <w:bottom w:val="nil"/>
              <w:right w:val="nil"/>
            </w:tcBorders>
            <w:shd w:val="clear" w:color="000000" w:fill="FFFFFF"/>
            <w:noWrap/>
            <w:vAlign w:val="center"/>
            <w:hideMark/>
          </w:tcPr>
          <w:p w14:paraId="1B6549E8" w14:textId="77777777" w:rsidR="00AB33EC" w:rsidRPr="00E80281" w:rsidRDefault="00AB33EC" w:rsidP="00B721B7">
            <w:pPr>
              <w:spacing w:after="12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Income from Continuing Operations</w:t>
            </w:r>
          </w:p>
        </w:tc>
        <w:tc>
          <w:tcPr>
            <w:tcW w:w="823" w:type="dxa"/>
            <w:tcBorders>
              <w:top w:val="nil"/>
              <w:left w:val="nil"/>
              <w:bottom w:val="nil"/>
              <w:right w:val="nil"/>
            </w:tcBorders>
            <w:shd w:val="clear" w:color="000000" w:fill="FFFFFF"/>
            <w:noWrap/>
            <w:vAlign w:val="center"/>
            <w:hideMark/>
          </w:tcPr>
          <w:p w14:paraId="17D0F890" w14:textId="77777777" w:rsidR="00AB33EC" w:rsidRPr="00E80281" w:rsidRDefault="00AB33EC" w:rsidP="00B721B7">
            <w:pPr>
              <w:spacing w:after="120"/>
              <w:jc w:val="center"/>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20" w:type="dxa"/>
            <w:tcBorders>
              <w:top w:val="nil"/>
              <w:left w:val="nil"/>
              <w:bottom w:val="nil"/>
              <w:right w:val="nil"/>
            </w:tcBorders>
            <w:shd w:val="clear" w:color="auto" w:fill="F1F1F2" w:themeFill="accent5" w:themeFillTint="33"/>
            <w:vAlign w:val="center"/>
            <w:hideMark/>
          </w:tcPr>
          <w:p w14:paraId="46DC7764" w14:textId="77777777" w:rsidR="00AB33EC" w:rsidRPr="00E80281" w:rsidRDefault="00AB33EC" w:rsidP="00B721B7">
            <w:pPr>
              <w:spacing w:after="12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20" w:type="dxa"/>
            <w:tcBorders>
              <w:top w:val="nil"/>
              <w:left w:val="nil"/>
              <w:bottom w:val="nil"/>
              <w:right w:val="nil"/>
            </w:tcBorders>
            <w:shd w:val="clear" w:color="000000" w:fill="FFFFFF"/>
            <w:vAlign w:val="center"/>
            <w:hideMark/>
          </w:tcPr>
          <w:p w14:paraId="12DD1152" w14:textId="77777777" w:rsidR="00AB33EC" w:rsidRPr="00E80281" w:rsidRDefault="00AB33EC" w:rsidP="00B721B7">
            <w:pPr>
              <w:spacing w:after="12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44" w:type="dxa"/>
            <w:tcBorders>
              <w:top w:val="nil"/>
              <w:left w:val="nil"/>
              <w:bottom w:val="nil"/>
              <w:right w:val="nil"/>
            </w:tcBorders>
            <w:shd w:val="clear" w:color="000000" w:fill="FFFFFF"/>
            <w:noWrap/>
            <w:vAlign w:val="center"/>
            <w:hideMark/>
          </w:tcPr>
          <w:p w14:paraId="45EE3009" w14:textId="77777777" w:rsidR="00AB33EC" w:rsidRPr="00E80281" w:rsidRDefault="00AB33EC" w:rsidP="00B721B7">
            <w:pPr>
              <w:spacing w:after="12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20" w:type="dxa"/>
            <w:tcBorders>
              <w:top w:val="nil"/>
              <w:left w:val="nil"/>
              <w:bottom w:val="nil"/>
              <w:right w:val="nil"/>
            </w:tcBorders>
            <w:shd w:val="clear" w:color="000000" w:fill="FFFFFF"/>
            <w:vAlign w:val="center"/>
            <w:hideMark/>
          </w:tcPr>
          <w:p w14:paraId="5DB59A6A" w14:textId="77777777" w:rsidR="00AB33EC" w:rsidRPr="00E80281" w:rsidRDefault="00AB33EC" w:rsidP="00B721B7">
            <w:pPr>
              <w:spacing w:after="12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r>
      <w:tr w:rsidR="00AB33EC" w:rsidRPr="003E75E2" w14:paraId="2D89D87D" w14:textId="77777777" w:rsidTr="00B721B7">
        <w:trPr>
          <w:trHeight w:val="300"/>
        </w:trPr>
        <w:tc>
          <w:tcPr>
            <w:tcW w:w="4480" w:type="dxa"/>
            <w:tcBorders>
              <w:top w:val="nil"/>
              <w:left w:val="nil"/>
              <w:bottom w:val="nil"/>
              <w:right w:val="nil"/>
            </w:tcBorders>
            <w:shd w:val="clear" w:color="000000" w:fill="FFFFFF"/>
            <w:noWrap/>
            <w:vAlign w:val="center"/>
            <w:hideMark/>
          </w:tcPr>
          <w:p w14:paraId="48D94E8B" w14:textId="77777777" w:rsidR="00AB33EC" w:rsidRPr="00E80281" w:rsidRDefault="00AB33EC" w:rsidP="00B721B7">
            <w:pPr>
              <w:spacing w:after="120"/>
              <w:rPr>
                <w:rFonts w:asciiTheme="minorHAnsi" w:eastAsia="Times New Roman" w:hAnsiTheme="minorHAnsi" w:cstheme="minorHAnsi"/>
                <w:i/>
                <w:iCs/>
                <w:color w:val="000000"/>
                <w:szCs w:val="20"/>
                <w:lang w:eastAsia="en-AU"/>
              </w:rPr>
            </w:pPr>
            <w:r w:rsidRPr="00E80281">
              <w:rPr>
                <w:rFonts w:asciiTheme="minorHAnsi" w:eastAsia="Times New Roman" w:hAnsiTheme="minorHAnsi" w:cstheme="minorHAnsi"/>
                <w:i/>
                <w:iCs/>
                <w:color w:val="000000"/>
                <w:szCs w:val="20"/>
                <w:lang w:eastAsia="en-AU"/>
              </w:rPr>
              <w:t> </w:t>
            </w:r>
          </w:p>
        </w:tc>
        <w:tc>
          <w:tcPr>
            <w:tcW w:w="823" w:type="dxa"/>
            <w:tcBorders>
              <w:top w:val="nil"/>
              <w:left w:val="nil"/>
              <w:bottom w:val="nil"/>
              <w:right w:val="nil"/>
            </w:tcBorders>
            <w:shd w:val="clear" w:color="000000" w:fill="FFFFFF"/>
            <w:noWrap/>
            <w:vAlign w:val="center"/>
            <w:hideMark/>
          </w:tcPr>
          <w:p w14:paraId="53A6F3A0"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20" w:type="dxa"/>
            <w:tcBorders>
              <w:top w:val="nil"/>
              <w:left w:val="nil"/>
              <w:bottom w:val="nil"/>
              <w:right w:val="nil"/>
            </w:tcBorders>
            <w:shd w:val="clear" w:color="auto" w:fill="F1F1F2" w:themeFill="accent5" w:themeFillTint="33"/>
            <w:vAlign w:val="center"/>
            <w:hideMark/>
          </w:tcPr>
          <w:p w14:paraId="46DD25C1"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 </w:t>
            </w:r>
          </w:p>
        </w:tc>
        <w:tc>
          <w:tcPr>
            <w:tcW w:w="1020" w:type="dxa"/>
            <w:tcBorders>
              <w:top w:val="nil"/>
              <w:left w:val="nil"/>
              <w:bottom w:val="nil"/>
              <w:right w:val="nil"/>
            </w:tcBorders>
            <w:shd w:val="clear" w:color="000000" w:fill="FFFFFF"/>
            <w:vAlign w:val="center"/>
            <w:hideMark/>
          </w:tcPr>
          <w:p w14:paraId="2CFE34C8" w14:textId="77777777" w:rsidR="00AB33EC" w:rsidRPr="00E80281" w:rsidRDefault="00AB33EC" w:rsidP="00B721B7">
            <w:pPr>
              <w:spacing w:after="12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44" w:type="dxa"/>
            <w:tcBorders>
              <w:top w:val="nil"/>
              <w:left w:val="nil"/>
              <w:bottom w:val="nil"/>
              <w:right w:val="nil"/>
            </w:tcBorders>
            <w:shd w:val="clear" w:color="000000" w:fill="FFFFFF"/>
            <w:noWrap/>
            <w:vAlign w:val="center"/>
            <w:hideMark/>
          </w:tcPr>
          <w:p w14:paraId="2F3BA410" w14:textId="77777777" w:rsidR="00AB33EC" w:rsidRPr="00E80281" w:rsidRDefault="00AB33EC" w:rsidP="00B721B7">
            <w:pPr>
              <w:spacing w:after="12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20" w:type="dxa"/>
            <w:tcBorders>
              <w:top w:val="nil"/>
              <w:left w:val="nil"/>
              <w:bottom w:val="nil"/>
              <w:right w:val="nil"/>
            </w:tcBorders>
            <w:shd w:val="clear" w:color="000000" w:fill="FFFFFF"/>
            <w:vAlign w:val="center"/>
            <w:hideMark/>
          </w:tcPr>
          <w:p w14:paraId="1E11D7A0" w14:textId="77777777" w:rsidR="00AB33EC" w:rsidRPr="00E80281" w:rsidRDefault="00AB33EC" w:rsidP="00B721B7">
            <w:pPr>
              <w:spacing w:after="12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r>
      <w:tr w:rsidR="00AB33EC" w:rsidRPr="009C6467" w14:paraId="3B205BBD" w14:textId="77777777" w:rsidTr="00B721B7">
        <w:trPr>
          <w:trHeight w:val="300"/>
        </w:trPr>
        <w:tc>
          <w:tcPr>
            <w:tcW w:w="4480" w:type="dxa"/>
            <w:tcBorders>
              <w:top w:val="nil"/>
              <w:left w:val="nil"/>
              <w:bottom w:val="nil"/>
              <w:right w:val="nil"/>
            </w:tcBorders>
            <w:shd w:val="clear" w:color="000000" w:fill="FFFFFF"/>
            <w:noWrap/>
            <w:vAlign w:val="center"/>
            <w:hideMark/>
          </w:tcPr>
          <w:p w14:paraId="1C42F234" w14:textId="77777777" w:rsidR="00AB33EC" w:rsidRPr="00E80281" w:rsidRDefault="00AB33EC" w:rsidP="00B721B7">
            <w:pPr>
              <w:spacing w:after="12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Grants and other contributions</w:t>
            </w:r>
          </w:p>
        </w:tc>
        <w:tc>
          <w:tcPr>
            <w:tcW w:w="823" w:type="dxa"/>
            <w:tcBorders>
              <w:top w:val="nil"/>
              <w:left w:val="nil"/>
              <w:bottom w:val="nil"/>
              <w:right w:val="nil"/>
            </w:tcBorders>
            <w:shd w:val="clear" w:color="000000" w:fill="FFFFFF"/>
            <w:noWrap/>
            <w:vAlign w:val="center"/>
            <w:hideMark/>
          </w:tcPr>
          <w:p w14:paraId="4F52709C"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2</w:t>
            </w:r>
          </w:p>
        </w:tc>
        <w:tc>
          <w:tcPr>
            <w:tcW w:w="1020" w:type="dxa"/>
            <w:tcBorders>
              <w:top w:val="nil"/>
              <w:left w:val="nil"/>
              <w:bottom w:val="nil"/>
              <w:right w:val="nil"/>
            </w:tcBorders>
            <w:shd w:val="clear" w:color="auto" w:fill="F1F1F2" w:themeFill="accent5" w:themeFillTint="33"/>
          </w:tcPr>
          <w:p w14:paraId="28B6E199"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70,</w:t>
            </w:r>
            <w:r>
              <w:rPr>
                <w:rFonts w:asciiTheme="minorHAnsi" w:hAnsiTheme="minorHAnsi" w:cstheme="minorHAnsi"/>
                <w:szCs w:val="20"/>
              </w:rPr>
              <w:t>591</w:t>
            </w:r>
            <w:r w:rsidRPr="009C6467">
              <w:rPr>
                <w:rFonts w:asciiTheme="minorHAnsi" w:hAnsiTheme="minorHAnsi" w:cstheme="minorHAnsi"/>
                <w:szCs w:val="20"/>
              </w:rPr>
              <w:t xml:space="preserve"> </w:t>
            </w:r>
          </w:p>
        </w:tc>
        <w:tc>
          <w:tcPr>
            <w:tcW w:w="1020" w:type="dxa"/>
            <w:tcBorders>
              <w:top w:val="nil"/>
              <w:left w:val="nil"/>
              <w:bottom w:val="nil"/>
              <w:right w:val="nil"/>
            </w:tcBorders>
            <w:shd w:val="clear" w:color="000000" w:fill="FFFFFF"/>
            <w:vAlign w:val="center"/>
          </w:tcPr>
          <w:p w14:paraId="0AF964A8"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74,708</w:t>
            </w:r>
          </w:p>
        </w:tc>
        <w:tc>
          <w:tcPr>
            <w:tcW w:w="1044" w:type="dxa"/>
            <w:tcBorders>
              <w:top w:val="nil"/>
              <w:left w:val="nil"/>
              <w:bottom w:val="nil"/>
              <w:right w:val="nil"/>
            </w:tcBorders>
            <w:shd w:val="clear" w:color="000000" w:fill="FFFFFF"/>
            <w:noWrap/>
          </w:tcPr>
          <w:p w14:paraId="1C972BBE"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 (4,</w:t>
            </w:r>
            <w:r>
              <w:rPr>
                <w:rFonts w:asciiTheme="minorHAnsi" w:hAnsiTheme="minorHAnsi" w:cstheme="minorHAnsi"/>
                <w:szCs w:val="20"/>
              </w:rPr>
              <w:t>117</w:t>
            </w:r>
            <w:r w:rsidRPr="009C6467">
              <w:rPr>
                <w:rFonts w:asciiTheme="minorHAnsi" w:hAnsiTheme="minorHAnsi" w:cstheme="minorHAnsi"/>
                <w:szCs w:val="20"/>
              </w:rPr>
              <w:t>)</w:t>
            </w:r>
          </w:p>
        </w:tc>
        <w:tc>
          <w:tcPr>
            <w:tcW w:w="1020" w:type="dxa"/>
            <w:tcBorders>
              <w:top w:val="nil"/>
              <w:left w:val="nil"/>
              <w:bottom w:val="nil"/>
              <w:right w:val="nil"/>
            </w:tcBorders>
            <w:shd w:val="clear" w:color="auto" w:fill="auto"/>
            <w:vAlign w:val="center"/>
            <w:hideMark/>
          </w:tcPr>
          <w:p w14:paraId="6E75E007"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68,347</w:t>
            </w:r>
          </w:p>
        </w:tc>
      </w:tr>
      <w:tr w:rsidR="00AB33EC" w:rsidRPr="009C6467" w14:paraId="1CC49467" w14:textId="77777777" w:rsidTr="00B721B7">
        <w:trPr>
          <w:trHeight w:val="300"/>
        </w:trPr>
        <w:tc>
          <w:tcPr>
            <w:tcW w:w="4480" w:type="dxa"/>
            <w:tcBorders>
              <w:top w:val="nil"/>
              <w:left w:val="nil"/>
              <w:bottom w:val="nil"/>
              <w:right w:val="nil"/>
            </w:tcBorders>
            <w:shd w:val="clear" w:color="000000" w:fill="FFFFFF"/>
            <w:noWrap/>
            <w:vAlign w:val="center"/>
            <w:hideMark/>
          </w:tcPr>
          <w:p w14:paraId="636C2A6A" w14:textId="77777777" w:rsidR="00AB33EC" w:rsidRPr="00E80281" w:rsidRDefault="00AB33EC" w:rsidP="00B721B7">
            <w:pPr>
              <w:spacing w:after="12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Interest</w:t>
            </w:r>
          </w:p>
        </w:tc>
        <w:tc>
          <w:tcPr>
            <w:tcW w:w="823" w:type="dxa"/>
            <w:tcBorders>
              <w:top w:val="nil"/>
              <w:left w:val="nil"/>
              <w:bottom w:val="nil"/>
              <w:right w:val="nil"/>
            </w:tcBorders>
            <w:shd w:val="clear" w:color="000000" w:fill="FFFFFF"/>
            <w:noWrap/>
            <w:vAlign w:val="center"/>
            <w:hideMark/>
          </w:tcPr>
          <w:p w14:paraId="47A40CA8"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20" w:type="dxa"/>
            <w:tcBorders>
              <w:top w:val="nil"/>
              <w:left w:val="nil"/>
              <w:bottom w:val="nil"/>
              <w:right w:val="nil"/>
            </w:tcBorders>
            <w:shd w:val="clear" w:color="auto" w:fill="F1F1F2" w:themeFill="accent5" w:themeFillTint="33"/>
          </w:tcPr>
          <w:p w14:paraId="7B86754D"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1,648 </w:t>
            </w:r>
          </w:p>
        </w:tc>
        <w:tc>
          <w:tcPr>
            <w:tcW w:w="1020" w:type="dxa"/>
            <w:tcBorders>
              <w:top w:val="nil"/>
              <w:left w:val="nil"/>
              <w:bottom w:val="nil"/>
              <w:right w:val="nil"/>
            </w:tcBorders>
            <w:shd w:val="clear" w:color="000000" w:fill="FFFFFF"/>
            <w:vAlign w:val="center"/>
          </w:tcPr>
          <w:p w14:paraId="704EF6DE"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800</w:t>
            </w:r>
          </w:p>
        </w:tc>
        <w:tc>
          <w:tcPr>
            <w:tcW w:w="1044" w:type="dxa"/>
            <w:tcBorders>
              <w:top w:val="nil"/>
              <w:left w:val="nil"/>
              <w:bottom w:val="nil"/>
              <w:right w:val="nil"/>
            </w:tcBorders>
            <w:shd w:val="clear" w:color="000000" w:fill="FFFFFF"/>
            <w:noWrap/>
          </w:tcPr>
          <w:p w14:paraId="20619212"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 848 </w:t>
            </w:r>
          </w:p>
        </w:tc>
        <w:tc>
          <w:tcPr>
            <w:tcW w:w="1020" w:type="dxa"/>
            <w:tcBorders>
              <w:top w:val="nil"/>
              <w:left w:val="nil"/>
              <w:bottom w:val="nil"/>
              <w:right w:val="nil"/>
            </w:tcBorders>
            <w:shd w:val="clear" w:color="auto" w:fill="auto"/>
            <w:vAlign w:val="center"/>
            <w:hideMark/>
          </w:tcPr>
          <w:p w14:paraId="5A2D73E9"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993</w:t>
            </w:r>
          </w:p>
        </w:tc>
      </w:tr>
      <w:tr w:rsidR="00AB33EC" w:rsidRPr="009C6467" w14:paraId="5B64446D" w14:textId="77777777" w:rsidTr="00B721B7">
        <w:trPr>
          <w:trHeight w:val="315"/>
        </w:trPr>
        <w:tc>
          <w:tcPr>
            <w:tcW w:w="4480" w:type="dxa"/>
            <w:tcBorders>
              <w:top w:val="nil"/>
              <w:left w:val="nil"/>
              <w:bottom w:val="nil"/>
              <w:right w:val="nil"/>
            </w:tcBorders>
            <w:shd w:val="clear" w:color="000000" w:fill="FFFFFF"/>
            <w:noWrap/>
            <w:vAlign w:val="center"/>
            <w:hideMark/>
          </w:tcPr>
          <w:p w14:paraId="3C7DF654" w14:textId="77777777" w:rsidR="00AB33EC" w:rsidRPr="00E80281" w:rsidRDefault="00AB33EC" w:rsidP="00B721B7">
            <w:pPr>
              <w:spacing w:after="12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Other revenue</w:t>
            </w:r>
          </w:p>
        </w:tc>
        <w:tc>
          <w:tcPr>
            <w:tcW w:w="823" w:type="dxa"/>
            <w:tcBorders>
              <w:top w:val="nil"/>
              <w:left w:val="nil"/>
              <w:bottom w:val="nil"/>
              <w:right w:val="nil"/>
            </w:tcBorders>
            <w:shd w:val="clear" w:color="000000" w:fill="FFFFFF"/>
            <w:noWrap/>
            <w:vAlign w:val="center"/>
            <w:hideMark/>
          </w:tcPr>
          <w:p w14:paraId="475FD639"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20" w:type="dxa"/>
            <w:tcBorders>
              <w:top w:val="nil"/>
              <w:left w:val="nil"/>
              <w:bottom w:val="single" w:sz="8" w:space="0" w:color="auto"/>
              <w:right w:val="nil"/>
            </w:tcBorders>
            <w:shd w:val="clear" w:color="auto" w:fill="F1F1F2" w:themeFill="accent5" w:themeFillTint="33"/>
          </w:tcPr>
          <w:p w14:paraId="42AA1D27"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96 </w:t>
            </w:r>
          </w:p>
        </w:tc>
        <w:tc>
          <w:tcPr>
            <w:tcW w:w="1020" w:type="dxa"/>
            <w:tcBorders>
              <w:top w:val="nil"/>
              <w:left w:val="nil"/>
              <w:bottom w:val="single" w:sz="8" w:space="0" w:color="auto"/>
              <w:right w:val="nil"/>
            </w:tcBorders>
            <w:shd w:val="clear" w:color="000000" w:fill="FFFFFF"/>
            <w:vAlign w:val="center"/>
          </w:tcPr>
          <w:p w14:paraId="132D2FD9"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100</w:t>
            </w:r>
          </w:p>
        </w:tc>
        <w:tc>
          <w:tcPr>
            <w:tcW w:w="1044" w:type="dxa"/>
            <w:tcBorders>
              <w:top w:val="nil"/>
              <w:left w:val="nil"/>
              <w:bottom w:val="single" w:sz="8" w:space="0" w:color="auto"/>
              <w:right w:val="nil"/>
            </w:tcBorders>
            <w:shd w:val="clear" w:color="000000" w:fill="FFFFFF"/>
            <w:noWrap/>
          </w:tcPr>
          <w:p w14:paraId="479140AB"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 (4)</w:t>
            </w:r>
          </w:p>
        </w:tc>
        <w:tc>
          <w:tcPr>
            <w:tcW w:w="1020" w:type="dxa"/>
            <w:tcBorders>
              <w:top w:val="nil"/>
              <w:left w:val="nil"/>
              <w:bottom w:val="single" w:sz="8" w:space="0" w:color="auto"/>
              <w:right w:val="nil"/>
            </w:tcBorders>
            <w:shd w:val="clear" w:color="auto" w:fill="auto"/>
            <w:vAlign w:val="center"/>
            <w:hideMark/>
          </w:tcPr>
          <w:p w14:paraId="2A6AB9BD"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132</w:t>
            </w:r>
          </w:p>
        </w:tc>
      </w:tr>
      <w:tr w:rsidR="00AB33EC" w:rsidRPr="009C6467" w14:paraId="4F8096BE" w14:textId="77777777" w:rsidTr="00B721B7">
        <w:trPr>
          <w:trHeight w:val="300"/>
        </w:trPr>
        <w:tc>
          <w:tcPr>
            <w:tcW w:w="4480" w:type="dxa"/>
            <w:tcBorders>
              <w:top w:val="nil"/>
              <w:left w:val="nil"/>
              <w:bottom w:val="nil"/>
              <w:right w:val="nil"/>
            </w:tcBorders>
            <w:shd w:val="clear" w:color="000000" w:fill="FFFFFF"/>
            <w:noWrap/>
            <w:vAlign w:val="center"/>
            <w:hideMark/>
          </w:tcPr>
          <w:p w14:paraId="30A1EF5A" w14:textId="77777777" w:rsidR="00AB33EC" w:rsidRPr="00E80281" w:rsidRDefault="00AB33EC" w:rsidP="00B721B7">
            <w:pPr>
              <w:spacing w:after="12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Total Revenue</w:t>
            </w:r>
          </w:p>
        </w:tc>
        <w:tc>
          <w:tcPr>
            <w:tcW w:w="823" w:type="dxa"/>
            <w:tcBorders>
              <w:top w:val="nil"/>
              <w:left w:val="nil"/>
              <w:bottom w:val="nil"/>
              <w:right w:val="nil"/>
            </w:tcBorders>
            <w:shd w:val="clear" w:color="000000" w:fill="FFFFFF"/>
            <w:noWrap/>
            <w:vAlign w:val="center"/>
            <w:hideMark/>
          </w:tcPr>
          <w:p w14:paraId="4F681CCC"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20" w:type="dxa"/>
            <w:tcBorders>
              <w:top w:val="nil"/>
              <w:left w:val="nil"/>
              <w:bottom w:val="nil"/>
              <w:right w:val="nil"/>
            </w:tcBorders>
            <w:shd w:val="clear" w:color="auto" w:fill="F1F1F2" w:themeFill="accent5" w:themeFillTint="33"/>
            <w:vAlign w:val="center"/>
          </w:tcPr>
          <w:p w14:paraId="6825946D"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7</w:t>
            </w:r>
            <w:r>
              <w:rPr>
                <w:rFonts w:asciiTheme="minorHAnsi" w:eastAsia="Times New Roman" w:hAnsiTheme="minorHAnsi" w:cstheme="minorHAnsi"/>
                <w:color w:val="000000"/>
                <w:szCs w:val="20"/>
                <w:lang w:eastAsia="en-AU"/>
              </w:rPr>
              <w:t>2</w:t>
            </w:r>
            <w:r w:rsidRPr="009C6467">
              <w:rPr>
                <w:rFonts w:asciiTheme="minorHAnsi" w:eastAsia="Times New Roman" w:hAnsiTheme="minorHAnsi" w:cstheme="minorHAnsi"/>
                <w:color w:val="000000"/>
                <w:szCs w:val="20"/>
                <w:lang w:eastAsia="en-AU"/>
              </w:rPr>
              <w:t>,</w:t>
            </w:r>
            <w:r>
              <w:rPr>
                <w:rFonts w:asciiTheme="minorHAnsi" w:eastAsia="Times New Roman" w:hAnsiTheme="minorHAnsi" w:cstheme="minorHAnsi"/>
                <w:color w:val="000000"/>
                <w:szCs w:val="20"/>
                <w:lang w:eastAsia="en-AU"/>
              </w:rPr>
              <w:t>335</w:t>
            </w:r>
          </w:p>
        </w:tc>
        <w:tc>
          <w:tcPr>
            <w:tcW w:w="1020" w:type="dxa"/>
            <w:tcBorders>
              <w:top w:val="nil"/>
              <w:left w:val="nil"/>
              <w:bottom w:val="nil"/>
              <w:right w:val="nil"/>
            </w:tcBorders>
            <w:shd w:val="clear" w:color="000000" w:fill="FFFFFF"/>
            <w:vAlign w:val="center"/>
          </w:tcPr>
          <w:p w14:paraId="04BBFD08"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75,608</w:t>
            </w:r>
          </w:p>
        </w:tc>
        <w:tc>
          <w:tcPr>
            <w:tcW w:w="1044" w:type="dxa"/>
            <w:tcBorders>
              <w:top w:val="nil"/>
              <w:left w:val="nil"/>
              <w:bottom w:val="nil"/>
              <w:right w:val="nil"/>
            </w:tcBorders>
            <w:shd w:val="clear" w:color="000000" w:fill="FFFFFF"/>
            <w:vAlign w:val="center"/>
          </w:tcPr>
          <w:p w14:paraId="3AE6D0CE"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w:t>
            </w:r>
            <w:r>
              <w:rPr>
                <w:rFonts w:asciiTheme="minorHAnsi" w:eastAsia="Times New Roman" w:hAnsiTheme="minorHAnsi" w:cstheme="minorHAnsi"/>
                <w:color w:val="000000"/>
                <w:szCs w:val="20"/>
                <w:lang w:eastAsia="en-AU"/>
              </w:rPr>
              <w:t>3</w:t>
            </w:r>
            <w:r w:rsidRPr="009C6467">
              <w:rPr>
                <w:rFonts w:asciiTheme="minorHAnsi" w:eastAsia="Times New Roman" w:hAnsiTheme="minorHAnsi" w:cstheme="minorHAnsi"/>
                <w:color w:val="000000"/>
                <w:szCs w:val="20"/>
                <w:lang w:eastAsia="en-AU"/>
              </w:rPr>
              <w:t>,</w:t>
            </w:r>
            <w:r>
              <w:rPr>
                <w:rFonts w:asciiTheme="minorHAnsi" w:eastAsia="Times New Roman" w:hAnsiTheme="minorHAnsi" w:cstheme="minorHAnsi"/>
                <w:color w:val="000000"/>
                <w:szCs w:val="20"/>
                <w:lang w:eastAsia="en-AU"/>
              </w:rPr>
              <w:t>273</w:t>
            </w:r>
            <w:r w:rsidRPr="009C6467">
              <w:rPr>
                <w:rFonts w:asciiTheme="minorHAnsi" w:eastAsia="Times New Roman" w:hAnsiTheme="minorHAnsi" w:cstheme="minorHAnsi"/>
                <w:color w:val="000000"/>
                <w:szCs w:val="20"/>
                <w:lang w:eastAsia="en-AU"/>
              </w:rPr>
              <w:t>)</w:t>
            </w:r>
          </w:p>
        </w:tc>
        <w:tc>
          <w:tcPr>
            <w:tcW w:w="1020" w:type="dxa"/>
            <w:tcBorders>
              <w:top w:val="nil"/>
              <w:left w:val="nil"/>
              <w:bottom w:val="nil"/>
              <w:right w:val="nil"/>
            </w:tcBorders>
            <w:shd w:val="clear" w:color="auto" w:fill="auto"/>
            <w:vAlign w:val="center"/>
            <w:hideMark/>
          </w:tcPr>
          <w:p w14:paraId="43E551D1"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69,472</w:t>
            </w:r>
          </w:p>
        </w:tc>
      </w:tr>
      <w:tr w:rsidR="00AB33EC" w:rsidRPr="009C6467" w14:paraId="69FCD46E" w14:textId="77777777" w:rsidTr="00B721B7">
        <w:trPr>
          <w:trHeight w:val="300"/>
        </w:trPr>
        <w:tc>
          <w:tcPr>
            <w:tcW w:w="4480" w:type="dxa"/>
            <w:tcBorders>
              <w:top w:val="nil"/>
              <w:left w:val="nil"/>
              <w:bottom w:val="nil"/>
              <w:right w:val="nil"/>
            </w:tcBorders>
            <w:shd w:val="clear" w:color="000000" w:fill="FFFFFF"/>
            <w:noWrap/>
            <w:vAlign w:val="center"/>
            <w:hideMark/>
          </w:tcPr>
          <w:p w14:paraId="1323CC5F" w14:textId="77777777" w:rsidR="00AB33EC" w:rsidRPr="00E80281" w:rsidRDefault="00AB33EC" w:rsidP="00B721B7">
            <w:pPr>
              <w:spacing w:after="120"/>
              <w:rPr>
                <w:rFonts w:asciiTheme="minorHAnsi" w:eastAsia="Times New Roman" w:hAnsiTheme="minorHAnsi" w:cstheme="minorHAnsi"/>
                <w:i/>
                <w:iCs/>
                <w:color w:val="000000"/>
                <w:szCs w:val="20"/>
                <w:lang w:eastAsia="en-AU"/>
              </w:rPr>
            </w:pPr>
            <w:r w:rsidRPr="00E80281">
              <w:rPr>
                <w:rFonts w:asciiTheme="minorHAnsi" w:eastAsia="Times New Roman" w:hAnsiTheme="minorHAnsi" w:cstheme="minorHAnsi"/>
                <w:i/>
                <w:iCs/>
                <w:color w:val="000000"/>
                <w:szCs w:val="20"/>
                <w:lang w:eastAsia="en-AU"/>
              </w:rPr>
              <w:t> </w:t>
            </w:r>
          </w:p>
        </w:tc>
        <w:tc>
          <w:tcPr>
            <w:tcW w:w="823" w:type="dxa"/>
            <w:tcBorders>
              <w:top w:val="nil"/>
              <w:left w:val="nil"/>
              <w:bottom w:val="nil"/>
              <w:right w:val="nil"/>
            </w:tcBorders>
            <w:shd w:val="clear" w:color="000000" w:fill="FFFFFF"/>
            <w:noWrap/>
            <w:vAlign w:val="center"/>
            <w:hideMark/>
          </w:tcPr>
          <w:p w14:paraId="5F6407B7"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20" w:type="dxa"/>
            <w:tcBorders>
              <w:top w:val="nil"/>
              <w:left w:val="nil"/>
              <w:bottom w:val="nil"/>
              <w:right w:val="nil"/>
            </w:tcBorders>
            <w:shd w:val="clear" w:color="auto" w:fill="F1F1F2" w:themeFill="accent5" w:themeFillTint="33"/>
            <w:vAlign w:val="center"/>
          </w:tcPr>
          <w:p w14:paraId="1B88E1F5"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20" w:type="dxa"/>
            <w:tcBorders>
              <w:top w:val="nil"/>
              <w:left w:val="nil"/>
              <w:bottom w:val="nil"/>
              <w:right w:val="nil"/>
            </w:tcBorders>
            <w:shd w:val="clear" w:color="000000" w:fill="FFFFFF"/>
            <w:vAlign w:val="center"/>
          </w:tcPr>
          <w:p w14:paraId="6D512BC0"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44" w:type="dxa"/>
            <w:tcBorders>
              <w:top w:val="nil"/>
              <w:left w:val="nil"/>
              <w:bottom w:val="nil"/>
              <w:right w:val="nil"/>
            </w:tcBorders>
            <w:shd w:val="clear" w:color="000000" w:fill="FFFFFF"/>
            <w:noWrap/>
            <w:vAlign w:val="center"/>
          </w:tcPr>
          <w:p w14:paraId="5E0843FB"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20" w:type="dxa"/>
            <w:tcBorders>
              <w:top w:val="nil"/>
              <w:left w:val="nil"/>
              <w:bottom w:val="nil"/>
              <w:right w:val="nil"/>
            </w:tcBorders>
            <w:shd w:val="clear" w:color="auto" w:fill="auto"/>
            <w:vAlign w:val="center"/>
            <w:hideMark/>
          </w:tcPr>
          <w:p w14:paraId="7E24EF4A"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r>
      <w:tr w:rsidR="00AB33EC" w:rsidRPr="009C6467" w14:paraId="626374BE" w14:textId="77777777" w:rsidTr="00B721B7">
        <w:trPr>
          <w:trHeight w:val="300"/>
        </w:trPr>
        <w:tc>
          <w:tcPr>
            <w:tcW w:w="4480" w:type="dxa"/>
            <w:tcBorders>
              <w:top w:val="nil"/>
              <w:left w:val="nil"/>
              <w:bottom w:val="nil"/>
              <w:right w:val="nil"/>
            </w:tcBorders>
            <w:shd w:val="clear" w:color="000000" w:fill="FFFFFF"/>
            <w:noWrap/>
            <w:vAlign w:val="center"/>
            <w:hideMark/>
          </w:tcPr>
          <w:p w14:paraId="236E6531" w14:textId="77777777" w:rsidR="00AB33EC" w:rsidRPr="00E80281" w:rsidRDefault="00AB33EC" w:rsidP="00B721B7">
            <w:pPr>
              <w:spacing w:after="12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Gains on disposal of property, plant and equipment</w:t>
            </w:r>
          </w:p>
        </w:tc>
        <w:tc>
          <w:tcPr>
            <w:tcW w:w="823" w:type="dxa"/>
            <w:tcBorders>
              <w:top w:val="nil"/>
              <w:left w:val="nil"/>
              <w:bottom w:val="nil"/>
              <w:right w:val="nil"/>
            </w:tcBorders>
            <w:shd w:val="clear" w:color="000000" w:fill="FFFFFF"/>
            <w:noWrap/>
            <w:vAlign w:val="center"/>
            <w:hideMark/>
          </w:tcPr>
          <w:p w14:paraId="5D2CCB7C"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20" w:type="dxa"/>
            <w:tcBorders>
              <w:top w:val="nil"/>
              <w:left w:val="nil"/>
              <w:bottom w:val="nil"/>
              <w:right w:val="nil"/>
            </w:tcBorders>
            <w:shd w:val="clear" w:color="auto" w:fill="F1F1F2" w:themeFill="accent5" w:themeFillTint="33"/>
            <w:vAlign w:val="center"/>
          </w:tcPr>
          <w:p w14:paraId="1A874737"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18</w:t>
            </w:r>
          </w:p>
        </w:tc>
        <w:tc>
          <w:tcPr>
            <w:tcW w:w="1020" w:type="dxa"/>
            <w:tcBorders>
              <w:top w:val="nil"/>
              <w:left w:val="nil"/>
              <w:bottom w:val="nil"/>
              <w:right w:val="nil"/>
            </w:tcBorders>
            <w:shd w:val="clear" w:color="000000" w:fill="FFFFFF"/>
            <w:vAlign w:val="center"/>
          </w:tcPr>
          <w:p w14:paraId="52C3C36C"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25</w:t>
            </w:r>
          </w:p>
        </w:tc>
        <w:tc>
          <w:tcPr>
            <w:tcW w:w="1044" w:type="dxa"/>
            <w:tcBorders>
              <w:top w:val="nil"/>
              <w:left w:val="nil"/>
              <w:bottom w:val="nil"/>
              <w:right w:val="nil"/>
            </w:tcBorders>
            <w:shd w:val="clear" w:color="000000" w:fill="FFFFFF"/>
            <w:noWrap/>
            <w:vAlign w:val="center"/>
          </w:tcPr>
          <w:p w14:paraId="3B2CFA26"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(7)</w:t>
            </w:r>
          </w:p>
        </w:tc>
        <w:tc>
          <w:tcPr>
            <w:tcW w:w="1020" w:type="dxa"/>
            <w:tcBorders>
              <w:top w:val="nil"/>
              <w:left w:val="nil"/>
              <w:bottom w:val="nil"/>
              <w:right w:val="nil"/>
            </w:tcBorders>
            <w:shd w:val="clear" w:color="auto" w:fill="auto"/>
            <w:vAlign w:val="center"/>
            <w:hideMark/>
          </w:tcPr>
          <w:p w14:paraId="47855D92"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91</w:t>
            </w:r>
          </w:p>
        </w:tc>
      </w:tr>
      <w:tr w:rsidR="00AB33EC" w:rsidRPr="009C6467" w14:paraId="60EDFB65" w14:textId="77777777" w:rsidTr="00B721B7">
        <w:trPr>
          <w:trHeight w:val="315"/>
        </w:trPr>
        <w:tc>
          <w:tcPr>
            <w:tcW w:w="4480" w:type="dxa"/>
            <w:tcBorders>
              <w:top w:val="nil"/>
              <w:left w:val="nil"/>
              <w:bottom w:val="nil"/>
              <w:right w:val="nil"/>
            </w:tcBorders>
            <w:shd w:val="clear" w:color="000000" w:fill="FFFFFF"/>
            <w:noWrap/>
            <w:vAlign w:val="center"/>
            <w:hideMark/>
          </w:tcPr>
          <w:p w14:paraId="1C827A89" w14:textId="77777777" w:rsidR="00AB33EC" w:rsidRPr="00E80281" w:rsidRDefault="00AB33EC" w:rsidP="00B721B7">
            <w:pPr>
              <w:spacing w:after="12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823" w:type="dxa"/>
            <w:tcBorders>
              <w:top w:val="nil"/>
              <w:left w:val="nil"/>
              <w:bottom w:val="nil"/>
              <w:right w:val="nil"/>
            </w:tcBorders>
            <w:shd w:val="clear" w:color="000000" w:fill="FFFFFF"/>
            <w:noWrap/>
            <w:vAlign w:val="center"/>
            <w:hideMark/>
          </w:tcPr>
          <w:p w14:paraId="54A3A79E"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20" w:type="dxa"/>
            <w:tcBorders>
              <w:top w:val="nil"/>
              <w:left w:val="nil"/>
              <w:bottom w:val="single" w:sz="8" w:space="0" w:color="auto"/>
              <w:right w:val="nil"/>
            </w:tcBorders>
            <w:shd w:val="clear" w:color="auto" w:fill="F1F1F2" w:themeFill="accent5" w:themeFillTint="33"/>
            <w:vAlign w:val="center"/>
          </w:tcPr>
          <w:p w14:paraId="25624E0A"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20" w:type="dxa"/>
            <w:tcBorders>
              <w:top w:val="nil"/>
              <w:left w:val="nil"/>
              <w:bottom w:val="single" w:sz="8" w:space="0" w:color="auto"/>
              <w:right w:val="nil"/>
            </w:tcBorders>
            <w:shd w:val="clear" w:color="000000" w:fill="FFFFFF"/>
            <w:vAlign w:val="center"/>
          </w:tcPr>
          <w:p w14:paraId="47588FDA"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44" w:type="dxa"/>
            <w:tcBorders>
              <w:top w:val="nil"/>
              <w:left w:val="nil"/>
              <w:bottom w:val="single" w:sz="8" w:space="0" w:color="auto"/>
              <w:right w:val="nil"/>
            </w:tcBorders>
            <w:shd w:val="clear" w:color="000000" w:fill="FFFFFF"/>
            <w:noWrap/>
            <w:vAlign w:val="center"/>
          </w:tcPr>
          <w:p w14:paraId="2B937D35"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20" w:type="dxa"/>
            <w:tcBorders>
              <w:top w:val="nil"/>
              <w:left w:val="nil"/>
              <w:bottom w:val="single" w:sz="8" w:space="0" w:color="auto"/>
              <w:right w:val="nil"/>
            </w:tcBorders>
            <w:shd w:val="clear" w:color="auto" w:fill="auto"/>
            <w:vAlign w:val="center"/>
            <w:hideMark/>
          </w:tcPr>
          <w:p w14:paraId="54371A04"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r>
      <w:tr w:rsidR="00AB33EC" w:rsidRPr="009C6467" w14:paraId="5EC945BE" w14:textId="77777777" w:rsidTr="00B721B7">
        <w:trPr>
          <w:trHeight w:val="300"/>
        </w:trPr>
        <w:tc>
          <w:tcPr>
            <w:tcW w:w="4480" w:type="dxa"/>
            <w:tcBorders>
              <w:top w:val="nil"/>
              <w:left w:val="nil"/>
              <w:bottom w:val="nil"/>
              <w:right w:val="nil"/>
            </w:tcBorders>
            <w:shd w:val="clear" w:color="000000" w:fill="FFFFFF"/>
            <w:noWrap/>
            <w:vAlign w:val="center"/>
            <w:hideMark/>
          </w:tcPr>
          <w:p w14:paraId="24D239C5" w14:textId="77777777" w:rsidR="00AB33EC" w:rsidRPr="00E80281" w:rsidRDefault="00AB33EC" w:rsidP="00B721B7">
            <w:pPr>
              <w:spacing w:after="12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Total Income from Continuing Operations</w:t>
            </w:r>
          </w:p>
        </w:tc>
        <w:tc>
          <w:tcPr>
            <w:tcW w:w="823" w:type="dxa"/>
            <w:tcBorders>
              <w:top w:val="nil"/>
              <w:left w:val="nil"/>
              <w:bottom w:val="nil"/>
              <w:right w:val="nil"/>
            </w:tcBorders>
            <w:shd w:val="clear" w:color="000000" w:fill="FFFFFF"/>
            <w:noWrap/>
            <w:vAlign w:val="center"/>
            <w:hideMark/>
          </w:tcPr>
          <w:p w14:paraId="2FFEF982" w14:textId="77777777" w:rsidR="00AB33EC" w:rsidRPr="00E80281" w:rsidRDefault="00AB33EC" w:rsidP="00B721B7">
            <w:pPr>
              <w:spacing w:after="120"/>
              <w:jc w:val="center"/>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20" w:type="dxa"/>
            <w:tcBorders>
              <w:top w:val="nil"/>
              <w:left w:val="nil"/>
              <w:bottom w:val="nil"/>
              <w:right w:val="nil"/>
            </w:tcBorders>
            <w:shd w:val="clear" w:color="auto" w:fill="F1F1F2" w:themeFill="accent5" w:themeFillTint="33"/>
            <w:vAlign w:val="center"/>
          </w:tcPr>
          <w:p w14:paraId="63B6B9E1"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7</w:t>
            </w:r>
            <w:r>
              <w:rPr>
                <w:rFonts w:asciiTheme="minorHAnsi" w:eastAsia="Times New Roman" w:hAnsiTheme="minorHAnsi" w:cstheme="minorHAnsi"/>
                <w:b/>
                <w:bCs/>
                <w:color w:val="000000"/>
                <w:szCs w:val="20"/>
                <w:lang w:eastAsia="en-AU"/>
              </w:rPr>
              <w:t>2</w:t>
            </w:r>
            <w:r w:rsidRPr="009C6467">
              <w:rPr>
                <w:rFonts w:asciiTheme="minorHAnsi" w:eastAsia="Times New Roman" w:hAnsiTheme="minorHAnsi" w:cstheme="minorHAnsi"/>
                <w:b/>
                <w:bCs/>
                <w:color w:val="000000"/>
                <w:szCs w:val="20"/>
                <w:lang w:eastAsia="en-AU"/>
              </w:rPr>
              <w:t>,</w:t>
            </w:r>
            <w:r>
              <w:rPr>
                <w:rFonts w:asciiTheme="minorHAnsi" w:eastAsia="Times New Roman" w:hAnsiTheme="minorHAnsi" w:cstheme="minorHAnsi"/>
                <w:b/>
                <w:bCs/>
                <w:color w:val="000000"/>
                <w:szCs w:val="20"/>
                <w:lang w:eastAsia="en-AU"/>
              </w:rPr>
              <w:t>353</w:t>
            </w:r>
          </w:p>
        </w:tc>
        <w:tc>
          <w:tcPr>
            <w:tcW w:w="1020" w:type="dxa"/>
            <w:tcBorders>
              <w:top w:val="nil"/>
              <w:left w:val="nil"/>
              <w:bottom w:val="nil"/>
              <w:right w:val="nil"/>
            </w:tcBorders>
            <w:shd w:val="clear" w:color="000000" w:fill="FFFFFF"/>
            <w:vAlign w:val="center"/>
          </w:tcPr>
          <w:p w14:paraId="7405DBC7"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75,633</w:t>
            </w:r>
          </w:p>
        </w:tc>
        <w:tc>
          <w:tcPr>
            <w:tcW w:w="1044" w:type="dxa"/>
            <w:tcBorders>
              <w:top w:val="nil"/>
              <w:left w:val="nil"/>
              <w:bottom w:val="nil"/>
              <w:right w:val="nil"/>
            </w:tcBorders>
            <w:shd w:val="clear" w:color="000000" w:fill="FFFFFF"/>
            <w:vAlign w:val="center"/>
          </w:tcPr>
          <w:p w14:paraId="1FCD68D7"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(3,</w:t>
            </w:r>
            <w:r>
              <w:rPr>
                <w:rFonts w:asciiTheme="minorHAnsi" w:eastAsia="Times New Roman" w:hAnsiTheme="minorHAnsi" w:cstheme="minorHAnsi"/>
                <w:b/>
                <w:bCs/>
                <w:color w:val="000000"/>
                <w:szCs w:val="20"/>
                <w:lang w:eastAsia="en-AU"/>
              </w:rPr>
              <w:t>280</w:t>
            </w:r>
            <w:r w:rsidRPr="009C6467">
              <w:rPr>
                <w:rFonts w:asciiTheme="minorHAnsi" w:eastAsia="Times New Roman" w:hAnsiTheme="minorHAnsi" w:cstheme="minorHAnsi"/>
                <w:b/>
                <w:bCs/>
                <w:color w:val="000000"/>
                <w:szCs w:val="20"/>
                <w:lang w:eastAsia="en-AU"/>
              </w:rPr>
              <w:t>)</w:t>
            </w:r>
          </w:p>
        </w:tc>
        <w:tc>
          <w:tcPr>
            <w:tcW w:w="1020" w:type="dxa"/>
            <w:tcBorders>
              <w:top w:val="nil"/>
              <w:left w:val="nil"/>
              <w:bottom w:val="nil"/>
              <w:right w:val="nil"/>
            </w:tcBorders>
            <w:shd w:val="clear" w:color="auto" w:fill="auto"/>
            <w:vAlign w:val="center"/>
            <w:hideMark/>
          </w:tcPr>
          <w:p w14:paraId="263BCA36"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69,563</w:t>
            </w:r>
          </w:p>
        </w:tc>
      </w:tr>
      <w:tr w:rsidR="00AB33EC" w:rsidRPr="009C6467" w14:paraId="10808414" w14:textId="77777777" w:rsidTr="00B721B7">
        <w:trPr>
          <w:trHeight w:val="300"/>
        </w:trPr>
        <w:tc>
          <w:tcPr>
            <w:tcW w:w="4480" w:type="dxa"/>
            <w:tcBorders>
              <w:top w:val="nil"/>
              <w:left w:val="nil"/>
              <w:bottom w:val="nil"/>
              <w:right w:val="nil"/>
            </w:tcBorders>
            <w:shd w:val="clear" w:color="000000" w:fill="FFFFFF"/>
            <w:noWrap/>
            <w:vAlign w:val="center"/>
            <w:hideMark/>
          </w:tcPr>
          <w:p w14:paraId="6A8578D7" w14:textId="77777777" w:rsidR="00AB33EC" w:rsidRPr="00E80281" w:rsidRDefault="00AB33EC" w:rsidP="00B721B7">
            <w:pPr>
              <w:spacing w:after="12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823" w:type="dxa"/>
            <w:tcBorders>
              <w:top w:val="nil"/>
              <w:left w:val="nil"/>
              <w:bottom w:val="nil"/>
              <w:right w:val="nil"/>
            </w:tcBorders>
            <w:shd w:val="clear" w:color="000000" w:fill="FFFFFF"/>
            <w:noWrap/>
            <w:vAlign w:val="center"/>
            <w:hideMark/>
          </w:tcPr>
          <w:p w14:paraId="1D79C2C0"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20" w:type="dxa"/>
            <w:tcBorders>
              <w:top w:val="nil"/>
              <w:left w:val="nil"/>
              <w:bottom w:val="nil"/>
              <w:right w:val="nil"/>
            </w:tcBorders>
            <w:shd w:val="clear" w:color="auto" w:fill="F1F1F2" w:themeFill="accent5" w:themeFillTint="33"/>
            <w:vAlign w:val="center"/>
          </w:tcPr>
          <w:p w14:paraId="6330EFC7"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20" w:type="dxa"/>
            <w:tcBorders>
              <w:top w:val="nil"/>
              <w:left w:val="nil"/>
              <w:bottom w:val="nil"/>
              <w:right w:val="nil"/>
            </w:tcBorders>
            <w:shd w:val="clear" w:color="000000" w:fill="FFFFFF"/>
            <w:vAlign w:val="center"/>
          </w:tcPr>
          <w:p w14:paraId="676B8FB0"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p>
        </w:tc>
        <w:tc>
          <w:tcPr>
            <w:tcW w:w="1044" w:type="dxa"/>
            <w:tcBorders>
              <w:top w:val="nil"/>
              <w:left w:val="nil"/>
              <w:bottom w:val="nil"/>
              <w:right w:val="nil"/>
            </w:tcBorders>
            <w:shd w:val="clear" w:color="000000" w:fill="FFFFFF"/>
            <w:noWrap/>
            <w:vAlign w:val="center"/>
          </w:tcPr>
          <w:p w14:paraId="24745072"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20" w:type="dxa"/>
            <w:tcBorders>
              <w:top w:val="nil"/>
              <w:left w:val="nil"/>
              <w:bottom w:val="nil"/>
              <w:right w:val="nil"/>
            </w:tcBorders>
            <w:shd w:val="clear" w:color="auto" w:fill="auto"/>
            <w:vAlign w:val="center"/>
            <w:hideMark/>
          </w:tcPr>
          <w:p w14:paraId="1D3EE268"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r>
      <w:tr w:rsidR="00AB33EC" w:rsidRPr="009C6467" w14:paraId="765E046F" w14:textId="77777777" w:rsidTr="00B721B7">
        <w:trPr>
          <w:trHeight w:val="300"/>
        </w:trPr>
        <w:tc>
          <w:tcPr>
            <w:tcW w:w="4480" w:type="dxa"/>
            <w:tcBorders>
              <w:top w:val="nil"/>
              <w:left w:val="nil"/>
              <w:bottom w:val="nil"/>
              <w:right w:val="nil"/>
            </w:tcBorders>
            <w:shd w:val="clear" w:color="000000" w:fill="FFFFFF"/>
            <w:noWrap/>
            <w:vAlign w:val="center"/>
            <w:hideMark/>
          </w:tcPr>
          <w:p w14:paraId="2D57B401" w14:textId="77777777" w:rsidR="00AB33EC" w:rsidRPr="00E80281" w:rsidRDefault="00AB33EC" w:rsidP="00B721B7">
            <w:pPr>
              <w:spacing w:after="12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823" w:type="dxa"/>
            <w:tcBorders>
              <w:top w:val="nil"/>
              <w:left w:val="nil"/>
              <w:bottom w:val="nil"/>
              <w:right w:val="nil"/>
            </w:tcBorders>
            <w:shd w:val="clear" w:color="000000" w:fill="FFFFFF"/>
            <w:noWrap/>
            <w:vAlign w:val="center"/>
            <w:hideMark/>
          </w:tcPr>
          <w:p w14:paraId="18A161CF"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20" w:type="dxa"/>
            <w:tcBorders>
              <w:top w:val="nil"/>
              <w:left w:val="nil"/>
              <w:bottom w:val="nil"/>
              <w:right w:val="nil"/>
            </w:tcBorders>
            <w:shd w:val="clear" w:color="auto" w:fill="F1F1F2" w:themeFill="accent5" w:themeFillTint="33"/>
            <w:vAlign w:val="center"/>
          </w:tcPr>
          <w:p w14:paraId="0231F4B4"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20" w:type="dxa"/>
            <w:tcBorders>
              <w:top w:val="nil"/>
              <w:left w:val="nil"/>
              <w:bottom w:val="nil"/>
              <w:right w:val="nil"/>
            </w:tcBorders>
            <w:shd w:val="clear" w:color="000000" w:fill="FFFFFF"/>
            <w:vAlign w:val="center"/>
          </w:tcPr>
          <w:p w14:paraId="51856133"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p>
        </w:tc>
        <w:tc>
          <w:tcPr>
            <w:tcW w:w="1044" w:type="dxa"/>
            <w:tcBorders>
              <w:top w:val="nil"/>
              <w:left w:val="nil"/>
              <w:bottom w:val="nil"/>
              <w:right w:val="nil"/>
            </w:tcBorders>
            <w:shd w:val="clear" w:color="000000" w:fill="FFFFFF"/>
            <w:noWrap/>
            <w:vAlign w:val="center"/>
          </w:tcPr>
          <w:p w14:paraId="04EECA22"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20" w:type="dxa"/>
            <w:tcBorders>
              <w:top w:val="nil"/>
              <w:left w:val="nil"/>
              <w:bottom w:val="nil"/>
              <w:right w:val="nil"/>
            </w:tcBorders>
            <w:shd w:val="clear" w:color="auto" w:fill="auto"/>
            <w:vAlign w:val="center"/>
            <w:hideMark/>
          </w:tcPr>
          <w:p w14:paraId="57CD3458"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 </w:t>
            </w:r>
          </w:p>
        </w:tc>
      </w:tr>
      <w:tr w:rsidR="00AB33EC" w:rsidRPr="009C6467" w14:paraId="27058F2A" w14:textId="77777777" w:rsidTr="00B721B7">
        <w:trPr>
          <w:trHeight w:val="300"/>
        </w:trPr>
        <w:tc>
          <w:tcPr>
            <w:tcW w:w="4480" w:type="dxa"/>
            <w:tcBorders>
              <w:top w:val="nil"/>
              <w:left w:val="nil"/>
              <w:bottom w:val="nil"/>
              <w:right w:val="nil"/>
            </w:tcBorders>
            <w:shd w:val="clear" w:color="000000" w:fill="FFFFFF"/>
            <w:noWrap/>
            <w:vAlign w:val="center"/>
            <w:hideMark/>
          </w:tcPr>
          <w:p w14:paraId="0FDD08D1" w14:textId="77777777" w:rsidR="00AB33EC" w:rsidRPr="00E80281" w:rsidRDefault="00AB33EC" w:rsidP="00B721B7">
            <w:pPr>
              <w:spacing w:after="12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Expenses from Continuing Operations</w:t>
            </w:r>
          </w:p>
        </w:tc>
        <w:tc>
          <w:tcPr>
            <w:tcW w:w="823" w:type="dxa"/>
            <w:tcBorders>
              <w:top w:val="nil"/>
              <w:left w:val="nil"/>
              <w:bottom w:val="nil"/>
              <w:right w:val="nil"/>
            </w:tcBorders>
            <w:shd w:val="clear" w:color="000000" w:fill="FFFFFF"/>
            <w:noWrap/>
            <w:vAlign w:val="center"/>
            <w:hideMark/>
          </w:tcPr>
          <w:p w14:paraId="2DA80262" w14:textId="77777777" w:rsidR="00AB33EC" w:rsidRPr="00E80281" w:rsidRDefault="00AB33EC" w:rsidP="00B721B7">
            <w:pPr>
              <w:spacing w:after="120"/>
              <w:jc w:val="center"/>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20" w:type="dxa"/>
            <w:tcBorders>
              <w:top w:val="nil"/>
              <w:left w:val="nil"/>
              <w:bottom w:val="nil"/>
              <w:right w:val="nil"/>
            </w:tcBorders>
            <w:shd w:val="clear" w:color="auto" w:fill="F1F1F2" w:themeFill="accent5" w:themeFillTint="33"/>
            <w:vAlign w:val="center"/>
          </w:tcPr>
          <w:p w14:paraId="217035E1"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p>
        </w:tc>
        <w:tc>
          <w:tcPr>
            <w:tcW w:w="1020" w:type="dxa"/>
            <w:tcBorders>
              <w:top w:val="nil"/>
              <w:left w:val="nil"/>
              <w:bottom w:val="nil"/>
              <w:right w:val="nil"/>
            </w:tcBorders>
            <w:shd w:val="clear" w:color="000000" w:fill="FFFFFF"/>
            <w:vAlign w:val="center"/>
          </w:tcPr>
          <w:p w14:paraId="68CFCF21"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p>
        </w:tc>
        <w:tc>
          <w:tcPr>
            <w:tcW w:w="1044" w:type="dxa"/>
            <w:tcBorders>
              <w:top w:val="nil"/>
              <w:left w:val="nil"/>
              <w:bottom w:val="nil"/>
              <w:right w:val="nil"/>
            </w:tcBorders>
            <w:shd w:val="clear" w:color="000000" w:fill="FFFFFF"/>
            <w:noWrap/>
            <w:vAlign w:val="center"/>
          </w:tcPr>
          <w:p w14:paraId="074A0F64"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p>
        </w:tc>
        <w:tc>
          <w:tcPr>
            <w:tcW w:w="1020" w:type="dxa"/>
            <w:tcBorders>
              <w:top w:val="nil"/>
              <w:left w:val="nil"/>
              <w:bottom w:val="nil"/>
              <w:right w:val="nil"/>
            </w:tcBorders>
            <w:shd w:val="clear" w:color="auto" w:fill="auto"/>
            <w:vAlign w:val="center"/>
            <w:hideMark/>
          </w:tcPr>
          <w:p w14:paraId="3F3D201B"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 </w:t>
            </w:r>
          </w:p>
        </w:tc>
      </w:tr>
      <w:tr w:rsidR="00AB33EC" w:rsidRPr="009C6467" w14:paraId="43F5FB30" w14:textId="77777777" w:rsidTr="00B721B7">
        <w:trPr>
          <w:trHeight w:val="300"/>
        </w:trPr>
        <w:tc>
          <w:tcPr>
            <w:tcW w:w="4480" w:type="dxa"/>
            <w:tcBorders>
              <w:top w:val="nil"/>
              <w:left w:val="nil"/>
              <w:bottom w:val="nil"/>
              <w:right w:val="nil"/>
            </w:tcBorders>
            <w:shd w:val="clear" w:color="000000" w:fill="FFFFFF"/>
            <w:noWrap/>
            <w:vAlign w:val="center"/>
            <w:hideMark/>
          </w:tcPr>
          <w:p w14:paraId="1B52128E" w14:textId="77777777" w:rsidR="00AB33EC" w:rsidRPr="00E80281" w:rsidRDefault="00AB33EC" w:rsidP="00B721B7">
            <w:pPr>
              <w:spacing w:after="12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823" w:type="dxa"/>
            <w:tcBorders>
              <w:top w:val="nil"/>
              <w:left w:val="nil"/>
              <w:bottom w:val="nil"/>
              <w:right w:val="nil"/>
            </w:tcBorders>
            <w:shd w:val="clear" w:color="000000" w:fill="FFFFFF"/>
            <w:noWrap/>
            <w:vAlign w:val="center"/>
            <w:hideMark/>
          </w:tcPr>
          <w:p w14:paraId="369E9253"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20" w:type="dxa"/>
            <w:tcBorders>
              <w:top w:val="nil"/>
              <w:left w:val="nil"/>
              <w:bottom w:val="nil"/>
              <w:right w:val="nil"/>
            </w:tcBorders>
            <w:shd w:val="clear" w:color="auto" w:fill="F1F1F2" w:themeFill="accent5" w:themeFillTint="33"/>
            <w:vAlign w:val="center"/>
          </w:tcPr>
          <w:p w14:paraId="7C605197"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20" w:type="dxa"/>
            <w:tcBorders>
              <w:top w:val="nil"/>
              <w:left w:val="nil"/>
              <w:bottom w:val="nil"/>
              <w:right w:val="nil"/>
            </w:tcBorders>
            <w:shd w:val="clear" w:color="000000" w:fill="FFFFFF"/>
            <w:vAlign w:val="center"/>
          </w:tcPr>
          <w:p w14:paraId="16270D16"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p>
        </w:tc>
        <w:tc>
          <w:tcPr>
            <w:tcW w:w="1044" w:type="dxa"/>
            <w:tcBorders>
              <w:top w:val="nil"/>
              <w:left w:val="nil"/>
              <w:bottom w:val="nil"/>
              <w:right w:val="nil"/>
            </w:tcBorders>
            <w:shd w:val="clear" w:color="000000" w:fill="FFFFFF"/>
            <w:noWrap/>
            <w:vAlign w:val="center"/>
          </w:tcPr>
          <w:p w14:paraId="732DC8F3"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20" w:type="dxa"/>
            <w:tcBorders>
              <w:top w:val="nil"/>
              <w:left w:val="nil"/>
              <w:bottom w:val="nil"/>
              <w:right w:val="nil"/>
            </w:tcBorders>
            <w:shd w:val="clear" w:color="auto" w:fill="auto"/>
            <w:vAlign w:val="center"/>
            <w:hideMark/>
          </w:tcPr>
          <w:p w14:paraId="3E8308D0"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 </w:t>
            </w:r>
          </w:p>
        </w:tc>
      </w:tr>
      <w:tr w:rsidR="00AB33EC" w:rsidRPr="009C6467" w14:paraId="7723B9C7" w14:textId="77777777" w:rsidTr="00B721B7">
        <w:trPr>
          <w:trHeight w:val="300"/>
        </w:trPr>
        <w:tc>
          <w:tcPr>
            <w:tcW w:w="4480" w:type="dxa"/>
            <w:tcBorders>
              <w:top w:val="nil"/>
              <w:left w:val="nil"/>
              <w:bottom w:val="nil"/>
              <w:right w:val="nil"/>
            </w:tcBorders>
            <w:shd w:val="clear" w:color="000000" w:fill="FFFFFF"/>
            <w:noWrap/>
            <w:vAlign w:val="center"/>
            <w:hideMark/>
          </w:tcPr>
          <w:p w14:paraId="4EB2424B" w14:textId="77777777" w:rsidR="00AB33EC" w:rsidRPr="00E80281" w:rsidRDefault="00AB33EC" w:rsidP="00B721B7">
            <w:pPr>
              <w:spacing w:after="12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Employee expenses</w:t>
            </w:r>
          </w:p>
        </w:tc>
        <w:tc>
          <w:tcPr>
            <w:tcW w:w="823" w:type="dxa"/>
            <w:tcBorders>
              <w:top w:val="nil"/>
              <w:left w:val="nil"/>
              <w:bottom w:val="nil"/>
              <w:right w:val="nil"/>
            </w:tcBorders>
            <w:shd w:val="clear" w:color="000000" w:fill="FFFFFF"/>
            <w:noWrap/>
            <w:vAlign w:val="center"/>
            <w:hideMark/>
          </w:tcPr>
          <w:p w14:paraId="27A619A1"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3</w:t>
            </w:r>
          </w:p>
        </w:tc>
        <w:tc>
          <w:tcPr>
            <w:tcW w:w="1020" w:type="dxa"/>
            <w:tcBorders>
              <w:top w:val="nil"/>
              <w:left w:val="nil"/>
              <w:bottom w:val="nil"/>
              <w:right w:val="nil"/>
            </w:tcBorders>
            <w:shd w:val="clear" w:color="auto" w:fill="F1F1F2" w:themeFill="accent5" w:themeFillTint="33"/>
          </w:tcPr>
          <w:p w14:paraId="2A31FBEC"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53,109 </w:t>
            </w:r>
          </w:p>
        </w:tc>
        <w:tc>
          <w:tcPr>
            <w:tcW w:w="1020" w:type="dxa"/>
            <w:tcBorders>
              <w:top w:val="nil"/>
              <w:left w:val="nil"/>
              <w:bottom w:val="nil"/>
              <w:right w:val="nil"/>
            </w:tcBorders>
            <w:shd w:val="clear" w:color="000000" w:fill="FFFFFF"/>
            <w:vAlign w:val="center"/>
          </w:tcPr>
          <w:p w14:paraId="5A9A5CAE"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53,542</w:t>
            </w:r>
          </w:p>
        </w:tc>
        <w:tc>
          <w:tcPr>
            <w:tcW w:w="1044" w:type="dxa"/>
            <w:tcBorders>
              <w:top w:val="nil"/>
              <w:left w:val="nil"/>
              <w:bottom w:val="nil"/>
              <w:right w:val="nil"/>
            </w:tcBorders>
            <w:shd w:val="clear" w:color="000000" w:fill="FFFFFF"/>
            <w:noWrap/>
          </w:tcPr>
          <w:p w14:paraId="6EE27825"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 (433)</w:t>
            </w:r>
          </w:p>
        </w:tc>
        <w:tc>
          <w:tcPr>
            <w:tcW w:w="1020" w:type="dxa"/>
            <w:tcBorders>
              <w:top w:val="nil"/>
              <w:left w:val="nil"/>
              <w:bottom w:val="nil"/>
              <w:right w:val="nil"/>
            </w:tcBorders>
            <w:shd w:val="clear" w:color="auto" w:fill="auto"/>
            <w:vAlign w:val="center"/>
            <w:hideMark/>
          </w:tcPr>
          <w:p w14:paraId="012803BA"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45,137</w:t>
            </w:r>
          </w:p>
        </w:tc>
      </w:tr>
      <w:tr w:rsidR="00AB33EC" w:rsidRPr="009C6467" w14:paraId="22003799" w14:textId="77777777" w:rsidTr="00B721B7">
        <w:trPr>
          <w:trHeight w:val="300"/>
        </w:trPr>
        <w:tc>
          <w:tcPr>
            <w:tcW w:w="4480" w:type="dxa"/>
            <w:tcBorders>
              <w:top w:val="nil"/>
              <w:left w:val="nil"/>
              <w:bottom w:val="nil"/>
              <w:right w:val="nil"/>
            </w:tcBorders>
            <w:shd w:val="clear" w:color="000000" w:fill="FFFFFF"/>
            <w:noWrap/>
            <w:vAlign w:val="center"/>
            <w:hideMark/>
          </w:tcPr>
          <w:p w14:paraId="309B04E0" w14:textId="77777777" w:rsidR="00AB33EC" w:rsidRPr="00E80281" w:rsidRDefault="00AB33EC" w:rsidP="00B721B7">
            <w:pPr>
              <w:spacing w:after="12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Supplies and services</w:t>
            </w:r>
          </w:p>
        </w:tc>
        <w:tc>
          <w:tcPr>
            <w:tcW w:w="823" w:type="dxa"/>
            <w:tcBorders>
              <w:top w:val="nil"/>
              <w:left w:val="nil"/>
              <w:bottom w:val="nil"/>
              <w:right w:val="nil"/>
            </w:tcBorders>
            <w:shd w:val="clear" w:color="000000" w:fill="FFFFFF"/>
            <w:noWrap/>
            <w:vAlign w:val="center"/>
            <w:hideMark/>
          </w:tcPr>
          <w:p w14:paraId="4616D4E0"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5</w:t>
            </w:r>
          </w:p>
        </w:tc>
        <w:tc>
          <w:tcPr>
            <w:tcW w:w="1020" w:type="dxa"/>
            <w:tcBorders>
              <w:top w:val="nil"/>
              <w:left w:val="nil"/>
              <w:bottom w:val="nil"/>
              <w:right w:val="nil"/>
            </w:tcBorders>
            <w:shd w:val="clear" w:color="auto" w:fill="F1F1F2" w:themeFill="accent5" w:themeFillTint="33"/>
          </w:tcPr>
          <w:p w14:paraId="74F1647F"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15,497 </w:t>
            </w:r>
          </w:p>
        </w:tc>
        <w:tc>
          <w:tcPr>
            <w:tcW w:w="1020" w:type="dxa"/>
            <w:tcBorders>
              <w:top w:val="nil"/>
              <w:left w:val="nil"/>
              <w:bottom w:val="nil"/>
              <w:right w:val="nil"/>
            </w:tcBorders>
            <w:shd w:val="clear" w:color="000000" w:fill="FFFFFF"/>
            <w:vAlign w:val="center"/>
          </w:tcPr>
          <w:p w14:paraId="6BA95525"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18,250</w:t>
            </w:r>
          </w:p>
        </w:tc>
        <w:tc>
          <w:tcPr>
            <w:tcW w:w="1044" w:type="dxa"/>
            <w:tcBorders>
              <w:top w:val="nil"/>
              <w:left w:val="nil"/>
              <w:bottom w:val="nil"/>
              <w:right w:val="nil"/>
            </w:tcBorders>
            <w:shd w:val="clear" w:color="000000" w:fill="FFFFFF"/>
            <w:noWrap/>
          </w:tcPr>
          <w:p w14:paraId="5A3453C4"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 (2,753)</w:t>
            </w:r>
          </w:p>
        </w:tc>
        <w:tc>
          <w:tcPr>
            <w:tcW w:w="1020" w:type="dxa"/>
            <w:tcBorders>
              <w:top w:val="nil"/>
              <w:left w:val="nil"/>
              <w:bottom w:val="nil"/>
              <w:right w:val="nil"/>
            </w:tcBorders>
            <w:shd w:val="clear" w:color="auto" w:fill="auto"/>
            <w:vAlign w:val="center"/>
            <w:hideMark/>
          </w:tcPr>
          <w:p w14:paraId="247E72A0"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14,209</w:t>
            </w:r>
          </w:p>
        </w:tc>
      </w:tr>
      <w:tr w:rsidR="00AB33EC" w:rsidRPr="009C6467" w14:paraId="55601134" w14:textId="77777777" w:rsidTr="00B721B7">
        <w:trPr>
          <w:trHeight w:val="300"/>
        </w:trPr>
        <w:tc>
          <w:tcPr>
            <w:tcW w:w="4480" w:type="dxa"/>
            <w:tcBorders>
              <w:top w:val="nil"/>
              <w:left w:val="nil"/>
              <w:bottom w:val="nil"/>
              <w:right w:val="nil"/>
            </w:tcBorders>
            <w:shd w:val="clear" w:color="000000" w:fill="FFFFFF"/>
            <w:noWrap/>
            <w:vAlign w:val="center"/>
            <w:hideMark/>
          </w:tcPr>
          <w:p w14:paraId="7D61A964" w14:textId="77777777" w:rsidR="00AB33EC" w:rsidRPr="00E80281" w:rsidRDefault="00AB33EC" w:rsidP="00B721B7">
            <w:pPr>
              <w:spacing w:after="12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Depreciation and amortisation</w:t>
            </w:r>
          </w:p>
        </w:tc>
        <w:tc>
          <w:tcPr>
            <w:tcW w:w="823" w:type="dxa"/>
            <w:tcBorders>
              <w:top w:val="nil"/>
              <w:left w:val="nil"/>
              <w:bottom w:val="nil"/>
              <w:right w:val="nil"/>
            </w:tcBorders>
            <w:shd w:val="clear" w:color="000000" w:fill="FFFFFF"/>
            <w:noWrap/>
            <w:vAlign w:val="center"/>
            <w:hideMark/>
          </w:tcPr>
          <w:p w14:paraId="26AC661A"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8,9,10</w:t>
            </w:r>
          </w:p>
        </w:tc>
        <w:tc>
          <w:tcPr>
            <w:tcW w:w="1020" w:type="dxa"/>
            <w:tcBorders>
              <w:top w:val="nil"/>
              <w:left w:val="nil"/>
              <w:bottom w:val="nil"/>
              <w:right w:val="nil"/>
            </w:tcBorders>
            <w:shd w:val="clear" w:color="auto" w:fill="F1F1F2" w:themeFill="accent5" w:themeFillTint="33"/>
          </w:tcPr>
          <w:p w14:paraId="3ED5C831"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2,148 </w:t>
            </w:r>
          </w:p>
        </w:tc>
        <w:tc>
          <w:tcPr>
            <w:tcW w:w="1020" w:type="dxa"/>
            <w:tcBorders>
              <w:top w:val="nil"/>
              <w:left w:val="nil"/>
              <w:bottom w:val="nil"/>
              <w:right w:val="nil"/>
            </w:tcBorders>
            <w:shd w:val="clear" w:color="000000" w:fill="FFFFFF"/>
            <w:vAlign w:val="center"/>
          </w:tcPr>
          <w:p w14:paraId="2A6DC3FD"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2,435</w:t>
            </w:r>
          </w:p>
        </w:tc>
        <w:tc>
          <w:tcPr>
            <w:tcW w:w="1044" w:type="dxa"/>
            <w:tcBorders>
              <w:top w:val="nil"/>
              <w:left w:val="nil"/>
              <w:bottom w:val="nil"/>
              <w:right w:val="nil"/>
            </w:tcBorders>
            <w:shd w:val="clear" w:color="000000" w:fill="FFFFFF"/>
            <w:noWrap/>
          </w:tcPr>
          <w:p w14:paraId="50047FA0"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 (287)</w:t>
            </w:r>
          </w:p>
        </w:tc>
        <w:tc>
          <w:tcPr>
            <w:tcW w:w="1020" w:type="dxa"/>
            <w:tcBorders>
              <w:top w:val="nil"/>
              <w:left w:val="nil"/>
              <w:bottom w:val="nil"/>
              <w:right w:val="nil"/>
            </w:tcBorders>
            <w:shd w:val="clear" w:color="auto" w:fill="auto"/>
            <w:vAlign w:val="center"/>
            <w:hideMark/>
          </w:tcPr>
          <w:p w14:paraId="57A0F83D"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2,288</w:t>
            </w:r>
          </w:p>
        </w:tc>
      </w:tr>
      <w:tr w:rsidR="00AB33EC" w:rsidRPr="009C6467" w14:paraId="3DB0C054" w14:textId="77777777" w:rsidTr="00B721B7">
        <w:trPr>
          <w:trHeight w:val="300"/>
        </w:trPr>
        <w:tc>
          <w:tcPr>
            <w:tcW w:w="4480" w:type="dxa"/>
            <w:tcBorders>
              <w:top w:val="nil"/>
              <w:left w:val="nil"/>
              <w:bottom w:val="nil"/>
              <w:right w:val="nil"/>
            </w:tcBorders>
            <w:shd w:val="clear" w:color="000000" w:fill="FFFFFF"/>
            <w:noWrap/>
            <w:vAlign w:val="center"/>
            <w:hideMark/>
          </w:tcPr>
          <w:p w14:paraId="6180D7F2" w14:textId="77777777" w:rsidR="00AB33EC" w:rsidRPr="00E80281" w:rsidRDefault="00AB33EC" w:rsidP="00B721B7">
            <w:pPr>
              <w:spacing w:after="12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Finance costs</w:t>
            </w:r>
          </w:p>
        </w:tc>
        <w:tc>
          <w:tcPr>
            <w:tcW w:w="823" w:type="dxa"/>
            <w:tcBorders>
              <w:top w:val="nil"/>
              <w:left w:val="nil"/>
              <w:bottom w:val="nil"/>
              <w:right w:val="nil"/>
            </w:tcBorders>
            <w:shd w:val="clear" w:color="000000" w:fill="FFFFFF"/>
            <w:noWrap/>
            <w:vAlign w:val="center"/>
            <w:hideMark/>
          </w:tcPr>
          <w:p w14:paraId="26E959E0"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20" w:type="dxa"/>
            <w:tcBorders>
              <w:top w:val="nil"/>
              <w:left w:val="nil"/>
              <w:bottom w:val="nil"/>
              <w:right w:val="nil"/>
            </w:tcBorders>
            <w:shd w:val="clear" w:color="auto" w:fill="F1F1F2" w:themeFill="accent5" w:themeFillTint="33"/>
          </w:tcPr>
          <w:p w14:paraId="61299C9F"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29 </w:t>
            </w:r>
          </w:p>
        </w:tc>
        <w:tc>
          <w:tcPr>
            <w:tcW w:w="1020" w:type="dxa"/>
            <w:tcBorders>
              <w:top w:val="nil"/>
              <w:left w:val="nil"/>
              <w:bottom w:val="nil"/>
              <w:right w:val="nil"/>
            </w:tcBorders>
            <w:shd w:val="clear" w:color="000000" w:fill="FFFFFF"/>
            <w:vAlign w:val="center"/>
          </w:tcPr>
          <w:p w14:paraId="146A6D16"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36</w:t>
            </w:r>
          </w:p>
        </w:tc>
        <w:tc>
          <w:tcPr>
            <w:tcW w:w="1044" w:type="dxa"/>
            <w:tcBorders>
              <w:top w:val="nil"/>
              <w:left w:val="nil"/>
              <w:bottom w:val="nil"/>
              <w:right w:val="nil"/>
            </w:tcBorders>
            <w:shd w:val="clear" w:color="000000" w:fill="FFFFFF"/>
            <w:noWrap/>
          </w:tcPr>
          <w:p w14:paraId="51E798FE"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 (7)</w:t>
            </w:r>
          </w:p>
        </w:tc>
        <w:tc>
          <w:tcPr>
            <w:tcW w:w="1020" w:type="dxa"/>
            <w:tcBorders>
              <w:top w:val="nil"/>
              <w:left w:val="nil"/>
              <w:bottom w:val="nil"/>
              <w:right w:val="nil"/>
            </w:tcBorders>
            <w:shd w:val="clear" w:color="auto" w:fill="auto"/>
            <w:vAlign w:val="center"/>
            <w:hideMark/>
          </w:tcPr>
          <w:p w14:paraId="3CE5245C"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24</w:t>
            </w:r>
          </w:p>
        </w:tc>
      </w:tr>
      <w:tr w:rsidR="00AB33EC" w:rsidRPr="009C6467" w14:paraId="48E59E99" w14:textId="77777777" w:rsidTr="00B721B7">
        <w:trPr>
          <w:trHeight w:val="300"/>
        </w:trPr>
        <w:tc>
          <w:tcPr>
            <w:tcW w:w="4480" w:type="dxa"/>
            <w:tcBorders>
              <w:top w:val="nil"/>
              <w:left w:val="nil"/>
              <w:bottom w:val="nil"/>
              <w:right w:val="nil"/>
            </w:tcBorders>
            <w:shd w:val="clear" w:color="000000" w:fill="FFFFFF"/>
            <w:noWrap/>
            <w:vAlign w:val="center"/>
            <w:hideMark/>
          </w:tcPr>
          <w:p w14:paraId="40CF275D" w14:textId="77777777" w:rsidR="00AB33EC" w:rsidRPr="00E80281" w:rsidRDefault="00AB33EC" w:rsidP="00B721B7">
            <w:pPr>
              <w:spacing w:after="12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Other expenses</w:t>
            </w:r>
          </w:p>
        </w:tc>
        <w:tc>
          <w:tcPr>
            <w:tcW w:w="823" w:type="dxa"/>
            <w:tcBorders>
              <w:top w:val="nil"/>
              <w:left w:val="nil"/>
              <w:bottom w:val="nil"/>
              <w:right w:val="nil"/>
            </w:tcBorders>
            <w:shd w:val="clear" w:color="000000" w:fill="FFFFFF"/>
            <w:noWrap/>
            <w:vAlign w:val="center"/>
            <w:hideMark/>
          </w:tcPr>
          <w:p w14:paraId="6625F43F"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6</w:t>
            </w:r>
          </w:p>
        </w:tc>
        <w:tc>
          <w:tcPr>
            <w:tcW w:w="1020" w:type="dxa"/>
            <w:tcBorders>
              <w:top w:val="nil"/>
              <w:left w:val="nil"/>
              <w:bottom w:val="nil"/>
              <w:right w:val="nil"/>
            </w:tcBorders>
            <w:shd w:val="clear" w:color="auto" w:fill="F1F1F2" w:themeFill="accent5" w:themeFillTint="33"/>
          </w:tcPr>
          <w:p w14:paraId="59181071"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1,</w:t>
            </w:r>
            <w:r>
              <w:rPr>
                <w:rFonts w:asciiTheme="minorHAnsi" w:hAnsiTheme="minorHAnsi" w:cstheme="minorHAnsi"/>
                <w:szCs w:val="20"/>
              </w:rPr>
              <w:t>726</w:t>
            </w:r>
            <w:r w:rsidRPr="009C6467">
              <w:rPr>
                <w:rFonts w:asciiTheme="minorHAnsi" w:hAnsiTheme="minorHAnsi" w:cstheme="minorHAnsi"/>
                <w:szCs w:val="20"/>
              </w:rPr>
              <w:t xml:space="preserve"> </w:t>
            </w:r>
          </w:p>
        </w:tc>
        <w:tc>
          <w:tcPr>
            <w:tcW w:w="1020" w:type="dxa"/>
            <w:tcBorders>
              <w:top w:val="nil"/>
              <w:left w:val="nil"/>
              <w:bottom w:val="nil"/>
              <w:right w:val="nil"/>
            </w:tcBorders>
            <w:shd w:val="clear" w:color="000000" w:fill="FFFFFF"/>
            <w:vAlign w:val="center"/>
          </w:tcPr>
          <w:p w14:paraId="0B3BAD0D"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1,370</w:t>
            </w:r>
          </w:p>
        </w:tc>
        <w:tc>
          <w:tcPr>
            <w:tcW w:w="1044" w:type="dxa"/>
            <w:tcBorders>
              <w:top w:val="nil"/>
              <w:left w:val="nil"/>
              <w:bottom w:val="nil"/>
              <w:right w:val="nil"/>
            </w:tcBorders>
            <w:shd w:val="clear" w:color="000000" w:fill="FFFFFF"/>
            <w:noWrap/>
          </w:tcPr>
          <w:p w14:paraId="0B6A71B7"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 3</w:t>
            </w:r>
            <w:r>
              <w:rPr>
                <w:rFonts w:asciiTheme="minorHAnsi" w:hAnsiTheme="minorHAnsi" w:cstheme="minorHAnsi"/>
                <w:szCs w:val="20"/>
              </w:rPr>
              <w:t>56</w:t>
            </w:r>
          </w:p>
        </w:tc>
        <w:tc>
          <w:tcPr>
            <w:tcW w:w="1020" w:type="dxa"/>
            <w:tcBorders>
              <w:top w:val="nil"/>
              <w:left w:val="nil"/>
              <w:bottom w:val="nil"/>
              <w:right w:val="nil"/>
            </w:tcBorders>
            <w:shd w:val="clear" w:color="auto" w:fill="auto"/>
            <w:vAlign w:val="center"/>
            <w:hideMark/>
          </w:tcPr>
          <w:p w14:paraId="0D99307B"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1,474</w:t>
            </w:r>
          </w:p>
        </w:tc>
      </w:tr>
      <w:tr w:rsidR="00AB33EC" w:rsidRPr="009C6467" w14:paraId="7E89F300" w14:textId="77777777" w:rsidTr="00B721B7">
        <w:trPr>
          <w:trHeight w:val="315"/>
        </w:trPr>
        <w:tc>
          <w:tcPr>
            <w:tcW w:w="4480" w:type="dxa"/>
            <w:tcBorders>
              <w:top w:val="nil"/>
              <w:left w:val="nil"/>
              <w:bottom w:val="nil"/>
              <w:right w:val="nil"/>
            </w:tcBorders>
            <w:shd w:val="clear" w:color="000000" w:fill="FFFFFF"/>
            <w:noWrap/>
            <w:vAlign w:val="center"/>
            <w:hideMark/>
          </w:tcPr>
          <w:p w14:paraId="2C022B1A" w14:textId="77777777" w:rsidR="00AB33EC" w:rsidRPr="00E80281" w:rsidRDefault="00AB33EC" w:rsidP="00B721B7">
            <w:pPr>
              <w:spacing w:after="12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823" w:type="dxa"/>
            <w:tcBorders>
              <w:top w:val="nil"/>
              <w:left w:val="nil"/>
              <w:bottom w:val="nil"/>
              <w:right w:val="nil"/>
            </w:tcBorders>
            <w:shd w:val="clear" w:color="000000" w:fill="FFFFFF"/>
            <w:noWrap/>
            <w:vAlign w:val="center"/>
            <w:hideMark/>
          </w:tcPr>
          <w:p w14:paraId="6A3C3DEA"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20" w:type="dxa"/>
            <w:tcBorders>
              <w:top w:val="nil"/>
              <w:left w:val="nil"/>
              <w:bottom w:val="single" w:sz="8" w:space="0" w:color="auto"/>
              <w:right w:val="nil"/>
            </w:tcBorders>
            <w:shd w:val="clear" w:color="auto" w:fill="F1F1F2" w:themeFill="accent5" w:themeFillTint="33"/>
            <w:vAlign w:val="center"/>
          </w:tcPr>
          <w:p w14:paraId="24202010"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20" w:type="dxa"/>
            <w:tcBorders>
              <w:top w:val="nil"/>
              <w:left w:val="nil"/>
              <w:bottom w:val="single" w:sz="8" w:space="0" w:color="auto"/>
              <w:right w:val="nil"/>
            </w:tcBorders>
            <w:shd w:val="clear" w:color="000000" w:fill="FFFFFF"/>
            <w:vAlign w:val="center"/>
          </w:tcPr>
          <w:p w14:paraId="7F7AC86C"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p>
        </w:tc>
        <w:tc>
          <w:tcPr>
            <w:tcW w:w="1044" w:type="dxa"/>
            <w:tcBorders>
              <w:top w:val="nil"/>
              <w:left w:val="nil"/>
              <w:bottom w:val="single" w:sz="8" w:space="0" w:color="auto"/>
              <w:right w:val="nil"/>
            </w:tcBorders>
            <w:shd w:val="clear" w:color="000000" w:fill="FFFFFF"/>
            <w:noWrap/>
            <w:vAlign w:val="center"/>
          </w:tcPr>
          <w:p w14:paraId="2467C36F"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20" w:type="dxa"/>
            <w:tcBorders>
              <w:top w:val="nil"/>
              <w:left w:val="nil"/>
              <w:bottom w:val="single" w:sz="8" w:space="0" w:color="auto"/>
              <w:right w:val="nil"/>
            </w:tcBorders>
            <w:shd w:val="clear" w:color="auto" w:fill="auto"/>
            <w:vAlign w:val="center"/>
            <w:hideMark/>
          </w:tcPr>
          <w:p w14:paraId="3BC137E4"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r>
      <w:tr w:rsidR="00AB33EC" w:rsidRPr="009C6467" w14:paraId="44B50656" w14:textId="77777777" w:rsidTr="00B721B7">
        <w:trPr>
          <w:trHeight w:val="300"/>
        </w:trPr>
        <w:tc>
          <w:tcPr>
            <w:tcW w:w="4480" w:type="dxa"/>
            <w:tcBorders>
              <w:top w:val="nil"/>
              <w:left w:val="nil"/>
              <w:bottom w:val="nil"/>
              <w:right w:val="nil"/>
            </w:tcBorders>
            <w:shd w:val="clear" w:color="000000" w:fill="FFFFFF"/>
            <w:noWrap/>
            <w:vAlign w:val="center"/>
            <w:hideMark/>
          </w:tcPr>
          <w:p w14:paraId="0D3C4AA7" w14:textId="77777777" w:rsidR="00AB33EC" w:rsidRPr="00E80281" w:rsidRDefault="00AB33EC" w:rsidP="00B721B7">
            <w:pPr>
              <w:spacing w:after="12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Total Expenses from Continuing Operations</w:t>
            </w:r>
          </w:p>
        </w:tc>
        <w:tc>
          <w:tcPr>
            <w:tcW w:w="823" w:type="dxa"/>
            <w:tcBorders>
              <w:top w:val="nil"/>
              <w:left w:val="nil"/>
              <w:bottom w:val="nil"/>
              <w:right w:val="nil"/>
            </w:tcBorders>
            <w:shd w:val="clear" w:color="000000" w:fill="FFFFFF"/>
            <w:noWrap/>
            <w:vAlign w:val="center"/>
            <w:hideMark/>
          </w:tcPr>
          <w:p w14:paraId="5D08A1B0" w14:textId="77777777" w:rsidR="00AB33EC" w:rsidRPr="00E80281" w:rsidRDefault="00AB33EC" w:rsidP="00B721B7">
            <w:pPr>
              <w:spacing w:after="120"/>
              <w:jc w:val="center"/>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20" w:type="dxa"/>
            <w:tcBorders>
              <w:top w:val="nil"/>
              <w:left w:val="nil"/>
              <w:bottom w:val="nil"/>
              <w:right w:val="nil"/>
            </w:tcBorders>
            <w:shd w:val="clear" w:color="auto" w:fill="F1F1F2" w:themeFill="accent5" w:themeFillTint="33"/>
            <w:vAlign w:val="center"/>
          </w:tcPr>
          <w:p w14:paraId="2F2FBF8B"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72,</w:t>
            </w:r>
            <w:r>
              <w:rPr>
                <w:rFonts w:asciiTheme="minorHAnsi" w:eastAsia="Times New Roman" w:hAnsiTheme="minorHAnsi" w:cstheme="minorHAnsi"/>
                <w:b/>
                <w:bCs/>
                <w:color w:val="000000"/>
                <w:szCs w:val="20"/>
                <w:lang w:eastAsia="en-AU"/>
              </w:rPr>
              <w:t>509</w:t>
            </w:r>
            <w:r w:rsidRPr="009C6467">
              <w:rPr>
                <w:rFonts w:asciiTheme="minorHAnsi" w:eastAsia="Times New Roman" w:hAnsiTheme="minorHAnsi" w:cstheme="minorHAnsi"/>
                <w:b/>
                <w:bCs/>
                <w:color w:val="000000"/>
                <w:szCs w:val="20"/>
                <w:lang w:eastAsia="en-AU"/>
              </w:rPr>
              <w:t xml:space="preserve"> </w:t>
            </w:r>
          </w:p>
        </w:tc>
        <w:tc>
          <w:tcPr>
            <w:tcW w:w="1020" w:type="dxa"/>
            <w:tcBorders>
              <w:top w:val="nil"/>
              <w:left w:val="nil"/>
              <w:bottom w:val="nil"/>
              <w:right w:val="nil"/>
            </w:tcBorders>
            <w:shd w:val="clear" w:color="000000" w:fill="FFFFFF"/>
            <w:vAlign w:val="center"/>
          </w:tcPr>
          <w:p w14:paraId="55D412D5"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75,633</w:t>
            </w:r>
          </w:p>
        </w:tc>
        <w:tc>
          <w:tcPr>
            <w:tcW w:w="1044" w:type="dxa"/>
            <w:tcBorders>
              <w:top w:val="nil"/>
              <w:left w:val="nil"/>
              <w:bottom w:val="nil"/>
              <w:right w:val="nil"/>
            </w:tcBorders>
            <w:shd w:val="clear" w:color="000000" w:fill="FFFFFF"/>
            <w:vAlign w:val="center"/>
          </w:tcPr>
          <w:p w14:paraId="43E35F54"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(3,</w:t>
            </w:r>
            <w:r>
              <w:rPr>
                <w:rFonts w:asciiTheme="minorHAnsi" w:eastAsia="Times New Roman" w:hAnsiTheme="minorHAnsi" w:cstheme="minorHAnsi"/>
                <w:b/>
                <w:bCs/>
                <w:color w:val="000000"/>
                <w:szCs w:val="20"/>
                <w:lang w:eastAsia="en-AU"/>
              </w:rPr>
              <w:t>124</w:t>
            </w:r>
            <w:r w:rsidRPr="009C6467">
              <w:rPr>
                <w:rFonts w:asciiTheme="minorHAnsi" w:eastAsia="Times New Roman" w:hAnsiTheme="minorHAnsi" w:cstheme="minorHAnsi"/>
                <w:b/>
                <w:bCs/>
                <w:color w:val="000000"/>
                <w:szCs w:val="20"/>
                <w:lang w:eastAsia="en-AU"/>
              </w:rPr>
              <w:t>)</w:t>
            </w:r>
          </w:p>
        </w:tc>
        <w:tc>
          <w:tcPr>
            <w:tcW w:w="1020" w:type="dxa"/>
            <w:tcBorders>
              <w:top w:val="nil"/>
              <w:left w:val="nil"/>
              <w:bottom w:val="nil"/>
              <w:right w:val="nil"/>
            </w:tcBorders>
            <w:shd w:val="clear" w:color="auto" w:fill="auto"/>
            <w:vAlign w:val="center"/>
            <w:hideMark/>
          </w:tcPr>
          <w:p w14:paraId="04CCED37"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63,132</w:t>
            </w:r>
          </w:p>
        </w:tc>
      </w:tr>
      <w:tr w:rsidR="00AB33EC" w:rsidRPr="009C6467" w14:paraId="42DA2445" w14:textId="77777777" w:rsidTr="00B721B7">
        <w:trPr>
          <w:trHeight w:val="315"/>
        </w:trPr>
        <w:tc>
          <w:tcPr>
            <w:tcW w:w="4480" w:type="dxa"/>
            <w:tcBorders>
              <w:top w:val="nil"/>
              <w:left w:val="nil"/>
              <w:bottom w:val="nil"/>
              <w:right w:val="nil"/>
            </w:tcBorders>
            <w:shd w:val="clear" w:color="000000" w:fill="FFFFFF"/>
            <w:noWrap/>
            <w:vAlign w:val="center"/>
            <w:hideMark/>
          </w:tcPr>
          <w:p w14:paraId="6FC0E349" w14:textId="77777777" w:rsidR="00AB33EC" w:rsidRPr="00E80281" w:rsidRDefault="00AB33EC" w:rsidP="00B721B7">
            <w:pPr>
              <w:spacing w:after="12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823" w:type="dxa"/>
            <w:tcBorders>
              <w:top w:val="nil"/>
              <w:left w:val="nil"/>
              <w:bottom w:val="nil"/>
              <w:right w:val="nil"/>
            </w:tcBorders>
            <w:shd w:val="clear" w:color="000000" w:fill="FFFFFF"/>
            <w:noWrap/>
            <w:vAlign w:val="center"/>
            <w:hideMark/>
          </w:tcPr>
          <w:p w14:paraId="55DC63C0"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20" w:type="dxa"/>
            <w:tcBorders>
              <w:top w:val="nil"/>
              <w:left w:val="nil"/>
              <w:bottom w:val="single" w:sz="8" w:space="0" w:color="auto"/>
              <w:right w:val="nil"/>
            </w:tcBorders>
            <w:shd w:val="clear" w:color="auto" w:fill="F1F1F2" w:themeFill="accent5" w:themeFillTint="33"/>
            <w:vAlign w:val="center"/>
          </w:tcPr>
          <w:p w14:paraId="02EB9CE3"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20" w:type="dxa"/>
            <w:tcBorders>
              <w:top w:val="nil"/>
              <w:left w:val="nil"/>
              <w:bottom w:val="single" w:sz="8" w:space="0" w:color="auto"/>
              <w:right w:val="nil"/>
            </w:tcBorders>
            <w:shd w:val="clear" w:color="000000" w:fill="FFFFFF"/>
            <w:vAlign w:val="center"/>
          </w:tcPr>
          <w:p w14:paraId="23EE65AA"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p>
        </w:tc>
        <w:tc>
          <w:tcPr>
            <w:tcW w:w="1044" w:type="dxa"/>
            <w:tcBorders>
              <w:top w:val="nil"/>
              <w:left w:val="nil"/>
              <w:bottom w:val="single" w:sz="8" w:space="0" w:color="auto"/>
              <w:right w:val="nil"/>
            </w:tcBorders>
            <w:shd w:val="clear" w:color="000000" w:fill="FFFFFF"/>
            <w:noWrap/>
            <w:vAlign w:val="center"/>
          </w:tcPr>
          <w:p w14:paraId="0BBF0341"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20" w:type="dxa"/>
            <w:tcBorders>
              <w:top w:val="nil"/>
              <w:left w:val="nil"/>
              <w:bottom w:val="single" w:sz="8" w:space="0" w:color="auto"/>
              <w:right w:val="nil"/>
            </w:tcBorders>
            <w:shd w:val="clear" w:color="auto" w:fill="auto"/>
            <w:vAlign w:val="center"/>
            <w:hideMark/>
          </w:tcPr>
          <w:p w14:paraId="39EC8C96"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r>
      <w:tr w:rsidR="00AB33EC" w:rsidRPr="009C6467" w14:paraId="3D677EA1" w14:textId="77777777" w:rsidTr="00B721B7">
        <w:trPr>
          <w:trHeight w:val="315"/>
        </w:trPr>
        <w:tc>
          <w:tcPr>
            <w:tcW w:w="4480" w:type="dxa"/>
            <w:tcBorders>
              <w:top w:val="nil"/>
              <w:left w:val="nil"/>
              <w:bottom w:val="nil"/>
              <w:right w:val="nil"/>
            </w:tcBorders>
            <w:shd w:val="clear" w:color="000000" w:fill="FFFFFF"/>
            <w:noWrap/>
            <w:vAlign w:val="center"/>
            <w:hideMark/>
          </w:tcPr>
          <w:p w14:paraId="45AE335F" w14:textId="77777777" w:rsidR="00AB33EC" w:rsidRPr="00E80281" w:rsidRDefault="00AB33EC" w:rsidP="00B721B7">
            <w:pPr>
              <w:spacing w:after="12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Operating Result from Continuing Operations</w:t>
            </w:r>
          </w:p>
        </w:tc>
        <w:tc>
          <w:tcPr>
            <w:tcW w:w="823" w:type="dxa"/>
            <w:tcBorders>
              <w:top w:val="nil"/>
              <w:left w:val="nil"/>
              <w:bottom w:val="nil"/>
              <w:right w:val="nil"/>
            </w:tcBorders>
            <w:shd w:val="clear" w:color="000000" w:fill="FFFFFF"/>
            <w:noWrap/>
            <w:vAlign w:val="center"/>
            <w:hideMark/>
          </w:tcPr>
          <w:p w14:paraId="46F5A837" w14:textId="77777777" w:rsidR="00AB33EC" w:rsidRPr="00E80281" w:rsidRDefault="00AB33EC" w:rsidP="00B721B7">
            <w:pPr>
              <w:spacing w:after="120"/>
              <w:jc w:val="center"/>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20" w:type="dxa"/>
            <w:tcBorders>
              <w:top w:val="nil"/>
              <w:left w:val="nil"/>
              <w:bottom w:val="double" w:sz="6" w:space="0" w:color="auto"/>
              <w:right w:val="nil"/>
            </w:tcBorders>
            <w:shd w:val="clear" w:color="auto" w:fill="F1F1F2" w:themeFill="accent5" w:themeFillTint="33"/>
            <w:vAlign w:val="center"/>
          </w:tcPr>
          <w:p w14:paraId="5943249D"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(156)</w:t>
            </w:r>
          </w:p>
        </w:tc>
        <w:tc>
          <w:tcPr>
            <w:tcW w:w="1020" w:type="dxa"/>
            <w:tcBorders>
              <w:top w:val="nil"/>
              <w:left w:val="nil"/>
              <w:bottom w:val="double" w:sz="6" w:space="0" w:color="auto"/>
              <w:right w:val="nil"/>
            </w:tcBorders>
            <w:shd w:val="clear" w:color="000000" w:fill="FFFFFF"/>
            <w:vAlign w:val="center"/>
          </w:tcPr>
          <w:p w14:paraId="7FE084AE"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w:t>
            </w:r>
          </w:p>
        </w:tc>
        <w:tc>
          <w:tcPr>
            <w:tcW w:w="1044" w:type="dxa"/>
            <w:tcBorders>
              <w:top w:val="nil"/>
              <w:left w:val="nil"/>
              <w:bottom w:val="double" w:sz="6" w:space="0" w:color="auto"/>
              <w:right w:val="nil"/>
            </w:tcBorders>
            <w:shd w:val="clear" w:color="000000" w:fill="FFFFFF"/>
          </w:tcPr>
          <w:p w14:paraId="634F0BC2"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r w:rsidRPr="009C6467">
              <w:rPr>
                <w:rFonts w:asciiTheme="minorHAnsi" w:hAnsiTheme="minorHAnsi" w:cstheme="minorHAnsi"/>
                <w:b/>
                <w:bCs/>
                <w:szCs w:val="20"/>
              </w:rPr>
              <w:t>(156)</w:t>
            </w:r>
          </w:p>
        </w:tc>
        <w:tc>
          <w:tcPr>
            <w:tcW w:w="1020" w:type="dxa"/>
            <w:tcBorders>
              <w:top w:val="nil"/>
              <w:left w:val="nil"/>
              <w:bottom w:val="double" w:sz="6" w:space="0" w:color="auto"/>
              <w:right w:val="nil"/>
            </w:tcBorders>
            <w:shd w:val="clear" w:color="auto" w:fill="auto"/>
            <w:vAlign w:val="center"/>
            <w:hideMark/>
          </w:tcPr>
          <w:p w14:paraId="6A82F7C0"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6,431</w:t>
            </w:r>
          </w:p>
        </w:tc>
      </w:tr>
      <w:tr w:rsidR="00AB33EC" w:rsidRPr="009C6467" w14:paraId="4B531CCE" w14:textId="77777777" w:rsidTr="00B721B7">
        <w:trPr>
          <w:trHeight w:val="315"/>
        </w:trPr>
        <w:tc>
          <w:tcPr>
            <w:tcW w:w="4480" w:type="dxa"/>
            <w:tcBorders>
              <w:top w:val="nil"/>
              <w:left w:val="nil"/>
              <w:bottom w:val="nil"/>
              <w:right w:val="nil"/>
            </w:tcBorders>
            <w:shd w:val="clear" w:color="000000" w:fill="FFFFFF"/>
            <w:noWrap/>
            <w:vAlign w:val="center"/>
            <w:hideMark/>
          </w:tcPr>
          <w:p w14:paraId="4671C652" w14:textId="77777777" w:rsidR="00AB33EC" w:rsidRPr="00E80281" w:rsidRDefault="00AB33EC" w:rsidP="00B721B7">
            <w:pPr>
              <w:spacing w:after="12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823" w:type="dxa"/>
            <w:tcBorders>
              <w:top w:val="nil"/>
              <w:left w:val="nil"/>
              <w:bottom w:val="nil"/>
              <w:right w:val="nil"/>
            </w:tcBorders>
            <w:shd w:val="clear" w:color="000000" w:fill="FFFFFF"/>
            <w:noWrap/>
            <w:vAlign w:val="center"/>
            <w:hideMark/>
          </w:tcPr>
          <w:p w14:paraId="15D21DD8"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20" w:type="dxa"/>
            <w:tcBorders>
              <w:top w:val="nil"/>
              <w:left w:val="nil"/>
              <w:bottom w:val="nil"/>
              <w:right w:val="nil"/>
            </w:tcBorders>
            <w:shd w:val="clear" w:color="auto" w:fill="F1F1F2" w:themeFill="accent5" w:themeFillTint="33"/>
            <w:vAlign w:val="center"/>
          </w:tcPr>
          <w:p w14:paraId="38CFAA15"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20" w:type="dxa"/>
            <w:tcBorders>
              <w:top w:val="nil"/>
              <w:left w:val="nil"/>
              <w:bottom w:val="nil"/>
              <w:right w:val="nil"/>
            </w:tcBorders>
            <w:shd w:val="clear" w:color="000000" w:fill="FFFFFF"/>
            <w:vAlign w:val="center"/>
          </w:tcPr>
          <w:p w14:paraId="11BCAD77"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p>
        </w:tc>
        <w:tc>
          <w:tcPr>
            <w:tcW w:w="1044" w:type="dxa"/>
            <w:tcBorders>
              <w:top w:val="nil"/>
              <w:left w:val="nil"/>
              <w:bottom w:val="nil"/>
              <w:right w:val="nil"/>
            </w:tcBorders>
            <w:shd w:val="clear" w:color="000000" w:fill="FFFFFF"/>
            <w:noWrap/>
          </w:tcPr>
          <w:p w14:paraId="0E576CCD"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20" w:type="dxa"/>
            <w:tcBorders>
              <w:top w:val="nil"/>
              <w:left w:val="nil"/>
              <w:bottom w:val="nil"/>
              <w:right w:val="nil"/>
            </w:tcBorders>
            <w:shd w:val="clear" w:color="auto" w:fill="auto"/>
            <w:vAlign w:val="center"/>
            <w:hideMark/>
          </w:tcPr>
          <w:p w14:paraId="4AF59B49"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r>
      <w:tr w:rsidR="00AB33EC" w:rsidRPr="009C6467" w14:paraId="1365B86B" w14:textId="77777777" w:rsidTr="00B721B7">
        <w:trPr>
          <w:trHeight w:val="315"/>
        </w:trPr>
        <w:tc>
          <w:tcPr>
            <w:tcW w:w="4480" w:type="dxa"/>
            <w:tcBorders>
              <w:top w:val="nil"/>
              <w:left w:val="nil"/>
              <w:bottom w:val="nil"/>
              <w:right w:val="nil"/>
            </w:tcBorders>
            <w:shd w:val="clear" w:color="000000" w:fill="FFFFFF"/>
            <w:noWrap/>
            <w:vAlign w:val="center"/>
            <w:hideMark/>
          </w:tcPr>
          <w:p w14:paraId="4E84EA25" w14:textId="77777777" w:rsidR="00AB33EC" w:rsidRPr="00E80281" w:rsidRDefault="00AB33EC" w:rsidP="00B721B7">
            <w:pPr>
              <w:spacing w:after="12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823" w:type="dxa"/>
            <w:tcBorders>
              <w:top w:val="nil"/>
              <w:left w:val="nil"/>
              <w:bottom w:val="nil"/>
              <w:right w:val="nil"/>
            </w:tcBorders>
            <w:shd w:val="clear" w:color="000000" w:fill="FFFFFF"/>
            <w:noWrap/>
            <w:vAlign w:val="center"/>
            <w:hideMark/>
          </w:tcPr>
          <w:p w14:paraId="5C176914"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20" w:type="dxa"/>
            <w:tcBorders>
              <w:top w:val="nil"/>
              <w:left w:val="nil"/>
              <w:bottom w:val="single" w:sz="8" w:space="0" w:color="auto"/>
              <w:right w:val="nil"/>
            </w:tcBorders>
            <w:shd w:val="clear" w:color="auto" w:fill="F1F1F2" w:themeFill="accent5" w:themeFillTint="33"/>
            <w:vAlign w:val="center"/>
          </w:tcPr>
          <w:p w14:paraId="092703BA"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20" w:type="dxa"/>
            <w:tcBorders>
              <w:top w:val="nil"/>
              <w:left w:val="nil"/>
              <w:bottom w:val="single" w:sz="8" w:space="0" w:color="auto"/>
              <w:right w:val="nil"/>
            </w:tcBorders>
            <w:shd w:val="clear" w:color="000000" w:fill="FFFFFF"/>
            <w:vAlign w:val="center"/>
          </w:tcPr>
          <w:p w14:paraId="38C6B9C8"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p>
        </w:tc>
        <w:tc>
          <w:tcPr>
            <w:tcW w:w="1044" w:type="dxa"/>
            <w:tcBorders>
              <w:top w:val="nil"/>
              <w:left w:val="nil"/>
              <w:bottom w:val="single" w:sz="8" w:space="0" w:color="auto"/>
              <w:right w:val="nil"/>
            </w:tcBorders>
            <w:shd w:val="clear" w:color="000000" w:fill="FFFFFF"/>
            <w:noWrap/>
          </w:tcPr>
          <w:p w14:paraId="3AD204E0"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c>
          <w:tcPr>
            <w:tcW w:w="1020" w:type="dxa"/>
            <w:tcBorders>
              <w:top w:val="nil"/>
              <w:left w:val="nil"/>
              <w:bottom w:val="single" w:sz="8" w:space="0" w:color="auto"/>
              <w:right w:val="nil"/>
            </w:tcBorders>
            <w:shd w:val="clear" w:color="auto" w:fill="auto"/>
            <w:vAlign w:val="center"/>
            <w:hideMark/>
          </w:tcPr>
          <w:p w14:paraId="2611C956" w14:textId="77777777" w:rsidR="00AB33EC" w:rsidRPr="009C6467" w:rsidRDefault="00AB33EC" w:rsidP="00B721B7">
            <w:pPr>
              <w:spacing w:after="120"/>
              <w:jc w:val="right"/>
              <w:rPr>
                <w:rFonts w:asciiTheme="minorHAnsi" w:eastAsia="Times New Roman" w:hAnsiTheme="minorHAnsi" w:cstheme="minorHAnsi"/>
                <w:color w:val="000000"/>
                <w:szCs w:val="20"/>
                <w:lang w:eastAsia="en-AU"/>
              </w:rPr>
            </w:pPr>
          </w:p>
        </w:tc>
      </w:tr>
      <w:tr w:rsidR="00AB33EC" w:rsidRPr="009C6467" w14:paraId="6E7F3D42" w14:textId="77777777" w:rsidTr="00B721B7">
        <w:trPr>
          <w:trHeight w:val="315"/>
        </w:trPr>
        <w:tc>
          <w:tcPr>
            <w:tcW w:w="4480" w:type="dxa"/>
            <w:tcBorders>
              <w:top w:val="nil"/>
              <w:left w:val="nil"/>
              <w:bottom w:val="nil"/>
              <w:right w:val="nil"/>
            </w:tcBorders>
            <w:shd w:val="clear" w:color="000000" w:fill="FFFFFF"/>
            <w:noWrap/>
            <w:vAlign w:val="center"/>
            <w:hideMark/>
          </w:tcPr>
          <w:p w14:paraId="4060A1FC" w14:textId="77777777" w:rsidR="00AB33EC" w:rsidRPr="00E80281" w:rsidRDefault="00AB33EC" w:rsidP="00B721B7">
            <w:pPr>
              <w:spacing w:after="12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Total Comprehensive Income</w:t>
            </w:r>
          </w:p>
        </w:tc>
        <w:tc>
          <w:tcPr>
            <w:tcW w:w="823" w:type="dxa"/>
            <w:tcBorders>
              <w:top w:val="nil"/>
              <w:left w:val="nil"/>
              <w:bottom w:val="nil"/>
              <w:right w:val="nil"/>
            </w:tcBorders>
            <w:shd w:val="clear" w:color="000000" w:fill="FFFFFF"/>
            <w:noWrap/>
            <w:vAlign w:val="center"/>
            <w:hideMark/>
          </w:tcPr>
          <w:p w14:paraId="56331477" w14:textId="77777777" w:rsidR="00AB33EC" w:rsidRPr="00E80281" w:rsidRDefault="00AB33EC" w:rsidP="00B721B7">
            <w:pPr>
              <w:spacing w:after="12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20" w:type="dxa"/>
            <w:tcBorders>
              <w:top w:val="nil"/>
              <w:left w:val="nil"/>
              <w:bottom w:val="double" w:sz="6" w:space="0" w:color="auto"/>
              <w:right w:val="nil"/>
            </w:tcBorders>
            <w:shd w:val="clear" w:color="auto" w:fill="F1F1F2" w:themeFill="accent5" w:themeFillTint="33"/>
            <w:vAlign w:val="center"/>
          </w:tcPr>
          <w:p w14:paraId="00A503DC"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(156)</w:t>
            </w:r>
          </w:p>
        </w:tc>
        <w:tc>
          <w:tcPr>
            <w:tcW w:w="1020" w:type="dxa"/>
            <w:tcBorders>
              <w:top w:val="nil"/>
              <w:left w:val="nil"/>
              <w:bottom w:val="double" w:sz="6" w:space="0" w:color="auto"/>
              <w:right w:val="nil"/>
            </w:tcBorders>
            <w:shd w:val="clear" w:color="000000" w:fill="FFFFFF"/>
            <w:vAlign w:val="center"/>
          </w:tcPr>
          <w:p w14:paraId="5591AE3E"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w:t>
            </w:r>
          </w:p>
        </w:tc>
        <w:tc>
          <w:tcPr>
            <w:tcW w:w="1044" w:type="dxa"/>
            <w:tcBorders>
              <w:top w:val="nil"/>
              <w:left w:val="nil"/>
              <w:bottom w:val="double" w:sz="6" w:space="0" w:color="auto"/>
              <w:right w:val="nil"/>
            </w:tcBorders>
            <w:shd w:val="clear" w:color="000000" w:fill="FFFFFF"/>
          </w:tcPr>
          <w:p w14:paraId="50D65784"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r w:rsidRPr="009C6467">
              <w:rPr>
                <w:rFonts w:asciiTheme="minorHAnsi" w:hAnsiTheme="minorHAnsi" w:cstheme="minorHAnsi"/>
                <w:b/>
                <w:bCs/>
                <w:szCs w:val="20"/>
              </w:rPr>
              <w:t>(156)</w:t>
            </w:r>
          </w:p>
        </w:tc>
        <w:tc>
          <w:tcPr>
            <w:tcW w:w="1020" w:type="dxa"/>
            <w:tcBorders>
              <w:top w:val="nil"/>
              <w:left w:val="nil"/>
              <w:bottom w:val="double" w:sz="6" w:space="0" w:color="auto"/>
              <w:right w:val="nil"/>
            </w:tcBorders>
            <w:shd w:val="clear" w:color="auto" w:fill="auto"/>
            <w:vAlign w:val="center"/>
            <w:hideMark/>
          </w:tcPr>
          <w:p w14:paraId="49E843D6" w14:textId="77777777" w:rsidR="00AB33EC" w:rsidRPr="009C6467" w:rsidRDefault="00AB33EC" w:rsidP="00B721B7">
            <w:pPr>
              <w:spacing w:after="12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6,431</w:t>
            </w:r>
          </w:p>
        </w:tc>
      </w:tr>
    </w:tbl>
    <w:p w14:paraId="225E08FC" w14:textId="77777777" w:rsidR="00AB33EC" w:rsidRPr="00E80281" w:rsidRDefault="00AB33EC" w:rsidP="00AB33EC">
      <w:pPr>
        <w:tabs>
          <w:tab w:val="left" w:pos="4500"/>
        </w:tabs>
        <w:rPr>
          <w:rFonts w:asciiTheme="minorHAnsi" w:eastAsia="Calibri" w:hAnsiTheme="minorHAnsi" w:cstheme="minorHAnsi"/>
          <w:i/>
          <w:color w:val="000000"/>
          <w:sz w:val="17"/>
          <w:szCs w:val="17"/>
        </w:rPr>
      </w:pPr>
      <w:r w:rsidRPr="00E80281">
        <w:rPr>
          <w:rFonts w:asciiTheme="minorHAnsi" w:eastAsia="Calibri" w:hAnsiTheme="minorHAnsi" w:cstheme="minorHAnsi"/>
          <w:i/>
          <w:color w:val="000000"/>
          <w:sz w:val="17"/>
          <w:szCs w:val="17"/>
        </w:rPr>
        <w:t xml:space="preserve">* An explanation of major variances is included at Note </w:t>
      </w:r>
      <w:r w:rsidRPr="00681C18">
        <w:rPr>
          <w:rFonts w:asciiTheme="minorHAnsi" w:eastAsia="Calibri" w:hAnsiTheme="minorHAnsi" w:cstheme="minorHAnsi"/>
          <w:i/>
          <w:color w:val="000000"/>
          <w:sz w:val="17"/>
          <w:szCs w:val="17"/>
        </w:rPr>
        <w:t>18.</w:t>
      </w:r>
    </w:p>
    <w:p w14:paraId="0C8B76B4" w14:textId="77777777" w:rsidR="00AB33EC" w:rsidRPr="00E80281" w:rsidRDefault="00AB33EC" w:rsidP="00AB33EC">
      <w:pPr>
        <w:tabs>
          <w:tab w:val="left" w:pos="4500"/>
        </w:tabs>
        <w:rPr>
          <w:rFonts w:asciiTheme="minorHAnsi" w:eastAsia="Calibri" w:hAnsiTheme="minorHAnsi" w:cstheme="minorHAnsi"/>
          <w:i/>
          <w:color w:val="000000"/>
          <w:sz w:val="17"/>
          <w:szCs w:val="17"/>
        </w:rPr>
      </w:pPr>
      <w:r w:rsidRPr="00E80281">
        <w:rPr>
          <w:rFonts w:asciiTheme="minorHAnsi" w:eastAsia="Calibri" w:hAnsiTheme="minorHAnsi" w:cstheme="minorHAnsi"/>
          <w:i/>
          <w:color w:val="000000"/>
          <w:sz w:val="17"/>
          <w:szCs w:val="17"/>
        </w:rPr>
        <w:t>The accompanying notes form part of these statements.</w:t>
      </w:r>
    </w:p>
    <w:p w14:paraId="5D5591FC" w14:textId="77777777" w:rsidR="00AB33EC" w:rsidRPr="00E80281" w:rsidRDefault="00AB33EC" w:rsidP="00AB33EC">
      <w:pPr>
        <w:spacing w:line="260" w:lineRule="atLeast"/>
        <w:rPr>
          <w:rFonts w:asciiTheme="minorHAnsi" w:eastAsia="Calibri" w:hAnsiTheme="minorHAnsi" w:cstheme="minorHAnsi"/>
          <w:snapToGrid w:val="0"/>
          <w:color w:val="000000"/>
          <w:szCs w:val="20"/>
        </w:rPr>
      </w:pPr>
    </w:p>
    <w:p w14:paraId="36CE4C09" w14:textId="77777777" w:rsidR="00AB33EC" w:rsidRPr="003E75E2" w:rsidRDefault="00AB33EC" w:rsidP="00AB33EC">
      <w:pPr>
        <w:spacing w:line="260" w:lineRule="atLeast"/>
        <w:rPr>
          <w:rFonts w:asciiTheme="minorHAnsi" w:hAnsiTheme="minorHAnsi" w:cstheme="minorHAnsi"/>
          <w:szCs w:val="20"/>
        </w:rPr>
        <w:sectPr w:rsidR="00AB33EC" w:rsidRPr="003E75E2" w:rsidSect="002232A6">
          <w:headerReference w:type="even" r:id="rId279"/>
          <w:headerReference w:type="default" r:id="rId280"/>
          <w:footerReference w:type="default" r:id="rId281"/>
          <w:headerReference w:type="first" r:id="rId282"/>
          <w:pgSz w:w="11906" w:h="16838"/>
          <w:pgMar w:top="1701" w:right="1418" w:bottom="1588" w:left="1418" w:header="709" w:footer="283" w:gutter="0"/>
          <w:cols w:space="708"/>
          <w:docGrid w:linePitch="360"/>
        </w:sectPr>
      </w:pPr>
    </w:p>
    <w:tbl>
      <w:tblPr>
        <w:tblW w:w="9531" w:type="dxa"/>
        <w:tblLook w:val="04A0" w:firstRow="1" w:lastRow="0" w:firstColumn="1" w:lastColumn="0" w:noHBand="0" w:noVBand="1"/>
      </w:tblPr>
      <w:tblGrid>
        <w:gridCol w:w="4395"/>
        <w:gridCol w:w="262"/>
        <w:gridCol w:w="706"/>
        <w:gridCol w:w="1016"/>
        <w:gridCol w:w="984"/>
        <w:gridCol w:w="1176"/>
        <w:gridCol w:w="992"/>
      </w:tblGrid>
      <w:tr w:rsidR="00AB33EC" w:rsidRPr="003E75E2" w14:paraId="65F1D43C" w14:textId="77777777" w:rsidTr="00C5404E">
        <w:trPr>
          <w:trHeight w:val="780"/>
        </w:trPr>
        <w:tc>
          <w:tcPr>
            <w:tcW w:w="4395" w:type="dxa"/>
            <w:tcBorders>
              <w:top w:val="nil"/>
              <w:left w:val="nil"/>
              <w:bottom w:val="nil"/>
              <w:right w:val="nil"/>
            </w:tcBorders>
            <w:shd w:val="clear" w:color="000000" w:fill="FFFFFF"/>
            <w:noWrap/>
            <w:vAlign w:val="center"/>
            <w:hideMark/>
          </w:tcPr>
          <w:p w14:paraId="2347C6CB" w14:textId="2581B8AC" w:rsidR="00AB33EC" w:rsidRPr="00E80281" w:rsidRDefault="00AB33EC" w:rsidP="00B721B7">
            <w:pPr>
              <w:spacing w:after="8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262" w:type="dxa"/>
            <w:tcBorders>
              <w:top w:val="nil"/>
              <w:left w:val="nil"/>
              <w:bottom w:val="nil"/>
              <w:right w:val="nil"/>
            </w:tcBorders>
            <w:shd w:val="clear" w:color="000000" w:fill="FFFFFF"/>
            <w:noWrap/>
            <w:vAlign w:val="center"/>
          </w:tcPr>
          <w:p w14:paraId="13A22534" w14:textId="77777777" w:rsidR="00AB33EC" w:rsidRPr="00E80281" w:rsidRDefault="00AB33EC" w:rsidP="00B721B7">
            <w:pPr>
              <w:spacing w:after="80"/>
              <w:jc w:val="center"/>
              <w:rPr>
                <w:rFonts w:asciiTheme="minorHAnsi" w:eastAsia="Times New Roman" w:hAnsiTheme="minorHAnsi" w:cstheme="minorHAnsi"/>
                <w:b/>
                <w:bCs/>
                <w:color w:val="000000"/>
                <w:szCs w:val="20"/>
                <w:lang w:eastAsia="en-AU"/>
              </w:rPr>
            </w:pPr>
          </w:p>
        </w:tc>
        <w:tc>
          <w:tcPr>
            <w:tcW w:w="706" w:type="dxa"/>
            <w:tcBorders>
              <w:top w:val="nil"/>
              <w:left w:val="nil"/>
              <w:bottom w:val="nil"/>
              <w:right w:val="nil"/>
            </w:tcBorders>
            <w:shd w:val="clear" w:color="auto" w:fill="auto"/>
            <w:vAlign w:val="center"/>
          </w:tcPr>
          <w:p w14:paraId="4E79EBFE"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Notes</w:t>
            </w:r>
          </w:p>
        </w:tc>
        <w:tc>
          <w:tcPr>
            <w:tcW w:w="1016" w:type="dxa"/>
            <w:tcBorders>
              <w:top w:val="nil"/>
              <w:left w:val="nil"/>
              <w:bottom w:val="nil"/>
              <w:right w:val="nil"/>
            </w:tcBorders>
            <w:shd w:val="clear" w:color="auto" w:fill="F1F1F2" w:themeFill="accent5" w:themeFillTint="33"/>
            <w:vAlign w:val="bottom"/>
            <w:hideMark/>
          </w:tcPr>
          <w:p w14:paraId="365F60A4"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2024</w:t>
            </w:r>
            <w:r w:rsidRPr="00E80281">
              <w:rPr>
                <w:rFonts w:asciiTheme="minorHAnsi" w:eastAsia="Times New Roman" w:hAnsiTheme="minorHAnsi" w:cstheme="minorHAnsi"/>
                <w:b/>
                <w:bCs/>
                <w:color w:val="000000"/>
                <w:szCs w:val="20"/>
                <w:lang w:eastAsia="en-AU"/>
              </w:rPr>
              <w:br/>
              <w:t>Actual</w:t>
            </w:r>
          </w:p>
        </w:tc>
        <w:tc>
          <w:tcPr>
            <w:tcW w:w="984" w:type="dxa"/>
            <w:tcBorders>
              <w:top w:val="nil"/>
              <w:left w:val="nil"/>
              <w:bottom w:val="nil"/>
              <w:right w:val="nil"/>
            </w:tcBorders>
            <w:shd w:val="clear" w:color="000000" w:fill="FFFFFF"/>
            <w:vAlign w:val="bottom"/>
          </w:tcPr>
          <w:p w14:paraId="040B469A"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2024 Original Budget</w:t>
            </w:r>
          </w:p>
        </w:tc>
        <w:tc>
          <w:tcPr>
            <w:tcW w:w="1176" w:type="dxa"/>
            <w:tcBorders>
              <w:top w:val="nil"/>
              <w:left w:val="nil"/>
              <w:bottom w:val="nil"/>
              <w:right w:val="nil"/>
            </w:tcBorders>
            <w:shd w:val="clear" w:color="000000" w:fill="FFFFFF"/>
            <w:vAlign w:val="bottom"/>
          </w:tcPr>
          <w:p w14:paraId="3FA03F50"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xml:space="preserve">Budget </w:t>
            </w:r>
            <w:r w:rsidRPr="00E80281">
              <w:rPr>
                <w:rFonts w:asciiTheme="minorHAnsi" w:eastAsia="Times New Roman" w:hAnsiTheme="minorHAnsi" w:cstheme="minorHAnsi"/>
                <w:b/>
                <w:bCs/>
                <w:color w:val="000000"/>
                <w:szCs w:val="20"/>
                <w:lang w:eastAsia="en-AU"/>
              </w:rPr>
              <w:br/>
              <w:t>Variance*</w:t>
            </w:r>
          </w:p>
        </w:tc>
        <w:tc>
          <w:tcPr>
            <w:tcW w:w="992" w:type="dxa"/>
            <w:tcBorders>
              <w:top w:val="nil"/>
              <w:left w:val="nil"/>
              <w:bottom w:val="nil"/>
              <w:right w:val="nil"/>
            </w:tcBorders>
            <w:shd w:val="clear" w:color="auto" w:fill="auto"/>
            <w:vAlign w:val="bottom"/>
            <w:hideMark/>
          </w:tcPr>
          <w:p w14:paraId="01A9B0D7"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2023</w:t>
            </w:r>
            <w:r w:rsidRPr="00E80281">
              <w:rPr>
                <w:rFonts w:asciiTheme="minorHAnsi" w:eastAsia="Times New Roman" w:hAnsiTheme="minorHAnsi" w:cstheme="minorHAnsi"/>
                <w:b/>
                <w:bCs/>
                <w:color w:val="000000"/>
                <w:szCs w:val="20"/>
                <w:lang w:eastAsia="en-AU"/>
              </w:rPr>
              <w:br/>
              <w:t>Actual</w:t>
            </w:r>
          </w:p>
        </w:tc>
      </w:tr>
      <w:tr w:rsidR="00AB33EC" w:rsidRPr="003E75E2" w14:paraId="43FC9C26" w14:textId="77777777" w:rsidTr="00C5404E">
        <w:trPr>
          <w:trHeight w:val="300"/>
        </w:trPr>
        <w:tc>
          <w:tcPr>
            <w:tcW w:w="4395" w:type="dxa"/>
            <w:tcBorders>
              <w:top w:val="nil"/>
              <w:left w:val="nil"/>
              <w:bottom w:val="nil"/>
              <w:right w:val="nil"/>
            </w:tcBorders>
            <w:shd w:val="clear" w:color="000000" w:fill="FFFFFF"/>
            <w:noWrap/>
            <w:vAlign w:val="bottom"/>
            <w:hideMark/>
          </w:tcPr>
          <w:p w14:paraId="0968017B"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c>
          <w:tcPr>
            <w:tcW w:w="262" w:type="dxa"/>
            <w:tcBorders>
              <w:top w:val="nil"/>
              <w:left w:val="nil"/>
              <w:bottom w:val="nil"/>
              <w:right w:val="nil"/>
            </w:tcBorders>
            <w:shd w:val="clear" w:color="000000" w:fill="FFFFFF"/>
            <w:noWrap/>
            <w:vAlign w:val="center"/>
          </w:tcPr>
          <w:p w14:paraId="760D780A"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p>
        </w:tc>
        <w:tc>
          <w:tcPr>
            <w:tcW w:w="706" w:type="dxa"/>
            <w:tcBorders>
              <w:top w:val="nil"/>
              <w:left w:val="nil"/>
              <w:bottom w:val="nil"/>
              <w:right w:val="nil"/>
            </w:tcBorders>
            <w:shd w:val="clear" w:color="auto" w:fill="auto"/>
            <w:vAlign w:val="center"/>
          </w:tcPr>
          <w:p w14:paraId="7DC305D9"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color w:val="000000"/>
                <w:szCs w:val="20"/>
                <w:lang w:eastAsia="en-AU"/>
              </w:rPr>
              <w:t> </w:t>
            </w:r>
          </w:p>
        </w:tc>
        <w:tc>
          <w:tcPr>
            <w:tcW w:w="1016" w:type="dxa"/>
            <w:tcBorders>
              <w:top w:val="nil"/>
              <w:left w:val="nil"/>
              <w:bottom w:val="nil"/>
              <w:right w:val="nil"/>
            </w:tcBorders>
            <w:shd w:val="clear" w:color="auto" w:fill="F1F1F2" w:themeFill="accent5" w:themeFillTint="33"/>
            <w:vAlign w:val="center"/>
            <w:hideMark/>
          </w:tcPr>
          <w:p w14:paraId="3DC45D87"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$’000</w:t>
            </w:r>
          </w:p>
        </w:tc>
        <w:tc>
          <w:tcPr>
            <w:tcW w:w="984" w:type="dxa"/>
            <w:tcBorders>
              <w:top w:val="nil"/>
              <w:left w:val="nil"/>
              <w:bottom w:val="nil"/>
              <w:right w:val="nil"/>
            </w:tcBorders>
            <w:shd w:val="clear" w:color="000000" w:fill="FFFFFF"/>
            <w:vAlign w:val="center"/>
          </w:tcPr>
          <w:p w14:paraId="3144DC16"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$’000</w:t>
            </w:r>
          </w:p>
        </w:tc>
        <w:tc>
          <w:tcPr>
            <w:tcW w:w="1176" w:type="dxa"/>
            <w:tcBorders>
              <w:top w:val="nil"/>
              <w:left w:val="nil"/>
              <w:bottom w:val="nil"/>
              <w:right w:val="nil"/>
            </w:tcBorders>
            <w:shd w:val="clear" w:color="000000" w:fill="FFFFFF"/>
            <w:vAlign w:val="center"/>
          </w:tcPr>
          <w:p w14:paraId="39BBFBE1"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$’000</w:t>
            </w:r>
          </w:p>
        </w:tc>
        <w:tc>
          <w:tcPr>
            <w:tcW w:w="992" w:type="dxa"/>
            <w:tcBorders>
              <w:top w:val="nil"/>
              <w:left w:val="nil"/>
              <w:bottom w:val="nil"/>
              <w:right w:val="nil"/>
            </w:tcBorders>
            <w:shd w:val="clear" w:color="auto" w:fill="auto"/>
            <w:vAlign w:val="center"/>
            <w:hideMark/>
          </w:tcPr>
          <w:p w14:paraId="7BBAAFF1"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$’000</w:t>
            </w:r>
          </w:p>
        </w:tc>
      </w:tr>
      <w:tr w:rsidR="00AB33EC" w:rsidRPr="003E75E2" w14:paraId="1207C2EC" w14:textId="77777777" w:rsidTr="00C5404E">
        <w:trPr>
          <w:trHeight w:val="300"/>
        </w:trPr>
        <w:tc>
          <w:tcPr>
            <w:tcW w:w="4395" w:type="dxa"/>
            <w:tcBorders>
              <w:top w:val="nil"/>
              <w:left w:val="nil"/>
              <w:bottom w:val="nil"/>
              <w:right w:val="nil"/>
            </w:tcBorders>
            <w:shd w:val="clear" w:color="000000" w:fill="FFFFFF"/>
            <w:noWrap/>
            <w:vAlign w:val="center"/>
            <w:hideMark/>
          </w:tcPr>
          <w:p w14:paraId="4CFF3159" w14:textId="77777777" w:rsidR="00AB33EC" w:rsidRPr="00E80281" w:rsidRDefault="00AB33EC" w:rsidP="00B721B7">
            <w:pPr>
              <w:spacing w:after="4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Current Assets</w:t>
            </w:r>
          </w:p>
        </w:tc>
        <w:tc>
          <w:tcPr>
            <w:tcW w:w="262" w:type="dxa"/>
            <w:tcBorders>
              <w:top w:val="nil"/>
              <w:left w:val="nil"/>
              <w:bottom w:val="nil"/>
              <w:right w:val="nil"/>
            </w:tcBorders>
            <w:shd w:val="clear" w:color="000000" w:fill="FFFFFF"/>
            <w:noWrap/>
            <w:vAlign w:val="center"/>
          </w:tcPr>
          <w:p w14:paraId="75151179" w14:textId="77777777" w:rsidR="00AB33EC" w:rsidRPr="00E80281" w:rsidRDefault="00AB33EC" w:rsidP="00B721B7">
            <w:pPr>
              <w:spacing w:after="40"/>
              <w:jc w:val="center"/>
              <w:rPr>
                <w:rFonts w:asciiTheme="minorHAnsi" w:eastAsia="Times New Roman" w:hAnsiTheme="minorHAnsi" w:cstheme="minorHAnsi"/>
                <w:b/>
                <w:bCs/>
                <w:color w:val="000000"/>
                <w:szCs w:val="20"/>
                <w:lang w:eastAsia="en-AU"/>
              </w:rPr>
            </w:pPr>
          </w:p>
        </w:tc>
        <w:tc>
          <w:tcPr>
            <w:tcW w:w="706" w:type="dxa"/>
            <w:tcBorders>
              <w:top w:val="nil"/>
              <w:left w:val="nil"/>
              <w:bottom w:val="nil"/>
              <w:right w:val="nil"/>
            </w:tcBorders>
            <w:shd w:val="clear" w:color="auto" w:fill="auto"/>
            <w:vAlign w:val="center"/>
          </w:tcPr>
          <w:p w14:paraId="444C4F9C"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16" w:type="dxa"/>
            <w:tcBorders>
              <w:top w:val="nil"/>
              <w:left w:val="nil"/>
              <w:bottom w:val="nil"/>
              <w:right w:val="nil"/>
            </w:tcBorders>
            <w:shd w:val="clear" w:color="auto" w:fill="F1F1F2" w:themeFill="accent5" w:themeFillTint="33"/>
            <w:vAlign w:val="center"/>
            <w:hideMark/>
          </w:tcPr>
          <w:p w14:paraId="3E96E8DE"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984" w:type="dxa"/>
            <w:tcBorders>
              <w:top w:val="nil"/>
              <w:left w:val="nil"/>
              <w:bottom w:val="nil"/>
              <w:right w:val="nil"/>
            </w:tcBorders>
            <w:shd w:val="clear" w:color="000000" w:fill="FFFFFF"/>
          </w:tcPr>
          <w:p w14:paraId="3E705448"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p>
        </w:tc>
        <w:tc>
          <w:tcPr>
            <w:tcW w:w="1176" w:type="dxa"/>
            <w:tcBorders>
              <w:top w:val="nil"/>
              <w:left w:val="nil"/>
              <w:bottom w:val="nil"/>
              <w:right w:val="nil"/>
            </w:tcBorders>
            <w:shd w:val="clear" w:color="000000" w:fill="FFFFFF"/>
          </w:tcPr>
          <w:p w14:paraId="765E1A81"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p>
        </w:tc>
        <w:tc>
          <w:tcPr>
            <w:tcW w:w="992" w:type="dxa"/>
            <w:tcBorders>
              <w:top w:val="nil"/>
              <w:left w:val="nil"/>
              <w:bottom w:val="nil"/>
              <w:right w:val="nil"/>
            </w:tcBorders>
            <w:shd w:val="clear" w:color="auto" w:fill="auto"/>
            <w:noWrap/>
            <w:vAlign w:val="center"/>
            <w:hideMark/>
          </w:tcPr>
          <w:p w14:paraId="132BCA97"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r>
      <w:tr w:rsidR="00AB33EC" w:rsidRPr="003E75E2" w14:paraId="723FF5EA" w14:textId="77777777" w:rsidTr="00C5404E">
        <w:trPr>
          <w:trHeight w:val="300"/>
        </w:trPr>
        <w:tc>
          <w:tcPr>
            <w:tcW w:w="4395" w:type="dxa"/>
            <w:tcBorders>
              <w:top w:val="nil"/>
              <w:left w:val="nil"/>
              <w:bottom w:val="nil"/>
              <w:right w:val="nil"/>
            </w:tcBorders>
            <w:shd w:val="clear" w:color="000000" w:fill="FFFFFF"/>
            <w:noWrap/>
            <w:vAlign w:val="center"/>
            <w:hideMark/>
          </w:tcPr>
          <w:p w14:paraId="4ECD96D3"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Cash and cash equivalents</w:t>
            </w:r>
          </w:p>
        </w:tc>
        <w:tc>
          <w:tcPr>
            <w:tcW w:w="262" w:type="dxa"/>
            <w:tcBorders>
              <w:top w:val="nil"/>
              <w:left w:val="nil"/>
              <w:bottom w:val="nil"/>
              <w:right w:val="nil"/>
            </w:tcBorders>
            <w:shd w:val="clear" w:color="000000" w:fill="FFFFFF"/>
            <w:noWrap/>
            <w:vAlign w:val="center"/>
          </w:tcPr>
          <w:p w14:paraId="401FF43E"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p>
        </w:tc>
        <w:tc>
          <w:tcPr>
            <w:tcW w:w="706" w:type="dxa"/>
            <w:tcBorders>
              <w:top w:val="nil"/>
              <w:left w:val="nil"/>
              <w:bottom w:val="nil"/>
              <w:right w:val="nil"/>
            </w:tcBorders>
            <w:shd w:val="clear" w:color="auto" w:fill="auto"/>
            <w:vAlign w:val="center"/>
          </w:tcPr>
          <w:p w14:paraId="24E9D554"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7</w:t>
            </w:r>
          </w:p>
        </w:tc>
        <w:tc>
          <w:tcPr>
            <w:tcW w:w="1016" w:type="dxa"/>
            <w:tcBorders>
              <w:top w:val="nil"/>
              <w:left w:val="nil"/>
              <w:bottom w:val="nil"/>
              <w:right w:val="nil"/>
            </w:tcBorders>
            <w:shd w:val="clear" w:color="auto" w:fill="F1F1F2" w:themeFill="accent5" w:themeFillTint="33"/>
          </w:tcPr>
          <w:p w14:paraId="39A9B316"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25,931 </w:t>
            </w:r>
          </w:p>
        </w:tc>
        <w:tc>
          <w:tcPr>
            <w:tcW w:w="984" w:type="dxa"/>
            <w:tcBorders>
              <w:top w:val="nil"/>
              <w:left w:val="nil"/>
              <w:bottom w:val="nil"/>
              <w:right w:val="nil"/>
            </w:tcBorders>
            <w:shd w:val="clear" w:color="000000" w:fill="FFFFFF"/>
            <w:vAlign w:val="center"/>
          </w:tcPr>
          <w:p w14:paraId="3E4815FA"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25,869</w:t>
            </w:r>
          </w:p>
        </w:tc>
        <w:tc>
          <w:tcPr>
            <w:tcW w:w="1176" w:type="dxa"/>
            <w:tcBorders>
              <w:top w:val="nil"/>
              <w:left w:val="nil"/>
              <w:bottom w:val="nil"/>
              <w:right w:val="nil"/>
            </w:tcBorders>
            <w:shd w:val="clear" w:color="000000" w:fill="FFFFFF"/>
          </w:tcPr>
          <w:p w14:paraId="6E80007E"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 62 </w:t>
            </w:r>
          </w:p>
        </w:tc>
        <w:tc>
          <w:tcPr>
            <w:tcW w:w="992" w:type="dxa"/>
            <w:tcBorders>
              <w:top w:val="nil"/>
              <w:left w:val="nil"/>
              <w:bottom w:val="nil"/>
              <w:right w:val="nil"/>
            </w:tcBorders>
            <w:shd w:val="clear" w:color="auto" w:fill="auto"/>
            <w:noWrap/>
            <w:vAlign w:val="center"/>
            <w:hideMark/>
          </w:tcPr>
          <w:p w14:paraId="3F9FD876"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25,215</w:t>
            </w:r>
          </w:p>
        </w:tc>
      </w:tr>
      <w:tr w:rsidR="00AB33EC" w:rsidRPr="003E75E2" w14:paraId="34B92BAE" w14:textId="77777777" w:rsidTr="00C5404E">
        <w:trPr>
          <w:trHeight w:val="300"/>
        </w:trPr>
        <w:tc>
          <w:tcPr>
            <w:tcW w:w="4395" w:type="dxa"/>
            <w:tcBorders>
              <w:top w:val="nil"/>
              <w:left w:val="nil"/>
              <w:bottom w:val="nil"/>
              <w:right w:val="nil"/>
            </w:tcBorders>
            <w:shd w:val="clear" w:color="000000" w:fill="FFFFFF"/>
            <w:noWrap/>
            <w:vAlign w:val="center"/>
            <w:hideMark/>
          </w:tcPr>
          <w:p w14:paraId="1ACA040D"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Receivables</w:t>
            </w:r>
          </w:p>
        </w:tc>
        <w:tc>
          <w:tcPr>
            <w:tcW w:w="262" w:type="dxa"/>
            <w:tcBorders>
              <w:top w:val="nil"/>
              <w:left w:val="nil"/>
              <w:bottom w:val="nil"/>
              <w:right w:val="nil"/>
            </w:tcBorders>
            <w:shd w:val="clear" w:color="000000" w:fill="FFFFFF"/>
            <w:noWrap/>
            <w:vAlign w:val="center"/>
          </w:tcPr>
          <w:p w14:paraId="530A2BE1"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p>
        </w:tc>
        <w:tc>
          <w:tcPr>
            <w:tcW w:w="706" w:type="dxa"/>
            <w:tcBorders>
              <w:top w:val="nil"/>
              <w:left w:val="nil"/>
              <w:bottom w:val="nil"/>
              <w:right w:val="nil"/>
            </w:tcBorders>
            <w:shd w:val="clear" w:color="auto" w:fill="auto"/>
            <w:vAlign w:val="center"/>
          </w:tcPr>
          <w:p w14:paraId="484249AE"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16" w:type="dxa"/>
            <w:tcBorders>
              <w:top w:val="nil"/>
              <w:left w:val="nil"/>
              <w:bottom w:val="nil"/>
              <w:right w:val="nil"/>
            </w:tcBorders>
            <w:shd w:val="clear" w:color="auto" w:fill="F1F1F2" w:themeFill="accent5" w:themeFillTint="33"/>
          </w:tcPr>
          <w:p w14:paraId="3211641D"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1,126 </w:t>
            </w:r>
          </w:p>
        </w:tc>
        <w:tc>
          <w:tcPr>
            <w:tcW w:w="984" w:type="dxa"/>
            <w:tcBorders>
              <w:top w:val="nil"/>
              <w:left w:val="nil"/>
              <w:bottom w:val="nil"/>
              <w:right w:val="nil"/>
            </w:tcBorders>
            <w:shd w:val="clear" w:color="000000" w:fill="FFFFFF"/>
            <w:vAlign w:val="center"/>
          </w:tcPr>
          <w:p w14:paraId="603A8673"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872</w:t>
            </w:r>
          </w:p>
        </w:tc>
        <w:tc>
          <w:tcPr>
            <w:tcW w:w="1176" w:type="dxa"/>
            <w:tcBorders>
              <w:top w:val="nil"/>
              <w:left w:val="nil"/>
              <w:bottom w:val="nil"/>
              <w:right w:val="nil"/>
            </w:tcBorders>
            <w:shd w:val="clear" w:color="000000" w:fill="FFFFFF"/>
          </w:tcPr>
          <w:p w14:paraId="4044C26B"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 254 </w:t>
            </w:r>
          </w:p>
        </w:tc>
        <w:tc>
          <w:tcPr>
            <w:tcW w:w="992" w:type="dxa"/>
            <w:tcBorders>
              <w:top w:val="nil"/>
              <w:left w:val="nil"/>
              <w:bottom w:val="nil"/>
              <w:right w:val="nil"/>
            </w:tcBorders>
            <w:shd w:val="clear" w:color="auto" w:fill="auto"/>
            <w:noWrap/>
            <w:vAlign w:val="center"/>
            <w:hideMark/>
          </w:tcPr>
          <w:p w14:paraId="28E35824"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1,005</w:t>
            </w:r>
          </w:p>
        </w:tc>
      </w:tr>
      <w:tr w:rsidR="00AB33EC" w:rsidRPr="003E75E2" w14:paraId="30629F48" w14:textId="77777777" w:rsidTr="00C5404E">
        <w:trPr>
          <w:trHeight w:val="315"/>
        </w:trPr>
        <w:tc>
          <w:tcPr>
            <w:tcW w:w="4395" w:type="dxa"/>
            <w:tcBorders>
              <w:top w:val="nil"/>
              <w:left w:val="nil"/>
              <w:bottom w:val="nil"/>
              <w:right w:val="nil"/>
            </w:tcBorders>
            <w:shd w:val="clear" w:color="000000" w:fill="FFFFFF"/>
            <w:noWrap/>
            <w:vAlign w:val="center"/>
            <w:hideMark/>
          </w:tcPr>
          <w:p w14:paraId="3ECD7A71"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Other assets</w:t>
            </w:r>
          </w:p>
        </w:tc>
        <w:tc>
          <w:tcPr>
            <w:tcW w:w="262" w:type="dxa"/>
            <w:tcBorders>
              <w:top w:val="nil"/>
              <w:left w:val="nil"/>
              <w:bottom w:val="nil"/>
              <w:right w:val="nil"/>
            </w:tcBorders>
            <w:shd w:val="clear" w:color="000000" w:fill="FFFFFF"/>
            <w:noWrap/>
            <w:vAlign w:val="center"/>
          </w:tcPr>
          <w:p w14:paraId="6BDF1EC9"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p>
        </w:tc>
        <w:tc>
          <w:tcPr>
            <w:tcW w:w="706" w:type="dxa"/>
            <w:tcBorders>
              <w:top w:val="nil"/>
              <w:left w:val="nil"/>
              <w:bottom w:val="nil"/>
              <w:right w:val="nil"/>
            </w:tcBorders>
            <w:shd w:val="clear" w:color="auto" w:fill="auto"/>
            <w:vAlign w:val="center"/>
          </w:tcPr>
          <w:p w14:paraId="69ACE7C6"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16" w:type="dxa"/>
            <w:tcBorders>
              <w:top w:val="nil"/>
              <w:left w:val="nil"/>
              <w:bottom w:val="nil"/>
              <w:right w:val="nil"/>
            </w:tcBorders>
            <w:shd w:val="clear" w:color="auto" w:fill="F1F1F2" w:themeFill="accent5" w:themeFillTint="33"/>
          </w:tcPr>
          <w:p w14:paraId="2944805B"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1,312 </w:t>
            </w:r>
          </w:p>
        </w:tc>
        <w:tc>
          <w:tcPr>
            <w:tcW w:w="984" w:type="dxa"/>
            <w:tcBorders>
              <w:top w:val="nil"/>
              <w:left w:val="nil"/>
              <w:bottom w:val="nil"/>
              <w:right w:val="nil"/>
            </w:tcBorders>
            <w:shd w:val="clear" w:color="000000" w:fill="FFFFFF"/>
            <w:vAlign w:val="center"/>
          </w:tcPr>
          <w:p w14:paraId="43FCEC57"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875</w:t>
            </w:r>
          </w:p>
        </w:tc>
        <w:tc>
          <w:tcPr>
            <w:tcW w:w="1176" w:type="dxa"/>
            <w:tcBorders>
              <w:top w:val="nil"/>
              <w:left w:val="nil"/>
              <w:bottom w:val="nil"/>
              <w:right w:val="nil"/>
            </w:tcBorders>
            <w:shd w:val="clear" w:color="000000" w:fill="FFFFFF"/>
          </w:tcPr>
          <w:p w14:paraId="590391CE"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 437 </w:t>
            </w:r>
          </w:p>
        </w:tc>
        <w:tc>
          <w:tcPr>
            <w:tcW w:w="992" w:type="dxa"/>
            <w:tcBorders>
              <w:top w:val="nil"/>
              <w:left w:val="nil"/>
              <w:bottom w:val="nil"/>
              <w:right w:val="nil"/>
            </w:tcBorders>
            <w:shd w:val="clear" w:color="auto" w:fill="auto"/>
            <w:noWrap/>
            <w:vAlign w:val="center"/>
            <w:hideMark/>
          </w:tcPr>
          <w:p w14:paraId="78FD819F"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1,343</w:t>
            </w:r>
          </w:p>
        </w:tc>
      </w:tr>
      <w:tr w:rsidR="00AB33EC" w:rsidRPr="003E75E2" w14:paraId="53FDB64A" w14:textId="77777777" w:rsidTr="00C5404E">
        <w:trPr>
          <w:trHeight w:val="315"/>
        </w:trPr>
        <w:tc>
          <w:tcPr>
            <w:tcW w:w="4395" w:type="dxa"/>
            <w:tcBorders>
              <w:top w:val="nil"/>
              <w:left w:val="nil"/>
              <w:bottom w:val="nil"/>
              <w:right w:val="nil"/>
            </w:tcBorders>
            <w:shd w:val="clear" w:color="000000" w:fill="FFFFFF"/>
            <w:noWrap/>
            <w:vAlign w:val="center"/>
            <w:hideMark/>
          </w:tcPr>
          <w:p w14:paraId="528563FF" w14:textId="77777777" w:rsidR="00AB33EC" w:rsidRPr="00E80281" w:rsidRDefault="00AB33EC" w:rsidP="00B721B7">
            <w:pPr>
              <w:spacing w:after="4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Total Current Assets</w:t>
            </w:r>
          </w:p>
        </w:tc>
        <w:tc>
          <w:tcPr>
            <w:tcW w:w="262" w:type="dxa"/>
            <w:tcBorders>
              <w:top w:val="nil"/>
              <w:left w:val="nil"/>
              <w:bottom w:val="nil"/>
              <w:right w:val="nil"/>
            </w:tcBorders>
            <w:shd w:val="clear" w:color="000000" w:fill="FFFFFF"/>
            <w:noWrap/>
            <w:vAlign w:val="center"/>
          </w:tcPr>
          <w:p w14:paraId="625A1B7B" w14:textId="77777777" w:rsidR="00AB33EC" w:rsidRPr="00E80281" w:rsidRDefault="00AB33EC" w:rsidP="00B721B7">
            <w:pPr>
              <w:spacing w:after="40"/>
              <w:jc w:val="center"/>
              <w:rPr>
                <w:rFonts w:asciiTheme="minorHAnsi" w:eastAsia="Times New Roman" w:hAnsiTheme="minorHAnsi" w:cstheme="minorHAnsi"/>
                <w:b/>
                <w:bCs/>
                <w:color w:val="000000"/>
                <w:szCs w:val="20"/>
                <w:lang w:eastAsia="en-AU"/>
              </w:rPr>
            </w:pPr>
          </w:p>
        </w:tc>
        <w:tc>
          <w:tcPr>
            <w:tcW w:w="706" w:type="dxa"/>
            <w:tcBorders>
              <w:left w:val="nil"/>
              <w:right w:val="nil"/>
            </w:tcBorders>
            <w:shd w:val="clear" w:color="auto" w:fill="auto"/>
            <w:vAlign w:val="center"/>
          </w:tcPr>
          <w:p w14:paraId="35DD2277"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16" w:type="dxa"/>
            <w:tcBorders>
              <w:top w:val="single" w:sz="8" w:space="0" w:color="auto"/>
              <w:left w:val="nil"/>
              <w:bottom w:val="single" w:sz="8" w:space="0" w:color="auto"/>
              <w:right w:val="nil"/>
            </w:tcBorders>
            <w:shd w:val="clear" w:color="auto" w:fill="F1F1F2" w:themeFill="accent5" w:themeFillTint="33"/>
            <w:vAlign w:val="center"/>
          </w:tcPr>
          <w:p w14:paraId="7F7FEE77"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28,369</w:t>
            </w:r>
          </w:p>
        </w:tc>
        <w:tc>
          <w:tcPr>
            <w:tcW w:w="984" w:type="dxa"/>
            <w:tcBorders>
              <w:top w:val="single" w:sz="8" w:space="0" w:color="auto"/>
              <w:left w:val="nil"/>
              <w:bottom w:val="single" w:sz="8" w:space="0" w:color="auto"/>
              <w:right w:val="nil"/>
            </w:tcBorders>
            <w:shd w:val="clear" w:color="000000" w:fill="FFFFFF"/>
            <w:vAlign w:val="center"/>
          </w:tcPr>
          <w:p w14:paraId="69EC571F"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27,616</w:t>
            </w:r>
          </w:p>
        </w:tc>
        <w:tc>
          <w:tcPr>
            <w:tcW w:w="1176" w:type="dxa"/>
            <w:tcBorders>
              <w:top w:val="single" w:sz="8" w:space="0" w:color="auto"/>
              <w:left w:val="nil"/>
              <w:bottom w:val="single" w:sz="8" w:space="0" w:color="auto"/>
              <w:right w:val="nil"/>
            </w:tcBorders>
            <w:shd w:val="clear" w:color="000000" w:fill="FFFFFF"/>
            <w:vAlign w:val="center"/>
          </w:tcPr>
          <w:p w14:paraId="2AD71EE6"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753</w:t>
            </w:r>
          </w:p>
        </w:tc>
        <w:tc>
          <w:tcPr>
            <w:tcW w:w="992" w:type="dxa"/>
            <w:tcBorders>
              <w:top w:val="single" w:sz="8" w:space="0" w:color="auto"/>
              <w:left w:val="nil"/>
              <w:bottom w:val="single" w:sz="8" w:space="0" w:color="auto"/>
              <w:right w:val="nil"/>
            </w:tcBorders>
            <w:shd w:val="clear" w:color="auto" w:fill="auto"/>
            <w:vAlign w:val="center"/>
            <w:hideMark/>
          </w:tcPr>
          <w:p w14:paraId="19C920D8"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27,563</w:t>
            </w:r>
          </w:p>
        </w:tc>
      </w:tr>
      <w:tr w:rsidR="00AB33EC" w:rsidRPr="003E75E2" w14:paraId="02363E1A" w14:textId="77777777" w:rsidTr="00C5404E">
        <w:trPr>
          <w:trHeight w:val="199"/>
        </w:trPr>
        <w:tc>
          <w:tcPr>
            <w:tcW w:w="4395" w:type="dxa"/>
            <w:tcBorders>
              <w:top w:val="nil"/>
              <w:left w:val="nil"/>
              <w:bottom w:val="nil"/>
              <w:right w:val="nil"/>
            </w:tcBorders>
            <w:shd w:val="clear" w:color="000000" w:fill="FFFFFF"/>
            <w:noWrap/>
            <w:vAlign w:val="center"/>
            <w:hideMark/>
          </w:tcPr>
          <w:p w14:paraId="47471B16"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262" w:type="dxa"/>
            <w:tcBorders>
              <w:top w:val="nil"/>
              <w:left w:val="nil"/>
              <w:bottom w:val="nil"/>
              <w:right w:val="nil"/>
            </w:tcBorders>
            <w:shd w:val="clear" w:color="000000" w:fill="FFFFFF"/>
            <w:noWrap/>
            <w:vAlign w:val="center"/>
          </w:tcPr>
          <w:p w14:paraId="0DE6EB8B"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p>
        </w:tc>
        <w:tc>
          <w:tcPr>
            <w:tcW w:w="706" w:type="dxa"/>
            <w:tcBorders>
              <w:top w:val="nil"/>
              <w:left w:val="nil"/>
              <w:bottom w:val="nil"/>
              <w:right w:val="nil"/>
            </w:tcBorders>
            <w:shd w:val="clear" w:color="auto" w:fill="auto"/>
            <w:vAlign w:val="center"/>
          </w:tcPr>
          <w:p w14:paraId="6EE6F116"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16" w:type="dxa"/>
            <w:tcBorders>
              <w:top w:val="nil"/>
              <w:left w:val="nil"/>
              <w:bottom w:val="nil"/>
              <w:right w:val="nil"/>
            </w:tcBorders>
            <w:shd w:val="clear" w:color="auto" w:fill="F1F1F2" w:themeFill="accent5" w:themeFillTint="33"/>
            <w:vAlign w:val="center"/>
          </w:tcPr>
          <w:p w14:paraId="2CBBBEAC"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984" w:type="dxa"/>
            <w:tcBorders>
              <w:top w:val="nil"/>
              <w:left w:val="nil"/>
              <w:bottom w:val="nil"/>
              <w:right w:val="nil"/>
            </w:tcBorders>
            <w:shd w:val="clear" w:color="000000" w:fill="FFFFFF"/>
            <w:vAlign w:val="center"/>
          </w:tcPr>
          <w:p w14:paraId="398E92B1"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1176" w:type="dxa"/>
            <w:tcBorders>
              <w:top w:val="nil"/>
              <w:left w:val="nil"/>
              <w:bottom w:val="nil"/>
              <w:right w:val="nil"/>
            </w:tcBorders>
            <w:shd w:val="clear" w:color="000000" w:fill="FFFFFF"/>
            <w:vAlign w:val="center"/>
          </w:tcPr>
          <w:p w14:paraId="2D9E71B6"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992" w:type="dxa"/>
            <w:tcBorders>
              <w:top w:val="nil"/>
              <w:left w:val="nil"/>
              <w:bottom w:val="nil"/>
              <w:right w:val="nil"/>
            </w:tcBorders>
            <w:shd w:val="clear" w:color="auto" w:fill="auto"/>
            <w:noWrap/>
            <w:vAlign w:val="center"/>
            <w:hideMark/>
          </w:tcPr>
          <w:p w14:paraId="327D0BB0"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r>
      <w:tr w:rsidR="00AB33EC" w:rsidRPr="003E75E2" w14:paraId="4BA873C6" w14:textId="77777777" w:rsidTr="00C5404E">
        <w:trPr>
          <w:trHeight w:val="300"/>
        </w:trPr>
        <w:tc>
          <w:tcPr>
            <w:tcW w:w="4395" w:type="dxa"/>
            <w:tcBorders>
              <w:top w:val="nil"/>
              <w:left w:val="nil"/>
              <w:bottom w:val="nil"/>
              <w:right w:val="nil"/>
            </w:tcBorders>
            <w:shd w:val="clear" w:color="000000" w:fill="FFFFFF"/>
            <w:noWrap/>
            <w:vAlign w:val="center"/>
            <w:hideMark/>
          </w:tcPr>
          <w:p w14:paraId="75F912C8" w14:textId="77777777" w:rsidR="00AB33EC" w:rsidRPr="00E80281" w:rsidRDefault="00AB33EC" w:rsidP="00B721B7">
            <w:pPr>
              <w:spacing w:after="4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Non-Current Assets</w:t>
            </w:r>
          </w:p>
        </w:tc>
        <w:tc>
          <w:tcPr>
            <w:tcW w:w="262" w:type="dxa"/>
            <w:tcBorders>
              <w:top w:val="nil"/>
              <w:left w:val="nil"/>
              <w:bottom w:val="nil"/>
              <w:right w:val="nil"/>
            </w:tcBorders>
            <w:shd w:val="clear" w:color="000000" w:fill="FFFFFF"/>
            <w:noWrap/>
            <w:vAlign w:val="center"/>
          </w:tcPr>
          <w:p w14:paraId="6F526A5B" w14:textId="77777777" w:rsidR="00AB33EC" w:rsidRPr="00E80281" w:rsidRDefault="00AB33EC" w:rsidP="00B721B7">
            <w:pPr>
              <w:spacing w:after="40"/>
              <w:jc w:val="center"/>
              <w:rPr>
                <w:rFonts w:asciiTheme="minorHAnsi" w:eastAsia="Times New Roman" w:hAnsiTheme="minorHAnsi" w:cstheme="minorHAnsi"/>
                <w:b/>
                <w:bCs/>
                <w:color w:val="000000"/>
                <w:szCs w:val="20"/>
                <w:lang w:eastAsia="en-AU"/>
              </w:rPr>
            </w:pPr>
          </w:p>
        </w:tc>
        <w:tc>
          <w:tcPr>
            <w:tcW w:w="706" w:type="dxa"/>
            <w:tcBorders>
              <w:top w:val="nil"/>
              <w:left w:val="nil"/>
              <w:bottom w:val="nil"/>
              <w:right w:val="nil"/>
            </w:tcBorders>
            <w:shd w:val="clear" w:color="auto" w:fill="auto"/>
            <w:vAlign w:val="center"/>
          </w:tcPr>
          <w:p w14:paraId="47C724F6"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16" w:type="dxa"/>
            <w:tcBorders>
              <w:top w:val="nil"/>
              <w:left w:val="nil"/>
              <w:bottom w:val="nil"/>
              <w:right w:val="nil"/>
            </w:tcBorders>
            <w:shd w:val="clear" w:color="auto" w:fill="F1F1F2" w:themeFill="accent5" w:themeFillTint="33"/>
            <w:vAlign w:val="center"/>
          </w:tcPr>
          <w:p w14:paraId="3DE1CD9B"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p>
        </w:tc>
        <w:tc>
          <w:tcPr>
            <w:tcW w:w="984" w:type="dxa"/>
            <w:tcBorders>
              <w:top w:val="nil"/>
              <w:left w:val="nil"/>
              <w:bottom w:val="nil"/>
              <w:right w:val="nil"/>
            </w:tcBorders>
            <w:shd w:val="clear" w:color="000000" w:fill="FFFFFF"/>
            <w:vAlign w:val="center"/>
          </w:tcPr>
          <w:p w14:paraId="1A997DCA"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p>
        </w:tc>
        <w:tc>
          <w:tcPr>
            <w:tcW w:w="1176" w:type="dxa"/>
            <w:tcBorders>
              <w:top w:val="nil"/>
              <w:left w:val="nil"/>
              <w:bottom w:val="nil"/>
              <w:right w:val="nil"/>
            </w:tcBorders>
            <w:shd w:val="clear" w:color="000000" w:fill="FFFFFF"/>
            <w:vAlign w:val="center"/>
          </w:tcPr>
          <w:p w14:paraId="0D7B76FE"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p>
        </w:tc>
        <w:tc>
          <w:tcPr>
            <w:tcW w:w="992" w:type="dxa"/>
            <w:tcBorders>
              <w:top w:val="nil"/>
              <w:left w:val="nil"/>
              <w:bottom w:val="nil"/>
              <w:right w:val="nil"/>
            </w:tcBorders>
            <w:shd w:val="clear" w:color="auto" w:fill="auto"/>
            <w:noWrap/>
            <w:vAlign w:val="center"/>
            <w:hideMark/>
          </w:tcPr>
          <w:p w14:paraId="5490A21F"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p>
        </w:tc>
      </w:tr>
      <w:tr w:rsidR="00AB33EC" w:rsidRPr="003E75E2" w14:paraId="6BDF2196" w14:textId="77777777" w:rsidTr="00C5404E">
        <w:trPr>
          <w:trHeight w:val="300"/>
        </w:trPr>
        <w:tc>
          <w:tcPr>
            <w:tcW w:w="4395" w:type="dxa"/>
            <w:tcBorders>
              <w:top w:val="nil"/>
              <w:left w:val="nil"/>
              <w:bottom w:val="nil"/>
              <w:right w:val="nil"/>
            </w:tcBorders>
            <w:shd w:val="clear" w:color="000000" w:fill="FFFFFF"/>
            <w:noWrap/>
            <w:vAlign w:val="center"/>
            <w:hideMark/>
          </w:tcPr>
          <w:p w14:paraId="186E5E14"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Intangible assets</w:t>
            </w:r>
          </w:p>
        </w:tc>
        <w:tc>
          <w:tcPr>
            <w:tcW w:w="262" w:type="dxa"/>
            <w:tcBorders>
              <w:top w:val="nil"/>
              <w:left w:val="nil"/>
              <w:bottom w:val="nil"/>
              <w:right w:val="nil"/>
            </w:tcBorders>
            <w:shd w:val="clear" w:color="000000" w:fill="FFFFFF"/>
            <w:noWrap/>
            <w:vAlign w:val="center"/>
          </w:tcPr>
          <w:p w14:paraId="5D1BF55D"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p>
        </w:tc>
        <w:tc>
          <w:tcPr>
            <w:tcW w:w="706" w:type="dxa"/>
            <w:tcBorders>
              <w:top w:val="nil"/>
              <w:left w:val="nil"/>
              <w:bottom w:val="nil"/>
              <w:right w:val="nil"/>
            </w:tcBorders>
            <w:shd w:val="clear" w:color="auto" w:fill="auto"/>
            <w:vAlign w:val="center"/>
          </w:tcPr>
          <w:p w14:paraId="14A0D14C"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8</w:t>
            </w:r>
          </w:p>
        </w:tc>
        <w:tc>
          <w:tcPr>
            <w:tcW w:w="1016" w:type="dxa"/>
            <w:tcBorders>
              <w:top w:val="nil"/>
              <w:left w:val="nil"/>
              <w:bottom w:val="nil"/>
              <w:right w:val="nil"/>
            </w:tcBorders>
            <w:shd w:val="clear" w:color="auto" w:fill="F1F1F2" w:themeFill="accent5" w:themeFillTint="33"/>
          </w:tcPr>
          <w:p w14:paraId="788A0249"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322 </w:t>
            </w:r>
          </w:p>
        </w:tc>
        <w:tc>
          <w:tcPr>
            <w:tcW w:w="984" w:type="dxa"/>
            <w:tcBorders>
              <w:top w:val="nil"/>
              <w:left w:val="nil"/>
              <w:bottom w:val="nil"/>
              <w:right w:val="nil"/>
            </w:tcBorders>
            <w:shd w:val="clear" w:color="000000" w:fill="FFFFFF"/>
            <w:vAlign w:val="center"/>
          </w:tcPr>
          <w:p w14:paraId="618694C4"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422</w:t>
            </w:r>
          </w:p>
        </w:tc>
        <w:tc>
          <w:tcPr>
            <w:tcW w:w="1176" w:type="dxa"/>
            <w:tcBorders>
              <w:top w:val="nil"/>
              <w:left w:val="nil"/>
              <w:bottom w:val="nil"/>
              <w:right w:val="nil"/>
            </w:tcBorders>
            <w:shd w:val="clear" w:color="000000" w:fill="FFFFFF"/>
          </w:tcPr>
          <w:p w14:paraId="030612ED"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 (100)</w:t>
            </w:r>
          </w:p>
        </w:tc>
        <w:tc>
          <w:tcPr>
            <w:tcW w:w="992" w:type="dxa"/>
            <w:tcBorders>
              <w:top w:val="nil"/>
              <w:left w:val="nil"/>
              <w:bottom w:val="nil"/>
              <w:right w:val="nil"/>
            </w:tcBorders>
            <w:shd w:val="clear" w:color="auto" w:fill="auto"/>
            <w:noWrap/>
            <w:vAlign w:val="center"/>
            <w:hideMark/>
          </w:tcPr>
          <w:p w14:paraId="1B10BAE8"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606</w:t>
            </w:r>
          </w:p>
        </w:tc>
      </w:tr>
      <w:tr w:rsidR="00AB33EC" w:rsidRPr="003E75E2" w14:paraId="1A442AB1" w14:textId="77777777" w:rsidTr="00C5404E">
        <w:trPr>
          <w:trHeight w:val="300"/>
        </w:trPr>
        <w:tc>
          <w:tcPr>
            <w:tcW w:w="4395" w:type="dxa"/>
            <w:tcBorders>
              <w:top w:val="nil"/>
              <w:left w:val="nil"/>
              <w:bottom w:val="nil"/>
              <w:right w:val="nil"/>
            </w:tcBorders>
            <w:shd w:val="clear" w:color="000000" w:fill="FFFFFF"/>
            <w:noWrap/>
            <w:vAlign w:val="center"/>
            <w:hideMark/>
          </w:tcPr>
          <w:p w14:paraId="6A185706"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Property, plant and equipment</w:t>
            </w:r>
          </w:p>
        </w:tc>
        <w:tc>
          <w:tcPr>
            <w:tcW w:w="262" w:type="dxa"/>
            <w:tcBorders>
              <w:top w:val="nil"/>
              <w:left w:val="nil"/>
              <w:bottom w:val="nil"/>
              <w:right w:val="nil"/>
            </w:tcBorders>
            <w:shd w:val="clear" w:color="000000" w:fill="FFFFFF"/>
            <w:noWrap/>
            <w:vAlign w:val="center"/>
          </w:tcPr>
          <w:p w14:paraId="42CF71CC"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p>
        </w:tc>
        <w:tc>
          <w:tcPr>
            <w:tcW w:w="706" w:type="dxa"/>
            <w:tcBorders>
              <w:top w:val="nil"/>
              <w:left w:val="nil"/>
              <w:bottom w:val="nil"/>
              <w:right w:val="nil"/>
            </w:tcBorders>
            <w:shd w:val="clear" w:color="auto" w:fill="auto"/>
            <w:vAlign w:val="center"/>
          </w:tcPr>
          <w:p w14:paraId="2B4D792D"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9</w:t>
            </w:r>
          </w:p>
        </w:tc>
        <w:tc>
          <w:tcPr>
            <w:tcW w:w="1016" w:type="dxa"/>
            <w:tcBorders>
              <w:top w:val="nil"/>
              <w:left w:val="nil"/>
              <w:bottom w:val="nil"/>
              <w:right w:val="nil"/>
            </w:tcBorders>
            <w:shd w:val="clear" w:color="auto" w:fill="F1F1F2" w:themeFill="accent5" w:themeFillTint="33"/>
          </w:tcPr>
          <w:p w14:paraId="562E738F"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4,689 </w:t>
            </w:r>
          </w:p>
        </w:tc>
        <w:tc>
          <w:tcPr>
            <w:tcW w:w="984" w:type="dxa"/>
            <w:tcBorders>
              <w:top w:val="nil"/>
              <w:left w:val="nil"/>
              <w:bottom w:val="nil"/>
              <w:right w:val="nil"/>
            </w:tcBorders>
            <w:shd w:val="clear" w:color="000000" w:fill="FFFFFF"/>
            <w:vAlign w:val="center"/>
          </w:tcPr>
          <w:p w14:paraId="4F142857"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5,931</w:t>
            </w:r>
          </w:p>
        </w:tc>
        <w:tc>
          <w:tcPr>
            <w:tcW w:w="1176" w:type="dxa"/>
            <w:tcBorders>
              <w:top w:val="nil"/>
              <w:left w:val="nil"/>
              <w:bottom w:val="nil"/>
              <w:right w:val="nil"/>
            </w:tcBorders>
            <w:shd w:val="clear" w:color="000000" w:fill="FFFFFF"/>
          </w:tcPr>
          <w:p w14:paraId="535C60F4"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 (1,242)</w:t>
            </w:r>
          </w:p>
        </w:tc>
        <w:tc>
          <w:tcPr>
            <w:tcW w:w="992" w:type="dxa"/>
            <w:tcBorders>
              <w:top w:val="nil"/>
              <w:left w:val="nil"/>
              <w:bottom w:val="nil"/>
              <w:right w:val="nil"/>
            </w:tcBorders>
            <w:shd w:val="clear" w:color="auto" w:fill="auto"/>
            <w:noWrap/>
            <w:vAlign w:val="center"/>
            <w:hideMark/>
          </w:tcPr>
          <w:p w14:paraId="1A005832"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5,389</w:t>
            </w:r>
          </w:p>
        </w:tc>
      </w:tr>
      <w:tr w:rsidR="00AB33EC" w:rsidRPr="003E75E2" w14:paraId="2123E5BD" w14:textId="77777777" w:rsidTr="00C5404E">
        <w:trPr>
          <w:trHeight w:val="300"/>
        </w:trPr>
        <w:tc>
          <w:tcPr>
            <w:tcW w:w="4395" w:type="dxa"/>
            <w:tcBorders>
              <w:top w:val="nil"/>
              <w:left w:val="nil"/>
              <w:bottom w:val="nil"/>
              <w:right w:val="nil"/>
            </w:tcBorders>
            <w:shd w:val="clear" w:color="000000" w:fill="FFFFFF"/>
            <w:noWrap/>
            <w:vAlign w:val="center"/>
            <w:hideMark/>
          </w:tcPr>
          <w:p w14:paraId="44268871"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Right-of-use assets</w:t>
            </w:r>
          </w:p>
        </w:tc>
        <w:tc>
          <w:tcPr>
            <w:tcW w:w="262" w:type="dxa"/>
            <w:tcBorders>
              <w:top w:val="nil"/>
              <w:left w:val="nil"/>
              <w:bottom w:val="nil"/>
              <w:right w:val="nil"/>
            </w:tcBorders>
            <w:shd w:val="clear" w:color="000000" w:fill="FFFFFF"/>
            <w:noWrap/>
            <w:vAlign w:val="center"/>
          </w:tcPr>
          <w:p w14:paraId="154D1D1D"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p>
        </w:tc>
        <w:tc>
          <w:tcPr>
            <w:tcW w:w="706" w:type="dxa"/>
            <w:tcBorders>
              <w:top w:val="nil"/>
              <w:left w:val="nil"/>
              <w:bottom w:val="nil"/>
              <w:right w:val="nil"/>
            </w:tcBorders>
            <w:shd w:val="clear" w:color="auto" w:fill="auto"/>
            <w:vAlign w:val="center"/>
          </w:tcPr>
          <w:p w14:paraId="4A628EA4"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10</w:t>
            </w:r>
          </w:p>
        </w:tc>
        <w:tc>
          <w:tcPr>
            <w:tcW w:w="1016" w:type="dxa"/>
            <w:tcBorders>
              <w:top w:val="nil"/>
              <w:left w:val="nil"/>
              <w:bottom w:val="nil"/>
              <w:right w:val="nil"/>
            </w:tcBorders>
            <w:shd w:val="clear" w:color="auto" w:fill="F1F1F2" w:themeFill="accent5" w:themeFillTint="33"/>
          </w:tcPr>
          <w:p w14:paraId="420710C1"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630 </w:t>
            </w:r>
          </w:p>
        </w:tc>
        <w:tc>
          <w:tcPr>
            <w:tcW w:w="984" w:type="dxa"/>
            <w:tcBorders>
              <w:top w:val="nil"/>
              <w:left w:val="nil"/>
              <w:bottom w:val="nil"/>
              <w:right w:val="nil"/>
            </w:tcBorders>
            <w:shd w:val="clear" w:color="000000" w:fill="FFFFFF"/>
            <w:vAlign w:val="center"/>
          </w:tcPr>
          <w:p w14:paraId="241A9A86"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609</w:t>
            </w:r>
          </w:p>
        </w:tc>
        <w:tc>
          <w:tcPr>
            <w:tcW w:w="1176" w:type="dxa"/>
            <w:tcBorders>
              <w:top w:val="nil"/>
              <w:left w:val="nil"/>
              <w:bottom w:val="nil"/>
              <w:right w:val="nil"/>
            </w:tcBorders>
            <w:shd w:val="clear" w:color="000000" w:fill="FFFFFF"/>
          </w:tcPr>
          <w:p w14:paraId="2BA6DB6D"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 21 </w:t>
            </w:r>
          </w:p>
        </w:tc>
        <w:tc>
          <w:tcPr>
            <w:tcW w:w="992" w:type="dxa"/>
            <w:tcBorders>
              <w:top w:val="nil"/>
              <w:left w:val="nil"/>
              <w:bottom w:val="nil"/>
              <w:right w:val="nil"/>
            </w:tcBorders>
            <w:shd w:val="clear" w:color="auto" w:fill="auto"/>
            <w:noWrap/>
            <w:vAlign w:val="center"/>
            <w:hideMark/>
          </w:tcPr>
          <w:p w14:paraId="3B3CA8C8"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945</w:t>
            </w:r>
          </w:p>
        </w:tc>
      </w:tr>
      <w:tr w:rsidR="00AB33EC" w:rsidRPr="003E75E2" w14:paraId="6424B035" w14:textId="77777777" w:rsidTr="00C5404E">
        <w:trPr>
          <w:trHeight w:val="315"/>
        </w:trPr>
        <w:tc>
          <w:tcPr>
            <w:tcW w:w="4395" w:type="dxa"/>
            <w:tcBorders>
              <w:top w:val="nil"/>
              <w:left w:val="nil"/>
              <w:bottom w:val="nil"/>
              <w:right w:val="nil"/>
            </w:tcBorders>
            <w:shd w:val="clear" w:color="000000" w:fill="FFFFFF"/>
            <w:noWrap/>
            <w:vAlign w:val="center"/>
            <w:hideMark/>
          </w:tcPr>
          <w:p w14:paraId="79313868"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Other assets</w:t>
            </w:r>
          </w:p>
        </w:tc>
        <w:tc>
          <w:tcPr>
            <w:tcW w:w="262" w:type="dxa"/>
            <w:tcBorders>
              <w:top w:val="nil"/>
              <w:left w:val="nil"/>
              <w:bottom w:val="nil"/>
              <w:right w:val="nil"/>
            </w:tcBorders>
            <w:shd w:val="clear" w:color="000000" w:fill="FFFFFF"/>
            <w:noWrap/>
            <w:vAlign w:val="center"/>
          </w:tcPr>
          <w:p w14:paraId="704DE92F"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p>
        </w:tc>
        <w:tc>
          <w:tcPr>
            <w:tcW w:w="706" w:type="dxa"/>
            <w:tcBorders>
              <w:top w:val="nil"/>
              <w:left w:val="nil"/>
              <w:bottom w:val="nil"/>
              <w:right w:val="nil"/>
            </w:tcBorders>
            <w:shd w:val="clear" w:color="auto" w:fill="auto"/>
            <w:vAlign w:val="center"/>
          </w:tcPr>
          <w:p w14:paraId="77F7B691"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16" w:type="dxa"/>
            <w:tcBorders>
              <w:top w:val="nil"/>
              <w:left w:val="nil"/>
              <w:bottom w:val="nil"/>
              <w:right w:val="nil"/>
            </w:tcBorders>
            <w:shd w:val="clear" w:color="auto" w:fill="F1F1F2" w:themeFill="accent5" w:themeFillTint="33"/>
          </w:tcPr>
          <w:p w14:paraId="7523DAAC"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144 </w:t>
            </w:r>
          </w:p>
        </w:tc>
        <w:tc>
          <w:tcPr>
            <w:tcW w:w="984" w:type="dxa"/>
            <w:tcBorders>
              <w:top w:val="nil"/>
              <w:left w:val="nil"/>
              <w:bottom w:val="nil"/>
              <w:right w:val="nil"/>
            </w:tcBorders>
            <w:shd w:val="clear" w:color="000000" w:fill="FFFFFF"/>
            <w:vAlign w:val="center"/>
          </w:tcPr>
          <w:p w14:paraId="7B88FE61"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50</w:t>
            </w:r>
          </w:p>
        </w:tc>
        <w:tc>
          <w:tcPr>
            <w:tcW w:w="1176" w:type="dxa"/>
            <w:tcBorders>
              <w:top w:val="nil"/>
              <w:left w:val="nil"/>
              <w:bottom w:val="nil"/>
              <w:right w:val="nil"/>
            </w:tcBorders>
            <w:shd w:val="clear" w:color="000000" w:fill="FFFFFF"/>
          </w:tcPr>
          <w:p w14:paraId="5193BFDB"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 94 </w:t>
            </w:r>
          </w:p>
        </w:tc>
        <w:tc>
          <w:tcPr>
            <w:tcW w:w="992" w:type="dxa"/>
            <w:tcBorders>
              <w:top w:val="nil"/>
              <w:left w:val="nil"/>
              <w:bottom w:val="nil"/>
              <w:right w:val="nil"/>
            </w:tcBorders>
            <w:shd w:val="clear" w:color="auto" w:fill="auto"/>
            <w:noWrap/>
            <w:vAlign w:val="center"/>
            <w:hideMark/>
          </w:tcPr>
          <w:p w14:paraId="2C340EB3"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48</w:t>
            </w:r>
          </w:p>
        </w:tc>
      </w:tr>
      <w:tr w:rsidR="00AB33EC" w:rsidRPr="003E75E2" w14:paraId="5C671E61" w14:textId="77777777" w:rsidTr="00C5404E">
        <w:trPr>
          <w:trHeight w:val="315"/>
        </w:trPr>
        <w:tc>
          <w:tcPr>
            <w:tcW w:w="4395" w:type="dxa"/>
            <w:tcBorders>
              <w:top w:val="nil"/>
              <w:left w:val="nil"/>
              <w:bottom w:val="nil"/>
              <w:right w:val="nil"/>
            </w:tcBorders>
            <w:shd w:val="clear" w:color="000000" w:fill="FFFFFF"/>
            <w:noWrap/>
            <w:vAlign w:val="center"/>
            <w:hideMark/>
          </w:tcPr>
          <w:p w14:paraId="6E88D085" w14:textId="77777777" w:rsidR="00AB33EC" w:rsidRPr="00E80281" w:rsidRDefault="00AB33EC" w:rsidP="00B721B7">
            <w:pPr>
              <w:spacing w:after="4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Total Non-Current Assets</w:t>
            </w:r>
          </w:p>
        </w:tc>
        <w:tc>
          <w:tcPr>
            <w:tcW w:w="262" w:type="dxa"/>
            <w:tcBorders>
              <w:top w:val="nil"/>
              <w:left w:val="nil"/>
              <w:bottom w:val="nil"/>
              <w:right w:val="nil"/>
            </w:tcBorders>
            <w:shd w:val="clear" w:color="000000" w:fill="FFFFFF"/>
            <w:noWrap/>
            <w:vAlign w:val="center"/>
          </w:tcPr>
          <w:p w14:paraId="11B47468" w14:textId="77777777" w:rsidR="00AB33EC" w:rsidRPr="00E80281" w:rsidRDefault="00AB33EC" w:rsidP="00B721B7">
            <w:pPr>
              <w:spacing w:after="40"/>
              <w:jc w:val="center"/>
              <w:rPr>
                <w:rFonts w:asciiTheme="minorHAnsi" w:eastAsia="Times New Roman" w:hAnsiTheme="minorHAnsi" w:cstheme="minorHAnsi"/>
                <w:b/>
                <w:bCs/>
                <w:color w:val="000000"/>
                <w:szCs w:val="20"/>
                <w:lang w:eastAsia="en-AU"/>
              </w:rPr>
            </w:pPr>
          </w:p>
        </w:tc>
        <w:tc>
          <w:tcPr>
            <w:tcW w:w="706" w:type="dxa"/>
            <w:tcBorders>
              <w:left w:val="nil"/>
              <w:right w:val="nil"/>
            </w:tcBorders>
            <w:shd w:val="clear" w:color="auto" w:fill="auto"/>
            <w:vAlign w:val="center"/>
          </w:tcPr>
          <w:p w14:paraId="52E27772"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16" w:type="dxa"/>
            <w:tcBorders>
              <w:top w:val="single" w:sz="8" w:space="0" w:color="auto"/>
              <w:left w:val="nil"/>
              <w:bottom w:val="single" w:sz="8" w:space="0" w:color="auto"/>
              <w:right w:val="nil"/>
            </w:tcBorders>
            <w:shd w:val="clear" w:color="auto" w:fill="F1F1F2" w:themeFill="accent5" w:themeFillTint="33"/>
            <w:vAlign w:val="center"/>
          </w:tcPr>
          <w:p w14:paraId="550D3D0F"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5,785</w:t>
            </w:r>
          </w:p>
        </w:tc>
        <w:tc>
          <w:tcPr>
            <w:tcW w:w="984" w:type="dxa"/>
            <w:tcBorders>
              <w:top w:val="single" w:sz="8" w:space="0" w:color="auto"/>
              <w:left w:val="nil"/>
              <w:bottom w:val="single" w:sz="8" w:space="0" w:color="auto"/>
              <w:right w:val="nil"/>
            </w:tcBorders>
            <w:shd w:val="clear" w:color="000000" w:fill="FFFFFF"/>
            <w:vAlign w:val="center"/>
          </w:tcPr>
          <w:p w14:paraId="77EC50D2"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7,012</w:t>
            </w:r>
          </w:p>
        </w:tc>
        <w:tc>
          <w:tcPr>
            <w:tcW w:w="1176" w:type="dxa"/>
            <w:tcBorders>
              <w:top w:val="single" w:sz="8" w:space="0" w:color="auto"/>
              <w:left w:val="nil"/>
              <w:bottom w:val="single" w:sz="8" w:space="0" w:color="auto"/>
              <w:right w:val="nil"/>
            </w:tcBorders>
            <w:shd w:val="clear" w:color="000000" w:fill="FFFFFF"/>
            <w:vAlign w:val="center"/>
          </w:tcPr>
          <w:p w14:paraId="3FE58977"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(1,227)</w:t>
            </w:r>
          </w:p>
        </w:tc>
        <w:tc>
          <w:tcPr>
            <w:tcW w:w="992" w:type="dxa"/>
            <w:tcBorders>
              <w:top w:val="single" w:sz="8" w:space="0" w:color="auto"/>
              <w:left w:val="nil"/>
              <w:bottom w:val="single" w:sz="8" w:space="0" w:color="auto"/>
              <w:right w:val="nil"/>
            </w:tcBorders>
            <w:shd w:val="clear" w:color="auto" w:fill="auto"/>
            <w:vAlign w:val="center"/>
            <w:hideMark/>
          </w:tcPr>
          <w:p w14:paraId="63D779C3"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6,988</w:t>
            </w:r>
          </w:p>
        </w:tc>
      </w:tr>
      <w:tr w:rsidR="00AB33EC" w:rsidRPr="003E75E2" w14:paraId="7B09CF7C" w14:textId="77777777" w:rsidTr="00C5404E">
        <w:trPr>
          <w:trHeight w:val="199"/>
        </w:trPr>
        <w:tc>
          <w:tcPr>
            <w:tcW w:w="4395" w:type="dxa"/>
            <w:tcBorders>
              <w:top w:val="nil"/>
              <w:left w:val="nil"/>
              <w:bottom w:val="nil"/>
              <w:right w:val="nil"/>
            </w:tcBorders>
            <w:shd w:val="clear" w:color="000000" w:fill="FFFFFF"/>
            <w:noWrap/>
            <w:vAlign w:val="center"/>
            <w:hideMark/>
          </w:tcPr>
          <w:p w14:paraId="7B0568B2"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262" w:type="dxa"/>
            <w:tcBorders>
              <w:top w:val="nil"/>
              <w:left w:val="nil"/>
              <w:bottom w:val="nil"/>
              <w:right w:val="nil"/>
            </w:tcBorders>
            <w:shd w:val="clear" w:color="000000" w:fill="FFFFFF"/>
            <w:noWrap/>
            <w:vAlign w:val="center"/>
          </w:tcPr>
          <w:p w14:paraId="198E5F5D"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p>
        </w:tc>
        <w:tc>
          <w:tcPr>
            <w:tcW w:w="706" w:type="dxa"/>
            <w:tcBorders>
              <w:top w:val="nil"/>
              <w:left w:val="nil"/>
              <w:right w:val="nil"/>
            </w:tcBorders>
            <w:shd w:val="clear" w:color="auto" w:fill="auto"/>
            <w:vAlign w:val="center"/>
          </w:tcPr>
          <w:p w14:paraId="05ED3F71"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16" w:type="dxa"/>
            <w:tcBorders>
              <w:top w:val="nil"/>
              <w:left w:val="nil"/>
              <w:bottom w:val="single" w:sz="8" w:space="0" w:color="auto"/>
              <w:right w:val="nil"/>
            </w:tcBorders>
            <w:shd w:val="clear" w:color="auto" w:fill="F1F1F2" w:themeFill="accent5" w:themeFillTint="33"/>
            <w:vAlign w:val="center"/>
          </w:tcPr>
          <w:p w14:paraId="79A77E8E"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984" w:type="dxa"/>
            <w:tcBorders>
              <w:top w:val="nil"/>
              <w:left w:val="nil"/>
              <w:bottom w:val="single" w:sz="8" w:space="0" w:color="auto"/>
              <w:right w:val="nil"/>
            </w:tcBorders>
            <w:shd w:val="clear" w:color="000000" w:fill="FFFFFF"/>
            <w:vAlign w:val="center"/>
          </w:tcPr>
          <w:p w14:paraId="29AF09BE"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1176" w:type="dxa"/>
            <w:tcBorders>
              <w:top w:val="nil"/>
              <w:left w:val="nil"/>
              <w:bottom w:val="single" w:sz="8" w:space="0" w:color="auto"/>
              <w:right w:val="nil"/>
            </w:tcBorders>
            <w:shd w:val="clear" w:color="000000" w:fill="FFFFFF"/>
            <w:vAlign w:val="center"/>
          </w:tcPr>
          <w:p w14:paraId="3B15971D"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992" w:type="dxa"/>
            <w:tcBorders>
              <w:top w:val="nil"/>
              <w:left w:val="nil"/>
              <w:bottom w:val="single" w:sz="8" w:space="0" w:color="auto"/>
              <w:right w:val="nil"/>
            </w:tcBorders>
            <w:shd w:val="clear" w:color="auto" w:fill="auto"/>
            <w:noWrap/>
            <w:vAlign w:val="center"/>
            <w:hideMark/>
          </w:tcPr>
          <w:p w14:paraId="46530C40"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r>
      <w:tr w:rsidR="00AB33EC" w:rsidRPr="003E75E2" w14:paraId="3C9360AB" w14:textId="77777777" w:rsidTr="00C5404E">
        <w:trPr>
          <w:trHeight w:val="315"/>
        </w:trPr>
        <w:tc>
          <w:tcPr>
            <w:tcW w:w="4395" w:type="dxa"/>
            <w:tcBorders>
              <w:top w:val="nil"/>
              <w:left w:val="nil"/>
              <w:bottom w:val="nil"/>
              <w:right w:val="nil"/>
            </w:tcBorders>
            <w:shd w:val="clear" w:color="000000" w:fill="FFFFFF"/>
            <w:noWrap/>
            <w:vAlign w:val="center"/>
            <w:hideMark/>
          </w:tcPr>
          <w:p w14:paraId="4269B8E4" w14:textId="77777777" w:rsidR="00AB33EC" w:rsidRPr="00E80281" w:rsidRDefault="00AB33EC" w:rsidP="00B721B7">
            <w:pPr>
              <w:spacing w:after="4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Total Assets</w:t>
            </w:r>
          </w:p>
        </w:tc>
        <w:tc>
          <w:tcPr>
            <w:tcW w:w="262" w:type="dxa"/>
            <w:tcBorders>
              <w:top w:val="nil"/>
              <w:left w:val="nil"/>
              <w:bottom w:val="nil"/>
              <w:right w:val="nil"/>
            </w:tcBorders>
            <w:shd w:val="clear" w:color="000000" w:fill="FFFFFF"/>
            <w:noWrap/>
            <w:vAlign w:val="center"/>
          </w:tcPr>
          <w:p w14:paraId="6CE6CB95" w14:textId="77777777" w:rsidR="00AB33EC" w:rsidRPr="00E80281" w:rsidRDefault="00AB33EC" w:rsidP="00B721B7">
            <w:pPr>
              <w:spacing w:after="40"/>
              <w:jc w:val="center"/>
              <w:rPr>
                <w:rFonts w:asciiTheme="minorHAnsi" w:eastAsia="Times New Roman" w:hAnsiTheme="minorHAnsi" w:cstheme="minorHAnsi"/>
                <w:b/>
                <w:bCs/>
                <w:color w:val="000000"/>
                <w:szCs w:val="20"/>
                <w:lang w:eastAsia="en-AU"/>
              </w:rPr>
            </w:pPr>
          </w:p>
        </w:tc>
        <w:tc>
          <w:tcPr>
            <w:tcW w:w="706" w:type="dxa"/>
            <w:tcBorders>
              <w:top w:val="nil"/>
              <w:left w:val="nil"/>
              <w:right w:val="nil"/>
            </w:tcBorders>
            <w:shd w:val="clear" w:color="auto" w:fill="auto"/>
            <w:vAlign w:val="center"/>
          </w:tcPr>
          <w:p w14:paraId="6D1CFB47"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16" w:type="dxa"/>
            <w:tcBorders>
              <w:top w:val="nil"/>
              <w:left w:val="nil"/>
              <w:bottom w:val="double" w:sz="6" w:space="0" w:color="auto"/>
              <w:right w:val="nil"/>
            </w:tcBorders>
            <w:shd w:val="clear" w:color="auto" w:fill="F1F1F2" w:themeFill="accent5" w:themeFillTint="33"/>
            <w:vAlign w:val="center"/>
          </w:tcPr>
          <w:p w14:paraId="0BE0BF38"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34,154</w:t>
            </w:r>
          </w:p>
        </w:tc>
        <w:tc>
          <w:tcPr>
            <w:tcW w:w="984" w:type="dxa"/>
            <w:tcBorders>
              <w:top w:val="nil"/>
              <w:left w:val="nil"/>
              <w:bottom w:val="double" w:sz="6" w:space="0" w:color="auto"/>
              <w:right w:val="nil"/>
            </w:tcBorders>
            <w:shd w:val="clear" w:color="000000" w:fill="FFFFFF"/>
            <w:vAlign w:val="center"/>
          </w:tcPr>
          <w:p w14:paraId="48147486"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34,628</w:t>
            </w:r>
          </w:p>
        </w:tc>
        <w:tc>
          <w:tcPr>
            <w:tcW w:w="1176" w:type="dxa"/>
            <w:tcBorders>
              <w:top w:val="nil"/>
              <w:left w:val="nil"/>
              <w:bottom w:val="double" w:sz="6" w:space="0" w:color="auto"/>
              <w:right w:val="nil"/>
            </w:tcBorders>
            <w:shd w:val="clear" w:color="000000" w:fill="FFFFFF"/>
            <w:vAlign w:val="center"/>
          </w:tcPr>
          <w:p w14:paraId="53C726D3"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(474)</w:t>
            </w:r>
          </w:p>
        </w:tc>
        <w:tc>
          <w:tcPr>
            <w:tcW w:w="992" w:type="dxa"/>
            <w:tcBorders>
              <w:top w:val="nil"/>
              <w:left w:val="nil"/>
              <w:bottom w:val="double" w:sz="6" w:space="0" w:color="auto"/>
              <w:right w:val="nil"/>
            </w:tcBorders>
            <w:shd w:val="clear" w:color="auto" w:fill="auto"/>
            <w:vAlign w:val="center"/>
            <w:hideMark/>
          </w:tcPr>
          <w:p w14:paraId="1A2946F2"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34,551</w:t>
            </w:r>
          </w:p>
        </w:tc>
      </w:tr>
      <w:tr w:rsidR="00AB33EC" w:rsidRPr="003E75E2" w14:paraId="40444AC1" w14:textId="77777777" w:rsidTr="00C5404E">
        <w:trPr>
          <w:trHeight w:val="199"/>
        </w:trPr>
        <w:tc>
          <w:tcPr>
            <w:tcW w:w="4395" w:type="dxa"/>
            <w:tcBorders>
              <w:top w:val="nil"/>
              <w:left w:val="nil"/>
              <w:bottom w:val="nil"/>
              <w:right w:val="nil"/>
            </w:tcBorders>
            <w:shd w:val="clear" w:color="000000" w:fill="FFFFFF"/>
            <w:noWrap/>
            <w:vAlign w:val="center"/>
            <w:hideMark/>
          </w:tcPr>
          <w:p w14:paraId="7CF06725"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262" w:type="dxa"/>
            <w:tcBorders>
              <w:top w:val="nil"/>
              <w:left w:val="nil"/>
              <w:bottom w:val="nil"/>
              <w:right w:val="nil"/>
            </w:tcBorders>
            <w:shd w:val="clear" w:color="000000" w:fill="FFFFFF"/>
            <w:noWrap/>
            <w:vAlign w:val="center"/>
          </w:tcPr>
          <w:p w14:paraId="2DB1ED47"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p>
        </w:tc>
        <w:tc>
          <w:tcPr>
            <w:tcW w:w="706" w:type="dxa"/>
            <w:tcBorders>
              <w:top w:val="nil"/>
              <w:left w:val="nil"/>
              <w:bottom w:val="nil"/>
              <w:right w:val="nil"/>
            </w:tcBorders>
            <w:shd w:val="clear" w:color="auto" w:fill="auto"/>
            <w:vAlign w:val="center"/>
          </w:tcPr>
          <w:p w14:paraId="1DE899EE"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16" w:type="dxa"/>
            <w:tcBorders>
              <w:top w:val="nil"/>
              <w:left w:val="nil"/>
              <w:bottom w:val="nil"/>
              <w:right w:val="nil"/>
            </w:tcBorders>
            <w:shd w:val="clear" w:color="auto" w:fill="F1F1F2" w:themeFill="accent5" w:themeFillTint="33"/>
            <w:vAlign w:val="center"/>
          </w:tcPr>
          <w:p w14:paraId="7F6610D4"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984" w:type="dxa"/>
            <w:tcBorders>
              <w:top w:val="nil"/>
              <w:left w:val="nil"/>
              <w:bottom w:val="nil"/>
              <w:right w:val="nil"/>
            </w:tcBorders>
            <w:shd w:val="clear" w:color="000000" w:fill="FFFFFF"/>
            <w:vAlign w:val="center"/>
          </w:tcPr>
          <w:p w14:paraId="09A09F43"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1176" w:type="dxa"/>
            <w:tcBorders>
              <w:top w:val="nil"/>
              <w:left w:val="nil"/>
              <w:bottom w:val="nil"/>
              <w:right w:val="nil"/>
            </w:tcBorders>
            <w:shd w:val="clear" w:color="000000" w:fill="FFFFFF"/>
            <w:vAlign w:val="center"/>
          </w:tcPr>
          <w:p w14:paraId="720A85C2"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992" w:type="dxa"/>
            <w:tcBorders>
              <w:top w:val="nil"/>
              <w:left w:val="nil"/>
              <w:bottom w:val="nil"/>
              <w:right w:val="nil"/>
            </w:tcBorders>
            <w:shd w:val="clear" w:color="auto" w:fill="auto"/>
            <w:noWrap/>
            <w:vAlign w:val="center"/>
            <w:hideMark/>
          </w:tcPr>
          <w:p w14:paraId="18BA5B11"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r>
      <w:tr w:rsidR="00AB33EC" w:rsidRPr="003E75E2" w14:paraId="1CD9C62B" w14:textId="77777777" w:rsidTr="00C5404E">
        <w:trPr>
          <w:trHeight w:val="300"/>
        </w:trPr>
        <w:tc>
          <w:tcPr>
            <w:tcW w:w="4395" w:type="dxa"/>
            <w:tcBorders>
              <w:top w:val="nil"/>
              <w:left w:val="nil"/>
              <w:bottom w:val="nil"/>
              <w:right w:val="nil"/>
            </w:tcBorders>
            <w:shd w:val="clear" w:color="000000" w:fill="FFFFFF"/>
            <w:noWrap/>
            <w:vAlign w:val="center"/>
            <w:hideMark/>
          </w:tcPr>
          <w:p w14:paraId="16F4B511" w14:textId="77777777" w:rsidR="00AB33EC" w:rsidRPr="00E80281" w:rsidRDefault="00AB33EC" w:rsidP="00B721B7">
            <w:pPr>
              <w:spacing w:after="4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Current Liabilities</w:t>
            </w:r>
          </w:p>
        </w:tc>
        <w:tc>
          <w:tcPr>
            <w:tcW w:w="262" w:type="dxa"/>
            <w:tcBorders>
              <w:top w:val="nil"/>
              <w:left w:val="nil"/>
              <w:bottom w:val="nil"/>
              <w:right w:val="nil"/>
            </w:tcBorders>
            <w:shd w:val="clear" w:color="000000" w:fill="FFFFFF"/>
            <w:noWrap/>
            <w:vAlign w:val="center"/>
          </w:tcPr>
          <w:p w14:paraId="44D316AE" w14:textId="77777777" w:rsidR="00AB33EC" w:rsidRPr="00E80281" w:rsidRDefault="00AB33EC" w:rsidP="00B721B7">
            <w:pPr>
              <w:spacing w:after="40"/>
              <w:jc w:val="center"/>
              <w:rPr>
                <w:rFonts w:asciiTheme="minorHAnsi" w:eastAsia="Times New Roman" w:hAnsiTheme="minorHAnsi" w:cstheme="minorHAnsi"/>
                <w:b/>
                <w:bCs/>
                <w:color w:val="000000"/>
                <w:szCs w:val="20"/>
                <w:lang w:eastAsia="en-AU"/>
              </w:rPr>
            </w:pPr>
          </w:p>
        </w:tc>
        <w:tc>
          <w:tcPr>
            <w:tcW w:w="706" w:type="dxa"/>
            <w:tcBorders>
              <w:top w:val="nil"/>
              <w:left w:val="nil"/>
              <w:bottom w:val="nil"/>
              <w:right w:val="nil"/>
            </w:tcBorders>
            <w:shd w:val="clear" w:color="auto" w:fill="auto"/>
            <w:vAlign w:val="center"/>
          </w:tcPr>
          <w:p w14:paraId="7119F251"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16" w:type="dxa"/>
            <w:tcBorders>
              <w:top w:val="nil"/>
              <w:left w:val="nil"/>
              <w:bottom w:val="nil"/>
              <w:right w:val="nil"/>
            </w:tcBorders>
            <w:shd w:val="clear" w:color="auto" w:fill="F1F1F2" w:themeFill="accent5" w:themeFillTint="33"/>
            <w:vAlign w:val="center"/>
          </w:tcPr>
          <w:p w14:paraId="0B71F6DA"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p>
        </w:tc>
        <w:tc>
          <w:tcPr>
            <w:tcW w:w="984" w:type="dxa"/>
            <w:tcBorders>
              <w:top w:val="nil"/>
              <w:left w:val="nil"/>
              <w:bottom w:val="nil"/>
              <w:right w:val="nil"/>
            </w:tcBorders>
            <w:shd w:val="clear" w:color="000000" w:fill="FFFFFF"/>
            <w:vAlign w:val="center"/>
          </w:tcPr>
          <w:p w14:paraId="2E17D28D"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p>
        </w:tc>
        <w:tc>
          <w:tcPr>
            <w:tcW w:w="1176" w:type="dxa"/>
            <w:tcBorders>
              <w:top w:val="nil"/>
              <w:left w:val="nil"/>
              <w:bottom w:val="nil"/>
              <w:right w:val="nil"/>
            </w:tcBorders>
            <w:shd w:val="clear" w:color="000000" w:fill="FFFFFF"/>
            <w:vAlign w:val="center"/>
          </w:tcPr>
          <w:p w14:paraId="62F53E64"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p>
        </w:tc>
        <w:tc>
          <w:tcPr>
            <w:tcW w:w="992" w:type="dxa"/>
            <w:tcBorders>
              <w:top w:val="nil"/>
              <w:left w:val="nil"/>
              <w:bottom w:val="nil"/>
              <w:right w:val="nil"/>
            </w:tcBorders>
            <w:shd w:val="clear" w:color="auto" w:fill="auto"/>
            <w:noWrap/>
            <w:vAlign w:val="center"/>
            <w:hideMark/>
          </w:tcPr>
          <w:p w14:paraId="756773FE"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p>
        </w:tc>
      </w:tr>
      <w:tr w:rsidR="00AB33EC" w:rsidRPr="003E75E2" w14:paraId="0CA46E51" w14:textId="77777777" w:rsidTr="00C5404E">
        <w:trPr>
          <w:trHeight w:val="300"/>
        </w:trPr>
        <w:tc>
          <w:tcPr>
            <w:tcW w:w="4395" w:type="dxa"/>
            <w:tcBorders>
              <w:top w:val="nil"/>
              <w:left w:val="nil"/>
              <w:bottom w:val="nil"/>
              <w:right w:val="nil"/>
            </w:tcBorders>
            <w:shd w:val="clear" w:color="000000" w:fill="FFFFFF"/>
            <w:noWrap/>
            <w:vAlign w:val="center"/>
            <w:hideMark/>
          </w:tcPr>
          <w:p w14:paraId="699432DD"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Payables</w:t>
            </w:r>
          </w:p>
        </w:tc>
        <w:tc>
          <w:tcPr>
            <w:tcW w:w="262" w:type="dxa"/>
            <w:tcBorders>
              <w:top w:val="nil"/>
              <w:left w:val="nil"/>
              <w:bottom w:val="nil"/>
              <w:right w:val="nil"/>
            </w:tcBorders>
            <w:shd w:val="clear" w:color="000000" w:fill="FFFFFF"/>
            <w:noWrap/>
            <w:vAlign w:val="center"/>
          </w:tcPr>
          <w:p w14:paraId="757040EB"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p>
        </w:tc>
        <w:tc>
          <w:tcPr>
            <w:tcW w:w="706" w:type="dxa"/>
            <w:tcBorders>
              <w:top w:val="nil"/>
              <w:left w:val="nil"/>
              <w:bottom w:val="nil"/>
              <w:right w:val="nil"/>
            </w:tcBorders>
            <w:shd w:val="clear" w:color="auto" w:fill="auto"/>
            <w:vAlign w:val="center"/>
          </w:tcPr>
          <w:p w14:paraId="6E776224"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11</w:t>
            </w:r>
          </w:p>
        </w:tc>
        <w:tc>
          <w:tcPr>
            <w:tcW w:w="1016" w:type="dxa"/>
            <w:tcBorders>
              <w:top w:val="nil"/>
              <w:left w:val="nil"/>
              <w:bottom w:val="nil"/>
              <w:right w:val="nil"/>
            </w:tcBorders>
            <w:shd w:val="clear" w:color="auto" w:fill="F1F1F2" w:themeFill="accent5" w:themeFillTint="33"/>
          </w:tcPr>
          <w:p w14:paraId="74FCF922"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2,183 </w:t>
            </w:r>
          </w:p>
        </w:tc>
        <w:tc>
          <w:tcPr>
            <w:tcW w:w="984" w:type="dxa"/>
            <w:tcBorders>
              <w:top w:val="nil"/>
              <w:left w:val="nil"/>
              <w:bottom w:val="nil"/>
              <w:right w:val="nil"/>
            </w:tcBorders>
            <w:shd w:val="clear" w:color="000000" w:fill="FFFFFF"/>
            <w:vAlign w:val="center"/>
          </w:tcPr>
          <w:p w14:paraId="27EE8982"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2,174</w:t>
            </w:r>
          </w:p>
        </w:tc>
        <w:tc>
          <w:tcPr>
            <w:tcW w:w="1176" w:type="dxa"/>
            <w:tcBorders>
              <w:top w:val="nil"/>
              <w:left w:val="nil"/>
              <w:bottom w:val="nil"/>
              <w:right w:val="nil"/>
            </w:tcBorders>
            <w:shd w:val="clear" w:color="000000" w:fill="FFFFFF"/>
          </w:tcPr>
          <w:p w14:paraId="051E1952"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 9 </w:t>
            </w:r>
          </w:p>
        </w:tc>
        <w:tc>
          <w:tcPr>
            <w:tcW w:w="992" w:type="dxa"/>
            <w:tcBorders>
              <w:top w:val="nil"/>
              <w:left w:val="nil"/>
              <w:bottom w:val="nil"/>
              <w:right w:val="nil"/>
            </w:tcBorders>
            <w:shd w:val="clear" w:color="auto" w:fill="auto"/>
            <w:noWrap/>
            <w:vAlign w:val="center"/>
            <w:hideMark/>
          </w:tcPr>
          <w:p w14:paraId="6EBE1123"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2,351</w:t>
            </w:r>
          </w:p>
        </w:tc>
      </w:tr>
      <w:tr w:rsidR="00AB33EC" w:rsidRPr="003E75E2" w14:paraId="5B26BBB6" w14:textId="77777777" w:rsidTr="00C5404E">
        <w:trPr>
          <w:trHeight w:val="300"/>
        </w:trPr>
        <w:tc>
          <w:tcPr>
            <w:tcW w:w="4395" w:type="dxa"/>
            <w:tcBorders>
              <w:top w:val="nil"/>
              <w:left w:val="nil"/>
              <w:bottom w:val="nil"/>
              <w:right w:val="nil"/>
            </w:tcBorders>
            <w:shd w:val="clear" w:color="000000" w:fill="FFFFFF"/>
            <w:noWrap/>
            <w:vAlign w:val="center"/>
            <w:hideMark/>
          </w:tcPr>
          <w:p w14:paraId="1B28E3FB"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Lease liabilities</w:t>
            </w:r>
          </w:p>
        </w:tc>
        <w:tc>
          <w:tcPr>
            <w:tcW w:w="262" w:type="dxa"/>
            <w:tcBorders>
              <w:top w:val="nil"/>
              <w:left w:val="nil"/>
              <w:bottom w:val="nil"/>
              <w:right w:val="nil"/>
            </w:tcBorders>
            <w:shd w:val="clear" w:color="000000" w:fill="FFFFFF"/>
            <w:noWrap/>
            <w:vAlign w:val="center"/>
          </w:tcPr>
          <w:p w14:paraId="0ABEE3C3"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p>
        </w:tc>
        <w:tc>
          <w:tcPr>
            <w:tcW w:w="706" w:type="dxa"/>
            <w:tcBorders>
              <w:top w:val="nil"/>
              <w:left w:val="nil"/>
              <w:bottom w:val="nil"/>
              <w:right w:val="nil"/>
            </w:tcBorders>
            <w:shd w:val="clear" w:color="auto" w:fill="auto"/>
            <w:vAlign w:val="center"/>
          </w:tcPr>
          <w:p w14:paraId="58345F91"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10</w:t>
            </w:r>
          </w:p>
        </w:tc>
        <w:tc>
          <w:tcPr>
            <w:tcW w:w="1016" w:type="dxa"/>
            <w:tcBorders>
              <w:top w:val="nil"/>
              <w:left w:val="nil"/>
              <w:bottom w:val="nil"/>
              <w:right w:val="nil"/>
            </w:tcBorders>
            <w:shd w:val="clear" w:color="auto" w:fill="F1F1F2" w:themeFill="accent5" w:themeFillTint="33"/>
          </w:tcPr>
          <w:p w14:paraId="6C433290"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323 </w:t>
            </w:r>
          </w:p>
        </w:tc>
        <w:tc>
          <w:tcPr>
            <w:tcW w:w="984" w:type="dxa"/>
            <w:tcBorders>
              <w:top w:val="nil"/>
              <w:left w:val="nil"/>
              <w:bottom w:val="nil"/>
              <w:right w:val="nil"/>
            </w:tcBorders>
            <w:shd w:val="clear" w:color="000000" w:fill="FFFFFF"/>
            <w:vAlign w:val="center"/>
          </w:tcPr>
          <w:p w14:paraId="68F7A5F0"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446</w:t>
            </w:r>
          </w:p>
        </w:tc>
        <w:tc>
          <w:tcPr>
            <w:tcW w:w="1176" w:type="dxa"/>
            <w:tcBorders>
              <w:top w:val="nil"/>
              <w:left w:val="nil"/>
              <w:bottom w:val="nil"/>
              <w:right w:val="nil"/>
            </w:tcBorders>
            <w:shd w:val="clear" w:color="000000" w:fill="FFFFFF"/>
          </w:tcPr>
          <w:p w14:paraId="7FA5CA1D"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 (123)</w:t>
            </w:r>
          </w:p>
        </w:tc>
        <w:tc>
          <w:tcPr>
            <w:tcW w:w="992" w:type="dxa"/>
            <w:tcBorders>
              <w:top w:val="nil"/>
              <w:left w:val="nil"/>
              <w:bottom w:val="nil"/>
              <w:right w:val="nil"/>
            </w:tcBorders>
            <w:shd w:val="clear" w:color="auto" w:fill="auto"/>
            <w:noWrap/>
            <w:vAlign w:val="center"/>
            <w:hideMark/>
          </w:tcPr>
          <w:p w14:paraId="1647CA40"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300</w:t>
            </w:r>
          </w:p>
        </w:tc>
      </w:tr>
      <w:tr w:rsidR="00AB33EC" w:rsidRPr="003E75E2" w14:paraId="46BE1FDF" w14:textId="77777777" w:rsidTr="00C5404E">
        <w:trPr>
          <w:trHeight w:val="300"/>
        </w:trPr>
        <w:tc>
          <w:tcPr>
            <w:tcW w:w="4395" w:type="dxa"/>
            <w:tcBorders>
              <w:top w:val="nil"/>
              <w:left w:val="nil"/>
              <w:bottom w:val="nil"/>
              <w:right w:val="nil"/>
            </w:tcBorders>
            <w:shd w:val="clear" w:color="000000" w:fill="FFFFFF"/>
            <w:noWrap/>
            <w:vAlign w:val="center"/>
            <w:hideMark/>
          </w:tcPr>
          <w:p w14:paraId="77FC1360"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Accrued employee benefits</w:t>
            </w:r>
          </w:p>
        </w:tc>
        <w:tc>
          <w:tcPr>
            <w:tcW w:w="262" w:type="dxa"/>
            <w:tcBorders>
              <w:top w:val="nil"/>
              <w:left w:val="nil"/>
              <w:bottom w:val="nil"/>
              <w:right w:val="nil"/>
            </w:tcBorders>
            <w:shd w:val="clear" w:color="000000" w:fill="FFFFFF"/>
            <w:noWrap/>
            <w:vAlign w:val="center"/>
          </w:tcPr>
          <w:p w14:paraId="1C80370C" w14:textId="77777777" w:rsidR="00AB33EC" w:rsidRPr="00E80281" w:rsidRDefault="00AB33EC" w:rsidP="00B721B7">
            <w:pPr>
              <w:spacing w:after="40"/>
              <w:rPr>
                <w:rFonts w:asciiTheme="minorHAnsi" w:eastAsia="Times New Roman" w:hAnsiTheme="minorHAnsi" w:cstheme="minorHAnsi"/>
                <w:color w:val="000000"/>
                <w:szCs w:val="20"/>
                <w:lang w:eastAsia="en-AU"/>
              </w:rPr>
            </w:pPr>
          </w:p>
        </w:tc>
        <w:tc>
          <w:tcPr>
            <w:tcW w:w="706" w:type="dxa"/>
            <w:tcBorders>
              <w:top w:val="nil"/>
              <w:left w:val="nil"/>
              <w:bottom w:val="nil"/>
              <w:right w:val="nil"/>
            </w:tcBorders>
            <w:shd w:val="clear" w:color="auto" w:fill="auto"/>
            <w:vAlign w:val="center"/>
          </w:tcPr>
          <w:p w14:paraId="7DCC93DC"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xml:space="preserve">12      </w:t>
            </w:r>
          </w:p>
        </w:tc>
        <w:tc>
          <w:tcPr>
            <w:tcW w:w="1016" w:type="dxa"/>
            <w:tcBorders>
              <w:top w:val="nil"/>
              <w:left w:val="nil"/>
              <w:bottom w:val="nil"/>
              <w:right w:val="nil"/>
            </w:tcBorders>
            <w:shd w:val="clear" w:color="auto" w:fill="F1F1F2" w:themeFill="accent5" w:themeFillTint="33"/>
          </w:tcPr>
          <w:p w14:paraId="2C514A39"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1,199 </w:t>
            </w:r>
          </w:p>
        </w:tc>
        <w:tc>
          <w:tcPr>
            <w:tcW w:w="984" w:type="dxa"/>
            <w:tcBorders>
              <w:top w:val="nil"/>
              <w:left w:val="nil"/>
              <w:bottom w:val="nil"/>
              <w:right w:val="nil"/>
            </w:tcBorders>
            <w:shd w:val="clear" w:color="000000" w:fill="FFFFFF"/>
            <w:vAlign w:val="center"/>
          </w:tcPr>
          <w:p w14:paraId="45992461"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1,299</w:t>
            </w:r>
          </w:p>
        </w:tc>
        <w:tc>
          <w:tcPr>
            <w:tcW w:w="1176" w:type="dxa"/>
            <w:tcBorders>
              <w:top w:val="nil"/>
              <w:left w:val="nil"/>
              <w:bottom w:val="nil"/>
              <w:right w:val="nil"/>
            </w:tcBorders>
            <w:shd w:val="clear" w:color="000000" w:fill="FFFFFF"/>
          </w:tcPr>
          <w:p w14:paraId="1F157582"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 (100)</w:t>
            </w:r>
          </w:p>
        </w:tc>
        <w:tc>
          <w:tcPr>
            <w:tcW w:w="992" w:type="dxa"/>
            <w:tcBorders>
              <w:top w:val="nil"/>
              <w:left w:val="nil"/>
              <w:bottom w:val="nil"/>
              <w:right w:val="nil"/>
            </w:tcBorders>
            <w:shd w:val="clear" w:color="auto" w:fill="auto"/>
            <w:noWrap/>
            <w:vAlign w:val="center"/>
            <w:hideMark/>
          </w:tcPr>
          <w:p w14:paraId="1549AEA8"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948</w:t>
            </w:r>
          </w:p>
        </w:tc>
      </w:tr>
      <w:tr w:rsidR="00AB33EC" w:rsidRPr="003E75E2" w14:paraId="4522D0E9" w14:textId="77777777" w:rsidTr="00C5404E">
        <w:trPr>
          <w:trHeight w:val="315"/>
        </w:trPr>
        <w:tc>
          <w:tcPr>
            <w:tcW w:w="4395" w:type="dxa"/>
            <w:tcBorders>
              <w:top w:val="nil"/>
              <w:left w:val="nil"/>
              <w:bottom w:val="nil"/>
              <w:right w:val="nil"/>
            </w:tcBorders>
            <w:shd w:val="clear" w:color="000000" w:fill="FFFFFF"/>
            <w:noWrap/>
            <w:vAlign w:val="center"/>
            <w:hideMark/>
          </w:tcPr>
          <w:p w14:paraId="06D99ABD"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Other</w:t>
            </w:r>
          </w:p>
        </w:tc>
        <w:tc>
          <w:tcPr>
            <w:tcW w:w="262" w:type="dxa"/>
            <w:tcBorders>
              <w:top w:val="nil"/>
              <w:left w:val="nil"/>
              <w:bottom w:val="nil"/>
              <w:right w:val="nil"/>
            </w:tcBorders>
            <w:shd w:val="clear" w:color="000000" w:fill="FFFFFF"/>
            <w:noWrap/>
            <w:vAlign w:val="center"/>
          </w:tcPr>
          <w:p w14:paraId="6511E746"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p>
        </w:tc>
        <w:tc>
          <w:tcPr>
            <w:tcW w:w="706" w:type="dxa"/>
            <w:tcBorders>
              <w:top w:val="nil"/>
              <w:left w:val="nil"/>
              <w:bottom w:val="nil"/>
              <w:right w:val="nil"/>
            </w:tcBorders>
            <w:shd w:val="clear" w:color="auto" w:fill="auto"/>
            <w:vAlign w:val="center"/>
          </w:tcPr>
          <w:p w14:paraId="7AE2657B"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p>
        </w:tc>
        <w:tc>
          <w:tcPr>
            <w:tcW w:w="1016" w:type="dxa"/>
            <w:tcBorders>
              <w:top w:val="nil"/>
              <w:left w:val="nil"/>
              <w:bottom w:val="nil"/>
              <w:right w:val="nil"/>
            </w:tcBorders>
            <w:shd w:val="clear" w:color="auto" w:fill="F1F1F2" w:themeFill="accent5" w:themeFillTint="33"/>
          </w:tcPr>
          <w:p w14:paraId="5A5C25F4"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13 </w:t>
            </w:r>
          </w:p>
        </w:tc>
        <w:tc>
          <w:tcPr>
            <w:tcW w:w="984" w:type="dxa"/>
            <w:tcBorders>
              <w:top w:val="nil"/>
              <w:left w:val="nil"/>
              <w:bottom w:val="nil"/>
              <w:right w:val="nil"/>
            </w:tcBorders>
            <w:shd w:val="clear" w:color="000000" w:fill="FFFFFF"/>
            <w:vAlign w:val="center"/>
          </w:tcPr>
          <w:p w14:paraId="1C28EEAA"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12</w:t>
            </w:r>
          </w:p>
        </w:tc>
        <w:tc>
          <w:tcPr>
            <w:tcW w:w="1176" w:type="dxa"/>
            <w:tcBorders>
              <w:top w:val="nil"/>
              <w:left w:val="nil"/>
              <w:bottom w:val="nil"/>
              <w:right w:val="nil"/>
            </w:tcBorders>
            <w:shd w:val="clear" w:color="000000" w:fill="FFFFFF"/>
          </w:tcPr>
          <w:p w14:paraId="6958AE3F"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hAnsiTheme="minorHAnsi" w:cstheme="minorHAnsi"/>
                <w:szCs w:val="20"/>
              </w:rPr>
              <w:t xml:space="preserve"> 1 </w:t>
            </w:r>
          </w:p>
        </w:tc>
        <w:tc>
          <w:tcPr>
            <w:tcW w:w="992" w:type="dxa"/>
            <w:tcBorders>
              <w:top w:val="nil"/>
              <w:left w:val="nil"/>
              <w:bottom w:val="nil"/>
              <w:right w:val="nil"/>
            </w:tcBorders>
            <w:shd w:val="clear" w:color="auto" w:fill="auto"/>
            <w:noWrap/>
            <w:vAlign w:val="center"/>
            <w:hideMark/>
          </w:tcPr>
          <w:p w14:paraId="0A219376"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16</w:t>
            </w:r>
          </w:p>
        </w:tc>
      </w:tr>
      <w:tr w:rsidR="00AB33EC" w:rsidRPr="003E75E2" w14:paraId="070C4E6D" w14:textId="77777777" w:rsidTr="00C5404E">
        <w:trPr>
          <w:trHeight w:val="315"/>
        </w:trPr>
        <w:tc>
          <w:tcPr>
            <w:tcW w:w="4395" w:type="dxa"/>
            <w:tcBorders>
              <w:top w:val="nil"/>
              <w:left w:val="nil"/>
              <w:bottom w:val="nil"/>
              <w:right w:val="nil"/>
            </w:tcBorders>
            <w:shd w:val="clear" w:color="000000" w:fill="FFFFFF"/>
            <w:noWrap/>
            <w:vAlign w:val="center"/>
            <w:hideMark/>
          </w:tcPr>
          <w:p w14:paraId="63B55994" w14:textId="77777777" w:rsidR="00AB33EC" w:rsidRPr="00E80281" w:rsidRDefault="00AB33EC" w:rsidP="00B721B7">
            <w:pPr>
              <w:spacing w:after="4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Total Current Liabilities</w:t>
            </w:r>
          </w:p>
        </w:tc>
        <w:tc>
          <w:tcPr>
            <w:tcW w:w="262" w:type="dxa"/>
            <w:tcBorders>
              <w:top w:val="nil"/>
              <w:left w:val="nil"/>
              <w:bottom w:val="nil"/>
              <w:right w:val="nil"/>
            </w:tcBorders>
            <w:shd w:val="clear" w:color="000000" w:fill="FFFFFF"/>
            <w:noWrap/>
            <w:vAlign w:val="center"/>
          </w:tcPr>
          <w:p w14:paraId="3F3A61ED" w14:textId="77777777" w:rsidR="00AB33EC" w:rsidRPr="00E80281" w:rsidRDefault="00AB33EC" w:rsidP="00B721B7">
            <w:pPr>
              <w:spacing w:after="40"/>
              <w:jc w:val="center"/>
              <w:rPr>
                <w:rFonts w:asciiTheme="minorHAnsi" w:eastAsia="Times New Roman" w:hAnsiTheme="minorHAnsi" w:cstheme="minorHAnsi"/>
                <w:b/>
                <w:bCs/>
                <w:color w:val="000000"/>
                <w:szCs w:val="20"/>
                <w:lang w:eastAsia="en-AU"/>
              </w:rPr>
            </w:pPr>
          </w:p>
        </w:tc>
        <w:tc>
          <w:tcPr>
            <w:tcW w:w="706" w:type="dxa"/>
            <w:tcBorders>
              <w:left w:val="nil"/>
              <w:right w:val="nil"/>
            </w:tcBorders>
            <w:shd w:val="clear" w:color="auto" w:fill="auto"/>
            <w:vAlign w:val="center"/>
          </w:tcPr>
          <w:p w14:paraId="3DCB8ECC"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16" w:type="dxa"/>
            <w:tcBorders>
              <w:top w:val="single" w:sz="8" w:space="0" w:color="auto"/>
              <w:left w:val="nil"/>
              <w:bottom w:val="single" w:sz="8" w:space="0" w:color="auto"/>
              <w:right w:val="nil"/>
            </w:tcBorders>
            <w:shd w:val="clear" w:color="auto" w:fill="F1F1F2" w:themeFill="accent5" w:themeFillTint="33"/>
            <w:vAlign w:val="center"/>
          </w:tcPr>
          <w:p w14:paraId="45320FCF"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3,718</w:t>
            </w:r>
          </w:p>
        </w:tc>
        <w:tc>
          <w:tcPr>
            <w:tcW w:w="984" w:type="dxa"/>
            <w:tcBorders>
              <w:top w:val="single" w:sz="8" w:space="0" w:color="auto"/>
              <w:left w:val="nil"/>
              <w:bottom w:val="single" w:sz="8" w:space="0" w:color="auto"/>
              <w:right w:val="nil"/>
            </w:tcBorders>
            <w:shd w:val="clear" w:color="000000" w:fill="FFFFFF"/>
            <w:vAlign w:val="center"/>
          </w:tcPr>
          <w:p w14:paraId="2C956107"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3,931</w:t>
            </w:r>
          </w:p>
        </w:tc>
        <w:tc>
          <w:tcPr>
            <w:tcW w:w="1176" w:type="dxa"/>
            <w:tcBorders>
              <w:top w:val="single" w:sz="8" w:space="0" w:color="auto"/>
              <w:left w:val="nil"/>
              <w:bottom w:val="single" w:sz="8" w:space="0" w:color="auto"/>
              <w:right w:val="nil"/>
            </w:tcBorders>
            <w:shd w:val="clear" w:color="000000" w:fill="FFFFFF"/>
            <w:vAlign w:val="center"/>
          </w:tcPr>
          <w:p w14:paraId="79B80170"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(213)</w:t>
            </w:r>
          </w:p>
        </w:tc>
        <w:tc>
          <w:tcPr>
            <w:tcW w:w="992" w:type="dxa"/>
            <w:tcBorders>
              <w:top w:val="single" w:sz="8" w:space="0" w:color="auto"/>
              <w:left w:val="nil"/>
              <w:bottom w:val="single" w:sz="8" w:space="0" w:color="auto"/>
              <w:right w:val="nil"/>
            </w:tcBorders>
            <w:shd w:val="clear" w:color="auto" w:fill="auto"/>
            <w:vAlign w:val="center"/>
            <w:hideMark/>
          </w:tcPr>
          <w:p w14:paraId="231C12DC"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3,615</w:t>
            </w:r>
          </w:p>
        </w:tc>
      </w:tr>
      <w:tr w:rsidR="00AB33EC" w:rsidRPr="003E75E2" w14:paraId="25D67CF5" w14:textId="77777777" w:rsidTr="00C5404E">
        <w:trPr>
          <w:trHeight w:val="199"/>
        </w:trPr>
        <w:tc>
          <w:tcPr>
            <w:tcW w:w="4395" w:type="dxa"/>
            <w:tcBorders>
              <w:top w:val="nil"/>
              <w:left w:val="nil"/>
              <w:bottom w:val="nil"/>
              <w:right w:val="nil"/>
            </w:tcBorders>
            <w:shd w:val="clear" w:color="000000" w:fill="FFFFFF"/>
            <w:noWrap/>
            <w:vAlign w:val="center"/>
            <w:hideMark/>
          </w:tcPr>
          <w:p w14:paraId="7E297087"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262" w:type="dxa"/>
            <w:tcBorders>
              <w:top w:val="nil"/>
              <w:left w:val="nil"/>
              <w:bottom w:val="nil"/>
              <w:right w:val="nil"/>
            </w:tcBorders>
            <w:shd w:val="clear" w:color="000000" w:fill="FFFFFF"/>
            <w:noWrap/>
            <w:vAlign w:val="center"/>
          </w:tcPr>
          <w:p w14:paraId="16CEEF72"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p>
        </w:tc>
        <w:tc>
          <w:tcPr>
            <w:tcW w:w="706" w:type="dxa"/>
            <w:tcBorders>
              <w:top w:val="nil"/>
              <w:left w:val="nil"/>
              <w:bottom w:val="nil"/>
              <w:right w:val="nil"/>
            </w:tcBorders>
            <w:shd w:val="clear" w:color="auto" w:fill="auto"/>
            <w:vAlign w:val="center"/>
          </w:tcPr>
          <w:p w14:paraId="1BC49A65"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016" w:type="dxa"/>
            <w:tcBorders>
              <w:top w:val="nil"/>
              <w:left w:val="nil"/>
              <w:bottom w:val="nil"/>
              <w:right w:val="nil"/>
            </w:tcBorders>
            <w:shd w:val="clear" w:color="auto" w:fill="F1F1F2" w:themeFill="accent5" w:themeFillTint="33"/>
            <w:vAlign w:val="center"/>
          </w:tcPr>
          <w:p w14:paraId="6063CE16"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984" w:type="dxa"/>
            <w:tcBorders>
              <w:top w:val="nil"/>
              <w:left w:val="nil"/>
              <w:bottom w:val="nil"/>
              <w:right w:val="nil"/>
            </w:tcBorders>
            <w:shd w:val="clear" w:color="000000" w:fill="FFFFFF"/>
            <w:vAlign w:val="center"/>
          </w:tcPr>
          <w:p w14:paraId="6FE60113"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1176" w:type="dxa"/>
            <w:tcBorders>
              <w:top w:val="nil"/>
              <w:left w:val="nil"/>
              <w:bottom w:val="nil"/>
              <w:right w:val="nil"/>
            </w:tcBorders>
            <w:shd w:val="clear" w:color="000000" w:fill="FFFFFF"/>
            <w:vAlign w:val="center"/>
          </w:tcPr>
          <w:p w14:paraId="65C422FF"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992" w:type="dxa"/>
            <w:tcBorders>
              <w:top w:val="nil"/>
              <w:left w:val="nil"/>
              <w:bottom w:val="nil"/>
              <w:right w:val="nil"/>
            </w:tcBorders>
            <w:shd w:val="clear" w:color="auto" w:fill="auto"/>
            <w:noWrap/>
            <w:vAlign w:val="center"/>
            <w:hideMark/>
          </w:tcPr>
          <w:p w14:paraId="307F7C76"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r>
      <w:tr w:rsidR="00AB33EC" w:rsidRPr="003E75E2" w14:paraId="3A5B7458" w14:textId="77777777" w:rsidTr="00C5404E">
        <w:trPr>
          <w:trHeight w:val="300"/>
        </w:trPr>
        <w:tc>
          <w:tcPr>
            <w:tcW w:w="4395" w:type="dxa"/>
            <w:tcBorders>
              <w:top w:val="nil"/>
              <w:left w:val="nil"/>
              <w:bottom w:val="nil"/>
              <w:right w:val="nil"/>
            </w:tcBorders>
            <w:shd w:val="clear" w:color="000000" w:fill="FFFFFF"/>
            <w:noWrap/>
            <w:vAlign w:val="center"/>
            <w:hideMark/>
          </w:tcPr>
          <w:p w14:paraId="30847E6C" w14:textId="77777777" w:rsidR="00AB33EC" w:rsidRPr="00E80281" w:rsidRDefault="00AB33EC" w:rsidP="00B721B7">
            <w:pPr>
              <w:spacing w:after="4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Non-Current Liabilities</w:t>
            </w:r>
          </w:p>
        </w:tc>
        <w:tc>
          <w:tcPr>
            <w:tcW w:w="262" w:type="dxa"/>
            <w:tcBorders>
              <w:top w:val="nil"/>
              <w:left w:val="nil"/>
              <w:bottom w:val="nil"/>
              <w:right w:val="nil"/>
            </w:tcBorders>
            <w:shd w:val="clear" w:color="000000" w:fill="FFFFFF"/>
            <w:noWrap/>
            <w:vAlign w:val="center"/>
          </w:tcPr>
          <w:p w14:paraId="65F2D0A5" w14:textId="77777777" w:rsidR="00AB33EC" w:rsidRPr="00E80281" w:rsidRDefault="00AB33EC" w:rsidP="00B721B7">
            <w:pPr>
              <w:spacing w:after="40"/>
              <w:jc w:val="center"/>
              <w:rPr>
                <w:rFonts w:asciiTheme="minorHAnsi" w:eastAsia="Times New Roman" w:hAnsiTheme="minorHAnsi" w:cstheme="minorHAnsi"/>
                <w:b/>
                <w:bCs/>
                <w:color w:val="000000"/>
                <w:szCs w:val="20"/>
                <w:lang w:eastAsia="en-AU"/>
              </w:rPr>
            </w:pPr>
          </w:p>
        </w:tc>
        <w:tc>
          <w:tcPr>
            <w:tcW w:w="706" w:type="dxa"/>
            <w:tcBorders>
              <w:top w:val="nil"/>
              <w:left w:val="nil"/>
              <w:bottom w:val="nil"/>
              <w:right w:val="nil"/>
            </w:tcBorders>
            <w:shd w:val="clear" w:color="auto" w:fill="auto"/>
            <w:vAlign w:val="center"/>
          </w:tcPr>
          <w:p w14:paraId="2F3B3ADC"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16" w:type="dxa"/>
            <w:tcBorders>
              <w:top w:val="nil"/>
              <w:left w:val="nil"/>
              <w:bottom w:val="nil"/>
              <w:right w:val="nil"/>
            </w:tcBorders>
            <w:shd w:val="clear" w:color="auto" w:fill="F1F1F2" w:themeFill="accent5" w:themeFillTint="33"/>
            <w:vAlign w:val="center"/>
          </w:tcPr>
          <w:p w14:paraId="0E4DD980"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p>
        </w:tc>
        <w:tc>
          <w:tcPr>
            <w:tcW w:w="984" w:type="dxa"/>
            <w:tcBorders>
              <w:top w:val="nil"/>
              <w:left w:val="nil"/>
              <w:bottom w:val="nil"/>
              <w:right w:val="nil"/>
            </w:tcBorders>
            <w:shd w:val="clear" w:color="000000" w:fill="FFFFFF"/>
            <w:vAlign w:val="center"/>
          </w:tcPr>
          <w:p w14:paraId="5B9DB33A"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p>
        </w:tc>
        <w:tc>
          <w:tcPr>
            <w:tcW w:w="1176" w:type="dxa"/>
            <w:tcBorders>
              <w:top w:val="nil"/>
              <w:left w:val="nil"/>
              <w:bottom w:val="nil"/>
              <w:right w:val="nil"/>
            </w:tcBorders>
            <w:shd w:val="clear" w:color="000000" w:fill="FFFFFF"/>
            <w:vAlign w:val="center"/>
          </w:tcPr>
          <w:p w14:paraId="4BF1ACF5"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p>
        </w:tc>
        <w:tc>
          <w:tcPr>
            <w:tcW w:w="992" w:type="dxa"/>
            <w:tcBorders>
              <w:top w:val="nil"/>
              <w:left w:val="nil"/>
              <w:bottom w:val="nil"/>
              <w:right w:val="nil"/>
            </w:tcBorders>
            <w:shd w:val="clear" w:color="auto" w:fill="auto"/>
            <w:noWrap/>
            <w:vAlign w:val="center"/>
            <w:hideMark/>
          </w:tcPr>
          <w:p w14:paraId="11851AA2"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p>
        </w:tc>
      </w:tr>
      <w:tr w:rsidR="00AB33EC" w:rsidRPr="003E75E2" w14:paraId="310E1AE5" w14:textId="77777777" w:rsidTr="00C5404E">
        <w:trPr>
          <w:trHeight w:val="300"/>
        </w:trPr>
        <w:tc>
          <w:tcPr>
            <w:tcW w:w="4395" w:type="dxa"/>
            <w:tcBorders>
              <w:top w:val="nil"/>
              <w:left w:val="nil"/>
              <w:bottom w:val="nil"/>
              <w:right w:val="nil"/>
            </w:tcBorders>
            <w:shd w:val="clear" w:color="000000" w:fill="FFFFFF"/>
            <w:noWrap/>
            <w:vAlign w:val="center"/>
            <w:hideMark/>
          </w:tcPr>
          <w:p w14:paraId="618B3659"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Lease liabilities</w:t>
            </w:r>
          </w:p>
        </w:tc>
        <w:tc>
          <w:tcPr>
            <w:tcW w:w="262" w:type="dxa"/>
            <w:tcBorders>
              <w:top w:val="nil"/>
              <w:left w:val="nil"/>
              <w:bottom w:val="nil"/>
              <w:right w:val="nil"/>
            </w:tcBorders>
            <w:shd w:val="clear" w:color="000000" w:fill="FFFFFF"/>
            <w:noWrap/>
            <w:vAlign w:val="center"/>
          </w:tcPr>
          <w:p w14:paraId="34B0E121"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p>
        </w:tc>
        <w:tc>
          <w:tcPr>
            <w:tcW w:w="706" w:type="dxa"/>
            <w:tcBorders>
              <w:top w:val="nil"/>
              <w:left w:val="nil"/>
              <w:bottom w:val="nil"/>
              <w:right w:val="nil"/>
            </w:tcBorders>
            <w:shd w:val="clear" w:color="auto" w:fill="auto"/>
            <w:vAlign w:val="center"/>
          </w:tcPr>
          <w:p w14:paraId="00B97EF1"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10</w:t>
            </w:r>
          </w:p>
        </w:tc>
        <w:tc>
          <w:tcPr>
            <w:tcW w:w="1016" w:type="dxa"/>
            <w:tcBorders>
              <w:top w:val="nil"/>
              <w:left w:val="nil"/>
              <w:bottom w:val="nil"/>
              <w:right w:val="nil"/>
            </w:tcBorders>
            <w:shd w:val="clear" w:color="auto" w:fill="F1F1F2" w:themeFill="accent5" w:themeFillTint="33"/>
            <w:vAlign w:val="center"/>
          </w:tcPr>
          <w:p w14:paraId="67478FC2"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345</w:t>
            </w:r>
          </w:p>
        </w:tc>
        <w:tc>
          <w:tcPr>
            <w:tcW w:w="984" w:type="dxa"/>
            <w:tcBorders>
              <w:top w:val="nil"/>
              <w:left w:val="nil"/>
              <w:bottom w:val="nil"/>
              <w:right w:val="nil"/>
            </w:tcBorders>
            <w:shd w:val="clear" w:color="000000" w:fill="FFFFFF"/>
            <w:vAlign w:val="center"/>
          </w:tcPr>
          <w:p w14:paraId="3F62E5C3"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380</w:t>
            </w:r>
          </w:p>
        </w:tc>
        <w:tc>
          <w:tcPr>
            <w:tcW w:w="1176" w:type="dxa"/>
            <w:tcBorders>
              <w:top w:val="nil"/>
              <w:left w:val="nil"/>
              <w:bottom w:val="nil"/>
              <w:right w:val="nil"/>
            </w:tcBorders>
            <w:shd w:val="clear" w:color="000000" w:fill="FFFFFF"/>
            <w:vAlign w:val="center"/>
          </w:tcPr>
          <w:p w14:paraId="50153870"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(35)</w:t>
            </w:r>
          </w:p>
        </w:tc>
        <w:tc>
          <w:tcPr>
            <w:tcW w:w="992" w:type="dxa"/>
            <w:tcBorders>
              <w:top w:val="nil"/>
              <w:left w:val="nil"/>
              <w:bottom w:val="nil"/>
              <w:right w:val="nil"/>
            </w:tcBorders>
            <w:shd w:val="clear" w:color="auto" w:fill="auto"/>
            <w:noWrap/>
            <w:vAlign w:val="center"/>
            <w:hideMark/>
          </w:tcPr>
          <w:p w14:paraId="59230F48"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668</w:t>
            </w:r>
          </w:p>
        </w:tc>
      </w:tr>
      <w:tr w:rsidR="00AB33EC" w:rsidRPr="003E75E2" w14:paraId="5A60E410" w14:textId="77777777" w:rsidTr="00C5404E">
        <w:trPr>
          <w:trHeight w:val="315"/>
        </w:trPr>
        <w:tc>
          <w:tcPr>
            <w:tcW w:w="4395" w:type="dxa"/>
            <w:tcBorders>
              <w:top w:val="nil"/>
              <w:left w:val="nil"/>
              <w:bottom w:val="nil"/>
              <w:right w:val="nil"/>
            </w:tcBorders>
            <w:shd w:val="clear" w:color="000000" w:fill="FFFFFF"/>
            <w:noWrap/>
            <w:vAlign w:val="center"/>
            <w:hideMark/>
          </w:tcPr>
          <w:p w14:paraId="052A7F96"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Provisions</w:t>
            </w:r>
          </w:p>
        </w:tc>
        <w:tc>
          <w:tcPr>
            <w:tcW w:w="262" w:type="dxa"/>
            <w:tcBorders>
              <w:top w:val="nil"/>
              <w:left w:val="nil"/>
              <w:bottom w:val="nil"/>
              <w:right w:val="nil"/>
            </w:tcBorders>
            <w:shd w:val="clear" w:color="000000" w:fill="FFFFFF"/>
            <w:noWrap/>
            <w:vAlign w:val="center"/>
          </w:tcPr>
          <w:p w14:paraId="4A6D6067"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p>
        </w:tc>
        <w:tc>
          <w:tcPr>
            <w:tcW w:w="706" w:type="dxa"/>
            <w:tcBorders>
              <w:top w:val="nil"/>
              <w:left w:val="nil"/>
              <w:bottom w:val="nil"/>
              <w:right w:val="nil"/>
            </w:tcBorders>
            <w:shd w:val="clear" w:color="auto" w:fill="auto"/>
            <w:vAlign w:val="center"/>
          </w:tcPr>
          <w:p w14:paraId="6118311F"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13</w:t>
            </w:r>
          </w:p>
        </w:tc>
        <w:tc>
          <w:tcPr>
            <w:tcW w:w="1016" w:type="dxa"/>
            <w:tcBorders>
              <w:top w:val="nil"/>
              <w:left w:val="nil"/>
              <w:bottom w:val="nil"/>
              <w:right w:val="nil"/>
            </w:tcBorders>
            <w:shd w:val="clear" w:color="auto" w:fill="F1F1F2" w:themeFill="accent5" w:themeFillTint="33"/>
            <w:vAlign w:val="center"/>
          </w:tcPr>
          <w:p w14:paraId="78216D11"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236</w:t>
            </w:r>
          </w:p>
        </w:tc>
        <w:tc>
          <w:tcPr>
            <w:tcW w:w="984" w:type="dxa"/>
            <w:tcBorders>
              <w:top w:val="nil"/>
              <w:left w:val="nil"/>
              <w:bottom w:val="nil"/>
              <w:right w:val="nil"/>
            </w:tcBorders>
            <w:shd w:val="clear" w:color="000000" w:fill="FFFFFF"/>
            <w:vAlign w:val="center"/>
          </w:tcPr>
          <w:p w14:paraId="35621A37"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235</w:t>
            </w:r>
          </w:p>
        </w:tc>
        <w:tc>
          <w:tcPr>
            <w:tcW w:w="1176" w:type="dxa"/>
            <w:tcBorders>
              <w:top w:val="nil"/>
              <w:left w:val="nil"/>
              <w:bottom w:val="nil"/>
              <w:right w:val="nil"/>
            </w:tcBorders>
            <w:shd w:val="clear" w:color="000000" w:fill="FFFFFF"/>
            <w:vAlign w:val="center"/>
          </w:tcPr>
          <w:p w14:paraId="0F947F55"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1</w:t>
            </w:r>
          </w:p>
        </w:tc>
        <w:tc>
          <w:tcPr>
            <w:tcW w:w="992" w:type="dxa"/>
            <w:tcBorders>
              <w:top w:val="nil"/>
              <w:left w:val="nil"/>
              <w:bottom w:val="nil"/>
              <w:right w:val="nil"/>
            </w:tcBorders>
            <w:shd w:val="clear" w:color="auto" w:fill="auto"/>
            <w:noWrap/>
            <w:vAlign w:val="center"/>
            <w:hideMark/>
          </w:tcPr>
          <w:p w14:paraId="4EE5A111"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257</w:t>
            </w:r>
          </w:p>
        </w:tc>
      </w:tr>
      <w:tr w:rsidR="00AB33EC" w:rsidRPr="003E75E2" w14:paraId="42005AFB" w14:textId="77777777" w:rsidTr="00C5404E">
        <w:trPr>
          <w:trHeight w:val="315"/>
        </w:trPr>
        <w:tc>
          <w:tcPr>
            <w:tcW w:w="4395" w:type="dxa"/>
            <w:tcBorders>
              <w:top w:val="nil"/>
              <w:left w:val="nil"/>
              <w:bottom w:val="nil"/>
              <w:right w:val="nil"/>
            </w:tcBorders>
            <w:shd w:val="clear" w:color="000000" w:fill="FFFFFF"/>
            <w:noWrap/>
            <w:vAlign w:val="center"/>
            <w:hideMark/>
          </w:tcPr>
          <w:p w14:paraId="521A2050" w14:textId="77777777" w:rsidR="00AB33EC" w:rsidRPr="00E80281" w:rsidRDefault="00AB33EC" w:rsidP="00B721B7">
            <w:pPr>
              <w:spacing w:after="4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Total Non-Current Liabilities</w:t>
            </w:r>
          </w:p>
        </w:tc>
        <w:tc>
          <w:tcPr>
            <w:tcW w:w="262" w:type="dxa"/>
            <w:tcBorders>
              <w:top w:val="nil"/>
              <w:left w:val="nil"/>
              <w:bottom w:val="nil"/>
              <w:right w:val="nil"/>
            </w:tcBorders>
            <w:shd w:val="clear" w:color="000000" w:fill="FFFFFF"/>
            <w:noWrap/>
            <w:vAlign w:val="center"/>
            <w:hideMark/>
          </w:tcPr>
          <w:p w14:paraId="4F56897C" w14:textId="77777777" w:rsidR="00AB33EC" w:rsidRPr="00E80281" w:rsidRDefault="00AB33EC" w:rsidP="00B721B7">
            <w:pPr>
              <w:spacing w:after="40"/>
              <w:jc w:val="center"/>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706" w:type="dxa"/>
            <w:tcBorders>
              <w:left w:val="nil"/>
              <w:right w:val="nil"/>
            </w:tcBorders>
            <w:shd w:val="clear" w:color="auto" w:fill="auto"/>
            <w:vAlign w:val="center"/>
          </w:tcPr>
          <w:p w14:paraId="45E52D84"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1016" w:type="dxa"/>
            <w:tcBorders>
              <w:top w:val="single" w:sz="8" w:space="0" w:color="auto"/>
              <w:left w:val="nil"/>
              <w:bottom w:val="single" w:sz="8" w:space="0" w:color="auto"/>
              <w:right w:val="nil"/>
            </w:tcBorders>
            <w:shd w:val="clear" w:color="auto" w:fill="F1F1F2" w:themeFill="accent5" w:themeFillTint="33"/>
            <w:vAlign w:val="center"/>
          </w:tcPr>
          <w:p w14:paraId="04100822"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581</w:t>
            </w:r>
          </w:p>
        </w:tc>
        <w:tc>
          <w:tcPr>
            <w:tcW w:w="984" w:type="dxa"/>
            <w:tcBorders>
              <w:top w:val="single" w:sz="8" w:space="0" w:color="auto"/>
              <w:left w:val="nil"/>
              <w:bottom w:val="single" w:sz="8" w:space="0" w:color="auto"/>
              <w:right w:val="nil"/>
            </w:tcBorders>
            <w:shd w:val="clear" w:color="000000" w:fill="FFFFFF"/>
            <w:vAlign w:val="center"/>
          </w:tcPr>
          <w:p w14:paraId="7614B865"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615</w:t>
            </w:r>
          </w:p>
        </w:tc>
        <w:tc>
          <w:tcPr>
            <w:tcW w:w="1176" w:type="dxa"/>
            <w:tcBorders>
              <w:top w:val="single" w:sz="8" w:space="0" w:color="auto"/>
              <w:left w:val="nil"/>
              <w:bottom w:val="single" w:sz="8" w:space="0" w:color="auto"/>
              <w:right w:val="nil"/>
            </w:tcBorders>
            <w:shd w:val="clear" w:color="000000" w:fill="FFFFFF"/>
            <w:vAlign w:val="center"/>
          </w:tcPr>
          <w:p w14:paraId="13F2F5CD"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(34)</w:t>
            </w:r>
          </w:p>
        </w:tc>
        <w:tc>
          <w:tcPr>
            <w:tcW w:w="992" w:type="dxa"/>
            <w:tcBorders>
              <w:top w:val="single" w:sz="8" w:space="0" w:color="auto"/>
              <w:left w:val="nil"/>
              <w:bottom w:val="single" w:sz="8" w:space="0" w:color="auto"/>
              <w:right w:val="nil"/>
            </w:tcBorders>
            <w:shd w:val="clear" w:color="auto" w:fill="auto"/>
            <w:vAlign w:val="center"/>
            <w:hideMark/>
          </w:tcPr>
          <w:p w14:paraId="6ACC7DBB"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925</w:t>
            </w:r>
          </w:p>
        </w:tc>
      </w:tr>
      <w:tr w:rsidR="00AB33EC" w:rsidRPr="003E75E2" w14:paraId="19097D8F" w14:textId="77777777" w:rsidTr="00C5404E">
        <w:trPr>
          <w:trHeight w:val="199"/>
        </w:trPr>
        <w:tc>
          <w:tcPr>
            <w:tcW w:w="4395" w:type="dxa"/>
            <w:tcBorders>
              <w:top w:val="nil"/>
              <w:left w:val="nil"/>
              <w:bottom w:val="nil"/>
              <w:right w:val="nil"/>
            </w:tcBorders>
            <w:shd w:val="clear" w:color="000000" w:fill="FFFFFF"/>
            <w:noWrap/>
            <w:vAlign w:val="center"/>
            <w:hideMark/>
          </w:tcPr>
          <w:p w14:paraId="22AF2654"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262" w:type="dxa"/>
            <w:tcBorders>
              <w:top w:val="nil"/>
              <w:left w:val="nil"/>
              <w:bottom w:val="nil"/>
              <w:right w:val="nil"/>
            </w:tcBorders>
            <w:shd w:val="clear" w:color="000000" w:fill="FFFFFF"/>
            <w:noWrap/>
            <w:vAlign w:val="center"/>
            <w:hideMark/>
          </w:tcPr>
          <w:p w14:paraId="345E2182"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right w:val="nil"/>
            </w:tcBorders>
            <w:shd w:val="clear" w:color="auto" w:fill="auto"/>
          </w:tcPr>
          <w:p w14:paraId="1A384C86"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p>
        </w:tc>
        <w:tc>
          <w:tcPr>
            <w:tcW w:w="1016" w:type="dxa"/>
            <w:tcBorders>
              <w:top w:val="nil"/>
              <w:left w:val="nil"/>
              <w:bottom w:val="single" w:sz="8" w:space="0" w:color="auto"/>
              <w:right w:val="nil"/>
            </w:tcBorders>
            <w:shd w:val="clear" w:color="auto" w:fill="F1F1F2" w:themeFill="accent5" w:themeFillTint="33"/>
            <w:vAlign w:val="center"/>
          </w:tcPr>
          <w:p w14:paraId="7CDC716A"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984" w:type="dxa"/>
            <w:tcBorders>
              <w:top w:val="nil"/>
              <w:left w:val="nil"/>
              <w:bottom w:val="single" w:sz="8" w:space="0" w:color="auto"/>
              <w:right w:val="nil"/>
            </w:tcBorders>
            <w:shd w:val="clear" w:color="000000" w:fill="FFFFFF"/>
            <w:vAlign w:val="center"/>
          </w:tcPr>
          <w:p w14:paraId="2FF7ED50"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1176" w:type="dxa"/>
            <w:tcBorders>
              <w:top w:val="nil"/>
              <w:left w:val="nil"/>
              <w:bottom w:val="single" w:sz="8" w:space="0" w:color="auto"/>
              <w:right w:val="nil"/>
            </w:tcBorders>
            <w:shd w:val="clear" w:color="000000" w:fill="FFFFFF"/>
            <w:vAlign w:val="center"/>
          </w:tcPr>
          <w:p w14:paraId="5557EF00"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992" w:type="dxa"/>
            <w:tcBorders>
              <w:top w:val="nil"/>
              <w:left w:val="nil"/>
              <w:bottom w:val="single" w:sz="8" w:space="0" w:color="auto"/>
              <w:right w:val="nil"/>
            </w:tcBorders>
            <w:shd w:val="clear" w:color="auto" w:fill="auto"/>
            <w:noWrap/>
            <w:vAlign w:val="center"/>
            <w:hideMark/>
          </w:tcPr>
          <w:p w14:paraId="2978C425"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r>
      <w:tr w:rsidR="00AB33EC" w:rsidRPr="003E75E2" w14:paraId="1F71581F" w14:textId="77777777" w:rsidTr="00C5404E">
        <w:trPr>
          <w:trHeight w:val="315"/>
        </w:trPr>
        <w:tc>
          <w:tcPr>
            <w:tcW w:w="4395" w:type="dxa"/>
            <w:tcBorders>
              <w:top w:val="nil"/>
              <w:left w:val="nil"/>
              <w:bottom w:val="nil"/>
              <w:right w:val="nil"/>
            </w:tcBorders>
            <w:shd w:val="clear" w:color="000000" w:fill="FFFFFF"/>
            <w:noWrap/>
            <w:vAlign w:val="center"/>
            <w:hideMark/>
          </w:tcPr>
          <w:p w14:paraId="1C22A0AE" w14:textId="77777777" w:rsidR="00AB33EC" w:rsidRPr="00E80281" w:rsidRDefault="00AB33EC" w:rsidP="00B721B7">
            <w:pPr>
              <w:spacing w:after="4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Total Liabilities</w:t>
            </w:r>
          </w:p>
        </w:tc>
        <w:tc>
          <w:tcPr>
            <w:tcW w:w="262" w:type="dxa"/>
            <w:tcBorders>
              <w:top w:val="nil"/>
              <w:left w:val="nil"/>
              <w:bottom w:val="nil"/>
              <w:right w:val="nil"/>
            </w:tcBorders>
            <w:shd w:val="clear" w:color="000000" w:fill="FFFFFF"/>
            <w:noWrap/>
            <w:vAlign w:val="center"/>
            <w:hideMark/>
          </w:tcPr>
          <w:p w14:paraId="777B02DB" w14:textId="77777777" w:rsidR="00AB33EC" w:rsidRPr="00E80281" w:rsidRDefault="00AB33EC" w:rsidP="00B721B7">
            <w:pPr>
              <w:spacing w:after="40"/>
              <w:jc w:val="center"/>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706" w:type="dxa"/>
            <w:tcBorders>
              <w:top w:val="nil"/>
              <w:left w:val="nil"/>
              <w:right w:val="nil"/>
            </w:tcBorders>
            <w:shd w:val="clear" w:color="auto" w:fill="auto"/>
          </w:tcPr>
          <w:p w14:paraId="45298EFC"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p>
        </w:tc>
        <w:tc>
          <w:tcPr>
            <w:tcW w:w="1016" w:type="dxa"/>
            <w:tcBorders>
              <w:top w:val="nil"/>
              <w:left w:val="nil"/>
              <w:bottom w:val="double" w:sz="6" w:space="0" w:color="auto"/>
              <w:right w:val="nil"/>
            </w:tcBorders>
            <w:shd w:val="clear" w:color="auto" w:fill="F1F1F2" w:themeFill="accent5" w:themeFillTint="33"/>
            <w:vAlign w:val="center"/>
          </w:tcPr>
          <w:p w14:paraId="665F2419"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4,299</w:t>
            </w:r>
          </w:p>
        </w:tc>
        <w:tc>
          <w:tcPr>
            <w:tcW w:w="984" w:type="dxa"/>
            <w:tcBorders>
              <w:top w:val="nil"/>
              <w:left w:val="nil"/>
              <w:bottom w:val="double" w:sz="6" w:space="0" w:color="auto"/>
              <w:right w:val="nil"/>
            </w:tcBorders>
            <w:shd w:val="clear" w:color="000000" w:fill="FFFFFF"/>
            <w:vAlign w:val="center"/>
          </w:tcPr>
          <w:p w14:paraId="6AF8C904"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4,546</w:t>
            </w:r>
          </w:p>
        </w:tc>
        <w:tc>
          <w:tcPr>
            <w:tcW w:w="1176" w:type="dxa"/>
            <w:tcBorders>
              <w:top w:val="nil"/>
              <w:left w:val="nil"/>
              <w:bottom w:val="double" w:sz="6" w:space="0" w:color="auto"/>
              <w:right w:val="nil"/>
            </w:tcBorders>
            <w:shd w:val="clear" w:color="000000" w:fill="FFFFFF"/>
            <w:vAlign w:val="center"/>
          </w:tcPr>
          <w:p w14:paraId="65449AE8"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(247)</w:t>
            </w:r>
          </w:p>
        </w:tc>
        <w:tc>
          <w:tcPr>
            <w:tcW w:w="992" w:type="dxa"/>
            <w:tcBorders>
              <w:top w:val="nil"/>
              <w:left w:val="nil"/>
              <w:bottom w:val="double" w:sz="6" w:space="0" w:color="auto"/>
              <w:right w:val="nil"/>
            </w:tcBorders>
            <w:shd w:val="clear" w:color="auto" w:fill="auto"/>
            <w:vAlign w:val="center"/>
            <w:hideMark/>
          </w:tcPr>
          <w:p w14:paraId="13F7AB3F"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4,540</w:t>
            </w:r>
          </w:p>
        </w:tc>
      </w:tr>
      <w:tr w:rsidR="00AB33EC" w:rsidRPr="003E75E2" w14:paraId="4FF63FE9" w14:textId="77777777" w:rsidTr="00C5404E">
        <w:trPr>
          <w:trHeight w:val="285"/>
        </w:trPr>
        <w:tc>
          <w:tcPr>
            <w:tcW w:w="4395" w:type="dxa"/>
            <w:tcBorders>
              <w:top w:val="nil"/>
              <w:left w:val="nil"/>
              <w:bottom w:val="nil"/>
              <w:right w:val="nil"/>
            </w:tcBorders>
            <w:shd w:val="clear" w:color="000000" w:fill="FFFFFF"/>
            <w:noWrap/>
            <w:vAlign w:val="center"/>
            <w:hideMark/>
          </w:tcPr>
          <w:p w14:paraId="5A4E54A2"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262" w:type="dxa"/>
            <w:tcBorders>
              <w:top w:val="nil"/>
              <w:left w:val="nil"/>
              <w:bottom w:val="nil"/>
              <w:right w:val="nil"/>
            </w:tcBorders>
            <w:shd w:val="clear" w:color="000000" w:fill="FFFFFF"/>
            <w:noWrap/>
            <w:vAlign w:val="center"/>
            <w:hideMark/>
          </w:tcPr>
          <w:p w14:paraId="0A11AD9C"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right w:val="nil"/>
            </w:tcBorders>
            <w:shd w:val="clear" w:color="auto" w:fill="auto"/>
          </w:tcPr>
          <w:p w14:paraId="633DFC95"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p>
        </w:tc>
        <w:tc>
          <w:tcPr>
            <w:tcW w:w="1016" w:type="dxa"/>
            <w:tcBorders>
              <w:top w:val="nil"/>
              <w:left w:val="nil"/>
              <w:bottom w:val="single" w:sz="8" w:space="0" w:color="auto"/>
              <w:right w:val="nil"/>
            </w:tcBorders>
            <w:shd w:val="clear" w:color="auto" w:fill="F1F1F2" w:themeFill="accent5" w:themeFillTint="33"/>
            <w:vAlign w:val="center"/>
          </w:tcPr>
          <w:p w14:paraId="5C0FC1D6"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984" w:type="dxa"/>
            <w:tcBorders>
              <w:top w:val="nil"/>
              <w:left w:val="nil"/>
              <w:bottom w:val="single" w:sz="8" w:space="0" w:color="auto"/>
              <w:right w:val="nil"/>
            </w:tcBorders>
            <w:shd w:val="clear" w:color="000000" w:fill="FFFFFF"/>
            <w:vAlign w:val="center"/>
          </w:tcPr>
          <w:p w14:paraId="638C032F"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1176" w:type="dxa"/>
            <w:tcBorders>
              <w:top w:val="nil"/>
              <w:left w:val="nil"/>
              <w:bottom w:val="single" w:sz="8" w:space="0" w:color="auto"/>
              <w:right w:val="nil"/>
            </w:tcBorders>
            <w:shd w:val="clear" w:color="000000" w:fill="FFFFFF"/>
            <w:vAlign w:val="center"/>
          </w:tcPr>
          <w:p w14:paraId="0D63171E"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992" w:type="dxa"/>
            <w:tcBorders>
              <w:top w:val="nil"/>
              <w:left w:val="nil"/>
              <w:bottom w:val="single" w:sz="8" w:space="0" w:color="auto"/>
              <w:right w:val="nil"/>
            </w:tcBorders>
            <w:shd w:val="clear" w:color="auto" w:fill="auto"/>
            <w:noWrap/>
            <w:vAlign w:val="center"/>
            <w:hideMark/>
          </w:tcPr>
          <w:p w14:paraId="2D7A82BC"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r>
      <w:tr w:rsidR="00AB33EC" w:rsidRPr="003E75E2" w14:paraId="3E1AF10B" w14:textId="77777777" w:rsidTr="00C5404E">
        <w:trPr>
          <w:trHeight w:val="315"/>
        </w:trPr>
        <w:tc>
          <w:tcPr>
            <w:tcW w:w="4395" w:type="dxa"/>
            <w:tcBorders>
              <w:top w:val="nil"/>
              <w:left w:val="nil"/>
              <w:bottom w:val="nil"/>
              <w:right w:val="nil"/>
            </w:tcBorders>
            <w:shd w:val="clear" w:color="000000" w:fill="FFFFFF"/>
            <w:noWrap/>
            <w:vAlign w:val="center"/>
            <w:hideMark/>
          </w:tcPr>
          <w:p w14:paraId="34FEB0C7" w14:textId="77777777" w:rsidR="00AB33EC" w:rsidRPr="00E80281" w:rsidRDefault="00AB33EC" w:rsidP="00B721B7">
            <w:pPr>
              <w:spacing w:after="4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Net Assets</w:t>
            </w:r>
          </w:p>
        </w:tc>
        <w:tc>
          <w:tcPr>
            <w:tcW w:w="262" w:type="dxa"/>
            <w:tcBorders>
              <w:top w:val="nil"/>
              <w:left w:val="nil"/>
              <w:bottom w:val="nil"/>
              <w:right w:val="nil"/>
            </w:tcBorders>
            <w:shd w:val="clear" w:color="000000" w:fill="FFFFFF"/>
            <w:noWrap/>
            <w:vAlign w:val="center"/>
            <w:hideMark/>
          </w:tcPr>
          <w:p w14:paraId="29D081AF" w14:textId="77777777" w:rsidR="00AB33EC" w:rsidRPr="00E80281" w:rsidRDefault="00AB33EC" w:rsidP="00B721B7">
            <w:pPr>
              <w:spacing w:after="40"/>
              <w:jc w:val="center"/>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706" w:type="dxa"/>
            <w:tcBorders>
              <w:top w:val="nil"/>
              <w:left w:val="nil"/>
              <w:right w:val="nil"/>
            </w:tcBorders>
            <w:shd w:val="clear" w:color="auto" w:fill="auto"/>
          </w:tcPr>
          <w:p w14:paraId="3F0BE3AD"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p>
        </w:tc>
        <w:tc>
          <w:tcPr>
            <w:tcW w:w="1016" w:type="dxa"/>
            <w:tcBorders>
              <w:top w:val="nil"/>
              <w:left w:val="nil"/>
              <w:bottom w:val="double" w:sz="6" w:space="0" w:color="auto"/>
              <w:right w:val="nil"/>
            </w:tcBorders>
            <w:shd w:val="clear" w:color="auto" w:fill="F1F1F2" w:themeFill="accent5" w:themeFillTint="33"/>
            <w:vAlign w:val="center"/>
          </w:tcPr>
          <w:p w14:paraId="462A3A2A"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29,855</w:t>
            </w:r>
          </w:p>
        </w:tc>
        <w:tc>
          <w:tcPr>
            <w:tcW w:w="984" w:type="dxa"/>
            <w:tcBorders>
              <w:top w:val="nil"/>
              <w:left w:val="nil"/>
              <w:bottom w:val="double" w:sz="6" w:space="0" w:color="auto"/>
              <w:right w:val="nil"/>
            </w:tcBorders>
            <w:shd w:val="clear" w:color="000000" w:fill="FFFFFF"/>
            <w:vAlign w:val="center"/>
          </w:tcPr>
          <w:p w14:paraId="5D0640B0"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30,082</w:t>
            </w:r>
          </w:p>
        </w:tc>
        <w:tc>
          <w:tcPr>
            <w:tcW w:w="1176" w:type="dxa"/>
            <w:tcBorders>
              <w:top w:val="nil"/>
              <w:left w:val="nil"/>
              <w:bottom w:val="double" w:sz="6" w:space="0" w:color="auto"/>
              <w:right w:val="nil"/>
            </w:tcBorders>
            <w:shd w:val="clear" w:color="000000" w:fill="FFFFFF"/>
            <w:vAlign w:val="center"/>
          </w:tcPr>
          <w:p w14:paraId="53EC7B33"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(227)</w:t>
            </w:r>
          </w:p>
        </w:tc>
        <w:tc>
          <w:tcPr>
            <w:tcW w:w="992" w:type="dxa"/>
            <w:tcBorders>
              <w:top w:val="nil"/>
              <w:left w:val="nil"/>
              <w:bottom w:val="double" w:sz="6" w:space="0" w:color="auto"/>
              <w:right w:val="nil"/>
            </w:tcBorders>
            <w:shd w:val="clear" w:color="auto" w:fill="auto"/>
            <w:vAlign w:val="center"/>
            <w:hideMark/>
          </w:tcPr>
          <w:p w14:paraId="323F3682"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30,011</w:t>
            </w:r>
          </w:p>
        </w:tc>
      </w:tr>
      <w:tr w:rsidR="00AB33EC" w:rsidRPr="003E75E2" w14:paraId="2677279E" w14:textId="77777777" w:rsidTr="00C5404E">
        <w:trPr>
          <w:trHeight w:val="181"/>
        </w:trPr>
        <w:tc>
          <w:tcPr>
            <w:tcW w:w="4395" w:type="dxa"/>
            <w:tcBorders>
              <w:top w:val="nil"/>
              <w:left w:val="nil"/>
              <w:bottom w:val="nil"/>
              <w:right w:val="nil"/>
            </w:tcBorders>
            <w:shd w:val="clear" w:color="000000" w:fill="FFFFFF"/>
            <w:noWrap/>
            <w:vAlign w:val="center"/>
            <w:hideMark/>
          </w:tcPr>
          <w:p w14:paraId="2A9E0857"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262" w:type="dxa"/>
            <w:tcBorders>
              <w:top w:val="nil"/>
              <w:left w:val="nil"/>
              <w:bottom w:val="nil"/>
              <w:right w:val="nil"/>
            </w:tcBorders>
            <w:shd w:val="clear" w:color="000000" w:fill="FFFFFF"/>
            <w:noWrap/>
            <w:vAlign w:val="center"/>
            <w:hideMark/>
          </w:tcPr>
          <w:p w14:paraId="0BB2C72D"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648FCD75"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p>
        </w:tc>
        <w:tc>
          <w:tcPr>
            <w:tcW w:w="1016" w:type="dxa"/>
            <w:tcBorders>
              <w:top w:val="nil"/>
              <w:left w:val="nil"/>
              <w:bottom w:val="nil"/>
              <w:right w:val="nil"/>
            </w:tcBorders>
            <w:shd w:val="clear" w:color="auto" w:fill="F1F1F2" w:themeFill="accent5" w:themeFillTint="33"/>
            <w:vAlign w:val="center"/>
          </w:tcPr>
          <w:p w14:paraId="7BC9DF9C"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984" w:type="dxa"/>
            <w:tcBorders>
              <w:top w:val="nil"/>
              <w:left w:val="nil"/>
              <w:bottom w:val="nil"/>
              <w:right w:val="nil"/>
            </w:tcBorders>
            <w:shd w:val="clear" w:color="000000" w:fill="FFFFFF"/>
            <w:vAlign w:val="center"/>
          </w:tcPr>
          <w:p w14:paraId="0A946946"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1176" w:type="dxa"/>
            <w:tcBorders>
              <w:top w:val="nil"/>
              <w:left w:val="nil"/>
              <w:bottom w:val="nil"/>
              <w:right w:val="nil"/>
            </w:tcBorders>
            <w:shd w:val="clear" w:color="000000" w:fill="FFFFFF"/>
            <w:vAlign w:val="center"/>
          </w:tcPr>
          <w:p w14:paraId="7A9750CF"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992" w:type="dxa"/>
            <w:tcBorders>
              <w:top w:val="nil"/>
              <w:left w:val="nil"/>
              <w:bottom w:val="nil"/>
              <w:right w:val="nil"/>
            </w:tcBorders>
            <w:shd w:val="clear" w:color="auto" w:fill="auto"/>
            <w:noWrap/>
            <w:vAlign w:val="center"/>
            <w:hideMark/>
          </w:tcPr>
          <w:p w14:paraId="1A03FFC0"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r>
      <w:tr w:rsidR="00AB33EC" w:rsidRPr="003E75E2" w14:paraId="48A3B9F4" w14:textId="77777777" w:rsidTr="00C5404E">
        <w:trPr>
          <w:trHeight w:val="300"/>
        </w:trPr>
        <w:tc>
          <w:tcPr>
            <w:tcW w:w="4395" w:type="dxa"/>
            <w:tcBorders>
              <w:top w:val="nil"/>
              <w:left w:val="nil"/>
              <w:bottom w:val="nil"/>
              <w:right w:val="nil"/>
            </w:tcBorders>
            <w:shd w:val="clear" w:color="000000" w:fill="FFFFFF"/>
            <w:noWrap/>
            <w:vAlign w:val="center"/>
            <w:hideMark/>
          </w:tcPr>
          <w:p w14:paraId="44379B16" w14:textId="77777777" w:rsidR="00AB33EC" w:rsidRPr="00E80281" w:rsidRDefault="00AB33EC" w:rsidP="00B721B7">
            <w:pPr>
              <w:spacing w:after="4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Equity</w:t>
            </w:r>
          </w:p>
        </w:tc>
        <w:tc>
          <w:tcPr>
            <w:tcW w:w="262" w:type="dxa"/>
            <w:tcBorders>
              <w:top w:val="nil"/>
              <w:left w:val="nil"/>
              <w:bottom w:val="nil"/>
              <w:right w:val="nil"/>
            </w:tcBorders>
            <w:shd w:val="clear" w:color="000000" w:fill="FFFFFF"/>
            <w:noWrap/>
            <w:vAlign w:val="center"/>
            <w:hideMark/>
          </w:tcPr>
          <w:p w14:paraId="244567CC" w14:textId="77777777" w:rsidR="00AB33EC" w:rsidRPr="00E80281" w:rsidRDefault="00AB33EC" w:rsidP="00B721B7">
            <w:pPr>
              <w:spacing w:after="40"/>
              <w:jc w:val="center"/>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706" w:type="dxa"/>
            <w:tcBorders>
              <w:top w:val="nil"/>
              <w:left w:val="nil"/>
              <w:bottom w:val="nil"/>
              <w:right w:val="nil"/>
            </w:tcBorders>
            <w:shd w:val="clear" w:color="auto" w:fill="auto"/>
          </w:tcPr>
          <w:p w14:paraId="15ABB78E"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p>
        </w:tc>
        <w:tc>
          <w:tcPr>
            <w:tcW w:w="1016" w:type="dxa"/>
            <w:tcBorders>
              <w:top w:val="nil"/>
              <w:left w:val="nil"/>
              <w:bottom w:val="nil"/>
              <w:right w:val="nil"/>
            </w:tcBorders>
            <w:shd w:val="clear" w:color="auto" w:fill="F1F1F2" w:themeFill="accent5" w:themeFillTint="33"/>
            <w:vAlign w:val="center"/>
          </w:tcPr>
          <w:p w14:paraId="77AD9022"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p>
        </w:tc>
        <w:tc>
          <w:tcPr>
            <w:tcW w:w="984" w:type="dxa"/>
            <w:tcBorders>
              <w:top w:val="nil"/>
              <w:left w:val="nil"/>
              <w:bottom w:val="nil"/>
              <w:right w:val="nil"/>
            </w:tcBorders>
            <w:shd w:val="clear" w:color="000000" w:fill="FFFFFF"/>
            <w:vAlign w:val="center"/>
          </w:tcPr>
          <w:p w14:paraId="587F687A"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p>
        </w:tc>
        <w:tc>
          <w:tcPr>
            <w:tcW w:w="1176" w:type="dxa"/>
            <w:tcBorders>
              <w:top w:val="nil"/>
              <w:left w:val="nil"/>
              <w:bottom w:val="nil"/>
              <w:right w:val="nil"/>
            </w:tcBorders>
            <w:shd w:val="clear" w:color="000000" w:fill="FFFFFF"/>
            <w:vAlign w:val="center"/>
          </w:tcPr>
          <w:p w14:paraId="2AD8018A"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p>
        </w:tc>
        <w:tc>
          <w:tcPr>
            <w:tcW w:w="992" w:type="dxa"/>
            <w:tcBorders>
              <w:top w:val="nil"/>
              <w:left w:val="nil"/>
              <w:bottom w:val="nil"/>
              <w:right w:val="nil"/>
            </w:tcBorders>
            <w:shd w:val="clear" w:color="auto" w:fill="auto"/>
            <w:noWrap/>
            <w:vAlign w:val="center"/>
            <w:hideMark/>
          </w:tcPr>
          <w:p w14:paraId="3BBFD038"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p>
        </w:tc>
      </w:tr>
      <w:tr w:rsidR="00AB33EC" w:rsidRPr="003E75E2" w14:paraId="0063BA93" w14:textId="77777777" w:rsidTr="00C5404E">
        <w:trPr>
          <w:trHeight w:val="300"/>
        </w:trPr>
        <w:tc>
          <w:tcPr>
            <w:tcW w:w="4395" w:type="dxa"/>
            <w:tcBorders>
              <w:top w:val="nil"/>
              <w:left w:val="nil"/>
              <w:bottom w:val="nil"/>
              <w:right w:val="nil"/>
            </w:tcBorders>
            <w:shd w:val="clear" w:color="000000" w:fill="FFFFFF"/>
            <w:noWrap/>
            <w:vAlign w:val="center"/>
            <w:hideMark/>
          </w:tcPr>
          <w:p w14:paraId="4C2195AA"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Contributed equity</w:t>
            </w:r>
          </w:p>
        </w:tc>
        <w:tc>
          <w:tcPr>
            <w:tcW w:w="262" w:type="dxa"/>
            <w:tcBorders>
              <w:top w:val="nil"/>
              <w:left w:val="nil"/>
              <w:bottom w:val="nil"/>
              <w:right w:val="nil"/>
            </w:tcBorders>
            <w:shd w:val="clear" w:color="000000" w:fill="FFFFFF"/>
            <w:noWrap/>
            <w:vAlign w:val="center"/>
            <w:hideMark/>
          </w:tcPr>
          <w:p w14:paraId="3F77744C"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64B563C5"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p>
        </w:tc>
        <w:tc>
          <w:tcPr>
            <w:tcW w:w="1016" w:type="dxa"/>
            <w:tcBorders>
              <w:top w:val="nil"/>
              <w:left w:val="nil"/>
              <w:bottom w:val="nil"/>
              <w:right w:val="nil"/>
            </w:tcBorders>
            <w:shd w:val="clear" w:color="auto" w:fill="F1F1F2" w:themeFill="accent5" w:themeFillTint="33"/>
            <w:vAlign w:val="center"/>
          </w:tcPr>
          <w:p w14:paraId="1DC16671"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16,168</w:t>
            </w:r>
          </w:p>
        </w:tc>
        <w:tc>
          <w:tcPr>
            <w:tcW w:w="984" w:type="dxa"/>
            <w:tcBorders>
              <w:top w:val="nil"/>
              <w:left w:val="nil"/>
              <w:bottom w:val="nil"/>
              <w:right w:val="nil"/>
            </w:tcBorders>
            <w:shd w:val="clear" w:color="000000" w:fill="FFFFFF"/>
            <w:vAlign w:val="center"/>
          </w:tcPr>
          <w:p w14:paraId="1F83C9C8"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16,168</w:t>
            </w:r>
          </w:p>
        </w:tc>
        <w:tc>
          <w:tcPr>
            <w:tcW w:w="1176" w:type="dxa"/>
            <w:tcBorders>
              <w:top w:val="nil"/>
              <w:left w:val="nil"/>
              <w:bottom w:val="nil"/>
              <w:right w:val="nil"/>
            </w:tcBorders>
            <w:shd w:val="clear" w:color="000000" w:fill="FFFFFF"/>
            <w:vAlign w:val="center"/>
          </w:tcPr>
          <w:p w14:paraId="1DE0B122"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p>
        </w:tc>
        <w:tc>
          <w:tcPr>
            <w:tcW w:w="992" w:type="dxa"/>
            <w:tcBorders>
              <w:top w:val="nil"/>
              <w:left w:val="nil"/>
              <w:bottom w:val="nil"/>
              <w:right w:val="nil"/>
            </w:tcBorders>
            <w:shd w:val="clear" w:color="auto" w:fill="auto"/>
            <w:noWrap/>
            <w:vAlign w:val="center"/>
            <w:hideMark/>
          </w:tcPr>
          <w:p w14:paraId="4FF83706"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16,168</w:t>
            </w:r>
          </w:p>
        </w:tc>
      </w:tr>
      <w:tr w:rsidR="00AB33EC" w:rsidRPr="003E75E2" w14:paraId="61484CB1" w14:textId="77777777" w:rsidTr="00C5404E">
        <w:trPr>
          <w:trHeight w:val="315"/>
        </w:trPr>
        <w:tc>
          <w:tcPr>
            <w:tcW w:w="4395" w:type="dxa"/>
            <w:tcBorders>
              <w:top w:val="nil"/>
              <w:left w:val="nil"/>
              <w:bottom w:val="nil"/>
              <w:right w:val="nil"/>
            </w:tcBorders>
            <w:shd w:val="clear" w:color="000000" w:fill="FFFFFF"/>
            <w:noWrap/>
            <w:vAlign w:val="center"/>
            <w:hideMark/>
          </w:tcPr>
          <w:p w14:paraId="0CF94145" w14:textId="77777777" w:rsidR="00AB33EC" w:rsidRPr="00E80281" w:rsidRDefault="00AB33EC" w:rsidP="00B721B7">
            <w:pPr>
              <w:spacing w:after="4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Accumulated surplus</w:t>
            </w:r>
          </w:p>
        </w:tc>
        <w:tc>
          <w:tcPr>
            <w:tcW w:w="262" w:type="dxa"/>
            <w:tcBorders>
              <w:top w:val="nil"/>
              <w:left w:val="nil"/>
              <w:bottom w:val="nil"/>
              <w:right w:val="nil"/>
            </w:tcBorders>
            <w:shd w:val="clear" w:color="000000" w:fill="FFFFFF"/>
            <w:noWrap/>
            <w:vAlign w:val="center"/>
            <w:hideMark/>
          </w:tcPr>
          <w:p w14:paraId="51499975"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right w:val="nil"/>
            </w:tcBorders>
            <w:shd w:val="clear" w:color="auto" w:fill="auto"/>
          </w:tcPr>
          <w:p w14:paraId="0F90F7DD" w14:textId="77777777" w:rsidR="00AB33EC" w:rsidRPr="00E80281" w:rsidRDefault="00AB33EC" w:rsidP="00B721B7">
            <w:pPr>
              <w:spacing w:after="40"/>
              <w:jc w:val="right"/>
              <w:rPr>
                <w:rFonts w:asciiTheme="minorHAnsi" w:eastAsia="Times New Roman" w:hAnsiTheme="minorHAnsi" w:cstheme="minorHAnsi"/>
                <w:color w:val="000000"/>
                <w:szCs w:val="20"/>
                <w:lang w:eastAsia="en-AU"/>
              </w:rPr>
            </w:pPr>
          </w:p>
        </w:tc>
        <w:tc>
          <w:tcPr>
            <w:tcW w:w="1016" w:type="dxa"/>
            <w:tcBorders>
              <w:top w:val="nil"/>
              <w:left w:val="nil"/>
              <w:bottom w:val="single" w:sz="8" w:space="0" w:color="auto"/>
              <w:right w:val="nil"/>
            </w:tcBorders>
            <w:shd w:val="clear" w:color="auto" w:fill="F1F1F2" w:themeFill="accent5" w:themeFillTint="33"/>
            <w:vAlign w:val="center"/>
          </w:tcPr>
          <w:p w14:paraId="47817FB9"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13,687</w:t>
            </w:r>
          </w:p>
        </w:tc>
        <w:tc>
          <w:tcPr>
            <w:tcW w:w="984" w:type="dxa"/>
            <w:tcBorders>
              <w:top w:val="nil"/>
              <w:left w:val="nil"/>
              <w:bottom w:val="single" w:sz="8" w:space="0" w:color="auto"/>
              <w:right w:val="nil"/>
            </w:tcBorders>
            <w:shd w:val="clear" w:color="000000" w:fill="FFFFFF"/>
            <w:vAlign w:val="center"/>
          </w:tcPr>
          <w:p w14:paraId="4E0DBD04"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13,914</w:t>
            </w:r>
          </w:p>
        </w:tc>
        <w:tc>
          <w:tcPr>
            <w:tcW w:w="1176" w:type="dxa"/>
            <w:tcBorders>
              <w:top w:val="nil"/>
              <w:left w:val="nil"/>
              <w:bottom w:val="single" w:sz="8" w:space="0" w:color="auto"/>
              <w:right w:val="nil"/>
            </w:tcBorders>
            <w:shd w:val="clear" w:color="000000" w:fill="FFFFFF"/>
            <w:vAlign w:val="center"/>
          </w:tcPr>
          <w:p w14:paraId="00191002"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(227)</w:t>
            </w:r>
          </w:p>
        </w:tc>
        <w:tc>
          <w:tcPr>
            <w:tcW w:w="992" w:type="dxa"/>
            <w:tcBorders>
              <w:top w:val="nil"/>
              <w:left w:val="nil"/>
              <w:bottom w:val="single" w:sz="8" w:space="0" w:color="auto"/>
              <w:right w:val="nil"/>
            </w:tcBorders>
            <w:shd w:val="clear" w:color="auto" w:fill="auto"/>
            <w:noWrap/>
            <w:vAlign w:val="center"/>
            <w:hideMark/>
          </w:tcPr>
          <w:p w14:paraId="5C87D020" w14:textId="77777777" w:rsidR="00AB33EC" w:rsidRPr="009C6467" w:rsidRDefault="00AB33EC" w:rsidP="00B721B7">
            <w:pPr>
              <w:spacing w:after="40"/>
              <w:jc w:val="right"/>
              <w:rPr>
                <w:rFonts w:asciiTheme="minorHAnsi" w:eastAsia="Times New Roman" w:hAnsiTheme="minorHAnsi" w:cstheme="minorHAnsi"/>
                <w:color w:val="000000"/>
                <w:szCs w:val="20"/>
                <w:lang w:eastAsia="en-AU"/>
              </w:rPr>
            </w:pPr>
            <w:r w:rsidRPr="009C6467">
              <w:rPr>
                <w:rFonts w:asciiTheme="minorHAnsi" w:eastAsia="Times New Roman" w:hAnsiTheme="minorHAnsi" w:cstheme="minorHAnsi"/>
                <w:color w:val="000000"/>
                <w:szCs w:val="20"/>
                <w:lang w:eastAsia="en-AU"/>
              </w:rPr>
              <w:t>13,843</w:t>
            </w:r>
          </w:p>
        </w:tc>
      </w:tr>
      <w:tr w:rsidR="00AB33EC" w:rsidRPr="003E75E2" w14:paraId="66930198" w14:textId="77777777" w:rsidTr="00C5404E">
        <w:trPr>
          <w:trHeight w:val="315"/>
        </w:trPr>
        <w:tc>
          <w:tcPr>
            <w:tcW w:w="4395" w:type="dxa"/>
            <w:tcBorders>
              <w:top w:val="nil"/>
              <w:left w:val="nil"/>
              <w:bottom w:val="nil"/>
              <w:right w:val="nil"/>
            </w:tcBorders>
            <w:shd w:val="clear" w:color="000000" w:fill="FFFFFF"/>
            <w:noWrap/>
            <w:vAlign w:val="center"/>
            <w:hideMark/>
          </w:tcPr>
          <w:p w14:paraId="2DB30D73" w14:textId="77777777" w:rsidR="00AB33EC" w:rsidRPr="00E80281" w:rsidRDefault="00AB33EC" w:rsidP="00B721B7">
            <w:pPr>
              <w:spacing w:after="4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Total Equity</w:t>
            </w:r>
          </w:p>
        </w:tc>
        <w:tc>
          <w:tcPr>
            <w:tcW w:w="262" w:type="dxa"/>
            <w:tcBorders>
              <w:top w:val="nil"/>
              <w:left w:val="nil"/>
              <w:bottom w:val="nil"/>
              <w:right w:val="nil"/>
            </w:tcBorders>
            <w:shd w:val="clear" w:color="000000" w:fill="FFFFFF"/>
            <w:noWrap/>
            <w:vAlign w:val="center"/>
            <w:hideMark/>
          </w:tcPr>
          <w:p w14:paraId="4917C4E0"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right w:val="nil"/>
            </w:tcBorders>
            <w:shd w:val="clear" w:color="auto" w:fill="auto"/>
          </w:tcPr>
          <w:p w14:paraId="2FE8A5E2"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p>
        </w:tc>
        <w:tc>
          <w:tcPr>
            <w:tcW w:w="1016" w:type="dxa"/>
            <w:tcBorders>
              <w:top w:val="single" w:sz="8" w:space="0" w:color="auto"/>
              <w:left w:val="nil"/>
              <w:bottom w:val="double" w:sz="4" w:space="0" w:color="auto"/>
              <w:right w:val="nil"/>
            </w:tcBorders>
            <w:shd w:val="clear" w:color="auto" w:fill="F1F1F2" w:themeFill="accent5" w:themeFillTint="33"/>
            <w:vAlign w:val="center"/>
          </w:tcPr>
          <w:p w14:paraId="0B30A725"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29,855</w:t>
            </w:r>
          </w:p>
        </w:tc>
        <w:tc>
          <w:tcPr>
            <w:tcW w:w="984" w:type="dxa"/>
            <w:tcBorders>
              <w:top w:val="single" w:sz="8" w:space="0" w:color="auto"/>
              <w:left w:val="nil"/>
              <w:bottom w:val="double" w:sz="4" w:space="0" w:color="auto"/>
              <w:right w:val="nil"/>
            </w:tcBorders>
            <w:shd w:val="clear" w:color="000000" w:fill="FFFFFF"/>
            <w:vAlign w:val="center"/>
          </w:tcPr>
          <w:p w14:paraId="6488FA53"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30,082</w:t>
            </w:r>
          </w:p>
        </w:tc>
        <w:tc>
          <w:tcPr>
            <w:tcW w:w="1176" w:type="dxa"/>
            <w:tcBorders>
              <w:top w:val="single" w:sz="8" w:space="0" w:color="auto"/>
              <w:left w:val="nil"/>
              <w:bottom w:val="double" w:sz="4" w:space="0" w:color="auto"/>
              <w:right w:val="nil"/>
            </w:tcBorders>
            <w:shd w:val="clear" w:color="000000" w:fill="FFFFFF"/>
            <w:vAlign w:val="center"/>
          </w:tcPr>
          <w:p w14:paraId="75F831B8"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(227)</w:t>
            </w:r>
          </w:p>
        </w:tc>
        <w:tc>
          <w:tcPr>
            <w:tcW w:w="992" w:type="dxa"/>
            <w:tcBorders>
              <w:top w:val="single" w:sz="8" w:space="0" w:color="auto"/>
              <w:left w:val="nil"/>
              <w:bottom w:val="double" w:sz="4" w:space="0" w:color="auto"/>
              <w:right w:val="nil"/>
            </w:tcBorders>
            <w:shd w:val="clear" w:color="auto" w:fill="auto"/>
            <w:vAlign w:val="center"/>
            <w:hideMark/>
          </w:tcPr>
          <w:p w14:paraId="4D984B71" w14:textId="77777777" w:rsidR="00AB33EC" w:rsidRPr="009C6467" w:rsidRDefault="00AB33EC" w:rsidP="00B721B7">
            <w:pPr>
              <w:spacing w:after="40"/>
              <w:jc w:val="right"/>
              <w:rPr>
                <w:rFonts w:asciiTheme="minorHAnsi" w:eastAsia="Times New Roman" w:hAnsiTheme="minorHAnsi" w:cstheme="minorHAnsi"/>
                <w:b/>
                <w:bCs/>
                <w:color w:val="000000"/>
                <w:szCs w:val="20"/>
                <w:lang w:eastAsia="en-AU"/>
              </w:rPr>
            </w:pPr>
            <w:r w:rsidRPr="009C6467">
              <w:rPr>
                <w:rFonts w:asciiTheme="minorHAnsi" w:eastAsia="Times New Roman" w:hAnsiTheme="minorHAnsi" w:cstheme="minorHAnsi"/>
                <w:b/>
                <w:bCs/>
                <w:color w:val="000000"/>
                <w:szCs w:val="20"/>
                <w:lang w:eastAsia="en-AU"/>
              </w:rPr>
              <w:t>30,011</w:t>
            </w:r>
          </w:p>
        </w:tc>
      </w:tr>
      <w:tr w:rsidR="00AB33EC" w:rsidRPr="00E80281" w14:paraId="52457725" w14:textId="77777777" w:rsidTr="00B721B7">
        <w:trPr>
          <w:trHeight w:val="315"/>
        </w:trPr>
        <w:tc>
          <w:tcPr>
            <w:tcW w:w="4395" w:type="dxa"/>
            <w:tcBorders>
              <w:top w:val="nil"/>
              <w:left w:val="nil"/>
              <w:bottom w:val="nil"/>
              <w:right w:val="nil"/>
            </w:tcBorders>
            <w:shd w:val="clear" w:color="000000" w:fill="FFFFFF"/>
            <w:noWrap/>
            <w:vAlign w:val="center"/>
          </w:tcPr>
          <w:p w14:paraId="30B1125D" w14:textId="77777777" w:rsidR="00AB33EC" w:rsidRPr="00E80281" w:rsidRDefault="00AB33EC" w:rsidP="00B721B7">
            <w:pPr>
              <w:tabs>
                <w:tab w:val="left" w:pos="4500"/>
              </w:tabs>
              <w:spacing w:after="40"/>
              <w:rPr>
                <w:rFonts w:asciiTheme="minorHAnsi" w:eastAsia="Calibri" w:hAnsiTheme="minorHAnsi" w:cstheme="minorHAnsi"/>
                <w:i/>
                <w:color w:val="000000"/>
                <w:sz w:val="17"/>
                <w:szCs w:val="17"/>
              </w:rPr>
            </w:pPr>
            <w:r w:rsidRPr="00E80281">
              <w:rPr>
                <w:rFonts w:asciiTheme="minorHAnsi" w:eastAsia="Calibri" w:hAnsiTheme="minorHAnsi" w:cstheme="minorHAnsi"/>
                <w:i/>
                <w:color w:val="000000"/>
                <w:sz w:val="17"/>
                <w:szCs w:val="17"/>
              </w:rPr>
              <w:t xml:space="preserve">* An explanation of major variances is included at Note </w:t>
            </w:r>
            <w:r w:rsidRPr="002A0B22">
              <w:rPr>
                <w:rFonts w:asciiTheme="minorHAnsi" w:eastAsia="Calibri" w:hAnsiTheme="minorHAnsi" w:cstheme="minorHAnsi"/>
                <w:i/>
                <w:color w:val="000000"/>
                <w:sz w:val="17"/>
                <w:szCs w:val="17"/>
              </w:rPr>
              <w:t>18.</w:t>
            </w:r>
          </w:p>
          <w:p w14:paraId="141A5414" w14:textId="77777777" w:rsidR="00AB33EC" w:rsidRPr="00E80281" w:rsidRDefault="00AB33EC" w:rsidP="00B721B7">
            <w:pPr>
              <w:spacing w:after="40"/>
              <w:rPr>
                <w:rFonts w:asciiTheme="minorHAnsi" w:eastAsia="Times New Roman" w:hAnsiTheme="minorHAnsi" w:cstheme="minorHAnsi"/>
                <w:b/>
                <w:bCs/>
                <w:color w:val="000000"/>
                <w:szCs w:val="20"/>
                <w:lang w:eastAsia="en-AU"/>
              </w:rPr>
            </w:pPr>
            <w:r w:rsidRPr="00E80281">
              <w:rPr>
                <w:rFonts w:asciiTheme="minorHAnsi" w:eastAsia="Calibri" w:hAnsiTheme="minorHAnsi" w:cstheme="minorHAnsi"/>
                <w:i/>
                <w:color w:val="000000"/>
                <w:sz w:val="17"/>
                <w:szCs w:val="17"/>
              </w:rPr>
              <w:t>The accompanying notes form part of these statements</w:t>
            </w:r>
          </w:p>
        </w:tc>
        <w:tc>
          <w:tcPr>
            <w:tcW w:w="262" w:type="dxa"/>
            <w:tcBorders>
              <w:top w:val="nil"/>
              <w:left w:val="nil"/>
              <w:bottom w:val="nil"/>
              <w:right w:val="nil"/>
            </w:tcBorders>
            <w:shd w:val="clear" w:color="000000" w:fill="FFFFFF"/>
            <w:noWrap/>
            <w:vAlign w:val="center"/>
          </w:tcPr>
          <w:p w14:paraId="51183205" w14:textId="77777777" w:rsidR="00AB33EC" w:rsidRPr="00E80281" w:rsidRDefault="00AB33EC" w:rsidP="00B721B7">
            <w:pPr>
              <w:spacing w:after="40"/>
              <w:jc w:val="center"/>
              <w:rPr>
                <w:rFonts w:asciiTheme="minorHAnsi" w:eastAsia="Times New Roman" w:hAnsiTheme="minorHAnsi" w:cstheme="minorHAnsi"/>
                <w:color w:val="000000"/>
                <w:szCs w:val="20"/>
                <w:lang w:eastAsia="en-AU"/>
              </w:rPr>
            </w:pPr>
          </w:p>
        </w:tc>
        <w:tc>
          <w:tcPr>
            <w:tcW w:w="706" w:type="dxa"/>
            <w:tcBorders>
              <w:top w:val="nil"/>
              <w:left w:val="nil"/>
              <w:right w:val="nil"/>
            </w:tcBorders>
            <w:shd w:val="clear" w:color="auto" w:fill="auto"/>
          </w:tcPr>
          <w:p w14:paraId="2843D0D8"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p>
        </w:tc>
        <w:tc>
          <w:tcPr>
            <w:tcW w:w="1016" w:type="dxa"/>
            <w:tcBorders>
              <w:top w:val="double" w:sz="4" w:space="0" w:color="auto"/>
              <w:left w:val="nil"/>
              <w:right w:val="nil"/>
            </w:tcBorders>
            <w:shd w:val="clear" w:color="auto" w:fill="auto"/>
            <w:vAlign w:val="center"/>
          </w:tcPr>
          <w:p w14:paraId="4CAFBEF1"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p>
        </w:tc>
        <w:tc>
          <w:tcPr>
            <w:tcW w:w="984" w:type="dxa"/>
            <w:tcBorders>
              <w:top w:val="double" w:sz="4" w:space="0" w:color="auto"/>
              <w:left w:val="nil"/>
              <w:right w:val="nil"/>
            </w:tcBorders>
            <w:shd w:val="clear" w:color="000000" w:fill="FFFFFF"/>
            <w:vAlign w:val="center"/>
          </w:tcPr>
          <w:p w14:paraId="0D3D008A"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p>
        </w:tc>
        <w:tc>
          <w:tcPr>
            <w:tcW w:w="1176" w:type="dxa"/>
            <w:tcBorders>
              <w:top w:val="double" w:sz="4" w:space="0" w:color="auto"/>
              <w:left w:val="nil"/>
              <w:right w:val="nil"/>
            </w:tcBorders>
            <w:shd w:val="clear" w:color="000000" w:fill="FFFFFF"/>
            <w:vAlign w:val="center"/>
          </w:tcPr>
          <w:p w14:paraId="784A7191"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p>
        </w:tc>
        <w:tc>
          <w:tcPr>
            <w:tcW w:w="992" w:type="dxa"/>
            <w:tcBorders>
              <w:top w:val="double" w:sz="4" w:space="0" w:color="auto"/>
              <w:left w:val="nil"/>
              <w:right w:val="nil"/>
            </w:tcBorders>
            <w:shd w:val="clear" w:color="auto" w:fill="auto"/>
            <w:vAlign w:val="center"/>
          </w:tcPr>
          <w:p w14:paraId="5AF3B3CC" w14:textId="77777777" w:rsidR="00AB33EC" w:rsidRPr="00E80281" w:rsidRDefault="00AB33EC" w:rsidP="00B721B7">
            <w:pPr>
              <w:spacing w:after="40"/>
              <w:jc w:val="right"/>
              <w:rPr>
                <w:rFonts w:asciiTheme="minorHAnsi" w:eastAsia="Times New Roman" w:hAnsiTheme="minorHAnsi" w:cstheme="minorHAnsi"/>
                <w:b/>
                <w:bCs/>
                <w:color w:val="000000"/>
                <w:szCs w:val="20"/>
                <w:lang w:eastAsia="en-AU"/>
              </w:rPr>
            </w:pPr>
          </w:p>
        </w:tc>
      </w:tr>
    </w:tbl>
    <w:p w14:paraId="4DF89EB5" w14:textId="77777777" w:rsidR="00AB33EC" w:rsidRPr="003E75E2" w:rsidRDefault="00AB33EC" w:rsidP="00AB33EC">
      <w:pPr>
        <w:pStyle w:val="Notes"/>
        <w:rPr>
          <w:rFonts w:cstheme="minorHAnsi"/>
          <w:iCs/>
        </w:rPr>
      </w:pPr>
    </w:p>
    <w:p w14:paraId="55ED5E8B" w14:textId="77777777" w:rsidR="00AB33EC" w:rsidRPr="003E75E2" w:rsidRDefault="00AB33EC" w:rsidP="00AB33EC">
      <w:pPr>
        <w:tabs>
          <w:tab w:val="left" w:pos="7132"/>
        </w:tabs>
        <w:rPr>
          <w:rFonts w:asciiTheme="minorHAnsi" w:hAnsiTheme="minorHAnsi" w:cstheme="minorHAnsi"/>
        </w:rPr>
        <w:sectPr w:rsidR="00AB33EC" w:rsidRPr="003E75E2" w:rsidSect="00954847">
          <w:headerReference w:type="even" r:id="rId283"/>
          <w:headerReference w:type="default" r:id="rId284"/>
          <w:pgSz w:w="11906" w:h="16838"/>
          <w:pgMar w:top="1701" w:right="1418" w:bottom="1588" w:left="1418" w:header="709" w:footer="283" w:gutter="0"/>
          <w:cols w:space="708"/>
          <w:docGrid w:linePitch="360"/>
        </w:sectPr>
      </w:pPr>
    </w:p>
    <w:p w14:paraId="0E50DDB4" w14:textId="77777777" w:rsidR="00AB33EC" w:rsidRPr="003E75E2" w:rsidRDefault="00AB33EC" w:rsidP="00AB33EC">
      <w:pPr>
        <w:pStyle w:val="Notes"/>
        <w:rPr>
          <w:rFonts w:cstheme="minorHAnsi"/>
          <w:i/>
        </w:rPr>
      </w:pPr>
    </w:p>
    <w:p w14:paraId="4F5608BF" w14:textId="77777777" w:rsidR="00AB33EC" w:rsidRPr="003E75E2" w:rsidRDefault="00AB33EC" w:rsidP="00AB33EC">
      <w:pPr>
        <w:spacing w:line="260" w:lineRule="atLeast"/>
        <w:rPr>
          <w:rFonts w:asciiTheme="minorHAnsi" w:hAnsiTheme="minorHAnsi" w:cstheme="minorHAnsi"/>
          <w:snapToGrid w:val="0"/>
          <w:szCs w:val="20"/>
        </w:rPr>
      </w:pPr>
    </w:p>
    <w:tbl>
      <w:tblPr>
        <w:tblW w:w="9260" w:type="dxa"/>
        <w:tblLook w:val="04A0" w:firstRow="1" w:lastRow="0" w:firstColumn="1" w:lastColumn="0" w:noHBand="0" w:noVBand="1"/>
      </w:tblPr>
      <w:tblGrid>
        <w:gridCol w:w="4280"/>
        <w:gridCol w:w="1660"/>
        <w:gridCol w:w="1660"/>
        <w:gridCol w:w="1660"/>
      </w:tblGrid>
      <w:tr w:rsidR="00AB33EC" w:rsidRPr="00E80281" w14:paraId="300D77F4" w14:textId="77777777" w:rsidTr="00C5404E">
        <w:trPr>
          <w:trHeight w:val="510"/>
        </w:trPr>
        <w:tc>
          <w:tcPr>
            <w:tcW w:w="4280" w:type="dxa"/>
            <w:tcBorders>
              <w:top w:val="nil"/>
              <w:left w:val="nil"/>
              <w:bottom w:val="nil"/>
              <w:right w:val="nil"/>
            </w:tcBorders>
            <w:shd w:val="clear" w:color="000000" w:fill="FFFFFF"/>
            <w:hideMark/>
          </w:tcPr>
          <w:p w14:paraId="329A76BB"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nil"/>
              <w:right w:val="nil"/>
            </w:tcBorders>
            <w:shd w:val="clear" w:color="000000" w:fill="FFFFFF"/>
            <w:hideMark/>
          </w:tcPr>
          <w:p w14:paraId="6AC9BAA0"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Accumulated Surplus</w:t>
            </w:r>
          </w:p>
        </w:tc>
        <w:tc>
          <w:tcPr>
            <w:tcW w:w="1660" w:type="dxa"/>
            <w:tcBorders>
              <w:top w:val="nil"/>
              <w:left w:val="nil"/>
              <w:bottom w:val="nil"/>
              <w:right w:val="nil"/>
            </w:tcBorders>
            <w:shd w:val="clear" w:color="000000" w:fill="FFFFFF"/>
            <w:hideMark/>
          </w:tcPr>
          <w:p w14:paraId="58096C08"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xml:space="preserve">Contributed </w:t>
            </w:r>
            <w:r w:rsidRPr="00E80281">
              <w:rPr>
                <w:rFonts w:asciiTheme="minorHAnsi" w:eastAsia="Times New Roman" w:hAnsiTheme="minorHAnsi" w:cstheme="minorHAnsi"/>
                <w:b/>
                <w:bCs/>
                <w:color w:val="000000"/>
                <w:szCs w:val="20"/>
                <w:lang w:eastAsia="en-AU"/>
              </w:rPr>
              <w:br/>
              <w:t>Equity</w:t>
            </w:r>
          </w:p>
        </w:tc>
        <w:tc>
          <w:tcPr>
            <w:tcW w:w="1660" w:type="dxa"/>
            <w:tcBorders>
              <w:top w:val="nil"/>
              <w:left w:val="nil"/>
              <w:bottom w:val="nil"/>
              <w:right w:val="nil"/>
            </w:tcBorders>
            <w:shd w:val="clear" w:color="auto" w:fill="F1F1F2" w:themeFill="accent5" w:themeFillTint="33"/>
            <w:hideMark/>
          </w:tcPr>
          <w:p w14:paraId="7C825BEC"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xml:space="preserve">                TOTAL</w:t>
            </w:r>
          </w:p>
        </w:tc>
      </w:tr>
      <w:tr w:rsidR="00AB33EC" w:rsidRPr="00E80281" w14:paraId="50E4292D" w14:textId="77777777" w:rsidTr="00C5404E">
        <w:trPr>
          <w:trHeight w:val="255"/>
        </w:trPr>
        <w:tc>
          <w:tcPr>
            <w:tcW w:w="4280" w:type="dxa"/>
            <w:tcBorders>
              <w:top w:val="nil"/>
              <w:left w:val="nil"/>
              <w:bottom w:val="nil"/>
              <w:right w:val="nil"/>
            </w:tcBorders>
            <w:shd w:val="clear" w:color="000000" w:fill="FFFFFF"/>
            <w:vAlign w:val="bottom"/>
            <w:hideMark/>
          </w:tcPr>
          <w:p w14:paraId="0FBF9200"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nil"/>
              <w:right w:val="nil"/>
            </w:tcBorders>
            <w:shd w:val="clear" w:color="000000" w:fill="FFFFFF"/>
            <w:vAlign w:val="bottom"/>
            <w:hideMark/>
          </w:tcPr>
          <w:p w14:paraId="4350D2FB"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$’000</w:t>
            </w:r>
          </w:p>
        </w:tc>
        <w:tc>
          <w:tcPr>
            <w:tcW w:w="1660" w:type="dxa"/>
            <w:tcBorders>
              <w:top w:val="nil"/>
              <w:left w:val="nil"/>
              <w:bottom w:val="nil"/>
              <w:right w:val="nil"/>
            </w:tcBorders>
            <w:shd w:val="clear" w:color="000000" w:fill="FFFFFF"/>
            <w:vAlign w:val="bottom"/>
            <w:hideMark/>
          </w:tcPr>
          <w:p w14:paraId="0EBABDE1"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$’000</w:t>
            </w:r>
          </w:p>
        </w:tc>
        <w:tc>
          <w:tcPr>
            <w:tcW w:w="1660" w:type="dxa"/>
            <w:tcBorders>
              <w:top w:val="nil"/>
              <w:left w:val="nil"/>
              <w:bottom w:val="nil"/>
              <w:right w:val="nil"/>
            </w:tcBorders>
            <w:shd w:val="clear" w:color="auto" w:fill="F1F1F2" w:themeFill="accent5" w:themeFillTint="33"/>
            <w:vAlign w:val="bottom"/>
            <w:hideMark/>
          </w:tcPr>
          <w:p w14:paraId="2D131A49"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$’000</w:t>
            </w:r>
          </w:p>
        </w:tc>
      </w:tr>
      <w:tr w:rsidR="00AB33EC" w:rsidRPr="00E80281" w14:paraId="59407E34" w14:textId="77777777" w:rsidTr="00C5404E">
        <w:trPr>
          <w:trHeight w:val="255"/>
        </w:trPr>
        <w:tc>
          <w:tcPr>
            <w:tcW w:w="4280" w:type="dxa"/>
            <w:tcBorders>
              <w:top w:val="nil"/>
              <w:left w:val="nil"/>
              <w:bottom w:val="nil"/>
              <w:right w:val="nil"/>
            </w:tcBorders>
            <w:shd w:val="clear" w:color="000000" w:fill="FFFFFF"/>
            <w:vAlign w:val="bottom"/>
            <w:hideMark/>
          </w:tcPr>
          <w:p w14:paraId="5C0C8833"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nil"/>
              <w:right w:val="nil"/>
            </w:tcBorders>
            <w:shd w:val="clear" w:color="000000" w:fill="FFFFFF"/>
            <w:vAlign w:val="bottom"/>
            <w:hideMark/>
          </w:tcPr>
          <w:p w14:paraId="67D1F919"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c>
          <w:tcPr>
            <w:tcW w:w="1660" w:type="dxa"/>
            <w:tcBorders>
              <w:top w:val="nil"/>
              <w:left w:val="nil"/>
              <w:bottom w:val="nil"/>
              <w:right w:val="nil"/>
            </w:tcBorders>
            <w:shd w:val="clear" w:color="000000" w:fill="FFFFFF"/>
            <w:vAlign w:val="bottom"/>
            <w:hideMark/>
          </w:tcPr>
          <w:p w14:paraId="7D4E157C"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c>
          <w:tcPr>
            <w:tcW w:w="1660" w:type="dxa"/>
            <w:tcBorders>
              <w:top w:val="nil"/>
              <w:left w:val="nil"/>
              <w:bottom w:val="nil"/>
              <w:right w:val="nil"/>
            </w:tcBorders>
            <w:shd w:val="clear" w:color="auto" w:fill="F1F1F2" w:themeFill="accent5" w:themeFillTint="33"/>
            <w:noWrap/>
            <w:hideMark/>
          </w:tcPr>
          <w:p w14:paraId="379B3B58"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r>
      <w:tr w:rsidR="00AB33EC" w:rsidRPr="00E80281" w14:paraId="5F38A1E7" w14:textId="77777777" w:rsidTr="00C5404E">
        <w:trPr>
          <w:trHeight w:val="255"/>
        </w:trPr>
        <w:tc>
          <w:tcPr>
            <w:tcW w:w="4280" w:type="dxa"/>
            <w:tcBorders>
              <w:top w:val="nil"/>
              <w:left w:val="nil"/>
              <w:bottom w:val="nil"/>
              <w:right w:val="nil"/>
            </w:tcBorders>
            <w:shd w:val="clear" w:color="000000" w:fill="FFFFFF"/>
            <w:vAlign w:val="bottom"/>
            <w:hideMark/>
          </w:tcPr>
          <w:p w14:paraId="1A366590"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nil"/>
              <w:right w:val="nil"/>
            </w:tcBorders>
            <w:shd w:val="clear" w:color="000000" w:fill="FFFFFF"/>
            <w:vAlign w:val="bottom"/>
            <w:hideMark/>
          </w:tcPr>
          <w:p w14:paraId="33E30288"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nil"/>
              <w:right w:val="nil"/>
            </w:tcBorders>
            <w:shd w:val="clear" w:color="000000" w:fill="FFFFFF"/>
            <w:vAlign w:val="bottom"/>
            <w:hideMark/>
          </w:tcPr>
          <w:p w14:paraId="26E4DE3F"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nil"/>
              <w:right w:val="nil"/>
            </w:tcBorders>
            <w:shd w:val="clear" w:color="auto" w:fill="F1F1F2" w:themeFill="accent5" w:themeFillTint="33"/>
            <w:vAlign w:val="bottom"/>
            <w:hideMark/>
          </w:tcPr>
          <w:p w14:paraId="352ECB43"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r>
      <w:tr w:rsidR="00AB33EC" w:rsidRPr="003E75E2" w14:paraId="651A5D2E" w14:textId="77777777" w:rsidTr="00B721B7">
        <w:trPr>
          <w:trHeight w:val="255"/>
        </w:trPr>
        <w:tc>
          <w:tcPr>
            <w:tcW w:w="4280" w:type="dxa"/>
            <w:tcBorders>
              <w:top w:val="nil"/>
              <w:left w:val="nil"/>
              <w:bottom w:val="nil"/>
              <w:right w:val="nil"/>
            </w:tcBorders>
            <w:shd w:val="clear" w:color="000000" w:fill="FFFFFF"/>
            <w:vAlign w:val="bottom"/>
            <w:hideMark/>
          </w:tcPr>
          <w:p w14:paraId="1AA80F95" w14:textId="77777777" w:rsidR="00AB33EC" w:rsidRPr="00E80281" w:rsidRDefault="00AB33EC" w:rsidP="00B721B7">
            <w:pPr>
              <w:spacing w:after="8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Balance as at 1 July 2022</w:t>
            </w:r>
          </w:p>
        </w:tc>
        <w:tc>
          <w:tcPr>
            <w:tcW w:w="1660" w:type="dxa"/>
            <w:tcBorders>
              <w:top w:val="nil"/>
              <w:left w:val="nil"/>
              <w:bottom w:val="nil"/>
              <w:right w:val="nil"/>
            </w:tcBorders>
            <w:shd w:val="clear" w:color="000000" w:fill="FFFFFF"/>
            <w:vAlign w:val="bottom"/>
            <w:hideMark/>
          </w:tcPr>
          <w:p w14:paraId="3C6A99DA"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7,412</w:t>
            </w:r>
          </w:p>
        </w:tc>
        <w:tc>
          <w:tcPr>
            <w:tcW w:w="1660" w:type="dxa"/>
            <w:tcBorders>
              <w:top w:val="nil"/>
              <w:left w:val="nil"/>
              <w:bottom w:val="nil"/>
              <w:right w:val="nil"/>
            </w:tcBorders>
            <w:shd w:val="clear" w:color="000000" w:fill="FFFFFF"/>
            <w:vAlign w:val="bottom"/>
            <w:hideMark/>
          </w:tcPr>
          <w:p w14:paraId="609D080D"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16,168</w:t>
            </w:r>
          </w:p>
        </w:tc>
        <w:tc>
          <w:tcPr>
            <w:tcW w:w="1660" w:type="dxa"/>
            <w:tcBorders>
              <w:top w:val="nil"/>
              <w:left w:val="nil"/>
              <w:bottom w:val="nil"/>
              <w:right w:val="nil"/>
            </w:tcBorders>
            <w:shd w:val="clear" w:color="auto" w:fill="F1F1F2" w:themeFill="accent5" w:themeFillTint="33"/>
            <w:vAlign w:val="bottom"/>
            <w:hideMark/>
          </w:tcPr>
          <w:p w14:paraId="034ABBFC"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23,580</w:t>
            </w:r>
          </w:p>
        </w:tc>
      </w:tr>
      <w:tr w:rsidR="00AB33EC" w:rsidRPr="003E75E2" w14:paraId="4D2E27D9" w14:textId="77777777" w:rsidTr="00B721B7">
        <w:trPr>
          <w:trHeight w:val="255"/>
        </w:trPr>
        <w:tc>
          <w:tcPr>
            <w:tcW w:w="4280" w:type="dxa"/>
            <w:tcBorders>
              <w:top w:val="nil"/>
              <w:left w:val="nil"/>
              <w:bottom w:val="nil"/>
              <w:right w:val="nil"/>
            </w:tcBorders>
            <w:shd w:val="clear" w:color="000000" w:fill="FFFFFF"/>
            <w:vAlign w:val="bottom"/>
            <w:hideMark/>
          </w:tcPr>
          <w:p w14:paraId="3F75951D" w14:textId="77777777" w:rsidR="00AB33EC" w:rsidRPr="00E80281" w:rsidRDefault="00AB33EC" w:rsidP="00B721B7">
            <w:pPr>
              <w:spacing w:after="80"/>
              <w:rPr>
                <w:rFonts w:asciiTheme="minorHAnsi" w:eastAsia="Times New Roman" w:hAnsiTheme="minorHAnsi" w:cstheme="minorHAnsi"/>
                <w:color w:val="000000"/>
                <w:szCs w:val="20"/>
                <w:lang w:eastAsia="en-AU"/>
              </w:rPr>
            </w:pPr>
          </w:p>
        </w:tc>
        <w:tc>
          <w:tcPr>
            <w:tcW w:w="1660" w:type="dxa"/>
            <w:tcBorders>
              <w:top w:val="nil"/>
              <w:left w:val="nil"/>
              <w:bottom w:val="nil"/>
              <w:right w:val="nil"/>
            </w:tcBorders>
            <w:shd w:val="clear" w:color="000000" w:fill="FFFFFF"/>
            <w:vAlign w:val="bottom"/>
            <w:hideMark/>
          </w:tcPr>
          <w:p w14:paraId="1CE65D7E"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660" w:type="dxa"/>
            <w:tcBorders>
              <w:top w:val="nil"/>
              <w:left w:val="nil"/>
              <w:bottom w:val="nil"/>
              <w:right w:val="nil"/>
            </w:tcBorders>
            <w:shd w:val="clear" w:color="000000" w:fill="FFFFFF"/>
            <w:vAlign w:val="center"/>
            <w:hideMark/>
          </w:tcPr>
          <w:p w14:paraId="4C9D6A16"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660" w:type="dxa"/>
            <w:tcBorders>
              <w:top w:val="nil"/>
              <w:left w:val="nil"/>
              <w:bottom w:val="nil"/>
              <w:right w:val="nil"/>
            </w:tcBorders>
            <w:shd w:val="clear" w:color="auto" w:fill="F1F1F2" w:themeFill="accent5" w:themeFillTint="33"/>
            <w:vAlign w:val="bottom"/>
            <w:hideMark/>
          </w:tcPr>
          <w:p w14:paraId="4DFBBA7D"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r>
      <w:tr w:rsidR="00AB33EC" w:rsidRPr="003E75E2" w14:paraId="54E4AC44" w14:textId="77777777" w:rsidTr="00B721B7">
        <w:trPr>
          <w:trHeight w:val="255"/>
        </w:trPr>
        <w:tc>
          <w:tcPr>
            <w:tcW w:w="4280" w:type="dxa"/>
            <w:tcBorders>
              <w:top w:val="nil"/>
              <w:left w:val="nil"/>
              <w:bottom w:val="nil"/>
              <w:right w:val="nil"/>
            </w:tcBorders>
            <w:shd w:val="clear" w:color="000000" w:fill="FFFFFF"/>
            <w:vAlign w:val="bottom"/>
            <w:hideMark/>
          </w:tcPr>
          <w:p w14:paraId="7EBB92E2"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Operating result from continuing operations</w:t>
            </w:r>
          </w:p>
        </w:tc>
        <w:tc>
          <w:tcPr>
            <w:tcW w:w="1660" w:type="dxa"/>
            <w:tcBorders>
              <w:top w:val="nil"/>
              <w:left w:val="nil"/>
              <w:bottom w:val="nil"/>
              <w:right w:val="nil"/>
            </w:tcBorders>
            <w:shd w:val="clear" w:color="000000" w:fill="FFFFFF"/>
            <w:vAlign w:val="bottom"/>
            <w:hideMark/>
          </w:tcPr>
          <w:p w14:paraId="7CFEED3F"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6,431</w:t>
            </w:r>
          </w:p>
        </w:tc>
        <w:tc>
          <w:tcPr>
            <w:tcW w:w="1660" w:type="dxa"/>
            <w:tcBorders>
              <w:top w:val="nil"/>
              <w:left w:val="nil"/>
              <w:bottom w:val="nil"/>
              <w:right w:val="nil"/>
            </w:tcBorders>
            <w:shd w:val="clear" w:color="000000" w:fill="FFFFFF"/>
            <w:noWrap/>
            <w:vAlign w:val="center"/>
            <w:hideMark/>
          </w:tcPr>
          <w:p w14:paraId="5AE0818C"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w:t>
            </w:r>
          </w:p>
        </w:tc>
        <w:tc>
          <w:tcPr>
            <w:tcW w:w="1660" w:type="dxa"/>
            <w:tcBorders>
              <w:top w:val="nil"/>
              <w:left w:val="nil"/>
              <w:bottom w:val="nil"/>
              <w:right w:val="nil"/>
            </w:tcBorders>
            <w:shd w:val="clear" w:color="auto" w:fill="F1F1F2" w:themeFill="accent5" w:themeFillTint="33"/>
            <w:vAlign w:val="bottom"/>
            <w:hideMark/>
          </w:tcPr>
          <w:p w14:paraId="71D6B4D8"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6,431</w:t>
            </w:r>
          </w:p>
        </w:tc>
      </w:tr>
      <w:tr w:rsidR="00AB33EC" w:rsidRPr="003E75E2" w14:paraId="61925936" w14:textId="77777777" w:rsidTr="00B721B7">
        <w:trPr>
          <w:trHeight w:val="255"/>
        </w:trPr>
        <w:tc>
          <w:tcPr>
            <w:tcW w:w="4280" w:type="dxa"/>
            <w:tcBorders>
              <w:top w:val="nil"/>
              <w:left w:val="nil"/>
              <w:bottom w:val="nil"/>
              <w:right w:val="nil"/>
            </w:tcBorders>
            <w:shd w:val="clear" w:color="000000" w:fill="FFFFFF"/>
            <w:vAlign w:val="bottom"/>
          </w:tcPr>
          <w:p w14:paraId="63B198D3" w14:textId="77777777" w:rsidR="00AB33EC" w:rsidRPr="00E80281" w:rsidRDefault="00AB33EC" w:rsidP="00B721B7">
            <w:pPr>
              <w:spacing w:after="80"/>
              <w:rPr>
                <w:rFonts w:asciiTheme="minorHAnsi" w:eastAsia="Times New Roman" w:hAnsiTheme="minorHAnsi" w:cstheme="minorHAnsi"/>
                <w:color w:val="000000"/>
                <w:szCs w:val="20"/>
                <w:lang w:eastAsia="en-AU"/>
              </w:rPr>
            </w:pPr>
          </w:p>
        </w:tc>
        <w:tc>
          <w:tcPr>
            <w:tcW w:w="1660" w:type="dxa"/>
            <w:tcBorders>
              <w:top w:val="nil"/>
              <w:left w:val="nil"/>
              <w:bottom w:val="nil"/>
              <w:right w:val="nil"/>
            </w:tcBorders>
            <w:shd w:val="clear" w:color="000000" w:fill="FFFFFF"/>
            <w:vAlign w:val="bottom"/>
          </w:tcPr>
          <w:p w14:paraId="2F40B49D"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660" w:type="dxa"/>
            <w:tcBorders>
              <w:top w:val="nil"/>
              <w:left w:val="nil"/>
              <w:bottom w:val="nil"/>
              <w:right w:val="nil"/>
            </w:tcBorders>
            <w:shd w:val="clear" w:color="000000" w:fill="FFFFFF"/>
            <w:noWrap/>
            <w:vAlign w:val="bottom"/>
          </w:tcPr>
          <w:p w14:paraId="605DBC55"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660" w:type="dxa"/>
            <w:tcBorders>
              <w:top w:val="nil"/>
              <w:left w:val="nil"/>
              <w:bottom w:val="nil"/>
              <w:right w:val="nil"/>
            </w:tcBorders>
            <w:shd w:val="clear" w:color="auto" w:fill="F1F1F2" w:themeFill="accent5" w:themeFillTint="33"/>
            <w:vAlign w:val="bottom"/>
          </w:tcPr>
          <w:p w14:paraId="070EE5CB"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p>
        </w:tc>
      </w:tr>
      <w:tr w:rsidR="00AB33EC" w:rsidRPr="003E75E2" w14:paraId="1467728D" w14:textId="77777777" w:rsidTr="00B721B7">
        <w:trPr>
          <w:trHeight w:val="255"/>
        </w:trPr>
        <w:tc>
          <w:tcPr>
            <w:tcW w:w="4280" w:type="dxa"/>
            <w:tcBorders>
              <w:top w:val="nil"/>
              <w:left w:val="nil"/>
              <w:bottom w:val="nil"/>
              <w:right w:val="nil"/>
            </w:tcBorders>
            <w:shd w:val="clear" w:color="000000" w:fill="FFFFFF"/>
            <w:noWrap/>
            <w:vAlign w:val="bottom"/>
            <w:hideMark/>
          </w:tcPr>
          <w:p w14:paraId="46755CDC"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single" w:sz="8" w:space="0" w:color="auto"/>
              <w:right w:val="nil"/>
            </w:tcBorders>
            <w:shd w:val="clear" w:color="000000" w:fill="FFFFFF"/>
            <w:noWrap/>
            <w:vAlign w:val="bottom"/>
            <w:hideMark/>
          </w:tcPr>
          <w:p w14:paraId="1F784182"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single" w:sz="8" w:space="0" w:color="auto"/>
              <w:right w:val="nil"/>
            </w:tcBorders>
            <w:shd w:val="clear" w:color="000000" w:fill="FFFFFF"/>
            <w:noWrap/>
            <w:vAlign w:val="bottom"/>
            <w:hideMark/>
          </w:tcPr>
          <w:p w14:paraId="6375ED0B"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single" w:sz="8" w:space="0" w:color="auto"/>
              <w:right w:val="nil"/>
            </w:tcBorders>
            <w:shd w:val="clear" w:color="auto" w:fill="F1F1F2" w:themeFill="accent5" w:themeFillTint="33"/>
            <w:noWrap/>
            <w:vAlign w:val="bottom"/>
            <w:hideMark/>
          </w:tcPr>
          <w:p w14:paraId="3E13B083"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szCs w:val="20"/>
                <w:lang w:eastAsia="en-AU"/>
              </w:rPr>
              <w:t> </w:t>
            </w:r>
          </w:p>
        </w:tc>
      </w:tr>
      <w:tr w:rsidR="00AB33EC" w:rsidRPr="003E75E2" w14:paraId="04B8E5E7" w14:textId="77777777" w:rsidTr="00B721B7">
        <w:trPr>
          <w:trHeight w:val="255"/>
        </w:trPr>
        <w:tc>
          <w:tcPr>
            <w:tcW w:w="4280" w:type="dxa"/>
            <w:tcBorders>
              <w:top w:val="nil"/>
              <w:left w:val="nil"/>
              <w:bottom w:val="nil"/>
              <w:right w:val="nil"/>
            </w:tcBorders>
            <w:shd w:val="clear" w:color="000000" w:fill="FFFFFF"/>
            <w:vAlign w:val="bottom"/>
            <w:hideMark/>
          </w:tcPr>
          <w:p w14:paraId="5FA24058" w14:textId="77777777" w:rsidR="00AB33EC" w:rsidRPr="00E80281" w:rsidRDefault="00AB33EC" w:rsidP="00B721B7">
            <w:pPr>
              <w:spacing w:after="8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Balance as at 30 June 2023</w:t>
            </w:r>
          </w:p>
        </w:tc>
        <w:tc>
          <w:tcPr>
            <w:tcW w:w="1660" w:type="dxa"/>
            <w:tcBorders>
              <w:top w:val="single" w:sz="8" w:space="0" w:color="auto"/>
              <w:left w:val="nil"/>
              <w:bottom w:val="double" w:sz="4" w:space="0" w:color="auto"/>
              <w:right w:val="nil"/>
            </w:tcBorders>
            <w:shd w:val="clear" w:color="000000" w:fill="FFFFFF"/>
            <w:vAlign w:val="bottom"/>
            <w:hideMark/>
          </w:tcPr>
          <w:p w14:paraId="6E8B67DA"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13,843</w:t>
            </w:r>
          </w:p>
        </w:tc>
        <w:tc>
          <w:tcPr>
            <w:tcW w:w="1660" w:type="dxa"/>
            <w:tcBorders>
              <w:top w:val="single" w:sz="8" w:space="0" w:color="auto"/>
              <w:left w:val="nil"/>
              <w:bottom w:val="double" w:sz="4" w:space="0" w:color="auto"/>
              <w:right w:val="nil"/>
            </w:tcBorders>
            <w:shd w:val="clear" w:color="000000" w:fill="FFFFFF"/>
            <w:vAlign w:val="bottom"/>
            <w:hideMark/>
          </w:tcPr>
          <w:p w14:paraId="751C0802"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16,168</w:t>
            </w:r>
          </w:p>
        </w:tc>
        <w:tc>
          <w:tcPr>
            <w:tcW w:w="1660" w:type="dxa"/>
            <w:tcBorders>
              <w:top w:val="single" w:sz="8" w:space="0" w:color="auto"/>
              <w:left w:val="nil"/>
              <w:bottom w:val="double" w:sz="4" w:space="0" w:color="auto"/>
              <w:right w:val="nil"/>
            </w:tcBorders>
            <w:shd w:val="clear" w:color="auto" w:fill="F1F1F2" w:themeFill="accent5" w:themeFillTint="33"/>
            <w:vAlign w:val="bottom"/>
            <w:hideMark/>
          </w:tcPr>
          <w:p w14:paraId="4F6C31A2"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30,011</w:t>
            </w:r>
          </w:p>
        </w:tc>
      </w:tr>
      <w:tr w:rsidR="00AB33EC" w:rsidRPr="00E80281" w14:paraId="20E0CF9A" w14:textId="77777777" w:rsidTr="00B721B7">
        <w:trPr>
          <w:trHeight w:val="255"/>
        </w:trPr>
        <w:tc>
          <w:tcPr>
            <w:tcW w:w="4280" w:type="dxa"/>
            <w:tcBorders>
              <w:top w:val="nil"/>
              <w:left w:val="nil"/>
              <w:bottom w:val="nil"/>
              <w:right w:val="nil"/>
            </w:tcBorders>
            <w:shd w:val="clear" w:color="000000" w:fill="FFFFFF"/>
            <w:vAlign w:val="bottom"/>
            <w:hideMark/>
          </w:tcPr>
          <w:p w14:paraId="44587E6C"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double" w:sz="4" w:space="0" w:color="auto"/>
              <w:left w:val="nil"/>
              <w:bottom w:val="nil"/>
              <w:right w:val="nil"/>
            </w:tcBorders>
            <w:shd w:val="clear" w:color="000000" w:fill="FFFFFF"/>
            <w:vAlign w:val="bottom"/>
            <w:hideMark/>
          </w:tcPr>
          <w:p w14:paraId="11F6D538"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double" w:sz="4" w:space="0" w:color="auto"/>
              <w:left w:val="nil"/>
              <w:bottom w:val="nil"/>
              <w:right w:val="nil"/>
            </w:tcBorders>
            <w:shd w:val="clear" w:color="000000" w:fill="FFFFFF"/>
            <w:vAlign w:val="bottom"/>
            <w:hideMark/>
          </w:tcPr>
          <w:p w14:paraId="455E92F8"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double" w:sz="4" w:space="0" w:color="auto"/>
              <w:left w:val="nil"/>
              <w:bottom w:val="nil"/>
              <w:right w:val="nil"/>
            </w:tcBorders>
            <w:shd w:val="clear" w:color="000000" w:fill="FFFFFF"/>
            <w:vAlign w:val="bottom"/>
            <w:hideMark/>
          </w:tcPr>
          <w:p w14:paraId="583914D3"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r>
      <w:tr w:rsidR="00AB33EC" w:rsidRPr="00E80281" w14:paraId="1157AE4D" w14:textId="77777777" w:rsidTr="00B721B7">
        <w:trPr>
          <w:trHeight w:val="255"/>
        </w:trPr>
        <w:tc>
          <w:tcPr>
            <w:tcW w:w="4280" w:type="dxa"/>
            <w:tcBorders>
              <w:top w:val="nil"/>
              <w:left w:val="nil"/>
              <w:bottom w:val="nil"/>
              <w:right w:val="nil"/>
            </w:tcBorders>
            <w:shd w:val="clear" w:color="000000" w:fill="FFFFFF"/>
            <w:noWrap/>
            <w:vAlign w:val="bottom"/>
            <w:hideMark/>
          </w:tcPr>
          <w:p w14:paraId="6B88FE77"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nil"/>
              <w:right w:val="nil"/>
            </w:tcBorders>
            <w:shd w:val="clear" w:color="000000" w:fill="FFFFFF"/>
            <w:noWrap/>
            <w:vAlign w:val="bottom"/>
            <w:hideMark/>
          </w:tcPr>
          <w:p w14:paraId="01970BED"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c>
          <w:tcPr>
            <w:tcW w:w="1660" w:type="dxa"/>
            <w:tcBorders>
              <w:top w:val="nil"/>
              <w:left w:val="nil"/>
              <w:bottom w:val="nil"/>
              <w:right w:val="nil"/>
            </w:tcBorders>
            <w:shd w:val="clear" w:color="000000" w:fill="FFFFFF"/>
            <w:noWrap/>
            <w:vAlign w:val="bottom"/>
            <w:hideMark/>
          </w:tcPr>
          <w:p w14:paraId="1AB13DC5"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c>
          <w:tcPr>
            <w:tcW w:w="1660" w:type="dxa"/>
            <w:tcBorders>
              <w:top w:val="nil"/>
              <w:left w:val="nil"/>
              <w:bottom w:val="nil"/>
              <w:right w:val="nil"/>
            </w:tcBorders>
            <w:shd w:val="clear" w:color="000000" w:fill="FFFFFF"/>
            <w:noWrap/>
            <w:vAlign w:val="bottom"/>
            <w:hideMark/>
          </w:tcPr>
          <w:p w14:paraId="1C9B6AAA"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r>
      <w:tr w:rsidR="00AB33EC" w:rsidRPr="00E80281" w14:paraId="436C9A0F" w14:textId="77777777" w:rsidTr="00B721B7">
        <w:trPr>
          <w:trHeight w:val="255"/>
        </w:trPr>
        <w:tc>
          <w:tcPr>
            <w:tcW w:w="4280" w:type="dxa"/>
            <w:tcBorders>
              <w:top w:val="nil"/>
              <w:left w:val="nil"/>
              <w:bottom w:val="nil"/>
              <w:right w:val="nil"/>
            </w:tcBorders>
            <w:shd w:val="clear" w:color="000000" w:fill="FFFFFF"/>
            <w:noWrap/>
            <w:vAlign w:val="bottom"/>
            <w:hideMark/>
          </w:tcPr>
          <w:p w14:paraId="6BC67415"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nil"/>
              <w:right w:val="nil"/>
            </w:tcBorders>
            <w:shd w:val="clear" w:color="000000" w:fill="FFFFFF"/>
            <w:noWrap/>
            <w:vAlign w:val="bottom"/>
            <w:hideMark/>
          </w:tcPr>
          <w:p w14:paraId="3760435A"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c>
          <w:tcPr>
            <w:tcW w:w="1660" w:type="dxa"/>
            <w:tcBorders>
              <w:top w:val="nil"/>
              <w:left w:val="nil"/>
              <w:bottom w:val="nil"/>
              <w:right w:val="nil"/>
            </w:tcBorders>
            <w:shd w:val="clear" w:color="000000" w:fill="FFFFFF"/>
            <w:noWrap/>
            <w:vAlign w:val="bottom"/>
            <w:hideMark/>
          </w:tcPr>
          <w:p w14:paraId="03049D5B"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c>
          <w:tcPr>
            <w:tcW w:w="1660" w:type="dxa"/>
            <w:tcBorders>
              <w:top w:val="nil"/>
              <w:left w:val="nil"/>
              <w:bottom w:val="nil"/>
              <w:right w:val="nil"/>
            </w:tcBorders>
            <w:shd w:val="clear" w:color="000000" w:fill="FFFFFF"/>
            <w:noWrap/>
            <w:vAlign w:val="bottom"/>
            <w:hideMark/>
          </w:tcPr>
          <w:p w14:paraId="63154E60"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r>
      <w:tr w:rsidR="00AB33EC" w:rsidRPr="00E80281" w14:paraId="5E080F89" w14:textId="77777777" w:rsidTr="00B721B7">
        <w:trPr>
          <w:trHeight w:val="255"/>
        </w:trPr>
        <w:tc>
          <w:tcPr>
            <w:tcW w:w="4280" w:type="dxa"/>
            <w:tcBorders>
              <w:top w:val="nil"/>
              <w:left w:val="nil"/>
              <w:bottom w:val="nil"/>
              <w:right w:val="nil"/>
            </w:tcBorders>
            <w:shd w:val="clear" w:color="000000" w:fill="FFFFFF"/>
            <w:noWrap/>
            <w:vAlign w:val="bottom"/>
            <w:hideMark/>
          </w:tcPr>
          <w:p w14:paraId="385F127B"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nil"/>
              <w:right w:val="nil"/>
            </w:tcBorders>
            <w:shd w:val="clear" w:color="000000" w:fill="FFFFFF"/>
            <w:noWrap/>
            <w:vAlign w:val="bottom"/>
            <w:hideMark/>
          </w:tcPr>
          <w:p w14:paraId="3254DB24"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c>
          <w:tcPr>
            <w:tcW w:w="1660" w:type="dxa"/>
            <w:tcBorders>
              <w:top w:val="nil"/>
              <w:left w:val="nil"/>
              <w:bottom w:val="nil"/>
              <w:right w:val="nil"/>
            </w:tcBorders>
            <w:shd w:val="clear" w:color="000000" w:fill="FFFFFF"/>
            <w:noWrap/>
            <w:vAlign w:val="bottom"/>
            <w:hideMark/>
          </w:tcPr>
          <w:p w14:paraId="7C67C17A"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c>
          <w:tcPr>
            <w:tcW w:w="1660" w:type="dxa"/>
            <w:tcBorders>
              <w:top w:val="nil"/>
              <w:left w:val="nil"/>
              <w:bottom w:val="nil"/>
              <w:right w:val="nil"/>
            </w:tcBorders>
            <w:shd w:val="clear" w:color="000000" w:fill="FFFFFF"/>
            <w:noWrap/>
            <w:vAlign w:val="bottom"/>
            <w:hideMark/>
          </w:tcPr>
          <w:p w14:paraId="33765783"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r>
      <w:tr w:rsidR="00AB33EC" w:rsidRPr="00E80281" w14:paraId="719BDF56" w14:textId="77777777" w:rsidTr="00B721B7">
        <w:trPr>
          <w:trHeight w:val="255"/>
        </w:trPr>
        <w:tc>
          <w:tcPr>
            <w:tcW w:w="4280" w:type="dxa"/>
            <w:tcBorders>
              <w:top w:val="nil"/>
              <w:left w:val="nil"/>
              <w:bottom w:val="nil"/>
              <w:right w:val="nil"/>
            </w:tcBorders>
            <w:shd w:val="clear" w:color="000000" w:fill="FFFFFF"/>
            <w:noWrap/>
            <w:vAlign w:val="bottom"/>
            <w:hideMark/>
          </w:tcPr>
          <w:p w14:paraId="7648D787"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nil"/>
              <w:right w:val="nil"/>
            </w:tcBorders>
            <w:shd w:val="clear" w:color="000000" w:fill="FFFFFF"/>
            <w:noWrap/>
            <w:vAlign w:val="bottom"/>
            <w:hideMark/>
          </w:tcPr>
          <w:p w14:paraId="6381514C"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c>
          <w:tcPr>
            <w:tcW w:w="1660" w:type="dxa"/>
            <w:tcBorders>
              <w:top w:val="nil"/>
              <w:left w:val="nil"/>
              <w:bottom w:val="nil"/>
              <w:right w:val="nil"/>
            </w:tcBorders>
            <w:shd w:val="clear" w:color="000000" w:fill="FFFFFF"/>
            <w:noWrap/>
            <w:vAlign w:val="bottom"/>
            <w:hideMark/>
          </w:tcPr>
          <w:p w14:paraId="7318C92B"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c>
          <w:tcPr>
            <w:tcW w:w="1660" w:type="dxa"/>
            <w:tcBorders>
              <w:top w:val="nil"/>
              <w:left w:val="nil"/>
              <w:bottom w:val="nil"/>
              <w:right w:val="nil"/>
            </w:tcBorders>
            <w:shd w:val="clear" w:color="000000" w:fill="FFFFFF"/>
            <w:noWrap/>
            <w:vAlign w:val="bottom"/>
            <w:hideMark/>
          </w:tcPr>
          <w:p w14:paraId="18EA5A6E"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r>
      <w:tr w:rsidR="00AB33EC" w:rsidRPr="003E75E2" w14:paraId="49C8F875" w14:textId="77777777" w:rsidTr="00B721B7">
        <w:trPr>
          <w:trHeight w:val="255"/>
        </w:trPr>
        <w:tc>
          <w:tcPr>
            <w:tcW w:w="4280" w:type="dxa"/>
            <w:tcBorders>
              <w:top w:val="nil"/>
              <w:left w:val="nil"/>
              <w:bottom w:val="nil"/>
              <w:right w:val="nil"/>
            </w:tcBorders>
            <w:shd w:val="clear" w:color="000000" w:fill="FFFFFF"/>
            <w:vAlign w:val="bottom"/>
            <w:hideMark/>
          </w:tcPr>
          <w:p w14:paraId="03D3DAFC"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nil"/>
              <w:right w:val="nil"/>
            </w:tcBorders>
            <w:shd w:val="clear" w:color="000000" w:fill="FFFFFF"/>
            <w:hideMark/>
          </w:tcPr>
          <w:p w14:paraId="7184A905"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Accumulated Surplus</w:t>
            </w:r>
          </w:p>
        </w:tc>
        <w:tc>
          <w:tcPr>
            <w:tcW w:w="1660" w:type="dxa"/>
            <w:tcBorders>
              <w:top w:val="nil"/>
              <w:left w:val="nil"/>
              <w:bottom w:val="nil"/>
              <w:right w:val="nil"/>
            </w:tcBorders>
            <w:shd w:val="clear" w:color="000000" w:fill="FFFFFF"/>
            <w:hideMark/>
          </w:tcPr>
          <w:p w14:paraId="09551CDB"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xml:space="preserve">Contributed </w:t>
            </w:r>
            <w:r w:rsidRPr="00E80281">
              <w:rPr>
                <w:rFonts w:asciiTheme="minorHAnsi" w:eastAsia="Times New Roman" w:hAnsiTheme="minorHAnsi" w:cstheme="minorHAnsi"/>
                <w:b/>
                <w:bCs/>
                <w:color w:val="000000"/>
                <w:szCs w:val="20"/>
                <w:lang w:eastAsia="en-AU"/>
              </w:rPr>
              <w:br/>
              <w:t>Equity</w:t>
            </w:r>
          </w:p>
        </w:tc>
        <w:tc>
          <w:tcPr>
            <w:tcW w:w="1660" w:type="dxa"/>
            <w:tcBorders>
              <w:top w:val="nil"/>
              <w:left w:val="nil"/>
              <w:bottom w:val="nil"/>
              <w:right w:val="nil"/>
            </w:tcBorders>
            <w:shd w:val="clear" w:color="auto" w:fill="F1F1F2" w:themeFill="accent5" w:themeFillTint="33"/>
            <w:hideMark/>
          </w:tcPr>
          <w:p w14:paraId="2140B0BD"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xml:space="preserve">                TOTAL</w:t>
            </w:r>
          </w:p>
        </w:tc>
      </w:tr>
      <w:tr w:rsidR="00AB33EC" w:rsidRPr="003E75E2" w14:paraId="3455A182" w14:textId="77777777" w:rsidTr="00B721B7">
        <w:trPr>
          <w:trHeight w:val="255"/>
        </w:trPr>
        <w:tc>
          <w:tcPr>
            <w:tcW w:w="4280" w:type="dxa"/>
            <w:tcBorders>
              <w:top w:val="nil"/>
              <w:left w:val="nil"/>
              <w:bottom w:val="nil"/>
              <w:right w:val="nil"/>
            </w:tcBorders>
            <w:shd w:val="clear" w:color="000000" w:fill="FFFFFF"/>
            <w:vAlign w:val="bottom"/>
            <w:hideMark/>
          </w:tcPr>
          <w:p w14:paraId="3DF08A61"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nil"/>
              <w:right w:val="nil"/>
            </w:tcBorders>
            <w:shd w:val="clear" w:color="000000" w:fill="FFFFFF"/>
            <w:vAlign w:val="bottom"/>
            <w:hideMark/>
          </w:tcPr>
          <w:p w14:paraId="4FF977F7"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$’000</w:t>
            </w:r>
          </w:p>
        </w:tc>
        <w:tc>
          <w:tcPr>
            <w:tcW w:w="1660" w:type="dxa"/>
            <w:tcBorders>
              <w:top w:val="nil"/>
              <w:left w:val="nil"/>
              <w:bottom w:val="nil"/>
              <w:right w:val="nil"/>
            </w:tcBorders>
            <w:shd w:val="clear" w:color="000000" w:fill="FFFFFF"/>
            <w:vAlign w:val="bottom"/>
            <w:hideMark/>
          </w:tcPr>
          <w:p w14:paraId="307C1892"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$’000</w:t>
            </w:r>
          </w:p>
        </w:tc>
        <w:tc>
          <w:tcPr>
            <w:tcW w:w="1660" w:type="dxa"/>
            <w:tcBorders>
              <w:top w:val="nil"/>
              <w:left w:val="nil"/>
              <w:bottom w:val="nil"/>
              <w:right w:val="nil"/>
            </w:tcBorders>
            <w:shd w:val="clear" w:color="auto" w:fill="F1F1F2" w:themeFill="accent5" w:themeFillTint="33"/>
            <w:vAlign w:val="bottom"/>
            <w:hideMark/>
          </w:tcPr>
          <w:p w14:paraId="23C76AB7"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$’000</w:t>
            </w:r>
          </w:p>
        </w:tc>
      </w:tr>
      <w:tr w:rsidR="00AB33EC" w:rsidRPr="003E75E2" w14:paraId="4AB33F62" w14:textId="77777777" w:rsidTr="00B721B7">
        <w:trPr>
          <w:trHeight w:val="255"/>
        </w:trPr>
        <w:tc>
          <w:tcPr>
            <w:tcW w:w="4280" w:type="dxa"/>
            <w:tcBorders>
              <w:top w:val="nil"/>
              <w:left w:val="nil"/>
              <w:bottom w:val="nil"/>
              <w:right w:val="nil"/>
            </w:tcBorders>
            <w:shd w:val="clear" w:color="000000" w:fill="FFFFFF"/>
            <w:vAlign w:val="bottom"/>
            <w:hideMark/>
          </w:tcPr>
          <w:p w14:paraId="5421C673"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nil"/>
              <w:right w:val="nil"/>
            </w:tcBorders>
            <w:shd w:val="clear" w:color="000000" w:fill="FFFFFF"/>
            <w:vAlign w:val="bottom"/>
            <w:hideMark/>
          </w:tcPr>
          <w:p w14:paraId="2EC71BE5"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c>
          <w:tcPr>
            <w:tcW w:w="1660" w:type="dxa"/>
            <w:tcBorders>
              <w:top w:val="nil"/>
              <w:left w:val="nil"/>
              <w:bottom w:val="nil"/>
              <w:right w:val="nil"/>
            </w:tcBorders>
            <w:shd w:val="clear" w:color="000000" w:fill="FFFFFF"/>
            <w:vAlign w:val="bottom"/>
            <w:hideMark/>
          </w:tcPr>
          <w:p w14:paraId="2785EC2C"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c>
          <w:tcPr>
            <w:tcW w:w="1660" w:type="dxa"/>
            <w:tcBorders>
              <w:top w:val="nil"/>
              <w:left w:val="nil"/>
              <w:bottom w:val="nil"/>
              <w:right w:val="nil"/>
            </w:tcBorders>
            <w:shd w:val="clear" w:color="auto" w:fill="F1F1F2" w:themeFill="accent5" w:themeFillTint="33"/>
            <w:vAlign w:val="bottom"/>
            <w:hideMark/>
          </w:tcPr>
          <w:p w14:paraId="57C20E81"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r>
      <w:tr w:rsidR="00AB33EC" w:rsidRPr="003E75E2" w14:paraId="7DC23149" w14:textId="77777777" w:rsidTr="00B721B7">
        <w:trPr>
          <w:trHeight w:val="255"/>
        </w:trPr>
        <w:tc>
          <w:tcPr>
            <w:tcW w:w="4280" w:type="dxa"/>
            <w:tcBorders>
              <w:top w:val="nil"/>
              <w:left w:val="nil"/>
              <w:bottom w:val="nil"/>
              <w:right w:val="nil"/>
            </w:tcBorders>
            <w:shd w:val="clear" w:color="000000" w:fill="FFFFFF"/>
            <w:vAlign w:val="bottom"/>
            <w:hideMark/>
          </w:tcPr>
          <w:p w14:paraId="5993683E"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nil"/>
              <w:right w:val="nil"/>
            </w:tcBorders>
            <w:shd w:val="clear" w:color="000000" w:fill="FFFFFF"/>
            <w:vAlign w:val="bottom"/>
            <w:hideMark/>
          </w:tcPr>
          <w:p w14:paraId="071303F8"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nil"/>
              <w:right w:val="nil"/>
            </w:tcBorders>
            <w:shd w:val="clear" w:color="000000" w:fill="FFFFFF"/>
            <w:vAlign w:val="bottom"/>
            <w:hideMark/>
          </w:tcPr>
          <w:p w14:paraId="7F8BF4B7"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nil"/>
              <w:right w:val="nil"/>
            </w:tcBorders>
            <w:shd w:val="clear" w:color="auto" w:fill="F1F1F2" w:themeFill="accent5" w:themeFillTint="33"/>
            <w:vAlign w:val="bottom"/>
            <w:hideMark/>
          </w:tcPr>
          <w:p w14:paraId="37381674"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r>
      <w:tr w:rsidR="00AB33EC" w:rsidRPr="003E75E2" w14:paraId="489C45A2" w14:textId="77777777" w:rsidTr="00B721B7">
        <w:trPr>
          <w:trHeight w:val="255"/>
        </w:trPr>
        <w:tc>
          <w:tcPr>
            <w:tcW w:w="4280" w:type="dxa"/>
            <w:tcBorders>
              <w:top w:val="nil"/>
              <w:left w:val="nil"/>
              <w:bottom w:val="nil"/>
              <w:right w:val="nil"/>
            </w:tcBorders>
            <w:shd w:val="clear" w:color="000000" w:fill="FFFFFF"/>
            <w:vAlign w:val="bottom"/>
            <w:hideMark/>
          </w:tcPr>
          <w:p w14:paraId="1DE9B2DC" w14:textId="77777777" w:rsidR="00AB33EC" w:rsidRPr="00E80281" w:rsidRDefault="00AB33EC" w:rsidP="00B721B7">
            <w:pPr>
              <w:spacing w:after="8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Balance as at 1 July 2023</w:t>
            </w:r>
          </w:p>
        </w:tc>
        <w:tc>
          <w:tcPr>
            <w:tcW w:w="1660" w:type="dxa"/>
            <w:tcBorders>
              <w:top w:val="nil"/>
              <w:left w:val="nil"/>
              <w:bottom w:val="nil"/>
              <w:right w:val="nil"/>
            </w:tcBorders>
            <w:shd w:val="clear" w:color="000000" w:fill="FFFFFF"/>
            <w:vAlign w:val="bottom"/>
            <w:hideMark/>
          </w:tcPr>
          <w:p w14:paraId="297F66C8"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13,843</w:t>
            </w:r>
          </w:p>
        </w:tc>
        <w:tc>
          <w:tcPr>
            <w:tcW w:w="1660" w:type="dxa"/>
            <w:tcBorders>
              <w:top w:val="nil"/>
              <w:left w:val="nil"/>
              <w:bottom w:val="nil"/>
              <w:right w:val="nil"/>
            </w:tcBorders>
            <w:shd w:val="clear" w:color="000000" w:fill="FFFFFF"/>
            <w:vAlign w:val="bottom"/>
            <w:hideMark/>
          </w:tcPr>
          <w:p w14:paraId="1796DDBA"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16,168</w:t>
            </w:r>
          </w:p>
        </w:tc>
        <w:tc>
          <w:tcPr>
            <w:tcW w:w="1660" w:type="dxa"/>
            <w:tcBorders>
              <w:top w:val="nil"/>
              <w:left w:val="nil"/>
              <w:bottom w:val="nil"/>
              <w:right w:val="nil"/>
            </w:tcBorders>
            <w:shd w:val="clear" w:color="auto" w:fill="F1F1F2" w:themeFill="accent5" w:themeFillTint="33"/>
            <w:vAlign w:val="bottom"/>
            <w:hideMark/>
          </w:tcPr>
          <w:p w14:paraId="11C4DE99"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30,011</w:t>
            </w:r>
          </w:p>
        </w:tc>
      </w:tr>
      <w:tr w:rsidR="00AB33EC" w:rsidRPr="003E75E2" w14:paraId="15D3CAAC" w14:textId="77777777" w:rsidTr="00B721B7">
        <w:trPr>
          <w:trHeight w:val="255"/>
        </w:trPr>
        <w:tc>
          <w:tcPr>
            <w:tcW w:w="4280" w:type="dxa"/>
            <w:tcBorders>
              <w:top w:val="nil"/>
              <w:left w:val="nil"/>
              <w:bottom w:val="nil"/>
              <w:right w:val="nil"/>
            </w:tcBorders>
            <w:shd w:val="clear" w:color="000000" w:fill="FFFFFF"/>
            <w:vAlign w:val="bottom"/>
          </w:tcPr>
          <w:p w14:paraId="2E283E94" w14:textId="77777777" w:rsidR="00AB33EC" w:rsidRPr="00E80281" w:rsidRDefault="00AB33EC" w:rsidP="00B721B7">
            <w:pPr>
              <w:spacing w:after="80"/>
              <w:rPr>
                <w:rFonts w:asciiTheme="minorHAnsi" w:eastAsia="Times New Roman" w:hAnsiTheme="minorHAnsi" w:cstheme="minorHAnsi"/>
                <w:color w:val="000000"/>
                <w:szCs w:val="20"/>
                <w:lang w:eastAsia="en-AU"/>
              </w:rPr>
            </w:pPr>
          </w:p>
        </w:tc>
        <w:tc>
          <w:tcPr>
            <w:tcW w:w="1660" w:type="dxa"/>
            <w:tcBorders>
              <w:top w:val="nil"/>
              <w:left w:val="nil"/>
              <w:bottom w:val="nil"/>
              <w:right w:val="nil"/>
            </w:tcBorders>
            <w:shd w:val="clear" w:color="000000" w:fill="FFFFFF"/>
            <w:vAlign w:val="bottom"/>
          </w:tcPr>
          <w:p w14:paraId="58F58EBA"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660" w:type="dxa"/>
            <w:tcBorders>
              <w:top w:val="nil"/>
              <w:left w:val="nil"/>
              <w:bottom w:val="nil"/>
              <w:right w:val="nil"/>
            </w:tcBorders>
            <w:shd w:val="clear" w:color="000000" w:fill="FFFFFF"/>
            <w:noWrap/>
            <w:vAlign w:val="center"/>
          </w:tcPr>
          <w:p w14:paraId="5F71630A"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660" w:type="dxa"/>
            <w:tcBorders>
              <w:top w:val="nil"/>
              <w:left w:val="nil"/>
              <w:bottom w:val="nil"/>
              <w:right w:val="nil"/>
            </w:tcBorders>
            <w:shd w:val="clear" w:color="auto" w:fill="F1F1F2" w:themeFill="accent5" w:themeFillTint="33"/>
            <w:vAlign w:val="bottom"/>
          </w:tcPr>
          <w:p w14:paraId="1BF15EEF"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p>
        </w:tc>
      </w:tr>
      <w:tr w:rsidR="00AB33EC" w:rsidRPr="003E75E2" w14:paraId="6B8E7BC3" w14:textId="77777777" w:rsidTr="00B721B7">
        <w:trPr>
          <w:trHeight w:val="255"/>
        </w:trPr>
        <w:tc>
          <w:tcPr>
            <w:tcW w:w="4280" w:type="dxa"/>
            <w:tcBorders>
              <w:top w:val="nil"/>
              <w:left w:val="nil"/>
              <w:bottom w:val="nil"/>
              <w:right w:val="nil"/>
            </w:tcBorders>
            <w:shd w:val="clear" w:color="000000" w:fill="FFFFFF"/>
            <w:vAlign w:val="bottom"/>
            <w:hideMark/>
          </w:tcPr>
          <w:p w14:paraId="7912E5C6"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Operating result from continuing operations</w:t>
            </w:r>
          </w:p>
        </w:tc>
        <w:tc>
          <w:tcPr>
            <w:tcW w:w="1660" w:type="dxa"/>
            <w:tcBorders>
              <w:top w:val="nil"/>
              <w:left w:val="nil"/>
              <w:bottom w:val="nil"/>
              <w:right w:val="nil"/>
            </w:tcBorders>
            <w:shd w:val="clear" w:color="000000" w:fill="FFFFFF"/>
            <w:vAlign w:val="bottom"/>
            <w:hideMark/>
          </w:tcPr>
          <w:p w14:paraId="6505CD18"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(156)</w:t>
            </w:r>
          </w:p>
        </w:tc>
        <w:tc>
          <w:tcPr>
            <w:tcW w:w="1660" w:type="dxa"/>
            <w:tcBorders>
              <w:top w:val="nil"/>
              <w:left w:val="nil"/>
              <w:bottom w:val="nil"/>
              <w:right w:val="nil"/>
            </w:tcBorders>
            <w:shd w:val="clear" w:color="000000" w:fill="FFFFFF"/>
            <w:noWrap/>
            <w:vAlign w:val="center"/>
            <w:hideMark/>
          </w:tcPr>
          <w:p w14:paraId="2A9A0EC7"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w:t>
            </w:r>
          </w:p>
        </w:tc>
        <w:tc>
          <w:tcPr>
            <w:tcW w:w="1660" w:type="dxa"/>
            <w:tcBorders>
              <w:top w:val="nil"/>
              <w:left w:val="nil"/>
              <w:bottom w:val="nil"/>
              <w:right w:val="nil"/>
            </w:tcBorders>
            <w:shd w:val="clear" w:color="auto" w:fill="F1F1F2" w:themeFill="accent5" w:themeFillTint="33"/>
            <w:vAlign w:val="bottom"/>
          </w:tcPr>
          <w:p w14:paraId="7335A1D6"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Pr>
                <w:rFonts w:asciiTheme="minorHAnsi" w:eastAsia="Times New Roman" w:hAnsiTheme="minorHAnsi" w:cstheme="minorHAnsi"/>
                <w:b/>
                <w:bCs/>
                <w:color w:val="000000"/>
                <w:szCs w:val="20"/>
                <w:lang w:eastAsia="en-AU"/>
              </w:rPr>
              <w:t>(156)</w:t>
            </w:r>
          </w:p>
        </w:tc>
      </w:tr>
      <w:tr w:rsidR="00AB33EC" w:rsidRPr="003E75E2" w14:paraId="5F764291" w14:textId="77777777" w:rsidTr="00B721B7">
        <w:trPr>
          <w:trHeight w:val="255"/>
        </w:trPr>
        <w:tc>
          <w:tcPr>
            <w:tcW w:w="4280" w:type="dxa"/>
            <w:tcBorders>
              <w:top w:val="nil"/>
              <w:left w:val="nil"/>
              <w:bottom w:val="nil"/>
              <w:right w:val="nil"/>
            </w:tcBorders>
            <w:shd w:val="clear" w:color="000000" w:fill="FFFFFF"/>
            <w:vAlign w:val="bottom"/>
          </w:tcPr>
          <w:p w14:paraId="542ECCC4" w14:textId="77777777" w:rsidR="00AB33EC" w:rsidRPr="00E80281" w:rsidRDefault="00AB33EC" w:rsidP="00B721B7">
            <w:pPr>
              <w:spacing w:after="80"/>
              <w:rPr>
                <w:rFonts w:asciiTheme="minorHAnsi" w:eastAsia="Times New Roman" w:hAnsiTheme="minorHAnsi" w:cstheme="minorHAnsi"/>
                <w:color w:val="000000"/>
                <w:szCs w:val="20"/>
                <w:lang w:eastAsia="en-AU"/>
              </w:rPr>
            </w:pPr>
          </w:p>
        </w:tc>
        <w:tc>
          <w:tcPr>
            <w:tcW w:w="1660" w:type="dxa"/>
            <w:tcBorders>
              <w:top w:val="nil"/>
              <w:left w:val="nil"/>
              <w:bottom w:val="nil"/>
              <w:right w:val="nil"/>
            </w:tcBorders>
            <w:shd w:val="clear" w:color="000000" w:fill="FFFFFF"/>
            <w:vAlign w:val="bottom"/>
          </w:tcPr>
          <w:p w14:paraId="22726ED2" w14:textId="77777777" w:rsidR="00AB33EC" w:rsidRPr="00E80281" w:rsidRDefault="00AB33EC" w:rsidP="00B721B7">
            <w:pPr>
              <w:spacing w:after="80"/>
              <w:rPr>
                <w:rFonts w:asciiTheme="minorHAnsi" w:eastAsia="Times New Roman" w:hAnsiTheme="minorHAnsi" w:cstheme="minorHAnsi"/>
                <w:color w:val="000000"/>
                <w:szCs w:val="20"/>
                <w:lang w:eastAsia="en-AU"/>
              </w:rPr>
            </w:pPr>
          </w:p>
        </w:tc>
        <w:tc>
          <w:tcPr>
            <w:tcW w:w="1660" w:type="dxa"/>
            <w:tcBorders>
              <w:top w:val="nil"/>
              <w:left w:val="nil"/>
              <w:bottom w:val="nil"/>
              <w:right w:val="nil"/>
            </w:tcBorders>
            <w:shd w:val="clear" w:color="000000" w:fill="FFFFFF"/>
            <w:vAlign w:val="bottom"/>
          </w:tcPr>
          <w:p w14:paraId="1B122C2F" w14:textId="77777777" w:rsidR="00AB33EC" w:rsidRPr="00E80281" w:rsidRDefault="00AB33EC" w:rsidP="00B721B7">
            <w:pPr>
              <w:spacing w:after="80"/>
              <w:rPr>
                <w:rFonts w:asciiTheme="minorHAnsi" w:eastAsia="Times New Roman" w:hAnsiTheme="minorHAnsi" w:cstheme="minorHAnsi"/>
                <w:color w:val="000000"/>
                <w:szCs w:val="20"/>
                <w:lang w:eastAsia="en-AU"/>
              </w:rPr>
            </w:pPr>
          </w:p>
        </w:tc>
        <w:tc>
          <w:tcPr>
            <w:tcW w:w="1660" w:type="dxa"/>
            <w:tcBorders>
              <w:top w:val="nil"/>
              <w:left w:val="nil"/>
              <w:bottom w:val="nil"/>
              <w:right w:val="nil"/>
            </w:tcBorders>
            <w:shd w:val="clear" w:color="auto" w:fill="F1F1F2" w:themeFill="accent5" w:themeFillTint="33"/>
            <w:vAlign w:val="bottom"/>
          </w:tcPr>
          <w:p w14:paraId="2335BBE7" w14:textId="77777777" w:rsidR="00AB33EC" w:rsidRPr="00E80281" w:rsidRDefault="00AB33EC" w:rsidP="00B721B7">
            <w:pPr>
              <w:spacing w:after="80"/>
              <w:rPr>
                <w:rFonts w:asciiTheme="minorHAnsi" w:eastAsia="Times New Roman" w:hAnsiTheme="minorHAnsi" w:cstheme="minorHAnsi"/>
                <w:b/>
                <w:bCs/>
                <w:color w:val="000000"/>
                <w:szCs w:val="20"/>
                <w:lang w:eastAsia="en-AU"/>
              </w:rPr>
            </w:pPr>
          </w:p>
        </w:tc>
      </w:tr>
      <w:tr w:rsidR="00AB33EC" w:rsidRPr="003E75E2" w14:paraId="325B52CC" w14:textId="77777777" w:rsidTr="00C5404E">
        <w:trPr>
          <w:trHeight w:val="255"/>
        </w:trPr>
        <w:tc>
          <w:tcPr>
            <w:tcW w:w="4280" w:type="dxa"/>
            <w:tcBorders>
              <w:top w:val="nil"/>
              <w:left w:val="nil"/>
              <w:bottom w:val="nil"/>
              <w:right w:val="nil"/>
            </w:tcBorders>
            <w:shd w:val="clear" w:color="000000" w:fill="FFFFFF"/>
            <w:vAlign w:val="bottom"/>
            <w:hideMark/>
          </w:tcPr>
          <w:p w14:paraId="56E4909D"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single" w:sz="8" w:space="0" w:color="auto"/>
              <w:right w:val="nil"/>
            </w:tcBorders>
            <w:shd w:val="clear" w:color="000000" w:fill="FFFFFF"/>
            <w:vAlign w:val="bottom"/>
            <w:hideMark/>
          </w:tcPr>
          <w:p w14:paraId="198CAC02"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single" w:sz="8" w:space="0" w:color="auto"/>
              <w:right w:val="nil"/>
            </w:tcBorders>
            <w:shd w:val="clear" w:color="000000" w:fill="FFFFFF"/>
            <w:vAlign w:val="bottom"/>
            <w:hideMark/>
          </w:tcPr>
          <w:p w14:paraId="44AF7B74"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660" w:type="dxa"/>
            <w:tcBorders>
              <w:top w:val="nil"/>
              <w:left w:val="nil"/>
              <w:bottom w:val="single" w:sz="8" w:space="0" w:color="auto"/>
              <w:right w:val="nil"/>
            </w:tcBorders>
            <w:shd w:val="clear" w:color="auto" w:fill="F1F1F2" w:themeFill="accent5" w:themeFillTint="33"/>
            <w:vAlign w:val="bottom"/>
          </w:tcPr>
          <w:p w14:paraId="1B1FE9DC"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r>
      <w:tr w:rsidR="00AB33EC" w:rsidRPr="003E75E2" w14:paraId="11531256" w14:textId="77777777" w:rsidTr="00C5404E">
        <w:trPr>
          <w:trHeight w:val="255"/>
        </w:trPr>
        <w:tc>
          <w:tcPr>
            <w:tcW w:w="4280" w:type="dxa"/>
            <w:tcBorders>
              <w:top w:val="nil"/>
              <w:left w:val="nil"/>
              <w:bottom w:val="nil"/>
              <w:right w:val="nil"/>
            </w:tcBorders>
            <w:shd w:val="clear" w:color="000000" w:fill="FFFFFF"/>
            <w:vAlign w:val="bottom"/>
            <w:hideMark/>
          </w:tcPr>
          <w:p w14:paraId="74842696" w14:textId="77777777" w:rsidR="00AB33EC" w:rsidRPr="00E80281" w:rsidRDefault="00AB33EC" w:rsidP="00B721B7">
            <w:pPr>
              <w:spacing w:after="8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Balance as at 30 June 2024</w:t>
            </w:r>
          </w:p>
        </w:tc>
        <w:tc>
          <w:tcPr>
            <w:tcW w:w="1660" w:type="dxa"/>
            <w:tcBorders>
              <w:top w:val="single" w:sz="8" w:space="0" w:color="auto"/>
              <w:left w:val="nil"/>
              <w:bottom w:val="double" w:sz="4" w:space="0" w:color="auto"/>
              <w:right w:val="nil"/>
            </w:tcBorders>
            <w:shd w:val="clear" w:color="000000" w:fill="FFFFFF"/>
            <w:vAlign w:val="bottom"/>
            <w:hideMark/>
          </w:tcPr>
          <w:p w14:paraId="0CC93777"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Pr>
                <w:rFonts w:asciiTheme="minorHAnsi" w:eastAsia="Times New Roman" w:hAnsiTheme="minorHAnsi" w:cstheme="minorHAnsi"/>
                <w:b/>
                <w:bCs/>
                <w:color w:val="000000"/>
                <w:szCs w:val="20"/>
                <w:lang w:eastAsia="en-AU"/>
              </w:rPr>
              <w:t>13,687</w:t>
            </w:r>
          </w:p>
        </w:tc>
        <w:tc>
          <w:tcPr>
            <w:tcW w:w="1660" w:type="dxa"/>
            <w:tcBorders>
              <w:top w:val="single" w:sz="8" w:space="0" w:color="auto"/>
              <w:left w:val="nil"/>
              <w:bottom w:val="double" w:sz="4" w:space="0" w:color="auto"/>
              <w:right w:val="nil"/>
            </w:tcBorders>
            <w:shd w:val="clear" w:color="000000" w:fill="FFFFFF"/>
            <w:vAlign w:val="bottom"/>
            <w:hideMark/>
          </w:tcPr>
          <w:p w14:paraId="1E618428"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16,168</w:t>
            </w:r>
          </w:p>
        </w:tc>
        <w:tc>
          <w:tcPr>
            <w:tcW w:w="1660" w:type="dxa"/>
            <w:tcBorders>
              <w:top w:val="single" w:sz="8" w:space="0" w:color="auto"/>
              <w:left w:val="nil"/>
              <w:bottom w:val="double" w:sz="4" w:space="0" w:color="auto"/>
              <w:right w:val="nil"/>
            </w:tcBorders>
            <w:shd w:val="clear" w:color="auto" w:fill="F1F1F2" w:themeFill="accent5" w:themeFillTint="33"/>
            <w:vAlign w:val="bottom"/>
          </w:tcPr>
          <w:p w14:paraId="1E17C7A7"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Pr>
                <w:rFonts w:asciiTheme="minorHAnsi" w:eastAsia="Times New Roman" w:hAnsiTheme="minorHAnsi" w:cstheme="minorHAnsi"/>
                <w:b/>
                <w:bCs/>
                <w:color w:val="000000"/>
                <w:szCs w:val="20"/>
                <w:lang w:eastAsia="en-AU"/>
              </w:rPr>
              <w:t>29,855</w:t>
            </w:r>
          </w:p>
        </w:tc>
      </w:tr>
    </w:tbl>
    <w:p w14:paraId="3AF3175A" w14:textId="77777777" w:rsidR="00AB33EC" w:rsidRDefault="00AB33EC" w:rsidP="00AB33EC">
      <w:pPr>
        <w:pStyle w:val="Notes"/>
        <w:rPr>
          <w:rFonts w:cstheme="minorHAnsi"/>
          <w:i/>
        </w:rPr>
      </w:pPr>
    </w:p>
    <w:p w14:paraId="1AD3B4AF" w14:textId="77777777" w:rsidR="00AB33EC" w:rsidRPr="003E75E2" w:rsidRDefault="00AB33EC" w:rsidP="00AB33EC">
      <w:pPr>
        <w:pStyle w:val="Notes"/>
        <w:rPr>
          <w:rFonts w:cstheme="minorHAnsi"/>
          <w:i/>
        </w:rPr>
      </w:pPr>
      <w:r w:rsidRPr="003E75E2">
        <w:rPr>
          <w:rFonts w:cstheme="minorHAnsi"/>
          <w:i/>
        </w:rPr>
        <w:t>The accompanying notes form part of these statements.</w:t>
      </w:r>
    </w:p>
    <w:p w14:paraId="46C76102" w14:textId="77777777" w:rsidR="00AB33EC" w:rsidRPr="003E75E2" w:rsidRDefault="00AB33EC" w:rsidP="00AB33EC">
      <w:pPr>
        <w:spacing w:line="260" w:lineRule="atLeast"/>
        <w:rPr>
          <w:rFonts w:asciiTheme="minorHAnsi" w:hAnsiTheme="minorHAnsi" w:cstheme="minorHAnsi"/>
          <w:snapToGrid w:val="0"/>
          <w:szCs w:val="20"/>
        </w:rPr>
      </w:pPr>
    </w:p>
    <w:p w14:paraId="69E175D9" w14:textId="77777777" w:rsidR="00AB33EC" w:rsidRPr="003E75E2" w:rsidRDefault="00AB33EC" w:rsidP="00AB33EC">
      <w:pPr>
        <w:spacing w:line="260" w:lineRule="atLeast"/>
        <w:rPr>
          <w:rFonts w:asciiTheme="minorHAnsi" w:hAnsiTheme="minorHAnsi" w:cstheme="minorHAnsi"/>
          <w:snapToGrid w:val="0"/>
          <w:szCs w:val="20"/>
        </w:rPr>
      </w:pPr>
    </w:p>
    <w:p w14:paraId="0972E3CC" w14:textId="77777777" w:rsidR="00AB33EC" w:rsidRPr="003E75E2" w:rsidRDefault="00AB33EC" w:rsidP="00AB33EC">
      <w:pPr>
        <w:pStyle w:val="Notes"/>
        <w:rPr>
          <w:rFonts w:cstheme="minorHAnsi"/>
          <w:iCs/>
        </w:rPr>
      </w:pPr>
    </w:p>
    <w:p w14:paraId="1799B40C" w14:textId="77777777" w:rsidR="00AB33EC" w:rsidRPr="003E75E2" w:rsidRDefault="00AB33EC" w:rsidP="00AB33EC">
      <w:pPr>
        <w:tabs>
          <w:tab w:val="left" w:pos="7132"/>
        </w:tabs>
        <w:rPr>
          <w:rFonts w:asciiTheme="minorHAnsi" w:hAnsiTheme="minorHAnsi" w:cstheme="minorHAnsi"/>
        </w:rPr>
        <w:sectPr w:rsidR="00AB33EC" w:rsidRPr="003E75E2" w:rsidSect="00954847">
          <w:headerReference w:type="even" r:id="rId285"/>
          <w:headerReference w:type="default" r:id="rId286"/>
          <w:pgSz w:w="11906" w:h="16838"/>
          <w:pgMar w:top="1701" w:right="1418" w:bottom="1588" w:left="1418" w:header="709" w:footer="283" w:gutter="0"/>
          <w:cols w:space="708"/>
          <w:docGrid w:linePitch="360"/>
        </w:sectPr>
      </w:pPr>
    </w:p>
    <w:p w14:paraId="7E9CE6E7" w14:textId="77777777" w:rsidR="00AB33EC" w:rsidRPr="003E75E2" w:rsidRDefault="00AB33EC" w:rsidP="00AB33EC">
      <w:pPr>
        <w:pStyle w:val="Notes"/>
        <w:rPr>
          <w:rFonts w:cstheme="minorHAnsi"/>
          <w:i/>
        </w:rPr>
      </w:pPr>
    </w:p>
    <w:tbl>
      <w:tblPr>
        <w:tblW w:w="9494" w:type="dxa"/>
        <w:tblLook w:val="04A0" w:firstRow="1" w:lastRow="0" w:firstColumn="1" w:lastColumn="0" w:noHBand="0" w:noVBand="1"/>
      </w:tblPr>
      <w:tblGrid>
        <w:gridCol w:w="4481"/>
        <w:gridCol w:w="339"/>
        <w:gridCol w:w="706"/>
        <w:gridCol w:w="1134"/>
        <w:gridCol w:w="895"/>
        <w:gridCol w:w="1044"/>
        <w:gridCol w:w="895"/>
      </w:tblGrid>
      <w:tr w:rsidR="00AB33EC" w:rsidRPr="003E75E2" w14:paraId="01F61096" w14:textId="77777777" w:rsidTr="00B721B7">
        <w:trPr>
          <w:trHeight w:val="780"/>
        </w:trPr>
        <w:tc>
          <w:tcPr>
            <w:tcW w:w="4481" w:type="dxa"/>
            <w:tcBorders>
              <w:top w:val="nil"/>
              <w:left w:val="nil"/>
              <w:bottom w:val="nil"/>
              <w:right w:val="nil"/>
            </w:tcBorders>
            <w:shd w:val="clear" w:color="000000" w:fill="FFFFFF"/>
            <w:noWrap/>
            <w:vAlign w:val="bottom"/>
            <w:hideMark/>
          </w:tcPr>
          <w:p w14:paraId="6453351C" w14:textId="77777777" w:rsidR="00AB33EC" w:rsidRPr="00E80281" w:rsidRDefault="00AB33EC" w:rsidP="00B721B7">
            <w:pPr>
              <w:spacing w:after="80"/>
              <w:rPr>
                <w:rFonts w:asciiTheme="minorHAnsi" w:eastAsia="Times New Roman" w:hAnsiTheme="minorHAnsi" w:cstheme="minorHAnsi"/>
                <w:color w:val="000000"/>
                <w:lang w:eastAsia="en-AU"/>
              </w:rPr>
            </w:pPr>
            <w:r w:rsidRPr="00E80281">
              <w:rPr>
                <w:rFonts w:asciiTheme="minorHAnsi" w:eastAsia="Times New Roman" w:hAnsiTheme="minorHAnsi" w:cstheme="minorHAnsi"/>
                <w:color w:val="000000"/>
                <w:lang w:eastAsia="en-AU"/>
              </w:rPr>
              <w:t> </w:t>
            </w:r>
          </w:p>
        </w:tc>
        <w:tc>
          <w:tcPr>
            <w:tcW w:w="339" w:type="dxa"/>
            <w:tcBorders>
              <w:top w:val="nil"/>
              <w:left w:val="nil"/>
              <w:bottom w:val="nil"/>
              <w:right w:val="nil"/>
            </w:tcBorders>
            <w:shd w:val="clear" w:color="000000" w:fill="FFFFFF"/>
            <w:noWrap/>
            <w:vAlign w:val="center"/>
            <w:hideMark/>
          </w:tcPr>
          <w:p w14:paraId="6729637D" w14:textId="77777777" w:rsidR="00AB33EC" w:rsidRPr="00E80281" w:rsidRDefault="00AB33EC" w:rsidP="00B721B7">
            <w:pPr>
              <w:spacing w:after="80"/>
              <w:jc w:val="center"/>
              <w:rPr>
                <w:rFonts w:asciiTheme="minorHAnsi" w:eastAsia="Times New Roman" w:hAnsiTheme="minorHAnsi" w:cstheme="minorHAnsi"/>
                <w:b/>
                <w:bCs/>
                <w:color w:val="000000"/>
                <w:szCs w:val="20"/>
                <w:lang w:eastAsia="en-AU"/>
              </w:rPr>
            </w:pPr>
          </w:p>
        </w:tc>
        <w:tc>
          <w:tcPr>
            <w:tcW w:w="706" w:type="dxa"/>
            <w:tcBorders>
              <w:top w:val="nil"/>
              <w:left w:val="nil"/>
              <w:bottom w:val="nil"/>
              <w:right w:val="nil"/>
            </w:tcBorders>
            <w:shd w:val="clear" w:color="auto" w:fill="auto"/>
            <w:vAlign w:val="center"/>
          </w:tcPr>
          <w:p w14:paraId="39DA96F7"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Notes</w:t>
            </w:r>
          </w:p>
        </w:tc>
        <w:tc>
          <w:tcPr>
            <w:tcW w:w="1134" w:type="dxa"/>
            <w:tcBorders>
              <w:top w:val="nil"/>
              <w:left w:val="nil"/>
              <w:bottom w:val="nil"/>
              <w:right w:val="nil"/>
            </w:tcBorders>
            <w:shd w:val="clear" w:color="auto" w:fill="F1F1F2" w:themeFill="accent5" w:themeFillTint="33"/>
            <w:vAlign w:val="bottom"/>
            <w:hideMark/>
          </w:tcPr>
          <w:p w14:paraId="11DE526E"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2024</w:t>
            </w:r>
            <w:r w:rsidRPr="00E80281">
              <w:rPr>
                <w:rFonts w:asciiTheme="minorHAnsi" w:eastAsia="Times New Roman" w:hAnsiTheme="minorHAnsi" w:cstheme="minorHAnsi"/>
                <w:b/>
                <w:bCs/>
                <w:color w:val="000000"/>
                <w:szCs w:val="20"/>
                <w:lang w:eastAsia="en-AU"/>
              </w:rPr>
              <w:br/>
              <w:t>Actual</w:t>
            </w:r>
          </w:p>
          <w:p w14:paraId="190D117E"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895" w:type="dxa"/>
            <w:tcBorders>
              <w:top w:val="nil"/>
              <w:left w:val="nil"/>
              <w:bottom w:val="nil"/>
              <w:right w:val="nil"/>
            </w:tcBorders>
            <w:shd w:val="clear" w:color="000000" w:fill="FFFFFF"/>
            <w:vAlign w:val="bottom"/>
          </w:tcPr>
          <w:p w14:paraId="2564C5D9"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2024 Original Budget</w:t>
            </w:r>
          </w:p>
        </w:tc>
        <w:tc>
          <w:tcPr>
            <w:tcW w:w="1044" w:type="dxa"/>
            <w:tcBorders>
              <w:top w:val="nil"/>
              <w:left w:val="nil"/>
              <w:bottom w:val="nil"/>
              <w:right w:val="nil"/>
            </w:tcBorders>
            <w:shd w:val="clear" w:color="000000" w:fill="FFFFFF"/>
            <w:vAlign w:val="bottom"/>
          </w:tcPr>
          <w:p w14:paraId="2606DCB7"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xml:space="preserve">Budget </w:t>
            </w:r>
            <w:r w:rsidRPr="00E80281">
              <w:rPr>
                <w:rFonts w:asciiTheme="minorHAnsi" w:eastAsia="Times New Roman" w:hAnsiTheme="minorHAnsi" w:cstheme="minorHAnsi"/>
                <w:b/>
                <w:bCs/>
                <w:color w:val="000000"/>
                <w:szCs w:val="20"/>
                <w:lang w:eastAsia="en-AU"/>
              </w:rPr>
              <w:br/>
              <w:t>Variance*</w:t>
            </w:r>
          </w:p>
        </w:tc>
        <w:tc>
          <w:tcPr>
            <w:tcW w:w="895" w:type="dxa"/>
            <w:tcBorders>
              <w:top w:val="nil"/>
              <w:left w:val="nil"/>
              <w:bottom w:val="nil"/>
              <w:right w:val="nil"/>
            </w:tcBorders>
            <w:shd w:val="clear" w:color="000000" w:fill="FFFFFF"/>
            <w:vAlign w:val="bottom"/>
            <w:hideMark/>
          </w:tcPr>
          <w:p w14:paraId="704E2BDF"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2023</w:t>
            </w:r>
            <w:r w:rsidRPr="00E80281">
              <w:rPr>
                <w:rFonts w:asciiTheme="minorHAnsi" w:eastAsia="Times New Roman" w:hAnsiTheme="minorHAnsi" w:cstheme="minorHAnsi"/>
                <w:b/>
                <w:bCs/>
                <w:color w:val="000000"/>
                <w:szCs w:val="20"/>
                <w:lang w:eastAsia="en-AU"/>
              </w:rPr>
              <w:br/>
              <w:t>Actual</w:t>
            </w:r>
          </w:p>
        </w:tc>
      </w:tr>
      <w:tr w:rsidR="00AB33EC" w:rsidRPr="003E75E2" w14:paraId="3E8BF5E3" w14:textId="77777777" w:rsidTr="00B721B7">
        <w:trPr>
          <w:trHeight w:val="300"/>
        </w:trPr>
        <w:tc>
          <w:tcPr>
            <w:tcW w:w="4481" w:type="dxa"/>
            <w:tcBorders>
              <w:top w:val="nil"/>
              <w:left w:val="nil"/>
              <w:bottom w:val="nil"/>
              <w:right w:val="nil"/>
            </w:tcBorders>
            <w:shd w:val="clear" w:color="000000" w:fill="FFFFFF"/>
            <w:noWrap/>
            <w:vAlign w:val="center"/>
            <w:hideMark/>
          </w:tcPr>
          <w:p w14:paraId="57E706A9" w14:textId="77777777" w:rsidR="00AB33EC" w:rsidRPr="00E80281" w:rsidRDefault="00AB33EC" w:rsidP="00B721B7">
            <w:pPr>
              <w:spacing w:after="8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Cash flows from operating activities</w:t>
            </w:r>
          </w:p>
        </w:tc>
        <w:tc>
          <w:tcPr>
            <w:tcW w:w="339" w:type="dxa"/>
            <w:tcBorders>
              <w:top w:val="nil"/>
              <w:left w:val="nil"/>
              <w:bottom w:val="nil"/>
              <w:right w:val="nil"/>
            </w:tcBorders>
            <w:shd w:val="clear" w:color="000000" w:fill="FFFFFF"/>
            <w:vAlign w:val="center"/>
            <w:hideMark/>
          </w:tcPr>
          <w:p w14:paraId="54F755C4"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2FA21EEA"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p>
        </w:tc>
        <w:tc>
          <w:tcPr>
            <w:tcW w:w="1134" w:type="dxa"/>
            <w:tcBorders>
              <w:top w:val="nil"/>
              <w:left w:val="nil"/>
              <w:bottom w:val="nil"/>
              <w:right w:val="nil"/>
            </w:tcBorders>
            <w:shd w:val="clear" w:color="auto" w:fill="F1F1F2" w:themeFill="accent5" w:themeFillTint="33"/>
            <w:noWrap/>
            <w:vAlign w:val="center"/>
            <w:hideMark/>
          </w:tcPr>
          <w:p w14:paraId="7988C142"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$’000</w:t>
            </w:r>
          </w:p>
        </w:tc>
        <w:tc>
          <w:tcPr>
            <w:tcW w:w="895" w:type="dxa"/>
            <w:tcBorders>
              <w:top w:val="nil"/>
              <w:left w:val="nil"/>
              <w:bottom w:val="nil"/>
              <w:right w:val="nil"/>
            </w:tcBorders>
            <w:shd w:val="clear" w:color="000000" w:fill="FFFFFF"/>
            <w:vAlign w:val="center"/>
          </w:tcPr>
          <w:p w14:paraId="0E6B0168"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$’000</w:t>
            </w:r>
          </w:p>
        </w:tc>
        <w:tc>
          <w:tcPr>
            <w:tcW w:w="1044" w:type="dxa"/>
            <w:tcBorders>
              <w:top w:val="nil"/>
              <w:left w:val="nil"/>
              <w:bottom w:val="nil"/>
              <w:right w:val="nil"/>
            </w:tcBorders>
            <w:shd w:val="clear" w:color="000000" w:fill="FFFFFF"/>
            <w:vAlign w:val="center"/>
          </w:tcPr>
          <w:p w14:paraId="3A21B325"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$’000</w:t>
            </w:r>
          </w:p>
        </w:tc>
        <w:tc>
          <w:tcPr>
            <w:tcW w:w="895" w:type="dxa"/>
            <w:tcBorders>
              <w:top w:val="nil"/>
              <w:left w:val="nil"/>
              <w:bottom w:val="nil"/>
              <w:right w:val="nil"/>
            </w:tcBorders>
            <w:shd w:val="clear" w:color="000000" w:fill="FFFFFF"/>
            <w:vAlign w:val="center"/>
            <w:hideMark/>
          </w:tcPr>
          <w:p w14:paraId="39E26D68"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$’000</w:t>
            </w:r>
          </w:p>
        </w:tc>
      </w:tr>
      <w:tr w:rsidR="00AB33EC" w:rsidRPr="003E75E2" w14:paraId="60F0EEF6" w14:textId="77777777" w:rsidTr="00B721B7">
        <w:trPr>
          <w:trHeight w:val="300"/>
        </w:trPr>
        <w:tc>
          <w:tcPr>
            <w:tcW w:w="4481" w:type="dxa"/>
            <w:tcBorders>
              <w:top w:val="nil"/>
              <w:left w:val="nil"/>
              <w:bottom w:val="nil"/>
              <w:right w:val="nil"/>
            </w:tcBorders>
            <w:shd w:val="clear" w:color="000000" w:fill="FFFFFF"/>
            <w:noWrap/>
            <w:vAlign w:val="center"/>
            <w:hideMark/>
          </w:tcPr>
          <w:p w14:paraId="1A64EDC5" w14:textId="77777777" w:rsidR="00AB33EC" w:rsidRPr="00E80281" w:rsidRDefault="00AB33EC" w:rsidP="00B721B7">
            <w:pPr>
              <w:spacing w:after="80"/>
              <w:rPr>
                <w:rFonts w:asciiTheme="minorHAnsi" w:eastAsia="Times New Roman" w:hAnsiTheme="minorHAnsi" w:cstheme="minorHAnsi"/>
                <w:b/>
                <w:bCs/>
                <w:i/>
                <w:iCs/>
                <w:color w:val="000000"/>
                <w:szCs w:val="20"/>
                <w:lang w:eastAsia="en-AU"/>
              </w:rPr>
            </w:pPr>
            <w:r w:rsidRPr="00E80281">
              <w:rPr>
                <w:rFonts w:asciiTheme="minorHAnsi" w:eastAsia="Times New Roman" w:hAnsiTheme="minorHAnsi" w:cstheme="minorHAnsi"/>
                <w:b/>
                <w:bCs/>
                <w:i/>
                <w:iCs/>
                <w:color w:val="000000"/>
                <w:szCs w:val="20"/>
                <w:lang w:eastAsia="en-AU"/>
              </w:rPr>
              <w:t>Inflows</w:t>
            </w:r>
          </w:p>
        </w:tc>
        <w:tc>
          <w:tcPr>
            <w:tcW w:w="339" w:type="dxa"/>
            <w:tcBorders>
              <w:top w:val="nil"/>
              <w:left w:val="nil"/>
              <w:bottom w:val="nil"/>
              <w:right w:val="nil"/>
            </w:tcBorders>
            <w:shd w:val="clear" w:color="000000" w:fill="FFFFFF"/>
            <w:noWrap/>
            <w:vAlign w:val="center"/>
            <w:hideMark/>
          </w:tcPr>
          <w:p w14:paraId="2D024C0D" w14:textId="77777777" w:rsidR="00AB33EC" w:rsidRPr="00E80281" w:rsidRDefault="00AB33EC" w:rsidP="00B721B7">
            <w:pPr>
              <w:spacing w:after="80"/>
              <w:jc w:val="center"/>
              <w:rPr>
                <w:rFonts w:asciiTheme="minorHAnsi" w:eastAsia="Times New Roman" w:hAnsiTheme="minorHAnsi" w:cstheme="minorHAnsi"/>
                <w:i/>
                <w:iCs/>
                <w:color w:val="000000"/>
                <w:szCs w:val="20"/>
                <w:lang w:eastAsia="en-AU"/>
              </w:rPr>
            </w:pPr>
            <w:r w:rsidRPr="00E80281">
              <w:rPr>
                <w:rFonts w:asciiTheme="minorHAnsi" w:eastAsia="Times New Roman" w:hAnsiTheme="minorHAnsi" w:cstheme="minorHAnsi"/>
                <w:i/>
                <w:iCs/>
                <w:color w:val="000000"/>
                <w:szCs w:val="20"/>
                <w:lang w:eastAsia="en-AU"/>
              </w:rPr>
              <w:t> </w:t>
            </w:r>
          </w:p>
        </w:tc>
        <w:tc>
          <w:tcPr>
            <w:tcW w:w="706" w:type="dxa"/>
            <w:tcBorders>
              <w:top w:val="nil"/>
              <w:left w:val="nil"/>
              <w:bottom w:val="nil"/>
              <w:right w:val="nil"/>
            </w:tcBorders>
            <w:shd w:val="clear" w:color="auto" w:fill="auto"/>
          </w:tcPr>
          <w:p w14:paraId="4C2C4C03" w14:textId="77777777" w:rsidR="00AB33EC" w:rsidRPr="00E80281" w:rsidRDefault="00AB33EC" w:rsidP="00B721B7">
            <w:pPr>
              <w:spacing w:after="80"/>
              <w:jc w:val="right"/>
              <w:rPr>
                <w:rFonts w:asciiTheme="minorHAnsi" w:eastAsia="Times New Roman" w:hAnsiTheme="minorHAnsi" w:cstheme="minorHAnsi"/>
                <w:b/>
                <w:bCs/>
                <w:i/>
                <w:iCs/>
                <w:color w:val="000000"/>
                <w:szCs w:val="20"/>
                <w:lang w:eastAsia="en-AU"/>
              </w:rPr>
            </w:pPr>
          </w:p>
        </w:tc>
        <w:tc>
          <w:tcPr>
            <w:tcW w:w="1134" w:type="dxa"/>
            <w:tcBorders>
              <w:top w:val="nil"/>
              <w:left w:val="nil"/>
              <w:bottom w:val="nil"/>
              <w:right w:val="nil"/>
            </w:tcBorders>
            <w:shd w:val="clear" w:color="auto" w:fill="F1F1F2" w:themeFill="accent5" w:themeFillTint="33"/>
            <w:noWrap/>
            <w:vAlign w:val="center"/>
            <w:hideMark/>
          </w:tcPr>
          <w:p w14:paraId="5A6CFF42" w14:textId="77777777" w:rsidR="00AB33EC" w:rsidRPr="004E0D64" w:rsidRDefault="00AB33EC" w:rsidP="00B721B7">
            <w:pPr>
              <w:spacing w:after="80"/>
              <w:jc w:val="right"/>
              <w:rPr>
                <w:rFonts w:asciiTheme="minorHAnsi" w:eastAsia="Times New Roman" w:hAnsiTheme="minorHAnsi" w:cstheme="minorHAnsi"/>
                <w:i/>
                <w:iCs/>
                <w:color w:val="000000"/>
                <w:szCs w:val="20"/>
                <w:lang w:eastAsia="en-AU"/>
              </w:rPr>
            </w:pPr>
            <w:r w:rsidRPr="004E0D64">
              <w:rPr>
                <w:rFonts w:asciiTheme="minorHAnsi" w:eastAsia="Times New Roman" w:hAnsiTheme="minorHAnsi" w:cstheme="minorHAnsi"/>
                <w:i/>
                <w:iCs/>
                <w:color w:val="000000"/>
                <w:szCs w:val="20"/>
                <w:lang w:eastAsia="en-AU"/>
              </w:rPr>
              <w:t> </w:t>
            </w:r>
          </w:p>
        </w:tc>
        <w:tc>
          <w:tcPr>
            <w:tcW w:w="895" w:type="dxa"/>
            <w:tcBorders>
              <w:top w:val="nil"/>
              <w:left w:val="nil"/>
              <w:bottom w:val="nil"/>
              <w:right w:val="nil"/>
            </w:tcBorders>
            <w:shd w:val="clear" w:color="000000" w:fill="FFFFFF"/>
          </w:tcPr>
          <w:p w14:paraId="22895D99" w14:textId="77777777" w:rsidR="00AB33EC" w:rsidRPr="004E0D64" w:rsidRDefault="00AB33EC" w:rsidP="00B721B7">
            <w:pPr>
              <w:spacing w:after="80"/>
              <w:jc w:val="right"/>
              <w:rPr>
                <w:rFonts w:asciiTheme="minorHAnsi" w:eastAsia="Times New Roman" w:hAnsiTheme="minorHAnsi" w:cstheme="minorHAnsi"/>
                <w:b/>
                <w:bCs/>
                <w:i/>
                <w:iCs/>
                <w:color w:val="000000"/>
                <w:szCs w:val="20"/>
                <w:lang w:eastAsia="en-AU"/>
              </w:rPr>
            </w:pPr>
          </w:p>
        </w:tc>
        <w:tc>
          <w:tcPr>
            <w:tcW w:w="1044" w:type="dxa"/>
            <w:tcBorders>
              <w:top w:val="nil"/>
              <w:left w:val="nil"/>
              <w:bottom w:val="nil"/>
              <w:right w:val="nil"/>
            </w:tcBorders>
            <w:shd w:val="clear" w:color="000000" w:fill="FFFFFF"/>
          </w:tcPr>
          <w:p w14:paraId="0AD8692A" w14:textId="77777777" w:rsidR="00AB33EC" w:rsidRPr="004E0D64" w:rsidRDefault="00AB33EC" w:rsidP="00B721B7">
            <w:pPr>
              <w:spacing w:after="80"/>
              <w:jc w:val="right"/>
              <w:rPr>
                <w:rFonts w:asciiTheme="minorHAnsi" w:eastAsia="Times New Roman" w:hAnsiTheme="minorHAnsi" w:cstheme="minorHAnsi"/>
                <w:b/>
                <w:bCs/>
                <w:i/>
                <w:iCs/>
                <w:color w:val="000000"/>
                <w:szCs w:val="20"/>
                <w:lang w:eastAsia="en-AU"/>
              </w:rPr>
            </w:pPr>
          </w:p>
        </w:tc>
        <w:tc>
          <w:tcPr>
            <w:tcW w:w="895" w:type="dxa"/>
            <w:tcBorders>
              <w:top w:val="nil"/>
              <w:left w:val="nil"/>
              <w:bottom w:val="nil"/>
              <w:right w:val="nil"/>
            </w:tcBorders>
            <w:shd w:val="clear" w:color="000000" w:fill="FFFFFF"/>
            <w:vAlign w:val="center"/>
            <w:hideMark/>
          </w:tcPr>
          <w:p w14:paraId="2B4714AD" w14:textId="77777777" w:rsidR="00AB33EC" w:rsidRPr="004E0D64" w:rsidRDefault="00AB33EC" w:rsidP="00B721B7">
            <w:pPr>
              <w:spacing w:after="80"/>
              <w:jc w:val="right"/>
              <w:rPr>
                <w:rFonts w:asciiTheme="minorHAnsi" w:eastAsia="Times New Roman" w:hAnsiTheme="minorHAnsi" w:cstheme="minorHAnsi"/>
                <w:b/>
                <w:bCs/>
                <w:i/>
                <w:iCs/>
                <w:color w:val="000000"/>
                <w:szCs w:val="20"/>
                <w:lang w:eastAsia="en-AU"/>
              </w:rPr>
            </w:pPr>
            <w:r w:rsidRPr="004E0D64">
              <w:rPr>
                <w:rFonts w:asciiTheme="minorHAnsi" w:eastAsia="Times New Roman" w:hAnsiTheme="minorHAnsi" w:cstheme="minorHAnsi"/>
                <w:b/>
                <w:bCs/>
                <w:i/>
                <w:iCs/>
                <w:color w:val="000000"/>
                <w:szCs w:val="20"/>
                <w:lang w:eastAsia="en-AU"/>
              </w:rPr>
              <w:t> </w:t>
            </w:r>
          </w:p>
        </w:tc>
      </w:tr>
      <w:tr w:rsidR="00AB33EC" w:rsidRPr="003E75E2" w14:paraId="41F310C7" w14:textId="77777777" w:rsidTr="00B721B7">
        <w:trPr>
          <w:trHeight w:val="300"/>
        </w:trPr>
        <w:tc>
          <w:tcPr>
            <w:tcW w:w="4820" w:type="dxa"/>
            <w:gridSpan w:val="2"/>
            <w:tcBorders>
              <w:top w:val="nil"/>
              <w:left w:val="nil"/>
              <w:bottom w:val="nil"/>
              <w:right w:val="nil"/>
            </w:tcBorders>
            <w:shd w:val="clear" w:color="000000" w:fill="FFFFFF"/>
            <w:noWrap/>
            <w:vAlign w:val="center"/>
            <w:hideMark/>
          </w:tcPr>
          <w:p w14:paraId="160C4376"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xml:space="preserve">Grants and other contributions                                                                                     </w:t>
            </w:r>
          </w:p>
        </w:tc>
        <w:tc>
          <w:tcPr>
            <w:tcW w:w="706" w:type="dxa"/>
            <w:tcBorders>
              <w:top w:val="nil"/>
              <w:left w:val="nil"/>
              <w:bottom w:val="nil"/>
              <w:right w:val="nil"/>
            </w:tcBorders>
            <w:shd w:val="clear" w:color="auto" w:fill="auto"/>
          </w:tcPr>
          <w:p w14:paraId="6F84D583"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2</w:t>
            </w:r>
          </w:p>
        </w:tc>
        <w:tc>
          <w:tcPr>
            <w:tcW w:w="1134" w:type="dxa"/>
            <w:tcBorders>
              <w:top w:val="nil"/>
              <w:left w:val="nil"/>
              <w:bottom w:val="nil"/>
              <w:right w:val="nil"/>
            </w:tcBorders>
            <w:shd w:val="clear" w:color="auto" w:fill="F1F1F2" w:themeFill="accent5" w:themeFillTint="33"/>
            <w:vAlign w:val="center"/>
          </w:tcPr>
          <w:p w14:paraId="56000603"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69,050</w:t>
            </w:r>
          </w:p>
        </w:tc>
        <w:tc>
          <w:tcPr>
            <w:tcW w:w="895" w:type="dxa"/>
            <w:tcBorders>
              <w:top w:val="nil"/>
              <w:left w:val="nil"/>
              <w:bottom w:val="nil"/>
              <w:right w:val="nil"/>
            </w:tcBorders>
            <w:shd w:val="clear" w:color="000000" w:fill="FFFFFF"/>
            <w:vAlign w:val="center"/>
          </w:tcPr>
          <w:p w14:paraId="59F39201"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73,543</w:t>
            </w:r>
          </w:p>
        </w:tc>
        <w:tc>
          <w:tcPr>
            <w:tcW w:w="1044" w:type="dxa"/>
            <w:tcBorders>
              <w:top w:val="nil"/>
              <w:left w:val="nil"/>
              <w:bottom w:val="nil"/>
              <w:right w:val="nil"/>
            </w:tcBorders>
            <w:shd w:val="clear" w:color="000000" w:fill="FFFFFF"/>
            <w:vAlign w:val="center"/>
          </w:tcPr>
          <w:p w14:paraId="7035264C"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(4,493)</w:t>
            </w:r>
          </w:p>
        </w:tc>
        <w:tc>
          <w:tcPr>
            <w:tcW w:w="895" w:type="dxa"/>
            <w:tcBorders>
              <w:top w:val="nil"/>
              <w:left w:val="nil"/>
              <w:bottom w:val="nil"/>
              <w:right w:val="nil"/>
            </w:tcBorders>
            <w:shd w:val="clear" w:color="auto" w:fill="auto"/>
            <w:vAlign w:val="center"/>
            <w:hideMark/>
          </w:tcPr>
          <w:p w14:paraId="420B2E11"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67,045</w:t>
            </w:r>
          </w:p>
        </w:tc>
      </w:tr>
      <w:tr w:rsidR="00AB33EC" w:rsidRPr="003E75E2" w14:paraId="07C9CC02" w14:textId="77777777" w:rsidTr="00B721B7">
        <w:trPr>
          <w:trHeight w:val="300"/>
        </w:trPr>
        <w:tc>
          <w:tcPr>
            <w:tcW w:w="4481" w:type="dxa"/>
            <w:tcBorders>
              <w:top w:val="nil"/>
              <w:left w:val="nil"/>
              <w:bottom w:val="nil"/>
              <w:right w:val="nil"/>
            </w:tcBorders>
            <w:shd w:val="clear" w:color="000000" w:fill="FFFFFF"/>
            <w:noWrap/>
            <w:vAlign w:val="center"/>
            <w:hideMark/>
          </w:tcPr>
          <w:p w14:paraId="24D76A87"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Interest receipts</w:t>
            </w:r>
          </w:p>
        </w:tc>
        <w:tc>
          <w:tcPr>
            <w:tcW w:w="339" w:type="dxa"/>
            <w:tcBorders>
              <w:top w:val="nil"/>
              <w:left w:val="nil"/>
              <w:bottom w:val="nil"/>
              <w:right w:val="nil"/>
            </w:tcBorders>
            <w:shd w:val="clear" w:color="000000" w:fill="FFFFFF"/>
            <w:noWrap/>
            <w:vAlign w:val="center"/>
            <w:hideMark/>
          </w:tcPr>
          <w:p w14:paraId="771E7469"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6664E943"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nil"/>
              <w:right w:val="nil"/>
            </w:tcBorders>
            <w:shd w:val="clear" w:color="auto" w:fill="F1F1F2" w:themeFill="accent5" w:themeFillTint="33"/>
          </w:tcPr>
          <w:p w14:paraId="485598C4"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 xml:space="preserve">1,632 </w:t>
            </w:r>
          </w:p>
        </w:tc>
        <w:tc>
          <w:tcPr>
            <w:tcW w:w="895" w:type="dxa"/>
            <w:tcBorders>
              <w:top w:val="nil"/>
              <w:left w:val="nil"/>
              <w:bottom w:val="nil"/>
              <w:right w:val="nil"/>
            </w:tcBorders>
            <w:shd w:val="clear" w:color="000000" w:fill="FFFFFF"/>
            <w:vAlign w:val="center"/>
          </w:tcPr>
          <w:p w14:paraId="16D2607C"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800</w:t>
            </w:r>
          </w:p>
        </w:tc>
        <w:tc>
          <w:tcPr>
            <w:tcW w:w="1044" w:type="dxa"/>
            <w:tcBorders>
              <w:top w:val="nil"/>
              <w:left w:val="nil"/>
              <w:bottom w:val="nil"/>
              <w:right w:val="nil"/>
            </w:tcBorders>
            <w:shd w:val="clear" w:color="000000" w:fill="FFFFFF"/>
          </w:tcPr>
          <w:p w14:paraId="1FCC4140"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 xml:space="preserve"> 832 </w:t>
            </w:r>
          </w:p>
        </w:tc>
        <w:tc>
          <w:tcPr>
            <w:tcW w:w="895" w:type="dxa"/>
            <w:tcBorders>
              <w:top w:val="nil"/>
              <w:left w:val="nil"/>
              <w:bottom w:val="nil"/>
              <w:right w:val="nil"/>
            </w:tcBorders>
            <w:shd w:val="clear" w:color="auto" w:fill="auto"/>
            <w:vAlign w:val="center"/>
            <w:hideMark/>
          </w:tcPr>
          <w:p w14:paraId="79F003AC"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913</w:t>
            </w:r>
          </w:p>
        </w:tc>
      </w:tr>
      <w:tr w:rsidR="00AB33EC" w:rsidRPr="003E75E2" w14:paraId="5EAD447D" w14:textId="77777777" w:rsidTr="00B721B7">
        <w:trPr>
          <w:trHeight w:val="300"/>
        </w:trPr>
        <w:tc>
          <w:tcPr>
            <w:tcW w:w="4481" w:type="dxa"/>
            <w:tcBorders>
              <w:top w:val="nil"/>
              <w:left w:val="nil"/>
              <w:bottom w:val="nil"/>
              <w:right w:val="nil"/>
            </w:tcBorders>
            <w:shd w:val="clear" w:color="000000" w:fill="FFFFFF"/>
            <w:noWrap/>
            <w:vAlign w:val="center"/>
            <w:hideMark/>
          </w:tcPr>
          <w:p w14:paraId="63A41934"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GST input tax credits from ATO</w:t>
            </w:r>
          </w:p>
        </w:tc>
        <w:tc>
          <w:tcPr>
            <w:tcW w:w="339" w:type="dxa"/>
            <w:tcBorders>
              <w:top w:val="nil"/>
              <w:left w:val="nil"/>
              <w:bottom w:val="nil"/>
              <w:right w:val="nil"/>
            </w:tcBorders>
            <w:shd w:val="clear" w:color="000000" w:fill="FFFFFF"/>
            <w:noWrap/>
            <w:vAlign w:val="center"/>
            <w:hideMark/>
          </w:tcPr>
          <w:p w14:paraId="2967CDBD"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0E4C8A14"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nil"/>
              <w:right w:val="nil"/>
            </w:tcBorders>
            <w:shd w:val="clear" w:color="auto" w:fill="F1F1F2" w:themeFill="accent5" w:themeFillTint="33"/>
          </w:tcPr>
          <w:p w14:paraId="2959E082"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 xml:space="preserve">1,679 </w:t>
            </w:r>
          </w:p>
        </w:tc>
        <w:tc>
          <w:tcPr>
            <w:tcW w:w="895" w:type="dxa"/>
            <w:tcBorders>
              <w:top w:val="nil"/>
              <w:left w:val="nil"/>
              <w:bottom w:val="nil"/>
              <w:right w:val="nil"/>
            </w:tcBorders>
            <w:shd w:val="clear" w:color="000000" w:fill="FFFFFF"/>
            <w:vAlign w:val="center"/>
          </w:tcPr>
          <w:p w14:paraId="78069A63"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1,166</w:t>
            </w:r>
          </w:p>
        </w:tc>
        <w:tc>
          <w:tcPr>
            <w:tcW w:w="1044" w:type="dxa"/>
            <w:tcBorders>
              <w:top w:val="nil"/>
              <w:left w:val="nil"/>
              <w:bottom w:val="nil"/>
              <w:right w:val="nil"/>
            </w:tcBorders>
            <w:shd w:val="clear" w:color="000000" w:fill="FFFFFF"/>
          </w:tcPr>
          <w:p w14:paraId="305DCCE4"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 xml:space="preserve"> 513 </w:t>
            </w:r>
          </w:p>
        </w:tc>
        <w:tc>
          <w:tcPr>
            <w:tcW w:w="895" w:type="dxa"/>
            <w:tcBorders>
              <w:top w:val="nil"/>
              <w:left w:val="nil"/>
              <w:bottom w:val="nil"/>
              <w:right w:val="nil"/>
            </w:tcBorders>
            <w:shd w:val="clear" w:color="auto" w:fill="auto"/>
            <w:vAlign w:val="center"/>
            <w:hideMark/>
          </w:tcPr>
          <w:p w14:paraId="198A034C"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1,585</w:t>
            </w:r>
          </w:p>
        </w:tc>
      </w:tr>
      <w:tr w:rsidR="00AB33EC" w:rsidRPr="003E75E2" w14:paraId="3BFDB5D0" w14:textId="77777777" w:rsidTr="00B721B7">
        <w:trPr>
          <w:trHeight w:val="300"/>
        </w:trPr>
        <w:tc>
          <w:tcPr>
            <w:tcW w:w="4481" w:type="dxa"/>
            <w:tcBorders>
              <w:top w:val="nil"/>
              <w:left w:val="nil"/>
              <w:bottom w:val="nil"/>
              <w:right w:val="nil"/>
            </w:tcBorders>
            <w:shd w:val="clear" w:color="000000" w:fill="FFFFFF"/>
            <w:noWrap/>
            <w:vAlign w:val="center"/>
            <w:hideMark/>
          </w:tcPr>
          <w:p w14:paraId="38294CFF"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GST collected from customers</w:t>
            </w:r>
          </w:p>
        </w:tc>
        <w:tc>
          <w:tcPr>
            <w:tcW w:w="339" w:type="dxa"/>
            <w:tcBorders>
              <w:top w:val="nil"/>
              <w:left w:val="nil"/>
              <w:bottom w:val="nil"/>
              <w:right w:val="nil"/>
            </w:tcBorders>
            <w:shd w:val="clear" w:color="000000" w:fill="FFFFFF"/>
            <w:noWrap/>
            <w:vAlign w:val="center"/>
            <w:hideMark/>
          </w:tcPr>
          <w:p w14:paraId="237BA775"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59D3FEA8"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nil"/>
              <w:right w:val="nil"/>
            </w:tcBorders>
            <w:shd w:val="clear" w:color="auto" w:fill="F1F1F2" w:themeFill="accent5" w:themeFillTint="33"/>
          </w:tcPr>
          <w:p w14:paraId="34DD53FD"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 xml:space="preserve">27 </w:t>
            </w:r>
          </w:p>
        </w:tc>
        <w:tc>
          <w:tcPr>
            <w:tcW w:w="895" w:type="dxa"/>
            <w:tcBorders>
              <w:top w:val="nil"/>
              <w:left w:val="nil"/>
              <w:bottom w:val="nil"/>
              <w:right w:val="nil"/>
            </w:tcBorders>
            <w:shd w:val="clear" w:color="000000" w:fill="FFFFFF"/>
            <w:vAlign w:val="center"/>
          </w:tcPr>
          <w:p w14:paraId="29EBEC66"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w:t>
            </w:r>
          </w:p>
        </w:tc>
        <w:tc>
          <w:tcPr>
            <w:tcW w:w="1044" w:type="dxa"/>
            <w:tcBorders>
              <w:top w:val="nil"/>
              <w:left w:val="nil"/>
              <w:bottom w:val="nil"/>
              <w:right w:val="nil"/>
            </w:tcBorders>
            <w:shd w:val="clear" w:color="000000" w:fill="FFFFFF"/>
          </w:tcPr>
          <w:p w14:paraId="5AD8D693"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 xml:space="preserve"> 27 </w:t>
            </w:r>
          </w:p>
        </w:tc>
        <w:tc>
          <w:tcPr>
            <w:tcW w:w="895" w:type="dxa"/>
            <w:tcBorders>
              <w:top w:val="nil"/>
              <w:left w:val="nil"/>
              <w:bottom w:val="nil"/>
              <w:right w:val="nil"/>
            </w:tcBorders>
            <w:shd w:val="clear" w:color="auto" w:fill="auto"/>
            <w:vAlign w:val="center"/>
            <w:hideMark/>
          </w:tcPr>
          <w:p w14:paraId="4BACB738"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29</w:t>
            </w:r>
          </w:p>
        </w:tc>
      </w:tr>
      <w:tr w:rsidR="00AB33EC" w:rsidRPr="003E75E2" w14:paraId="10CBA5A8" w14:textId="77777777" w:rsidTr="00B721B7">
        <w:trPr>
          <w:trHeight w:val="300"/>
        </w:trPr>
        <w:tc>
          <w:tcPr>
            <w:tcW w:w="4481" w:type="dxa"/>
            <w:tcBorders>
              <w:top w:val="nil"/>
              <w:left w:val="nil"/>
              <w:bottom w:val="nil"/>
              <w:right w:val="nil"/>
            </w:tcBorders>
            <w:shd w:val="clear" w:color="000000" w:fill="FFFFFF"/>
            <w:noWrap/>
            <w:vAlign w:val="center"/>
            <w:hideMark/>
          </w:tcPr>
          <w:p w14:paraId="0F34B792"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Other</w:t>
            </w:r>
          </w:p>
        </w:tc>
        <w:tc>
          <w:tcPr>
            <w:tcW w:w="339" w:type="dxa"/>
            <w:tcBorders>
              <w:top w:val="nil"/>
              <w:left w:val="nil"/>
              <w:bottom w:val="nil"/>
              <w:right w:val="nil"/>
            </w:tcBorders>
            <w:shd w:val="clear" w:color="000000" w:fill="FFFFFF"/>
            <w:noWrap/>
            <w:vAlign w:val="center"/>
            <w:hideMark/>
          </w:tcPr>
          <w:p w14:paraId="747308B2"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7C217864"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nil"/>
              <w:right w:val="nil"/>
            </w:tcBorders>
            <w:shd w:val="clear" w:color="auto" w:fill="F1F1F2" w:themeFill="accent5" w:themeFillTint="33"/>
          </w:tcPr>
          <w:p w14:paraId="2B148B8A"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 xml:space="preserve">99 </w:t>
            </w:r>
          </w:p>
        </w:tc>
        <w:tc>
          <w:tcPr>
            <w:tcW w:w="895" w:type="dxa"/>
            <w:tcBorders>
              <w:top w:val="nil"/>
              <w:left w:val="nil"/>
              <w:bottom w:val="nil"/>
              <w:right w:val="nil"/>
            </w:tcBorders>
            <w:shd w:val="clear" w:color="000000" w:fill="FFFFFF"/>
            <w:vAlign w:val="center"/>
          </w:tcPr>
          <w:p w14:paraId="4E3A06AC"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100</w:t>
            </w:r>
          </w:p>
        </w:tc>
        <w:tc>
          <w:tcPr>
            <w:tcW w:w="1044" w:type="dxa"/>
            <w:tcBorders>
              <w:top w:val="nil"/>
              <w:left w:val="nil"/>
              <w:bottom w:val="nil"/>
              <w:right w:val="nil"/>
            </w:tcBorders>
            <w:shd w:val="clear" w:color="000000" w:fill="FFFFFF"/>
          </w:tcPr>
          <w:p w14:paraId="231ED0A6"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 xml:space="preserve"> (1)</w:t>
            </w:r>
          </w:p>
        </w:tc>
        <w:tc>
          <w:tcPr>
            <w:tcW w:w="895" w:type="dxa"/>
            <w:tcBorders>
              <w:top w:val="nil"/>
              <w:left w:val="nil"/>
              <w:bottom w:val="nil"/>
              <w:right w:val="nil"/>
            </w:tcBorders>
            <w:shd w:val="clear" w:color="auto" w:fill="auto"/>
            <w:vAlign w:val="center"/>
            <w:hideMark/>
          </w:tcPr>
          <w:p w14:paraId="703733D0"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128</w:t>
            </w:r>
          </w:p>
        </w:tc>
      </w:tr>
      <w:tr w:rsidR="00AB33EC" w:rsidRPr="003E75E2" w14:paraId="286B00E2" w14:textId="77777777" w:rsidTr="00B721B7">
        <w:trPr>
          <w:trHeight w:val="162"/>
        </w:trPr>
        <w:tc>
          <w:tcPr>
            <w:tcW w:w="4481" w:type="dxa"/>
            <w:tcBorders>
              <w:top w:val="nil"/>
              <w:left w:val="nil"/>
              <w:bottom w:val="nil"/>
              <w:right w:val="nil"/>
            </w:tcBorders>
            <w:shd w:val="clear" w:color="000000" w:fill="FFFFFF"/>
            <w:noWrap/>
            <w:vAlign w:val="center"/>
            <w:hideMark/>
          </w:tcPr>
          <w:p w14:paraId="6F9ED181"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339" w:type="dxa"/>
            <w:tcBorders>
              <w:top w:val="nil"/>
              <w:left w:val="nil"/>
              <w:bottom w:val="nil"/>
              <w:right w:val="nil"/>
            </w:tcBorders>
            <w:shd w:val="clear" w:color="000000" w:fill="FFFFFF"/>
            <w:noWrap/>
            <w:vAlign w:val="center"/>
            <w:hideMark/>
          </w:tcPr>
          <w:p w14:paraId="3AD839E6"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14320619"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nil"/>
              <w:right w:val="nil"/>
            </w:tcBorders>
            <w:shd w:val="clear" w:color="auto" w:fill="F1F1F2" w:themeFill="accent5" w:themeFillTint="33"/>
            <w:noWrap/>
            <w:vAlign w:val="center"/>
          </w:tcPr>
          <w:p w14:paraId="5E20A2E1"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895" w:type="dxa"/>
            <w:tcBorders>
              <w:top w:val="nil"/>
              <w:left w:val="nil"/>
              <w:bottom w:val="nil"/>
              <w:right w:val="nil"/>
            </w:tcBorders>
            <w:shd w:val="clear" w:color="000000" w:fill="FFFFFF"/>
            <w:vAlign w:val="center"/>
          </w:tcPr>
          <w:p w14:paraId="25157B9D"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1044" w:type="dxa"/>
            <w:tcBorders>
              <w:top w:val="nil"/>
              <w:left w:val="nil"/>
              <w:bottom w:val="nil"/>
              <w:right w:val="nil"/>
            </w:tcBorders>
            <w:shd w:val="clear" w:color="000000" w:fill="FFFFFF"/>
            <w:vAlign w:val="center"/>
          </w:tcPr>
          <w:p w14:paraId="443402C3"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895" w:type="dxa"/>
            <w:tcBorders>
              <w:top w:val="nil"/>
              <w:left w:val="nil"/>
              <w:bottom w:val="nil"/>
              <w:right w:val="nil"/>
            </w:tcBorders>
            <w:shd w:val="clear" w:color="auto" w:fill="auto"/>
            <w:vAlign w:val="center"/>
            <w:hideMark/>
          </w:tcPr>
          <w:p w14:paraId="1A5ACCAE"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r>
      <w:tr w:rsidR="00AB33EC" w:rsidRPr="003E75E2" w14:paraId="01F595A4" w14:textId="77777777" w:rsidTr="00B721B7">
        <w:trPr>
          <w:trHeight w:val="300"/>
        </w:trPr>
        <w:tc>
          <w:tcPr>
            <w:tcW w:w="4481" w:type="dxa"/>
            <w:tcBorders>
              <w:top w:val="nil"/>
              <w:left w:val="nil"/>
              <w:bottom w:val="nil"/>
              <w:right w:val="nil"/>
            </w:tcBorders>
            <w:shd w:val="clear" w:color="000000" w:fill="FFFFFF"/>
            <w:noWrap/>
            <w:vAlign w:val="center"/>
            <w:hideMark/>
          </w:tcPr>
          <w:p w14:paraId="2C0DB77E" w14:textId="77777777" w:rsidR="00AB33EC" w:rsidRPr="00E80281" w:rsidRDefault="00AB33EC" w:rsidP="00B721B7">
            <w:pPr>
              <w:spacing w:after="80"/>
              <w:rPr>
                <w:rFonts w:asciiTheme="minorHAnsi" w:eastAsia="Times New Roman" w:hAnsiTheme="minorHAnsi" w:cstheme="minorHAnsi"/>
                <w:b/>
                <w:bCs/>
                <w:i/>
                <w:iCs/>
                <w:color w:val="000000"/>
                <w:szCs w:val="20"/>
                <w:lang w:eastAsia="en-AU"/>
              </w:rPr>
            </w:pPr>
            <w:r w:rsidRPr="00E80281">
              <w:rPr>
                <w:rFonts w:asciiTheme="minorHAnsi" w:eastAsia="Times New Roman" w:hAnsiTheme="minorHAnsi" w:cstheme="minorHAnsi"/>
                <w:b/>
                <w:bCs/>
                <w:i/>
                <w:iCs/>
                <w:color w:val="000000"/>
                <w:szCs w:val="20"/>
                <w:lang w:eastAsia="en-AU"/>
              </w:rPr>
              <w:t>Outflows</w:t>
            </w:r>
          </w:p>
        </w:tc>
        <w:tc>
          <w:tcPr>
            <w:tcW w:w="339" w:type="dxa"/>
            <w:tcBorders>
              <w:top w:val="nil"/>
              <w:left w:val="nil"/>
              <w:bottom w:val="nil"/>
              <w:right w:val="nil"/>
            </w:tcBorders>
            <w:shd w:val="clear" w:color="000000" w:fill="FFFFFF"/>
            <w:noWrap/>
            <w:vAlign w:val="center"/>
            <w:hideMark/>
          </w:tcPr>
          <w:p w14:paraId="25452B00" w14:textId="77777777" w:rsidR="00AB33EC" w:rsidRPr="00E80281" w:rsidRDefault="00AB33EC" w:rsidP="00B721B7">
            <w:pPr>
              <w:spacing w:after="80"/>
              <w:jc w:val="center"/>
              <w:rPr>
                <w:rFonts w:asciiTheme="minorHAnsi" w:eastAsia="Times New Roman" w:hAnsiTheme="minorHAnsi" w:cstheme="minorHAnsi"/>
                <w:i/>
                <w:iCs/>
                <w:color w:val="000000"/>
                <w:szCs w:val="20"/>
                <w:lang w:eastAsia="en-AU"/>
              </w:rPr>
            </w:pPr>
            <w:r w:rsidRPr="00E80281">
              <w:rPr>
                <w:rFonts w:asciiTheme="minorHAnsi" w:eastAsia="Times New Roman" w:hAnsiTheme="minorHAnsi" w:cstheme="minorHAnsi"/>
                <w:i/>
                <w:iCs/>
                <w:color w:val="000000"/>
                <w:szCs w:val="20"/>
                <w:lang w:eastAsia="en-AU"/>
              </w:rPr>
              <w:t> </w:t>
            </w:r>
          </w:p>
        </w:tc>
        <w:tc>
          <w:tcPr>
            <w:tcW w:w="706" w:type="dxa"/>
            <w:tcBorders>
              <w:top w:val="nil"/>
              <w:left w:val="nil"/>
              <w:bottom w:val="nil"/>
              <w:right w:val="nil"/>
            </w:tcBorders>
            <w:shd w:val="clear" w:color="auto" w:fill="auto"/>
          </w:tcPr>
          <w:p w14:paraId="698F6AC0" w14:textId="77777777" w:rsidR="00AB33EC" w:rsidRPr="00E80281" w:rsidRDefault="00AB33EC" w:rsidP="00B721B7">
            <w:pPr>
              <w:spacing w:after="80"/>
              <w:jc w:val="right"/>
              <w:rPr>
                <w:rFonts w:asciiTheme="minorHAnsi" w:eastAsia="Times New Roman" w:hAnsiTheme="minorHAnsi" w:cstheme="minorHAnsi"/>
                <w:b/>
                <w:bCs/>
                <w:i/>
                <w:iCs/>
                <w:color w:val="000000"/>
                <w:szCs w:val="20"/>
                <w:lang w:eastAsia="en-AU"/>
              </w:rPr>
            </w:pPr>
          </w:p>
        </w:tc>
        <w:tc>
          <w:tcPr>
            <w:tcW w:w="1134" w:type="dxa"/>
            <w:tcBorders>
              <w:top w:val="nil"/>
              <w:left w:val="nil"/>
              <w:bottom w:val="nil"/>
              <w:right w:val="nil"/>
            </w:tcBorders>
            <w:shd w:val="clear" w:color="auto" w:fill="F1F1F2" w:themeFill="accent5" w:themeFillTint="33"/>
            <w:noWrap/>
            <w:vAlign w:val="center"/>
          </w:tcPr>
          <w:p w14:paraId="3DFF3A17" w14:textId="77777777" w:rsidR="00AB33EC" w:rsidRPr="004E0D64" w:rsidRDefault="00AB33EC" w:rsidP="00B721B7">
            <w:pPr>
              <w:spacing w:after="80"/>
              <w:jc w:val="right"/>
              <w:rPr>
                <w:rFonts w:asciiTheme="minorHAnsi" w:eastAsia="Times New Roman" w:hAnsiTheme="minorHAnsi" w:cstheme="minorHAnsi"/>
                <w:i/>
                <w:iCs/>
                <w:color w:val="000000"/>
                <w:szCs w:val="20"/>
                <w:lang w:eastAsia="en-AU"/>
              </w:rPr>
            </w:pPr>
          </w:p>
        </w:tc>
        <w:tc>
          <w:tcPr>
            <w:tcW w:w="895" w:type="dxa"/>
            <w:tcBorders>
              <w:top w:val="nil"/>
              <w:left w:val="nil"/>
              <w:bottom w:val="nil"/>
              <w:right w:val="nil"/>
            </w:tcBorders>
            <w:shd w:val="clear" w:color="000000" w:fill="FFFFFF"/>
            <w:vAlign w:val="center"/>
          </w:tcPr>
          <w:p w14:paraId="0364653E" w14:textId="77777777" w:rsidR="00AB33EC" w:rsidRPr="004E0D64" w:rsidRDefault="00AB33EC" w:rsidP="00B721B7">
            <w:pPr>
              <w:spacing w:after="80"/>
              <w:jc w:val="right"/>
              <w:rPr>
                <w:rFonts w:asciiTheme="minorHAnsi" w:eastAsia="Times New Roman" w:hAnsiTheme="minorHAnsi" w:cstheme="minorHAnsi"/>
                <w:b/>
                <w:bCs/>
                <w:i/>
                <w:iCs/>
                <w:color w:val="000000"/>
                <w:szCs w:val="20"/>
                <w:lang w:eastAsia="en-AU"/>
              </w:rPr>
            </w:pPr>
          </w:p>
        </w:tc>
        <w:tc>
          <w:tcPr>
            <w:tcW w:w="1044" w:type="dxa"/>
            <w:tcBorders>
              <w:top w:val="nil"/>
              <w:left w:val="nil"/>
              <w:bottom w:val="nil"/>
              <w:right w:val="nil"/>
            </w:tcBorders>
            <w:shd w:val="clear" w:color="000000" w:fill="FFFFFF"/>
            <w:vAlign w:val="center"/>
          </w:tcPr>
          <w:p w14:paraId="3D8CA9AE" w14:textId="77777777" w:rsidR="00AB33EC" w:rsidRPr="004E0D64" w:rsidRDefault="00AB33EC" w:rsidP="00B721B7">
            <w:pPr>
              <w:spacing w:after="80"/>
              <w:jc w:val="right"/>
              <w:rPr>
                <w:rFonts w:asciiTheme="minorHAnsi" w:eastAsia="Times New Roman" w:hAnsiTheme="minorHAnsi" w:cstheme="minorHAnsi"/>
                <w:b/>
                <w:bCs/>
                <w:i/>
                <w:iCs/>
                <w:color w:val="000000"/>
                <w:szCs w:val="20"/>
                <w:lang w:eastAsia="en-AU"/>
              </w:rPr>
            </w:pPr>
          </w:p>
        </w:tc>
        <w:tc>
          <w:tcPr>
            <w:tcW w:w="895" w:type="dxa"/>
            <w:tcBorders>
              <w:top w:val="nil"/>
              <w:left w:val="nil"/>
              <w:bottom w:val="nil"/>
              <w:right w:val="nil"/>
            </w:tcBorders>
            <w:shd w:val="clear" w:color="auto" w:fill="auto"/>
            <w:vAlign w:val="center"/>
            <w:hideMark/>
          </w:tcPr>
          <w:p w14:paraId="58564DDA" w14:textId="77777777" w:rsidR="00AB33EC" w:rsidRPr="004E0D64" w:rsidRDefault="00AB33EC" w:rsidP="00B721B7">
            <w:pPr>
              <w:spacing w:after="80"/>
              <w:jc w:val="right"/>
              <w:rPr>
                <w:rFonts w:asciiTheme="minorHAnsi" w:eastAsia="Times New Roman" w:hAnsiTheme="minorHAnsi" w:cstheme="minorHAnsi"/>
                <w:b/>
                <w:bCs/>
                <w:i/>
                <w:iCs/>
                <w:color w:val="000000"/>
                <w:szCs w:val="20"/>
                <w:lang w:eastAsia="en-AU"/>
              </w:rPr>
            </w:pPr>
          </w:p>
        </w:tc>
      </w:tr>
      <w:tr w:rsidR="00AB33EC" w:rsidRPr="003E75E2" w14:paraId="00D89EAF" w14:textId="77777777" w:rsidTr="00B721B7">
        <w:trPr>
          <w:trHeight w:val="300"/>
        </w:trPr>
        <w:tc>
          <w:tcPr>
            <w:tcW w:w="4481" w:type="dxa"/>
            <w:tcBorders>
              <w:top w:val="nil"/>
              <w:left w:val="nil"/>
              <w:bottom w:val="nil"/>
              <w:right w:val="nil"/>
            </w:tcBorders>
            <w:shd w:val="clear" w:color="000000" w:fill="FFFFFF"/>
            <w:noWrap/>
            <w:vAlign w:val="center"/>
            <w:hideMark/>
          </w:tcPr>
          <w:p w14:paraId="457A6834"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Employee expenses</w:t>
            </w:r>
          </w:p>
        </w:tc>
        <w:tc>
          <w:tcPr>
            <w:tcW w:w="339" w:type="dxa"/>
            <w:tcBorders>
              <w:top w:val="nil"/>
              <w:left w:val="nil"/>
              <w:bottom w:val="nil"/>
              <w:right w:val="nil"/>
            </w:tcBorders>
            <w:shd w:val="clear" w:color="000000" w:fill="FFFFFF"/>
            <w:noWrap/>
            <w:vAlign w:val="center"/>
            <w:hideMark/>
          </w:tcPr>
          <w:p w14:paraId="03FC7281"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06C180A7"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nil"/>
              <w:right w:val="nil"/>
            </w:tcBorders>
            <w:shd w:val="clear" w:color="auto" w:fill="F1F1F2" w:themeFill="accent5" w:themeFillTint="33"/>
          </w:tcPr>
          <w:p w14:paraId="48714C93"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(54,308)</w:t>
            </w:r>
          </w:p>
        </w:tc>
        <w:tc>
          <w:tcPr>
            <w:tcW w:w="895" w:type="dxa"/>
            <w:tcBorders>
              <w:top w:val="nil"/>
              <w:left w:val="nil"/>
              <w:bottom w:val="nil"/>
              <w:right w:val="nil"/>
            </w:tcBorders>
            <w:shd w:val="clear" w:color="000000" w:fill="FFFFFF"/>
            <w:vAlign w:val="center"/>
          </w:tcPr>
          <w:p w14:paraId="3D938F4D"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(53,542)</w:t>
            </w:r>
          </w:p>
        </w:tc>
        <w:tc>
          <w:tcPr>
            <w:tcW w:w="1044" w:type="dxa"/>
            <w:tcBorders>
              <w:top w:val="nil"/>
              <w:left w:val="nil"/>
              <w:bottom w:val="nil"/>
              <w:right w:val="nil"/>
            </w:tcBorders>
            <w:shd w:val="clear" w:color="000000" w:fill="FFFFFF"/>
          </w:tcPr>
          <w:p w14:paraId="60ED4607"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 xml:space="preserve"> (766)</w:t>
            </w:r>
          </w:p>
        </w:tc>
        <w:tc>
          <w:tcPr>
            <w:tcW w:w="895" w:type="dxa"/>
            <w:tcBorders>
              <w:top w:val="nil"/>
              <w:left w:val="nil"/>
              <w:bottom w:val="nil"/>
              <w:right w:val="nil"/>
            </w:tcBorders>
            <w:shd w:val="clear" w:color="auto" w:fill="auto"/>
            <w:vAlign w:val="center"/>
            <w:hideMark/>
          </w:tcPr>
          <w:p w14:paraId="09A45835"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(45,435)</w:t>
            </w:r>
          </w:p>
        </w:tc>
      </w:tr>
      <w:tr w:rsidR="00AB33EC" w:rsidRPr="003E75E2" w14:paraId="00ECBB04" w14:textId="77777777" w:rsidTr="00B721B7">
        <w:trPr>
          <w:trHeight w:val="300"/>
        </w:trPr>
        <w:tc>
          <w:tcPr>
            <w:tcW w:w="4481" w:type="dxa"/>
            <w:tcBorders>
              <w:top w:val="nil"/>
              <w:left w:val="nil"/>
              <w:bottom w:val="nil"/>
              <w:right w:val="nil"/>
            </w:tcBorders>
            <w:shd w:val="clear" w:color="000000" w:fill="FFFFFF"/>
            <w:noWrap/>
            <w:vAlign w:val="center"/>
            <w:hideMark/>
          </w:tcPr>
          <w:p w14:paraId="114C403F"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Supplies and services</w:t>
            </w:r>
          </w:p>
        </w:tc>
        <w:tc>
          <w:tcPr>
            <w:tcW w:w="339" w:type="dxa"/>
            <w:tcBorders>
              <w:top w:val="nil"/>
              <w:left w:val="nil"/>
              <w:bottom w:val="nil"/>
              <w:right w:val="nil"/>
            </w:tcBorders>
            <w:shd w:val="clear" w:color="000000" w:fill="FFFFFF"/>
            <w:noWrap/>
            <w:vAlign w:val="center"/>
            <w:hideMark/>
          </w:tcPr>
          <w:p w14:paraId="35496BDC"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5CBB9406"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nil"/>
              <w:right w:val="nil"/>
            </w:tcBorders>
            <w:shd w:val="clear" w:color="auto" w:fill="F1F1F2" w:themeFill="accent5" w:themeFillTint="33"/>
          </w:tcPr>
          <w:p w14:paraId="232A9C1C"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(10,552)</w:t>
            </w:r>
          </w:p>
        </w:tc>
        <w:tc>
          <w:tcPr>
            <w:tcW w:w="895" w:type="dxa"/>
            <w:tcBorders>
              <w:top w:val="nil"/>
              <w:left w:val="nil"/>
              <w:bottom w:val="nil"/>
              <w:right w:val="nil"/>
            </w:tcBorders>
            <w:shd w:val="clear" w:color="000000" w:fill="FFFFFF"/>
            <w:vAlign w:val="center"/>
          </w:tcPr>
          <w:p w14:paraId="34B3ABF3"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(14,201)</w:t>
            </w:r>
          </w:p>
        </w:tc>
        <w:tc>
          <w:tcPr>
            <w:tcW w:w="1044" w:type="dxa"/>
            <w:tcBorders>
              <w:top w:val="nil"/>
              <w:left w:val="nil"/>
              <w:bottom w:val="nil"/>
              <w:right w:val="nil"/>
            </w:tcBorders>
            <w:shd w:val="clear" w:color="000000" w:fill="FFFFFF"/>
          </w:tcPr>
          <w:p w14:paraId="6BD85195"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 xml:space="preserve"> 3,649 </w:t>
            </w:r>
          </w:p>
        </w:tc>
        <w:tc>
          <w:tcPr>
            <w:tcW w:w="895" w:type="dxa"/>
            <w:tcBorders>
              <w:top w:val="nil"/>
              <w:left w:val="nil"/>
              <w:bottom w:val="nil"/>
              <w:right w:val="nil"/>
            </w:tcBorders>
            <w:shd w:val="clear" w:color="auto" w:fill="auto"/>
            <w:vAlign w:val="center"/>
            <w:hideMark/>
          </w:tcPr>
          <w:p w14:paraId="64BEA5D5"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(11,288)</w:t>
            </w:r>
          </w:p>
        </w:tc>
      </w:tr>
      <w:tr w:rsidR="00AB33EC" w:rsidRPr="003E75E2" w14:paraId="538E549F" w14:textId="77777777" w:rsidTr="00B721B7">
        <w:trPr>
          <w:trHeight w:val="300"/>
        </w:trPr>
        <w:tc>
          <w:tcPr>
            <w:tcW w:w="4481" w:type="dxa"/>
            <w:tcBorders>
              <w:top w:val="nil"/>
              <w:left w:val="nil"/>
              <w:bottom w:val="nil"/>
              <w:right w:val="nil"/>
            </w:tcBorders>
            <w:shd w:val="clear" w:color="000000" w:fill="FFFFFF"/>
            <w:noWrap/>
            <w:vAlign w:val="center"/>
            <w:hideMark/>
          </w:tcPr>
          <w:p w14:paraId="14CF4BBE" w14:textId="2133326E" w:rsidR="00AB33EC" w:rsidRPr="00E80281" w:rsidRDefault="00C420F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xml:space="preserve">Supplies and services </w:t>
            </w:r>
            <w:r>
              <w:rPr>
                <w:rFonts w:asciiTheme="minorHAnsi" w:eastAsia="Times New Roman" w:hAnsiTheme="minorHAnsi" w:cstheme="minorHAnsi"/>
                <w:color w:val="000000"/>
                <w:szCs w:val="20"/>
                <w:lang w:eastAsia="en-AU"/>
              </w:rPr>
              <w:t xml:space="preserve"> - </w:t>
            </w:r>
            <w:r w:rsidR="00AB33EC" w:rsidRPr="00E80281">
              <w:rPr>
                <w:rFonts w:asciiTheme="minorHAnsi" w:eastAsia="Times New Roman" w:hAnsiTheme="minorHAnsi" w:cstheme="minorHAnsi"/>
                <w:color w:val="000000"/>
                <w:szCs w:val="20"/>
                <w:lang w:eastAsia="en-AU"/>
              </w:rPr>
              <w:t>Property rental</w:t>
            </w:r>
          </w:p>
        </w:tc>
        <w:tc>
          <w:tcPr>
            <w:tcW w:w="339" w:type="dxa"/>
            <w:tcBorders>
              <w:top w:val="nil"/>
              <w:left w:val="nil"/>
              <w:bottom w:val="nil"/>
              <w:right w:val="nil"/>
            </w:tcBorders>
            <w:shd w:val="clear" w:color="000000" w:fill="FFFFFF"/>
            <w:noWrap/>
            <w:vAlign w:val="center"/>
            <w:hideMark/>
          </w:tcPr>
          <w:p w14:paraId="6F996FD8"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6C64A32C"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nil"/>
              <w:right w:val="nil"/>
            </w:tcBorders>
            <w:shd w:val="clear" w:color="auto" w:fill="F1F1F2" w:themeFill="accent5" w:themeFillTint="33"/>
          </w:tcPr>
          <w:p w14:paraId="6BD4AE37"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(3,850)</w:t>
            </w:r>
          </w:p>
        </w:tc>
        <w:tc>
          <w:tcPr>
            <w:tcW w:w="895" w:type="dxa"/>
            <w:tcBorders>
              <w:top w:val="nil"/>
              <w:left w:val="nil"/>
              <w:bottom w:val="nil"/>
              <w:right w:val="nil"/>
            </w:tcBorders>
            <w:shd w:val="clear" w:color="000000" w:fill="FFFFFF"/>
            <w:vAlign w:val="center"/>
          </w:tcPr>
          <w:p w14:paraId="592C6F16"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(3,989)</w:t>
            </w:r>
          </w:p>
        </w:tc>
        <w:tc>
          <w:tcPr>
            <w:tcW w:w="1044" w:type="dxa"/>
            <w:tcBorders>
              <w:top w:val="nil"/>
              <w:left w:val="nil"/>
              <w:bottom w:val="nil"/>
              <w:right w:val="nil"/>
            </w:tcBorders>
            <w:shd w:val="clear" w:color="000000" w:fill="FFFFFF"/>
          </w:tcPr>
          <w:p w14:paraId="18AE899E"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 xml:space="preserve"> 139 </w:t>
            </w:r>
          </w:p>
        </w:tc>
        <w:tc>
          <w:tcPr>
            <w:tcW w:w="895" w:type="dxa"/>
            <w:tcBorders>
              <w:top w:val="nil"/>
              <w:left w:val="nil"/>
              <w:bottom w:val="nil"/>
              <w:right w:val="nil"/>
            </w:tcBorders>
            <w:shd w:val="clear" w:color="auto" w:fill="auto"/>
            <w:vAlign w:val="center"/>
            <w:hideMark/>
          </w:tcPr>
          <w:p w14:paraId="7AE23814"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(3,517)</w:t>
            </w:r>
          </w:p>
        </w:tc>
      </w:tr>
      <w:tr w:rsidR="00AB33EC" w:rsidRPr="003E75E2" w14:paraId="325A9780" w14:textId="77777777" w:rsidTr="00B721B7">
        <w:trPr>
          <w:trHeight w:val="300"/>
        </w:trPr>
        <w:tc>
          <w:tcPr>
            <w:tcW w:w="4481" w:type="dxa"/>
            <w:tcBorders>
              <w:top w:val="nil"/>
              <w:left w:val="nil"/>
              <w:bottom w:val="nil"/>
              <w:right w:val="nil"/>
            </w:tcBorders>
            <w:shd w:val="clear" w:color="000000" w:fill="FFFFFF"/>
            <w:noWrap/>
            <w:vAlign w:val="center"/>
            <w:hideMark/>
          </w:tcPr>
          <w:p w14:paraId="16512D42"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GST paid to suppliers</w:t>
            </w:r>
          </w:p>
        </w:tc>
        <w:tc>
          <w:tcPr>
            <w:tcW w:w="339" w:type="dxa"/>
            <w:tcBorders>
              <w:top w:val="nil"/>
              <w:left w:val="nil"/>
              <w:bottom w:val="nil"/>
              <w:right w:val="nil"/>
            </w:tcBorders>
            <w:shd w:val="clear" w:color="000000" w:fill="FFFFFF"/>
            <w:noWrap/>
            <w:vAlign w:val="center"/>
            <w:hideMark/>
          </w:tcPr>
          <w:p w14:paraId="4341FA1E"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55253321"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nil"/>
              <w:right w:val="nil"/>
            </w:tcBorders>
            <w:shd w:val="clear" w:color="auto" w:fill="F1F1F2" w:themeFill="accent5" w:themeFillTint="33"/>
          </w:tcPr>
          <w:p w14:paraId="0F2757DA"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(1,666)</w:t>
            </w:r>
          </w:p>
        </w:tc>
        <w:tc>
          <w:tcPr>
            <w:tcW w:w="895" w:type="dxa"/>
            <w:tcBorders>
              <w:top w:val="nil"/>
              <w:left w:val="nil"/>
              <w:bottom w:val="nil"/>
              <w:right w:val="nil"/>
            </w:tcBorders>
            <w:shd w:val="clear" w:color="000000" w:fill="FFFFFF"/>
            <w:vAlign w:val="center"/>
          </w:tcPr>
          <w:p w14:paraId="7361F805"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(1,143)</w:t>
            </w:r>
          </w:p>
        </w:tc>
        <w:tc>
          <w:tcPr>
            <w:tcW w:w="1044" w:type="dxa"/>
            <w:tcBorders>
              <w:top w:val="nil"/>
              <w:left w:val="nil"/>
              <w:bottom w:val="nil"/>
              <w:right w:val="nil"/>
            </w:tcBorders>
            <w:shd w:val="clear" w:color="000000" w:fill="FFFFFF"/>
          </w:tcPr>
          <w:p w14:paraId="1074D001"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 xml:space="preserve"> (523)</w:t>
            </w:r>
          </w:p>
        </w:tc>
        <w:tc>
          <w:tcPr>
            <w:tcW w:w="895" w:type="dxa"/>
            <w:tcBorders>
              <w:top w:val="nil"/>
              <w:left w:val="nil"/>
              <w:bottom w:val="nil"/>
              <w:right w:val="nil"/>
            </w:tcBorders>
            <w:shd w:val="clear" w:color="auto" w:fill="auto"/>
            <w:vAlign w:val="center"/>
            <w:hideMark/>
          </w:tcPr>
          <w:p w14:paraId="6C5C7753"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(1,607)</w:t>
            </w:r>
          </w:p>
        </w:tc>
      </w:tr>
      <w:tr w:rsidR="00AB33EC" w:rsidRPr="003E75E2" w14:paraId="12B04260" w14:textId="77777777" w:rsidTr="00B721B7">
        <w:trPr>
          <w:trHeight w:val="300"/>
        </w:trPr>
        <w:tc>
          <w:tcPr>
            <w:tcW w:w="4481" w:type="dxa"/>
            <w:tcBorders>
              <w:top w:val="nil"/>
              <w:left w:val="nil"/>
              <w:bottom w:val="nil"/>
              <w:right w:val="nil"/>
            </w:tcBorders>
            <w:shd w:val="clear" w:color="000000" w:fill="FFFFFF"/>
            <w:noWrap/>
            <w:vAlign w:val="center"/>
            <w:hideMark/>
          </w:tcPr>
          <w:p w14:paraId="5872D627"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GST remitted to ATO</w:t>
            </w:r>
          </w:p>
        </w:tc>
        <w:tc>
          <w:tcPr>
            <w:tcW w:w="339" w:type="dxa"/>
            <w:tcBorders>
              <w:top w:val="nil"/>
              <w:left w:val="nil"/>
              <w:bottom w:val="nil"/>
              <w:right w:val="nil"/>
            </w:tcBorders>
            <w:shd w:val="clear" w:color="000000" w:fill="FFFFFF"/>
            <w:noWrap/>
            <w:vAlign w:val="center"/>
            <w:hideMark/>
          </w:tcPr>
          <w:p w14:paraId="488E690A"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1A607A6E"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nil"/>
              <w:right w:val="nil"/>
            </w:tcBorders>
            <w:shd w:val="clear" w:color="auto" w:fill="F1F1F2" w:themeFill="accent5" w:themeFillTint="33"/>
          </w:tcPr>
          <w:p w14:paraId="0245809E"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(28)</w:t>
            </w:r>
          </w:p>
        </w:tc>
        <w:tc>
          <w:tcPr>
            <w:tcW w:w="895" w:type="dxa"/>
            <w:tcBorders>
              <w:top w:val="nil"/>
              <w:left w:val="nil"/>
              <w:bottom w:val="nil"/>
              <w:right w:val="nil"/>
            </w:tcBorders>
            <w:shd w:val="clear" w:color="000000" w:fill="FFFFFF"/>
            <w:vAlign w:val="center"/>
          </w:tcPr>
          <w:p w14:paraId="3F63D8C8"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(28)</w:t>
            </w:r>
          </w:p>
        </w:tc>
        <w:tc>
          <w:tcPr>
            <w:tcW w:w="1044" w:type="dxa"/>
            <w:tcBorders>
              <w:top w:val="nil"/>
              <w:left w:val="nil"/>
              <w:bottom w:val="nil"/>
              <w:right w:val="nil"/>
            </w:tcBorders>
            <w:shd w:val="clear" w:color="000000" w:fill="FFFFFF"/>
          </w:tcPr>
          <w:p w14:paraId="74805103"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 xml:space="preserve"> -   </w:t>
            </w:r>
          </w:p>
        </w:tc>
        <w:tc>
          <w:tcPr>
            <w:tcW w:w="895" w:type="dxa"/>
            <w:tcBorders>
              <w:top w:val="nil"/>
              <w:left w:val="nil"/>
              <w:bottom w:val="nil"/>
              <w:right w:val="nil"/>
            </w:tcBorders>
            <w:shd w:val="clear" w:color="auto" w:fill="auto"/>
            <w:vAlign w:val="center"/>
            <w:hideMark/>
          </w:tcPr>
          <w:p w14:paraId="79B0E78F"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(35)</w:t>
            </w:r>
          </w:p>
        </w:tc>
      </w:tr>
      <w:tr w:rsidR="00AB33EC" w:rsidRPr="003E75E2" w14:paraId="0E798857" w14:textId="77777777" w:rsidTr="00B721B7">
        <w:trPr>
          <w:trHeight w:val="315"/>
        </w:trPr>
        <w:tc>
          <w:tcPr>
            <w:tcW w:w="4481" w:type="dxa"/>
            <w:tcBorders>
              <w:top w:val="nil"/>
              <w:left w:val="nil"/>
              <w:bottom w:val="nil"/>
              <w:right w:val="nil"/>
            </w:tcBorders>
            <w:shd w:val="clear" w:color="000000" w:fill="FFFFFF"/>
            <w:noWrap/>
            <w:vAlign w:val="center"/>
            <w:hideMark/>
          </w:tcPr>
          <w:p w14:paraId="0EEF263C"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Other</w:t>
            </w:r>
          </w:p>
        </w:tc>
        <w:tc>
          <w:tcPr>
            <w:tcW w:w="339" w:type="dxa"/>
            <w:tcBorders>
              <w:top w:val="nil"/>
              <w:left w:val="nil"/>
              <w:bottom w:val="nil"/>
              <w:right w:val="nil"/>
            </w:tcBorders>
            <w:shd w:val="clear" w:color="000000" w:fill="FFFFFF"/>
            <w:noWrap/>
            <w:vAlign w:val="center"/>
            <w:hideMark/>
          </w:tcPr>
          <w:p w14:paraId="079A789C"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right w:val="nil"/>
            </w:tcBorders>
            <w:shd w:val="clear" w:color="auto" w:fill="auto"/>
          </w:tcPr>
          <w:p w14:paraId="4C119D9C"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single" w:sz="8" w:space="0" w:color="auto"/>
              <w:right w:val="nil"/>
            </w:tcBorders>
            <w:shd w:val="clear" w:color="auto" w:fill="F1F1F2" w:themeFill="accent5" w:themeFillTint="33"/>
            <w:noWrap/>
          </w:tcPr>
          <w:p w14:paraId="5AD85890"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(155)</w:t>
            </w:r>
          </w:p>
        </w:tc>
        <w:tc>
          <w:tcPr>
            <w:tcW w:w="895" w:type="dxa"/>
            <w:tcBorders>
              <w:top w:val="nil"/>
              <w:left w:val="nil"/>
              <w:bottom w:val="single" w:sz="8" w:space="0" w:color="auto"/>
              <w:right w:val="nil"/>
            </w:tcBorders>
            <w:shd w:val="clear" w:color="000000" w:fill="FFFFFF"/>
            <w:vAlign w:val="center"/>
          </w:tcPr>
          <w:p w14:paraId="38CA85EC"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(186)</w:t>
            </w:r>
          </w:p>
        </w:tc>
        <w:tc>
          <w:tcPr>
            <w:tcW w:w="1044" w:type="dxa"/>
            <w:tcBorders>
              <w:top w:val="nil"/>
              <w:left w:val="nil"/>
              <w:bottom w:val="single" w:sz="8" w:space="0" w:color="auto"/>
              <w:right w:val="nil"/>
            </w:tcBorders>
            <w:shd w:val="clear" w:color="000000" w:fill="FFFFFF"/>
          </w:tcPr>
          <w:p w14:paraId="4C808101"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hAnsiTheme="minorHAnsi" w:cstheme="minorHAnsi"/>
                <w:szCs w:val="20"/>
              </w:rPr>
              <w:t xml:space="preserve"> 31 </w:t>
            </w:r>
          </w:p>
        </w:tc>
        <w:tc>
          <w:tcPr>
            <w:tcW w:w="895" w:type="dxa"/>
            <w:tcBorders>
              <w:top w:val="nil"/>
              <w:left w:val="nil"/>
              <w:bottom w:val="single" w:sz="8" w:space="0" w:color="auto"/>
              <w:right w:val="nil"/>
            </w:tcBorders>
            <w:shd w:val="clear" w:color="auto" w:fill="auto"/>
            <w:vAlign w:val="center"/>
            <w:hideMark/>
          </w:tcPr>
          <w:p w14:paraId="78E1EE22"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(145)</w:t>
            </w:r>
          </w:p>
        </w:tc>
      </w:tr>
      <w:tr w:rsidR="00AB33EC" w:rsidRPr="003E75E2" w14:paraId="7404D182" w14:textId="77777777" w:rsidTr="00B721B7">
        <w:trPr>
          <w:trHeight w:val="315"/>
        </w:trPr>
        <w:tc>
          <w:tcPr>
            <w:tcW w:w="4481" w:type="dxa"/>
            <w:tcBorders>
              <w:top w:val="nil"/>
              <w:left w:val="nil"/>
              <w:bottom w:val="nil"/>
              <w:right w:val="nil"/>
            </w:tcBorders>
            <w:shd w:val="clear" w:color="000000" w:fill="FFFFFF"/>
            <w:noWrap/>
            <w:vAlign w:val="center"/>
            <w:hideMark/>
          </w:tcPr>
          <w:p w14:paraId="677019FD" w14:textId="77777777" w:rsidR="00AB33EC" w:rsidRPr="00E80281" w:rsidRDefault="00AB33EC" w:rsidP="00B721B7">
            <w:pPr>
              <w:spacing w:after="8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Net cash provided by/(used in) operating activities</w:t>
            </w:r>
          </w:p>
        </w:tc>
        <w:tc>
          <w:tcPr>
            <w:tcW w:w="339" w:type="dxa"/>
            <w:tcBorders>
              <w:top w:val="nil"/>
              <w:left w:val="nil"/>
              <w:bottom w:val="nil"/>
              <w:right w:val="nil"/>
            </w:tcBorders>
            <w:shd w:val="clear" w:color="000000" w:fill="FFFFFF"/>
            <w:noWrap/>
            <w:vAlign w:val="center"/>
            <w:hideMark/>
          </w:tcPr>
          <w:p w14:paraId="52A1FB71"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p>
        </w:tc>
        <w:tc>
          <w:tcPr>
            <w:tcW w:w="706" w:type="dxa"/>
            <w:tcBorders>
              <w:top w:val="nil"/>
              <w:left w:val="nil"/>
              <w:right w:val="nil"/>
            </w:tcBorders>
            <w:shd w:val="clear" w:color="auto" w:fill="auto"/>
          </w:tcPr>
          <w:p w14:paraId="2B37F38C"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p>
        </w:tc>
        <w:tc>
          <w:tcPr>
            <w:tcW w:w="1134" w:type="dxa"/>
            <w:tcBorders>
              <w:top w:val="nil"/>
              <w:left w:val="nil"/>
              <w:bottom w:val="single" w:sz="8" w:space="0" w:color="auto"/>
              <w:right w:val="nil"/>
            </w:tcBorders>
            <w:shd w:val="clear" w:color="auto" w:fill="F1F1F2" w:themeFill="accent5" w:themeFillTint="33"/>
            <w:noWrap/>
            <w:vAlign w:val="center"/>
          </w:tcPr>
          <w:p w14:paraId="1C86FF01"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r w:rsidRPr="004E0D64">
              <w:rPr>
                <w:rFonts w:asciiTheme="minorHAnsi" w:eastAsia="Times New Roman" w:hAnsiTheme="minorHAnsi" w:cstheme="minorHAnsi"/>
                <w:b/>
                <w:bCs/>
                <w:color w:val="000000"/>
                <w:szCs w:val="20"/>
                <w:lang w:eastAsia="en-AU"/>
              </w:rPr>
              <w:t>1,928</w:t>
            </w:r>
          </w:p>
        </w:tc>
        <w:tc>
          <w:tcPr>
            <w:tcW w:w="895" w:type="dxa"/>
            <w:tcBorders>
              <w:top w:val="nil"/>
              <w:left w:val="nil"/>
              <w:bottom w:val="single" w:sz="8" w:space="0" w:color="auto"/>
              <w:right w:val="nil"/>
            </w:tcBorders>
            <w:shd w:val="clear" w:color="000000" w:fill="FFFFFF"/>
            <w:vAlign w:val="center"/>
          </w:tcPr>
          <w:p w14:paraId="01F1853C"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r w:rsidRPr="004E0D64">
              <w:rPr>
                <w:rFonts w:asciiTheme="minorHAnsi" w:eastAsia="Times New Roman" w:hAnsiTheme="minorHAnsi" w:cstheme="minorHAnsi"/>
                <w:b/>
                <w:bCs/>
                <w:color w:val="000000"/>
                <w:szCs w:val="20"/>
                <w:lang w:eastAsia="en-AU"/>
              </w:rPr>
              <w:t>2,520</w:t>
            </w:r>
          </w:p>
        </w:tc>
        <w:tc>
          <w:tcPr>
            <w:tcW w:w="1044" w:type="dxa"/>
            <w:tcBorders>
              <w:top w:val="nil"/>
              <w:left w:val="nil"/>
              <w:bottom w:val="single" w:sz="8" w:space="0" w:color="auto"/>
              <w:right w:val="nil"/>
            </w:tcBorders>
            <w:shd w:val="clear" w:color="000000" w:fill="FFFFFF"/>
            <w:vAlign w:val="center"/>
          </w:tcPr>
          <w:p w14:paraId="2991074B"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r w:rsidRPr="004E0D64">
              <w:rPr>
                <w:rFonts w:asciiTheme="minorHAnsi" w:eastAsia="Times New Roman" w:hAnsiTheme="minorHAnsi" w:cstheme="minorHAnsi"/>
                <w:b/>
                <w:bCs/>
                <w:color w:val="000000"/>
                <w:szCs w:val="20"/>
                <w:lang w:eastAsia="en-AU"/>
              </w:rPr>
              <w:t>(592)</w:t>
            </w:r>
          </w:p>
        </w:tc>
        <w:tc>
          <w:tcPr>
            <w:tcW w:w="895" w:type="dxa"/>
            <w:tcBorders>
              <w:top w:val="nil"/>
              <w:left w:val="nil"/>
              <w:bottom w:val="single" w:sz="8" w:space="0" w:color="auto"/>
              <w:right w:val="nil"/>
            </w:tcBorders>
            <w:shd w:val="clear" w:color="auto" w:fill="auto"/>
            <w:vAlign w:val="center"/>
            <w:hideMark/>
          </w:tcPr>
          <w:p w14:paraId="3BD1A071"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r w:rsidRPr="004E0D64">
              <w:rPr>
                <w:rFonts w:asciiTheme="minorHAnsi" w:eastAsia="Times New Roman" w:hAnsiTheme="minorHAnsi" w:cstheme="minorHAnsi"/>
                <w:b/>
                <w:bCs/>
                <w:color w:val="000000"/>
                <w:szCs w:val="20"/>
                <w:lang w:eastAsia="en-AU"/>
              </w:rPr>
              <w:t>7,673</w:t>
            </w:r>
          </w:p>
        </w:tc>
      </w:tr>
      <w:tr w:rsidR="00AB33EC" w:rsidRPr="003E75E2" w14:paraId="2A3D4E1C" w14:textId="77777777" w:rsidTr="00B721B7">
        <w:trPr>
          <w:trHeight w:val="162"/>
        </w:trPr>
        <w:tc>
          <w:tcPr>
            <w:tcW w:w="4481" w:type="dxa"/>
            <w:tcBorders>
              <w:top w:val="nil"/>
              <w:left w:val="nil"/>
              <w:bottom w:val="nil"/>
              <w:right w:val="nil"/>
            </w:tcBorders>
            <w:shd w:val="clear" w:color="000000" w:fill="FFFFFF"/>
            <w:noWrap/>
            <w:vAlign w:val="center"/>
            <w:hideMark/>
          </w:tcPr>
          <w:p w14:paraId="77E66CD9"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339" w:type="dxa"/>
            <w:tcBorders>
              <w:top w:val="nil"/>
              <w:left w:val="nil"/>
              <w:bottom w:val="nil"/>
              <w:right w:val="nil"/>
            </w:tcBorders>
            <w:shd w:val="clear" w:color="000000" w:fill="FFFFFF"/>
            <w:noWrap/>
            <w:vAlign w:val="center"/>
            <w:hideMark/>
          </w:tcPr>
          <w:p w14:paraId="5DEAAE27"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0F27E89C"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nil"/>
              <w:right w:val="nil"/>
            </w:tcBorders>
            <w:shd w:val="clear" w:color="auto" w:fill="F1F1F2" w:themeFill="accent5" w:themeFillTint="33"/>
            <w:noWrap/>
            <w:vAlign w:val="center"/>
          </w:tcPr>
          <w:p w14:paraId="0913655E"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895" w:type="dxa"/>
            <w:tcBorders>
              <w:top w:val="nil"/>
              <w:left w:val="nil"/>
              <w:bottom w:val="nil"/>
              <w:right w:val="nil"/>
            </w:tcBorders>
            <w:shd w:val="clear" w:color="000000" w:fill="FFFFFF"/>
            <w:vAlign w:val="center"/>
          </w:tcPr>
          <w:p w14:paraId="48247F92"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1044" w:type="dxa"/>
            <w:tcBorders>
              <w:top w:val="nil"/>
              <w:left w:val="nil"/>
              <w:bottom w:val="nil"/>
              <w:right w:val="nil"/>
            </w:tcBorders>
            <w:shd w:val="clear" w:color="000000" w:fill="FFFFFF"/>
            <w:vAlign w:val="center"/>
          </w:tcPr>
          <w:p w14:paraId="3B3ED543"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895" w:type="dxa"/>
            <w:tcBorders>
              <w:top w:val="nil"/>
              <w:left w:val="nil"/>
              <w:bottom w:val="nil"/>
              <w:right w:val="nil"/>
            </w:tcBorders>
            <w:shd w:val="clear" w:color="000000" w:fill="FFFFFF"/>
            <w:vAlign w:val="center"/>
            <w:hideMark/>
          </w:tcPr>
          <w:p w14:paraId="74884148"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 </w:t>
            </w:r>
          </w:p>
        </w:tc>
      </w:tr>
      <w:tr w:rsidR="00AB33EC" w:rsidRPr="003E75E2" w14:paraId="64B4FD00" w14:textId="77777777" w:rsidTr="00B721B7">
        <w:trPr>
          <w:trHeight w:val="300"/>
        </w:trPr>
        <w:tc>
          <w:tcPr>
            <w:tcW w:w="4481" w:type="dxa"/>
            <w:tcBorders>
              <w:top w:val="nil"/>
              <w:left w:val="nil"/>
              <w:bottom w:val="nil"/>
              <w:right w:val="nil"/>
            </w:tcBorders>
            <w:shd w:val="clear" w:color="000000" w:fill="FFFFFF"/>
            <w:noWrap/>
            <w:vAlign w:val="center"/>
            <w:hideMark/>
          </w:tcPr>
          <w:p w14:paraId="0CEA51D4" w14:textId="77777777" w:rsidR="00AB33EC" w:rsidRPr="00E80281" w:rsidRDefault="00AB33EC" w:rsidP="00B721B7">
            <w:pPr>
              <w:spacing w:after="8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Cash flows from investing activities</w:t>
            </w:r>
          </w:p>
        </w:tc>
        <w:tc>
          <w:tcPr>
            <w:tcW w:w="339" w:type="dxa"/>
            <w:tcBorders>
              <w:top w:val="nil"/>
              <w:left w:val="nil"/>
              <w:bottom w:val="nil"/>
              <w:right w:val="nil"/>
            </w:tcBorders>
            <w:shd w:val="clear" w:color="000000" w:fill="FFFFFF"/>
            <w:vAlign w:val="center"/>
            <w:hideMark/>
          </w:tcPr>
          <w:p w14:paraId="1451FAB3"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280B5FD9"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p>
        </w:tc>
        <w:tc>
          <w:tcPr>
            <w:tcW w:w="1134" w:type="dxa"/>
            <w:tcBorders>
              <w:top w:val="nil"/>
              <w:left w:val="nil"/>
              <w:bottom w:val="nil"/>
              <w:right w:val="nil"/>
            </w:tcBorders>
            <w:shd w:val="clear" w:color="auto" w:fill="F1F1F2" w:themeFill="accent5" w:themeFillTint="33"/>
            <w:noWrap/>
            <w:vAlign w:val="center"/>
          </w:tcPr>
          <w:p w14:paraId="5768D1DC"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895" w:type="dxa"/>
            <w:tcBorders>
              <w:top w:val="nil"/>
              <w:left w:val="nil"/>
              <w:bottom w:val="nil"/>
              <w:right w:val="nil"/>
            </w:tcBorders>
            <w:shd w:val="clear" w:color="000000" w:fill="FFFFFF"/>
            <w:vAlign w:val="center"/>
          </w:tcPr>
          <w:p w14:paraId="6B47D071"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p>
        </w:tc>
        <w:tc>
          <w:tcPr>
            <w:tcW w:w="1044" w:type="dxa"/>
            <w:tcBorders>
              <w:top w:val="nil"/>
              <w:left w:val="nil"/>
              <w:bottom w:val="nil"/>
              <w:right w:val="nil"/>
            </w:tcBorders>
            <w:shd w:val="clear" w:color="000000" w:fill="FFFFFF"/>
            <w:vAlign w:val="center"/>
          </w:tcPr>
          <w:p w14:paraId="3D1471FE"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p>
        </w:tc>
        <w:tc>
          <w:tcPr>
            <w:tcW w:w="895" w:type="dxa"/>
            <w:tcBorders>
              <w:top w:val="nil"/>
              <w:left w:val="nil"/>
              <w:bottom w:val="nil"/>
              <w:right w:val="nil"/>
            </w:tcBorders>
            <w:shd w:val="clear" w:color="000000" w:fill="FFFFFF"/>
            <w:vAlign w:val="center"/>
            <w:hideMark/>
          </w:tcPr>
          <w:p w14:paraId="5465E953"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r w:rsidRPr="004E0D64">
              <w:rPr>
                <w:rFonts w:asciiTheme="minorHAnsi" w:eastAsia="Times New Roman" w:hAnsiTheme="minorHAnsi" w:cstheme="minorHAnsi"/>
                <w:b/>
                <w:bCs/>
                <w:color w:val="000000"/>
                <w:szCs w:val="20"/>
                <w:lang w:eastAsia="en-AU"/>
              </w:rPr>
              <w:t> </w:t>
            </w:r>
          </w:p>
        </w:tc>
      </w:tr>
      <w:tr w:rsidR="00AB33EC" w:rsidRPr="003E75E2" w14:paraId="183DDED8" w14:textId="77777777" w:rsidTr="00B721B7">
        <w:trPr>
          <w:trHeight w:val="300"/>
        </w:trPr>
        <w:tc>
          <w:tcPr>
            <w:tcW w:w="4481" w:type="dxa"/>
            <w:tcBorders>
              <w:top w:val="nil"/>
              <w:left w:val="nil"/>
              <w:bottom w:val="nil"/>
              <w:right w:val="nil"/>
            </w:tcBorders>
            <w:shd w:val="clear" w:color="000000" w:fill="FFFFFF"/>
            <w:noWrap/>
            <w:vAlign w:val="center"/>
            <w:hideMark/>
          </w:tcPr>
          <w:p w14:paraId="0E5ADFC4" w14:textId="77777777" w:rsidR="00AB33EC" w:rsidRPr="00E80281" w:rsidRDefault="00AB33EC" w:rsidP="00B721B7">
            <w:pPr>
              <w:spacing w:after="80"/>
              <w:rPr>
                <w:rFonts w:asciiTheme="minorHAnsi" w:eastAsia="Times New Roman" w:hAnsiTheme="minorHAnsi" w:cstheme="minorHAnsi"/>
                <w:b/>
                <w:bCs/>
                <w:i/>
                <w:iCs/>
                <w:color w:val="000000"/>
                <w:szCs w:val="20"/>
                <w:lang w:eastAsia="en-AU"/>
              </w:rPr>
            </w:pPr>
            <w:r w:rsidRPr="00E80281">
              <w:rPr>
                <w:rFonts w:asciiTheme="minorHAnsi" w:eastAsia="Times New Roman" w:hAnsiTheme="minorHAnsi" w:cstheme="minorHAnsi"/>
                <w:b/>
                <w:bCs/>
                <w:i/>
                <w:iCs/>
                <w:color w:val="000000"/>
                <w:szCs w:val="20"/>
                <w:lang w:eastAsia="en-AU"/>
              </w:rPr>
              <w:t>Inflows</w:t>
            </w:r>
          </w:p>
        </w:tc>
        <w:tc>
          <w:tcPr>
            <w:tcW w:w="339" w:type="dxa"/>
            <w:tcBorders>
              <w:top w:val="nil"/>
              <w:left w:val="nil"/>
              <w:bottom w:val="nil"/>
              <w:right w:val="nil"/>
            </w:tcBorders>
            <w:shd w:val="clear" w:color="000000" w:fill="FFFFFF"/>
            <w:noWrap/>
            <w:vAlign w:val="center"/>
            <w:hideMark/>
          </w:tcPr>
          <w:p w14:paraId="4F4711DB"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7484EC7A"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nil"/>
              <w:right w:val="nil"/>
            </w:tcBorders>
            <w:shd w:val="clear" w:color="auto" w:fill="F1F1F2" w:themeFill="accent5" w:themeFillTint="33"/>
            <w:noWrap/>
            <w:vAlign w:val="center"/>
          </w:tcPr>
          <w:p w14:paraId="2A70F012"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895" w:type="dxa"/>
            <w:tcBorders>
              <w:top w:val="nil"/>
              <w:left w:val="nil"/>
              <w:bottom w:val="nil"/>
              <w:right w:val="nil"/>
            </w:tcBorders>
            <w:shd w:val="clear" w:color="000000" w:fill="FFFFFF"/>
            <w:vAlign w:val="center"/>
          </w:tcPr>
          <w:p w14:paraId="49B69DCF"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1044" w:type="dxa"/>
            <w:tcBorders>
              <w:top w:val="nil"/>
              <w:left w:val="nil"/>
              <w:bottom w:val="nil"/>
              <w:right w:val="nil"/>
            </w:tcBorders>
            <w:shd w:val="clear" w:color="000000" w:fill="FFFFFF"/>
            <w:vAlign w:val="center"/>
          </w:tcPr>
          <w:p w14:paraId="7DD0DBAC"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895" w:type="dxa"/>
            <w:tcBorders>
              <w:top w:val="nil"/>
              <w:left w:val="nil"/>
              <w:bottom w:val="nil"/>
              <w:right w:val="nil"/>
            </w:tcBorders>
            <w:shd w:val="clear" w:color="000000" w:fill="FFFFFF"/>
            <w:vAlign w:val="center"/>
            <w:hideMark/>
          </w:tcPr>
          <w:p w14:paraId="50884EA5" w14:textId="77777777" w:rsidR="00AB33EC" w:rsidRPr="004E0D64" w:rsidRDefault="00AB33EC" w:rsidP="00B721B7">
            <w:pPr>
              <w:spacing w:after="80"/>
              <w:jc w:val="center"/>
              <w:rPr>
                <w:rFonts w:asciiTheme="minorHAnsi" w:eastAsia="Times New Roman" w:hAnsiTheme="minorHAnsi" w:cstheme="minorHAnsi"/>
                <w:color w:val="000000"/>
                <w:szCs w:val="20"/>
                <w:lang w:eastAsia="en-AU"/>
              </w:rPr>
            </w:pPr>
          </w:p>
        </w:tc>
      </w:tr>
      <w:tr w:rsidR="00AB33EC" w:rsidRPr="003E75E2" w14:paraId="03C87CE0" w14:textId="77777777" w:rsidTr="00C5404E">
        <w:trPr>
          <w:trHeight w:val="300"/>
        </w:trPr>
        <w:tc>
          <w:tcPr>
            <w:tcW w:w="4481" w:type="dxa"/>
            <w:tcBorders>
              <w:top w:val="nil"/>
              <w:left w:val="nil"/>
              <w:bottom w:val="nil"/>
              <w:right w:val="nil"/>
            </w:tcBorders>
            <w:shd w:val="clear" w:color="000000" w:fill="FFFFFF"/>
            <w:noWrap/>
            <w:vAlign w:val="center"/>
            <w:hideMark/>
          </w:tcPr>
          <w:p w14:paraId="189AC236"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Sales of property, plant and equipment</w:t>
            </w:r>
          </w:p>
        </w:tc>
        <w:tc>
          <w:tcPr>
            <w:tcW w:w="339" w:type="dxa"/>
            <w:tcBorders>
              <w:top w:val="nil"/>
              <w:left w:val="nil"/>
              <w:bottom w:val="nil"/>
              <w:right w:val="nil"/>
            </w:tcBorders>
            <w:shd w:val="clear" w:color="000000" w:fill="FFFFFF"/>
            <w:noWrap/>
            <w:vAlign w:val="center"/>
            <w:hideMark/>
          </w:tcPr>
          <w:p w14:paraId="04195EDF"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5C594EE7"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nil"/>
              <w:right w:val="nil"/>
            </w:tcBorders>
            <w:shd w:val="clear" w:color="auto" w:fill="F1F1F2" w:themeFill="accent5" w:themeFillTint="33"/>
            <w:noWrap/>
            <w:vAlign w:val="center"/>
          </w:tcPr>
          <w:p w14:paraId="6934CF1A"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348</w:t>
            </w:r>
          </w:p>
        </w:tc>
        <w:tc>
          <w:tcPr>
            <w:tcW w:w="895" w:type="dxa"/>
            <w:tcBorders>
              <w:top w:val="nil"/>
              <w:left w:val="nil"/>
              <w:bottom w:val="nil"/>
              <w:right w:val="nil"/>
            </w:tcBorders>
            <w:shd w:val="clear" w:color="000000" w:fill="FFFFFF"/>
            <w:vAlign w:val="center"/>
          </w:tcPr>
          <w:p w14:paraId="29FA1AD2"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149</w:t>
            </w:r>
          </w:p>
        </w:tc>
        <w:tc>
          <w:tcPr>
            <w:tcW w:w="1044" w:type="dxa"/>
            <w:tcBorders>
              <w:top w:val="nil"/>
              <w:left w:val="nil"/>
              <w:bottom w:val="nil"/>
              <w:right w:val="nil"/>
            </w:tcBorders>
            <w:shd w:val="clear" w:color="000000" w:fill="FFFFFF"/>
            <w:vAlign w:val="center"/>
          </w:tcPr>
          <w:p w14:paraId="7AE3C639"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199</w:t>
            </w:r>
          </w:p>
        </w:tc>
        <w:tc>
          <w:tcPr>
            <w:tcW w:w="895" w:type="dxa"/>
            <w:tcBorders>
              <w:top w:val="nil"/>
              <w:left w:val="nil"/>
              <w:bottom w:val="nil"/>
              <w:right w:val="nil"/>
            </w:tcBorders>
            <w:shd w:val="clear" w:color="auto" w:fill="auto"/>
            <w:vAlign w:val="center"/>
            <w:hideMark/>
          </w:tcPr>
          <w:p w14:paraId="0F38740B"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524</w:t>
            </w:r>
          </w:p>
        </w:tc>
      </w:tr>
      <w:tr w:rsidR="00AB33EC" w:rsidRPr="003E75E2" w14:paraId="58B66AEB" w14:textId="77777777" w:rsidTr="00C5404E">
        <w:trPr>
          <w:trHeight w:val="162"/>
        </w:trPr>
        <w:tc>
          <w:tcPr>
            <w:tcW w:w="4481" w:type="dxa"/>
            <w:tcBorders>
              <w:top w:val="nil"/>
              <w:left w:val="nil"/>
              <w:bottom w:val="nil"/>
              <w:right w:val="nil"/>
            </w:tcBorders>
            <w:shd w:val="clear" w:color="000000" w:fill="FFFFFF"/>
            <w:noWrap/>
            <w:vAlign w:val="center"/>
            <w:hideMark/>
          </w:tcPr>
          <w:p w14:paraId="3D6B5DAA"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339" w:type="dxa"/>
            <w:tcBorders>
              <w:top w:val="nil"/>
              <w:left w:val="nil"/>
              <w:bottom w:val="nil"/>
              <w:right w:val="nil"/>
            </w:tcBorders>
            <w:shd w:val="clear" w:color="000000" w:fill="FFFFFF"/>
            <w:noWrap/>
            <w:vAlign w:val="center"/>
            <w:hideMark/>
          </w:tcPr>
          <w:p w14:paraId="5AF516C0"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0776B558"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nil"/>
              <w:right w:val="nil"/>
            </w:tcBorders>
            <w:shd w:val="clear" w:color="auto" w:fill="F1F1F2" w:themeFill="accent5" w:themeFillTint="33"/>
            <w:noWrap/>
            <w:vAlign w:val="center"/>
          </w:tcPr>
          <w:p w14:paraId="7017B287"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895" w:type="dxa"/>
            <w:tcBorders>
              <w:top w:val="nil"/>
              <w:left w:val="nil"/>
              <w:bottom w:val="nil"/>
              <w:right w:val="nil"/>
            </w:tcBorders>
            <w:shd w:val="clear" w:color="000000" w:fill="FFFFFF"/>
            <w:vAlign w:val="center"/>
          </w:tcPr>
          <w:p w14:paraId="5828E2C6"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1044" w:type="dxa"/>
            <w:tcBorders>
              <w:top w:val="nil"/>
              <w:left w:val="nil"/>
              <w:bottom w:val="nil"/>
              <w:right w:val="nil"/>
            </w:tcBorders>
            <w:shd w:val="clear" w:color="000000" w:fill="FFFFFF"/>
            <w:vAlign w:val="center"/>
          </w:tcPr>
          <w:p w14:paraId="339097FA"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895" w:type="dxa"/>
            <w:tcBorders>
              <w:top w:val="nil"/>
              <w:left w:val="nil"/>
              <w:bottom w:val="nil"/>
              <w:right w:val="nil"/>
            </w:tcBorders>
            <w:shd w:val="clear" w:color="auto" w:fill="auto"/>
            <w:vAlign w:val="center"/>
            <w:hideMark/>
          </w:tcPr>
          <w:p w14:paraId="4D2327B0"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r>
      <w:tr w:rsidR="00AB33EC" w:rsidRPr="003E75E2" w14:paraId="4C29A56F" w14:textId="77777777" w:rsidTr="00C5404E">
        <w:trPr>
          <w:trHeight w:val="300"/>
        </w:trPr>
        <w:tc>
          <w:tcPr>
            <w:tcW w:w="4481" w:type="dxa"/>
            <w:tcBorders>
              <w:top w:val="nil"/>
              <w:left w:val="nil"/>
              <w:bottom w:val="nil"/>
              <w:right w:val="nil"/>
            </w:tcBorders>
            <w:shd w:val="clear" w:color="000000" w:fill="FFFFFF"/>
            <w:noWrap/>
            <w:vAlign w:val="center"/>
            <w:hideMark/>
          </w:tcPr>
          <w:p w14:paraId="6930AD5C" w14:textId="77777777" w:rsidR="00AB33EC" w:rsidRPr="00E80281" w:rsidRDefault="00AB33EC" w:rsidP="00B721B7">
            <w:pPr>
              <w:spacing w:after="80"/>
              <w:rPr>
                <w:rFonts w:asciiTheme="minorHAnsi" w:eastAsia="Times New Roman" w:hAnsiTheme="minorHAnsi" w:cstheme="minorHAnsi"/>
                <w:b/>
                <w:bCs/>
                <w:i/>
                <w:iCs/>
                <w:color w:val="000000"/>
                <w:szCs w:val="20"/>
                <w:lang w:eastAsia="en-AU"/>
              </w:rPr>
            </w:pPr>
            <w:r w:rsidRPr="00E80281">
              <w:rPr>
                <w:rFonts w:asciiTheme="minorHAnsi" w:eastAsia="Times New Roman" w:hAnsiTheme="minorHAnsi" w:cstheme="minorHAnsi"/>
                <w:b/>
                <w:bCs/>
                <w:i/>
                <w:iCs/>
                <w:color w:val="000000"/>
                <w:szCs w:val="20"/>
                <w:lang w:eastAsia="en-AU"/>
              </w:rPr>
              <w:t>Outflows</w:t>
            </w:r>
          </w:p>
        </w:tc>
        <w:tc>
          <w:tcPr>
            <w:tcW w:w="339" w:type="dxa"/>
            <w:tcBorders>
              <w:top w:val="nil"/>
              <w:left w:val="nil"/>
              <w:bottom w:val="nil"/>
              <w:right w:val="nil"/>
            </w:tcBorders>
            <w:shd w:val="clear" w:color="000000" w:fill="FFFFFF"/>
            <w:noWrap/>
            <w:vAlign w:val="center"/>
            <w:hideMark/>
          </w:tcPr>
          <w:p w14:paraId="0B778328" w14:textId="77777777" w:rsidR="00AB33EC" w:rsidRPr="00E80281" w:rsidRDefault="00AB33EC" w:rsidP="00B721B7">
            <w:pPr>
              <w:spacing w:after="80"/>
              <w:jc w:val="center"/>
              <w:rPr>
                <w:rFonts w:asciiTheme="minorHAnsi" w:eastAsia="Times New Roman" w:hAnsiTheme="minorHAnsi" w:cstheme="minorHAnsi"/>
                <w:i/>
                <w:iCs/>
                <w:color w:val="000000"/>
                <w:szCs w:val="20"/>
                <w:lang w:eastAsia="en-AU"/>
              </w:rPr>
            </w:pPr>
            <w:r w:rsidRPr="00E80281">
              <w:rPr>
                <w:rFonts w:asciiTheme="minorHAnsi" w:eastAsia="Times New Roman" w:hAnsiTheme="minorHAnsi" w:cstheme="minorHAnsi"/>
                <w:i/>
                <w:iCs/>
                <w:color w:val="000000"/>
                <w:szCs w:val="20"/>
                <w:lang w:eastAsia="en-AU"/>
              </w:rPr>
              <w:t> </w:t>
            </w:r>
          </w:p>
        </w:tc>
        <w:tc>
          <w:tcPr>
            <w:tcW w:w="706" w:type="dxa"/>
            <w:tcBorders>
              <w:top w:val="nil"/>
              <w:left w:val="nil"/>
              <w:bottom w:val="nil"/>
              <w:right w:val="nil"/>
            </w:tcBorders>
            <w:shd w:val="clear" w:color="auto" w:fill="auto"/>
          </w:tcPr>
          <w:p w14:paraId="02EF5C1E" w14:textId="77777777" w:rsidR="00AB33EC" w:rsidRPr="00E80281" w:rsidRDefault="00AB33EC" w:rsidP="00B721B7">
            <w:pPr>
              <w:spacing w:after="80"/>
              <w:jc w:val="right"/>
              <w:rPr>
                <w:rFonts w:asciiTheme="minorHAnsi" w:eastAsia="Times New Roman" w:hAnsiTheme="minorHAnsi" w:cstheme="minorHAnsi"/>
                <w:b/>
                <w:bCs/>
                <w:i/>
                <w:iCs/>
                <w:color w:val="000000"/>
                <w:szCs w:val="20"/>
                <w:lang w:eastAsia="en-AU"/>
              </w:rPr>
            </w:pPr>
          </w:p>
        </w:tc>
        <w:tc>
          <w:tcPr>
            <w:tcW w:w="1134" w:type="dxa"/>
            <w:tcBorders>
              <w:top w:val="nil"/>
              <w:left w:val="nil"/>
              <w:bottom w:val="nil"/>
              <w:right w:val="nil"/>
            </w:tcBorders>
            <w:shd w:val="clear" w:color="auto" w:fill="F1F1F2" w:themeFill="accent5" w:themeFillTint="33"/>
            <w:noWrap/>
            <w:vAlign w:val="center"/>
          </w:tcPr>
          <w:p w14:paraId="33ADA26C" w14:textId="77777777" w:rsidR="00AB33EC" w:rsidRPr="004E0D64" w:rsidRDefault="00AB33EC" w:rsidP="00B721B7">
            <w:pPr>
              <w:spacing w:after="80"/>
              <w:jc w:val="right"/>
              <w:rPr>
                <w:rFonts w:asciiTheme="minorHAnsi" w:eastAsia="Times New Roman" w:hAnsiTheme="minorHAnsi" w:cstheme="minorHAnsi"/>
                <w:i/>
                <w:iCs/>
                <w:color w:val="000000"/>
                <w:szCs w:val="20"/>
                <w:lang w:eastAsia="en-AU"/>
              </w:rPr>
            </w:pPr>
          </w:p>
        </w:tc>
        <w:tc>
          <w:tcPr>
            <w:tcW w:w="895" w:type="dxa"/>
            <w:tcBorders>
              <w:top w:val="nil"/>
              <w:left w:val="nil"/>
              <w:bottom w:val="nil"/>
              <w:right w:val="nil"/>
            </w:tcBorders>
            <w:shd w:val="clear" w:color="000000" w:fill="FFFFFF"/>
            <w:vAlign w:val="center"/>
          </w:tcPr>
          <w:p w14:paraId="273CD391" w14:textId="77777777" w:rsidR="00AB33EC" w:rsidRPr="004E0D64" w:rsidRDefault="00AB33EC" w:rsidP="00B721B7">
            <w:pPr>
              <w:spacing w:after="80"/>
              <w:jc w:val="right"/>
              <w:rPr>
                <w:rFonts w:asciiTheme="minorHAnsi" w:eastAsia="Times New Roman" w:hAnsiTheme="minorHAnsi" w:cstheme="minorHAnsi"/>
                <w:b/>
                <w:bCs/>
                <w:i/>
                <w:iCs/>
                <w:color w:val="000000"/>
                <w:szCs w:val="20"/>
                <w:lang w:eastAsia="en-AU"/>
              </w:rPr>
            </w:pPr>
          </w:p>
        </w:tc>
        <w:tc>
          <w:tcPr>
            <w:tcW w:w="1044" w:type="dxa"/>
            <w:tcBorders>
              <w:top w:val="nil"/>
              <w:left w:val="nil"/>
              <w:bottom w:val="nil"/>
              <w:right w:val="nil"/>
            </w:tcBorders>
            <w:shd w:val="clear" w:color="000000" w:fill="FFFFFF"/>
            <w:vAlign w:val="center"/>
          </w:tcPr>
          <w:p w14:paraId="638D3359" w14:textId="77777777" w:rsidR="00AB33EC" w:rsidRPr="004E0D64" w:rsidRDefault="00AB33EC" w:rsidP="00B721B7">
            <w:pPr>
              <w:spacing w:after="80"/>
              <w:jc w:val="right"/>
              <w:rPr>
                <w:rFonts w:asciiTheme="minorHAnsi" w:eastAsia="Times New Roman" w:hAnsiTheme="minorHAnsi" w:cstheme="minorHAnsi"/>
                <w:b/>
                <w:bCs/>
                <w:i/>
                <w:iCs/>
                <w:color w:val="000000"/>
                <w:szCs w:val="20"/>
                <w:lang w:eastAsia="en-AU"/>
              </w:rPr>
            </w:pPr>
          </w:p>
        </w:tc>
        <w:tc>
          <w:tcPr>
            <w:tcW w:w="895" w:type="dxa"/>
            <w:tcBorders>
              <w:top w:val="nil"/>
              <w:left w:val="nil"/>
              <w:bottom w:val="nil"/>
              <w:right w:val="nil"/>
            </w:tcBorders>
            <w:shd w:val="clear" w:color="auto" w:fill="auto"/>
            <w:vAlign w:val="center"/>
            <w:hideMark/>
          </w:tcPr>
          <w:p w14:paraId="3AF7B6B9" w14:textId="77777777" w:rsidR="00AB33EC" w:rsidRPr="004E0D64" w:rsidRDefault="00AB33EC" w:rsidP="00B721B7">
            <w:pPr>
              <w:spacing w:after="80"/>
              <w:jc w:val="right"/>
              <w:rPr>
                <w:rFonts w:asciiTheme="minorHAnsi" w:eastAsia="Times New Roman" w:hAnsiTheme="minorHAnsi" w:cstheme="minorHAnsi"/>
                <w:b/>
                <w:bCs/>
                <w:i/>
                <w:iCs/>
                <w:color w:val="000000"/>
                <w:szCs w:val="20"/>
                <w:lang w:eastAsia="en-AU"/>
              </w:rPr>
            </w:pPr>
          </w:p>
        </w:tc>
      </w:tr>
      <w:tr w:rsidR="00AB33EC" w:rsidRPr="003E75E2" w14:paraId="59FF777D" w14:textId="77777777" w:rsidTr="00C5404E">
        <w:trPr>
          <w:trHeight w:val="315"/>
        </w:trPr>
        <w:tc>
          <w:tcPr>
            <w:tcW w:w="4481" w:type="dxa"/>
            <w:tcBorders>
              <w:top w:val="nil"/>
              <w:left w:val="nil"/>
              <w:bottom w:val="nil"/>
              <w:right w:val="nil"/>
            </w:tcBorders>
            <w:shd w:val="clear" w:color="000000" w:fill="FFFFFF"/>
            <w:noWrap/>
            <w:vAlign w:val="center"/>
            <w:hideMark/>
          </w:tcPr>
          <w:p w14:paraId="74BC5F13"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Payments for property, plant and equipment</w:t>
            </w:r>
          </w:p>
        </w:tc>
        <w:tc>
          <w:tcPr>
            <w:tcW w:w="339" w:type="dxa"/>
            <w:tcBorders>
              <w:top w:val="nil"/>
              <w:left w:val="nil"/>
              <w:bottom w:val="nil"/>
              <w:right w:val="nil"/>
            </w:tcBorders>
            <w:shd w:val="clear" w:color="000000" w:fill="FFFFFF"/>
            <w:vAlign w:val="center"/>
            <w:hideMark/>
          </w:tcPr>
          <w:p w14:paraId="79984E3D"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right w:val="nil"/>
            </w:tcBorders>
            <w:shd w:val="clear" w:color="auto" w:fill="auto"/>
          </w:tcPr>
          <w:p w14:paraId="62FE818E"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9</w:t>
            </w:r>
          </w:p>
        </w:tc>
        <w:tc>
          <w:tcPr>
            <w:tcW w:w="1134" w:type="dxa"/>
            <w:tcBorders>
              <w:top w:val="nil"/>
              <w:left w:val="nil"/>
              <w:bottom w:val="single" w:sz="8" w:space="0" w:color="auto"/>
              <w:right w:val="nil"/>
            </w:tcBorders>
            <w:shd w:val="clear" w:color="auto" w:fill="F1F1F2" w:themeFill="accent5" w:themeFillTint="33"/>
            <w:vAlign w:val="center"/>
          </w:tcPr>
          <w:p w14:paraId="58BD071E"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(1,227)</w:t>
            </w:r>
          </w:p>
        </w:tc>
        <w:tc>
          <w:tcPr>
            <w:tcW w:w="895" w:type="dxa"/>
            <w:tcBorders>
              <w:top w:val="nil"/>
              <w:left w:val="nil"/>
              <w:bottom w:val="single" w:sz="8" w:space="0" w:color="auto"/>
              <w:right w:val="nil"/>
            </w:tcBorders>
            <w:shd w:val="clear" w:color="000000" w:fill="FFFFFF"/>
            <w:vAlign w:val="center"/>
          </w:tcPr>
          <w:p w14:paraId="66C6DE44"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(2,300)</w:t>
            </w:r>
          </w:p>
        </w:tc>
        <w:tc>
          <w:tcPr>
            <w:tcW w:w="1044" w:type="dxa"/>
            <w:tcBorders>
              <w:top w:val="nil"/>
              <w:left w:val="nil"/>
              <w:bottom w:val="single" w:sz="8" w:space="0" w:color="auto"/>
              <w:right w:val="nil"/>
            </w:tcBorders>
            <w:shd w:val="clear" w:color="000000" w:fill="FFFFFF"/>
            <w:vAlign w:val="center"/>
          </w:tcPr>
          <w:p w14:paraId="7649C4C5"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1,073</w:t>
            </w:r>
          </w:p>
        </w:tc>
        <w:tc>
          <w:tcPr>
            <w:tcW w:w="895" w:type="dxa"/>
            <w:tcBorders>
              <w:top w:val="nil"/>
              <w:left w:val="nil"/>
              <w:bottom w:val="single" w:sz="8" w:space="0" w:color="auto"/>
              <w:right w:val="nil"/>
            </w:tcBorders>
            <w:shd w:val="clear" w:color="auto" w:fill="auto"/>
            <w:vAlign w:val="center"/>
            <w:hideMark/>
          </w:tcPr>
          <w:p w14:paraId="070EB341"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(1,544)</w:t>
            </w:r>
          </w:p>
        </w:tc>
      </w:tr>
      <w:tr w:rsidR="00AB33EC" w:rsidRPr="003E75E2" w14:paraId="5B236460" w14:textId="77777777" w:rsidTr="00C5404E">
        <w:trPr>
          <w:trHeight w:val="315"/>
        </w:trPr>
        <w:tc>
          <w:tcPr>
            <w:tcW w:w="4481" w:type="dxa"/>
            <w:tcBorders>
              <w:top w:val="nil"/>
              <w:left w:val="nil"/>
              <w:bottom w:val="nil"/>
              <w:right w:val="nil"/>
            </w:tcBorders>
            <w:shd w:val="clear" w:color="000000" w:fill="FFFFFF"/>
            <w:noWrap/>
            <w:vAlign w:val="center"/>
            <w:hideMark/>
          </w:tcPr>
          <w:p w14:paraId="3897DD10" w14:textId="77777777" w:rsidR="00AB33EC" w:rsidRPr="00E80281" w:rsidRDefault="00AB33EC" w:rsidP="00B721B7">
            <w:pPr>
              <w:spacing w:after="8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Net cash provided by/(used in) investing activities</w:t>
            </w:r>
          </w:p>
        </w:tc>
        <w:tc>
          <w:tcPr>
            <w:tcW w:w="339" w:type="dxa"/>
            <w:tcBorders>
              <w:top w:val="nil"/>
              <w:left w:val="nil"/>
              <w:bottom w:val="nil"/>
              <w:right w:val="nil"/>
            </w:tcBorders>
            <w:shd w:val="clear" w:color="000000" w:fill="FFFFFF"/>
            <w:vAlign w:val="center"/>
            <w:hideMark/>
          </w:tcPr>
          <w:p w14:paraId="350882CF"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right w:val="nil"/>
            </w:tcBorders>
            <w:shd w:val="clear" w:color="auto" w:fill="auto"/>
          </w:tcPr>
          <w:p w14:paraId="228F0A6E"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p>
        </w:tc>
        <w:tc>
          <w:tcPr>
            <w:tcW w:w="1134" w:type="dxa"/>
            <w:tcBorders>
              <w:top w:val="nil"/>
              <w:left w:val="nil"/>
              <w:bottom w:val="single" w:sz="8" w:space="0" w:color="auto"/>
              <w:right w:val="nil"/>
            </w:tcBorders>
            <w:shd w:val="clear" w:color="auto" w:fill="F1F1F2" w:themeFill="accent5" w:themeFillTint="33"/>
            <w:noWrap/>
            <w:vAlign w:val="center"/>
          </w:tcPr>
          <w:p w14:paraId="648FDF85"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r w:rsidRPr="004E0D64">
              <w:rPr>
                <w:rFonts w:asciiTheme="minorHAnsi" w:eastAsia="Times New Roman" w:hAnsiTheme="minorHAnsi" w:cstheme="minorHAnsi"/>
                <w:b/>
                <w:bCs/>
                <w:color w:val="000000"/>
                <w:szCs w:val="20"/>
                <w:lang w:eastAsia="en-AU"/>
              </w:rPr>
              <w:t>(879)</w:t>
            </w:r>
          </w:p>
        </w:tc>
        <w:tc>
          <w:tcPr>
            <w:tcW w:w="895" w:type="dxa"/>
            <w:tcBorders>
              <w:top w:val="nil"/>
              <w:left w:val="nil"/>
              <w:bottom w:val="single" w:sz="8" w:space="0" w:color="auto"/>
              <w:right w:val="nil"/>
            </w:tcBorders>
            <w:shd w:val="clear" w:color="000000" w:fill="FFFFFF"/>
            <w:vAlign w:val="center"/>
          </w:tcPr>
          <w:p w14:paraId="7E7EEF0B"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r w:rsidRPr="004E0D64">
              <w:rPr>
                <w:rFonts w:asciiTheme="minorHAnsi" w:eastAsia="Times New Roman" w:hAnsiTheme="minorHAnsi" w:cstheme="minorHAnsi"/>
                <w:b/>
                <w:bCs/>
                <w:color w:val="000000"/>
                <w:szCs w:val="20"/>
                <w:lang w:eastAsia="en-AU"/>
              </w:rPr>
              <w:t>(2,151)</w:t>
            </w:r>
          </w:p>
        </w:tc>
        <w:tc>
          <w:tcPr>
            <w:tcW w:w="1044" w:type="dxa"/>
            <w:tcBorders>
              <w:top w:val="nil"/>
              <w:left w:val="nil"/>
              <w:bottom w:val="single" w:sz="8" w:space="0" w:color="auto"/>
              <w:right w:val="nil"/>
            </w:tcBorders>
            <w:shd w:val="clear" w:color="000000" w:fill="FFFFFF"/>
            <w:vAlign w:val="center"/>
          </w:tcPr>
          <w:p w14:paraId="66A57141"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r w:rsidRPr="004E0D64">
              <w:rPr>
                <w:rFonts w:asciiTheme="minorHAnsi" w:eastAsia="Times New Roman" w:hAnsiTheme="minorHAnsi" w:cstheme="minorHAnsi"/>
                <w:b/>
                <w:bCs/>
                <w:color w:val="000000"/>
                <w:szCs w:val="20"/>
                <w:lang w:eastAsia="en-AU"/>
              </w:rPr>
              <w:t>1,272</w:t>
            </w:r>
          </w:p>
        </w:tc>
        <w:tc>
          <w:tcPr>
            <w:tcW w:w="895" w:type="dxa"/>
            <w:tcBorders>
              <w:top w:val="nil"/>
              <w:left w:val="nil"/>
              <w:bottom w:val="single" w:sz="8" w:space="0" w:color="auto"/>
              <w:right w:val="nil"/>
            </w:tcBorders>
            <w:shd w:val="clear" w:color="auto" w:fill="auto"/>
            <w:vAlign w:val="center"/>
            <w:hideMark/>
          </w:tcPr>
          <w:p w14:paraId="73F6B8FB"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r w:rsidRPr="004E0D64">
              <w:rPr>
                <w:rFonts w:asciiTheme="minorHAnsi" w:eastAsia="Times New Roman" w:hAnsiTheme="minorHAnsi" w:cstheme="minorHAnsi"/>
                <w:b/>
                <w:bCs/>
                <w:color w:val="000000"/>
                <w:szCs w:val="20"/>
                <w:lang w:eastAsia="en-AU"/>
              </w:rPr>
              <w:t>(1,020)</w:t>
            </w:r>
          </w:p>
        </w:tc>
      </w:tr>
      <w:tr w:rsidR="00AB33EC" w:rsidRPr="003E75E2" w14:paraId="6D3AE164" w14:textId="77777777" w:rsidTr="00C5404E">
        <w:trPr>
          <w:trHeight w:val="162"/>
        </w:trPr>
        <w:tc>
          <w:tcPr>
            <w:tcW w:w="4481" w:type="dxa"/>
            <w:tcBorders>
              <w:top w:val="nil"/>
              <w:left w:val="nil"/>
              <w:bottom w:val="nil"/>
              <w:right w:val="nil"/>
            </w:tcBorders>
            <w:shd w:val="clear" w:color="000000" w:fill="FFFFFF"/>
            <w:noWrap/>
            <w:vAlign w:val="center"/>
            <w:hideMark/>
          </w:tcPr>
          <w:p w14:paraId="77CEA5FE" w14:textId="77777777" w:rsidR="00AB33EC" w:rsidRPr="00E80281" w:rsidRDefault="00AB33EC" w:rsidP="00B721B7">
            <w:pPr>
              <w:spacing w:after="8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339" w:type="dxa"/>
            <w:tcBorders>
              <w:top w:val="nil"/>
              <w:left w:val="nil"/>
              <w:bottom w:val="nil"/>
              <w:right w:val="nil"/>
            </w:tcBorders>
            <w:shd w:val="clear" w:color="000000" w:fill="FFFFFF"/>
            <w:vAlign w:val="center"/>
            <w:hideMark/>
          </w:tcPr>
          <w:p w14:paraId="4DC2E96C"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4981C0A8"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p>
        </w:tc>
        <w:tc>
          <w:tcPr>
            <w:tcW w:w="1134" w:type="dxa"/>
            <w:tcBorders>
              <w:top w:val="nil"/>
              <w:left w:val="nil"/>
              <w:bottom w:val="nil"/>
              <w:right w:val="nil"/>
            </w:tcBorders>
            <w:shd w:val="clear" w:color="auto" w:fill="F1F1F2" w:themeFill="accent5" w:themeFillTint="33"/>
            <w:noWrap/>
            <w:vAlign w:val="center"/>
          </w:tcPr>
          <w:p w14:paraId="11C8C081"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895" w:type="dxa"/>
            <w:tcBorders>
              <w:top w:val="nil"/>
              <w:left w:val="nil"/>
              <w:bottom w:val="nil"/>
              <w:right w:val="nil"/>
            </w:tcBorders>
            <w:shd w:val="clear" w:color="000000" w:fill="FFFFFF"/>
            <w:vAlign w:val="center"/>
          </w:tcPr>
          <w:p w14:paraId="5D8DD5AD"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p>
        </w:tc>
        <w:tc>
          <w:tcPr>
            <w:tcW w:w="1044" w:type="dxa"/>
            <w:tcBorders>
              <w:top w:val="nil"/>
              <w:left w:val="nil"/>
              <w:bottom w:val="nil"/>
              <w:right w:val="nil"/>
            </w:tcBorders>
            <w:shd w:val="clear" w:color="000000" w:fill="FFFFFF"/>
            <w:vAlign w:val="center"/>
          </w:tcPr>
          <w:p w14:paraId="254B2C42"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p>
        </w:tc>
        <w:tc>
          <w:tcPr>
            <w:tcW w:w="895" w:type="dxa"/>
            <w:tcBorders>
              <w:top w:val="nil"/>
              <w:left w:val="nil"/>
              <w:bottom w:val="nil"/>
              <w:right w:val="nil"/>
            </w:tcBorders>
            <w:shd w:val="clear" w:color="auto" w:fill="auto"/>
            <w:vAlign w:val="center"/>
            <w:hideMark/>
          </w:tcPr>
          <w:p w14:paraId="4FEDB4B8"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r w:rsidRPr="004E0D64">
              <w:rPr>
                <w:rFonts w:asciiTheme="minorHAnsi" w:eastAsia="Times New Roman" w:hAnsiTheme="minorHAnsi" w:cstheme="minorHAnsi"/>
                <w:b/>
                <w:bCs/>
                <w:color w:val="000000"/>
                <w:szCs w:val="20"/>
                <w:lang w:eastAsia="en-AU"/>
              </w:rPr>
              <w:t> </w:t>
            </w:r>
          </w:p>
        </w:tc>
      </w:tr>
      <w:tr w:rsidR="00AB33EC" w:rsidRPr="003E75E2" w14:paraId="36F923F1" w14:textId="77777777" w:rsidTr="00C5404E">
        <w:trPr>
          <w:trHeight w:val="300"/>
        </w:trPr>
        <w:tc>
          <w:tcPr>
            <w:tcW w:w="4481" w:type="dxa"/>
            <w:tcBorders>
              <w:top w:val="nil"/>
              <w:left w:val="nil"/>
              <w:bottom w:val="nil"/>
              <w:right w:val="nil"/>
            </w:tcBorders>
            <w:shd w:val="clear" w:color="000000" w:fill="FFFFFF"/>
            <w:noWrap/>
            <w:vAlign w:val="center"/>
            <w:hideMark/>
          </w:tcPr>
          <w:p w14:paraId="06E59E69" w14:textId="77777777" w:rsidR="00AB33EC" w:rsidRPr="00E80281" w:rsidRDefault="00AB33EC" w:rsidP="00B721B7">
            <w:pPr>
              <w:spacing w:after="8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Cash flows from financing activities</w:t>
            </w:r>
          </w:p>
        </w:tc>
        <w:tc>
          <w:tcPr>
            <w:tcW w:w="339" w:type="dxa"/>
            <w:tcBorders>
              <w:top w:val="nil"/>
              <w:left w:val="nil"/>
              <w:bottom w:val="nil"/>
              <w:right w:val="nil"/>
            </w:tcBorders>
            <w:shd w:val="clear" w:color="000000" w:fill="FFFFFF"/>
            <w:noWrap/>
            <w:vAlign w:val="center"/>
            <w:hideMark/>
          </w:tcPr>
          <w:p w14:paraId="31FAD6F8"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7F15C41A"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nil"/>
              <w:right w:val="nil"/>
            </w:tcBorders>
            <w:shd w:val="clear" w:color="auto" w:fill="F1F1F2" w:themeFill="accent5" w:themeFillTint="33"/>
            <w:noWrap/>
            <w:vAlign w:val="center"/>
          </w:tcPr>
          <w:p w14:paraId="01111BC0"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895" w:type="dxa"/>
            <w:tcBorders>
              <w:top w:val="nil"/>
              <w:left w:val="nil"/>
              <w:bottom w:val="nil"/>
              <w:right w:val="nil"/>
            </w:tcBorders>
            <w:shd w:val="clear" w:color="000000" w:fill="FFFFFF"/>
            <w:vAlign w:val="center"/>
          </w:tcPr>
          <w:p w14:paraId="0862436F"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1044" w:type="dxa"/>
            <w:tcBorders>
              <w:top w:val="nil"/>
              <w:left w:val="nil"/>
              <w:bottom w:val="nil"/>
              <w:right w:val="nil"/>
            </w:tcBorders>
            <w:shd w:val="clear" w:color="000000" w:fill="FFFFFF"/>
            <w:vAlign w:val="center"/>
          </w:tcPr>
          <w:p w14:paraId="3CC1B305"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895" w:type="dxa"/>
            <w:tcBorders>
              <w:top w:val="nil"/>
              <w:left w:val="nil"/>
              <w:bottom w:val="nil"/>
              <w:right w:val="nil"/>
            </w:tcBorders>
            <w:shd w:val="clear" w:color="auto" w:fill="auto"/>
            <w:vAlign w:val="center"/>
            <w:hideMark/>
          </w:tcPr>
          <w:p w14:paraId="6DFDA6E9"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 </w:t>
            </w:r>
          </w:p>
        </w:tc>
      </w:tr>
      <w:tr w:rsidR="00AB33EC" w:rsidRPr="003E75E2" w14:paraId="4C9202AC" w14:textId="77777777" w:rsidTr="00C5404E">
        <w:trPr>
          <w:trHeight w:val="162"/>
        </w:trPr>
        <w:tc>
          <w:tcPr>
            <w:tcW w:w="4481" w:type="dxa"/>
            <w:tcBorders>
              <w:top w:val="nil"/>
              <w:left w:val="nil"/>
              <w:bottom w:val="nil"/>
              <w:right w:val="nil"/>
            </w:tcBorders>
            <w:shd w:val="clear" w:color="000000" w:fill="FFFFFF"/>
            <w:noWrap/>
            <w:vAlign w:val="center"/>
            <w:hideMark/>
          </w:tcPr>
          <w:p w14:paraId="0EE4B297" w14:textId="77777777" w:rsidR="00AB33EC" w:rsidRPr="00E80281" w:rsidRDefault="00AB33EC" w:rsidP="00B721B7">
            <w:pPr>
              <w:spacing w:after="8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 </w:t>
            </w:r>
          </w:p>
        </w:tc>
        <w:tc>
          <w:tcPr>
            <w:tcW w:w="339" w:type="dxa"/>
            <w:tcBorders>
              <w:top w:val="nil"/>
              <w:left w:val="nil"/>
              <w:bottom w:val="nil"/>
              <w:right w:val="nil"/>
            </w:tcBorders>
            <w:shd w:val="clear" w:color="000000" w:fill="FFFFFF"/>
            <w:noWrap/>
            <w:vAlign w:val="center"/>
            <w:hideMark/>
          </w:tcPr>
          <w:p w14:paraId="76A3FCC1"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0C247745"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nil"/>
              <w:right w:val="nil"/>
            </w:tcBorders>
            <w:shd w:val="clear" w:color="auto" w:fill="F1F1F2" w:themeFill="accent5" w:themeFillTint="33"/>
            <w:noWrap/>
            <w:vAlign w:val="center"/>
          </w:tcPr>
          <w:p w14:paraId="6E004EFB"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895" w:type="dxa"/>
            <w:tcBorders>
              <w:top w:val="nil"/>
              <w:left w:val="nil"/>
              <w:bottom w:val="nil"/>
              <w:right w:val="nil"/>
            </w:tcBorders>
            <w:shd w:val="clear" w:color="000000" w:fill="FFFFFF"/>
            <w:vAlign w:val="center"/>
          </w:tcPr>
          <w:p w14:paraId="1CE2E6E0"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1044" w:type="dxa"/>
            <w:tcBorders>
              <w:top w:val="nil"/>
              <w:left w:val="nil"/>
              <w:bottom w:val="nil"/>
              <w:right w:val="nil"/>
            </w:tcBorders>
            <w:shd w:val="clear" w:color="000000" w:fill="FFFFFF"/>
            <w:vAlign w:val="center"/>
          </w:tcPr>
          <w:p w14:paraId="47BFE43C"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895" w:type="dxa"/>
            <w:tcBorders>
              <w:top w:val="nil"/>
              <w:left w:val="nil"/>
              <w:bottom w:val="nil"/>
              <w:right w:val="nil"/>
            </w:tcBorders>
            <w:shd w:val="clear" w:color="auto" w:fill="auto"/>
            <w:vAlign w:val="center"/>
            <w:hideMark/>
          </w:tcPr>
          <w:p w14:paraId="27A3A8DE"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r>
      <w:tr w:rsidR="00AB33EC" w:rsidRPr="003E75E2" w14:paraId="70BAADE0" w14:textId="77777777" w:rsidTr="00C5404E">
        <w:trPr>
          <w:trHeight w:val="300"/>
        </w:trPr>
        <w:tc>
          <w:tcPr>
            <w:tcW w:w="4481" w:type="dxa"/>
            <w:tcBorders>
              <w:top w:val="nil"/>
              <w:left w:val="nil"/>
              <w:bottom w:val="nil"/>
              <w:right w:val="nil"/>
            </w:tcBorders>
            <w:shd w:val="clear" w:color="000000" w:fill="FFFFFF"/>
            <w:noWrap/>
            <w:vAlign w:val="center"/>
            <w:hideMark/>
          </w:tcPr>
          <w:p w14:paraId="187D58E7" w14:textId="77777777" w:rsidR="00AB33EC" w:rsidRPr="00E80281" w:rsidRDefault="00AB33EC" w:rsidP="00B721B7">
            <w:pPr>
              <w:spacing w:after="80"/>
              <w:rPr>
                <w:rFonts w:asciiTheme="minorHAnsi" w:eastAsia="Times New Roman" w:hAnsiTheme="minorHAnsi" w:cstheme="minorHAnsi"/>
                <w:b/>
                <w:bCs/>
                <w:i/>
                <w:iCs/>
                <w:color w:val="000000"/>
                <w:szCs w:val="20"/>
                <w:lang w:eastAsia="en-AU"/>
              </w:rPr>
            </w:pPr>
            <w:r w:rsidRPr="00E80281">
              <w:rPr>
                <w:rFonts w:asciiTheme="minorHAnsi" w:eastAsia="Times New Roman" w:hAnsiTheme="minorHAnsi" w:cstheme="minorHAnsi"/>
                <w:b/>
                <w:bCs/>
                <w:i/>
                <w:iCs/>
                <w:color w:val="000000"/>
                <w:szCs w:val="20"/>
                <w:lang w:eastAsia="en-AU"/>
              </w:rPr>
              <w:t>Outflow</w:t>
            </w:r>
          </w:p>
        </w:tc>
        <w:tc>
          <w:tcPr>
            <w:tcW w:w="339" w:type="dxa"/>
            <w:tcBorders>
              <w:top w:val="nil"/>
              <w:left w:val="nil"/>
              <w:bottom w:val="nil"/>
              <w:right w:val="nil"/>
            </w:tcBorders>
            <w:shd w:val="clear" w:color="000000" w:fill="FFFFFF"/>
            <w:noWrap/>
            <w:vAlign w:val="center"/>
            <w:hideMark/>
          </w:tcPr>
          <w:p w14:paraId="1BC85649"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6FA2E31E"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nil"/>
              <w:right w:val="nil"/>
            </w:tcBorders>
            <w:shd w:val="clear" w:color="auto" w:fill="F1F1F2" w:themeFill="accent5" w:themeFillTint="33"/>
            <w:noWrap/>
            <w:vAlign w:val="center"/>
          </w:tcPr>
          <w:p w14:paraId="56EFE35E"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895" w:type="dxa"/>
            <w:tcBorders>
              <w:top w:val="nil"/>
              <w:left w:val="nil"/>
              <w:bottom w:val="nil"/>
              <w:right w:val="nil"/>
            </w:tcBorders>
            <w:shd w:val="clear" w:color="000000" w:fill="FFFFFF"/>
            <w:vAlign w:val="center"/>
          </w:tcPr>
          <w:p w14:paraId="4BF27586"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p>
        </w:tc>
        <w:tc>
          <w:tcPr>
            <w:tcW w:w="1044" w:type="dxa"/>
            <w:tcBorders>
              <w:top w:val="nil"/>
              <w:left w:val="nil"/>
              <w:bottom w:val="nil"/>
              <w:right w:val="nil"/>
            </w:tcBorders>
            <w:shd w:val="clear" w:color="000000" w:fill="FFFFFF"/>
            <w:vAlign w:val="center"/>
          </w:tcPr>
          <w:p w14:paraId="2F93707E"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p>
        </w:tc>
        <w:tc>
          <w:tcPr>
            <w:tcW w:w="895" w:type="dxa"/>
            <w:tcBorders>
              <w:top w:val="nil"/>
              <w:left w:val="nil"/>
              <w:bottom w:val="nil"/>
              <w:right w:val="nil"/>
            </w:tcBorders>
            <w:shd w:val="clear" w:color="auto" w:fill="auto"/>
            <w:vAlign w:val="center"/>
            <w:hideMark/>
          </w:tcPr>
          <w:p w14:paraId="464F714F"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p>
        </w:tc>
      </w:tr>
      <w:tr w:rsidR="00AB33EC" w:rsidRPr="003E75E2" w14:paraId="18EBDCD4" w14:textId="77777777" w:rsidTr="00C5404E">
        <w:trPr>
          <w:trHeight w:val="315"/>
        </w:trPr>
        <w:tc>
          <w:tcPr>
            <w:tcW w:w="4481" w:type="dxa"/>
            <w:tcBorders>
              <w:top w:val="nil"/>
              <w:left w:val="nil"/>
              <w:bottom w:val="nil"/>
              <w:right w:val="nil"/>
            </w:tcBorders>
            <w:shd w:val="clear" w:color="000000" w:fill="FFFFFF"/>
            <w:noWrap/>
            <w:vAlign w:val="center"/>
            <w:hideMark/>
          </w:tcPr>
          <w:p w14:paraId="44AD63D5"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Finance lease payments</w:t>
            </w:r>
          </w:p>
        </w:tc>
        <w:tc>
          <w:tcPr>
            <w:tcW w:w="339" w:type="dxa"/>
            <w:tcBorders>
              <w:top w:val="nil"/>
              <w:left w:val="nil"/>
              <w:bottom w:val="nil"/>
              <w:right w:val="nil"/>
            </w:tcBorders>
            <w:shd w:val="clear" w:color="000000" w:fill="FFFFFF"/>
            <w:noWrap/>
            <w:vAlign w:val="center"/>
            <w:hideMark/>
          </w:tcPr>
          <w:p w14:paraId="4ADBCD27"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6D5A24C9"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10</w:t>
            </w:r>
          </w:p>
        </w:tc>
        <w:tc>
          <w:tcPr>
            <w:tcW w:w="1134" w:type="dxa"/>
            <w:tcBorders>
              <w:top w:val="nil"/>
              <w:left w:val="nil"/>
              <w:bottom w:val="nil"/>
              <w:right w:val="nil"/>
            </w:tcBorders>
            <w:shd w:val="clear" w:color="auto" w:fill="F1F1F2" w:themeFill="accent5" w:themeFillTint="33"/>
            <w:noWrap/>
            <w:vAlign w:val="center"/>
          </w:tcPr>
          <w:p w14:paraId="36422822"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(333)</w:t>
            </w:r>
          </w:p>
        </w:tc>
        <w:tc>
          <w:tcPr>
            <w:tcW w:w="895" w:type="dxa"/>
            <w:tcBorders>
              <w:top w:val="nil"/>
              <w:left w:val="nil"/>
              <w:bottom w:val="nil"/>
              <w:right w:val="nil"/>
            </w:tcBorders>
            <w:shd w:val="clear" w:color="000000" w:fill="FFFFFF"/>
            <w:vAlign w:val="center"/>
          </w:tcPr>
          <w:p w14:paraId="230A7699"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(288)</w:t>
            </w:r>
          </w:p>
        </w:tc>
        <w:tc>
          <w:tcPr>
            <w:tcW w:w="1044" w:type="dxa"/>
            <w:tcBorders>
              <w:top w:val="nil"/>
              <w:left w:val="nil"/>
              <w:bottom w:val="nil"/>
              <w:right w:val="nil"/>
            </w:tcBorders>
            <w:shd w:val="clear" w:color="000000" w:fill="FFFFFF"/>
            <w:vAlign w:val="center"/>
          </w:tcPr>
          <w:p w14:paraId="637481AE"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(45)</w:t>
            </w:r>
          </w:p>
        </w:tc>
        <w:tc>
          <w:tcPr>
            <w:tcW w:w="895" w:type="dxa"/>
            <w:tcBorders>
              <w:top w:val="nil"/>
              <w:left w:val="nil"/>
              <w:bottom w:val="nil"/>
              <w:right w:val="nil"/>
            </w:tcBorders>
            <w:shd w:val="clear" w:color="auto" w:fill="auto"/>
            <w:vAlign w:val="center"/>
            <w:hideMark/>
          </w:tcPr>
          <w:p w14:paraId="079FCF99"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(333)</w:t>
            </w:r>
          </w:p>
        </w:tc>
      </w:tr>
      <w:tr w:rsidR="00AB33EC" w:rsidRPr="003E75E2" w14:paraId="4894A793" w14:textId="77777777" w:rsidTr="00C5404E">
        <w:trPr>
          <w:trHeight w:val="315"/>
        </w:trPr>
        <w:tc>
          <w:tcPr>
            <w:tcW w:w="4481" w:type="dxa"/>
            <w:tcBorders>
              <w:top w:val="nil"/>
              <w:left w:val="nil"/>
              <w:bottom w:val="nil"/>
              <w:right w:val="nil"/>
            </w:tcBorders>
            <w:shd w:val="clear" w:color="000000" w:fill="FFFFFF"/>
            <w:noWrap/>
            <w:vAlign w:val="center"/>
            <w:hideMark/>
          </w:tcPr>
          <w:p w14:paraId="2B8365FE" w14:textId="77777777" w:rsidR="00AB33EC" w:rsidRPr="00E80281" w:rsidRDefault="00AB33EC" w:rsidP="00B721B7">
            <w:pPr>
              <w:spacing w:after="8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Net cash provided by/(used in) financing activities</w:t>
            </w:r>
          </w:p>
        </w:tc>
        <w:tc>
          <w:tcPr>
            <w:tcW w:w="339" w:type="dxa"/>
            <w:tcBorders>
              <w:top w:val="nil"/>
              <w:left w:val="nil"/>
              <w:bottom w:val="nil"/>
              <w:right w:val="nil"/>
            </w:tcBorders>
            <w:shd w:val="clear" w:color="000000" w:fill="FFFFFF"/>
            <w:noWrap/>
            <w:vAlign w:val="center"/>
            <w:hideMark/>
          </w:tcPr>
          <w:p w14:paraId="6AEC84DB"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left w:val="nil"/>
              <w:right w:val="nil"/>
            </w:tcBorders>
            <w:shd w:val="clear" w:color="auto" w:fill="auto"/>
          </w:tcPr>
          <w:p w14:paraId="0EB1BF9F" w14:textId="77777777" w:rsidR="00AB33EC" w:rsidRPr="00E80281" w:rsidRDefault="00AB33EC" w:rsidP="00B721B7">
            <w:pPr>
              <w:spacing w:after="80"/>
              <w:jc w:val="right"/>
              <w:rPr>
                <w:rFonts w:asciiTheme="minorHAnsi" w:eastAsia="Times New Roman" w:hAnsiTheme="minorHAnsi" w:cstheme="minorHAnsi"/>
                <w:b/>
                <w:color w:val="000000"/>
                <w:szCs w:val="20"/>
                <w:lang w:eastAsia="en-AU"/>
              </w:rPr>
            </w:pPr>
          </w:p>
        </w:tc>
        <w:tc>
          <w:tcPr>
            <w:tcW w:w="1134" w:type="dxa"/>
            <w:tcBorders>
              <w:top w:val="single" w:sz="8" w:space="0" w:color="auto"/>
              <w:left w:val="nil"/>
              <w:bottom w:val="single" w:sz="8" w:space="0" w:color="auto"/>
              <w:right w:val="nil"/>
            </w:tcBorders>
            <w:shd w:val="clear" w:color="auto" w:fill="F1F1F2" w:themeFill="accent5" w:themeFillTint="33"/>
            <w:noWrap/>
            <w:vAlign w:val="center"/>
          </w:tcPr>
          <w:p w14:paraId="5410E631"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r w:rsidRPr="004E0D64">
              <w:rPr>
                <w:rFonts w:asciiTheme="minorHAnsi" w:eastAsia="Times New Roman" w:hAnsiTheme="minorHAnsi" w:cstheme="minorHAnsi"/>
                <w:b/>
                <w:bCs/>
                <w:color w:val="000000"/>
                <w:szCs w:val="20"/>
                <w:lang w:eastAsia="en-AU"/>
              </w:rPr>
              <w:t>(333)</w:t>
            </w:r>
          </w:p>
        </w:tc>
        <w:tc>
          <w:tcPr>
            <w:tcW w:w="895" w:type="dxa"/>
            <w:tcBorders>
              <w:top w:val="single" w:sz="8" w:space="0" w:color="auto"/>
              <w:left w:val="nil"/>
              <w:bottom w:val="single" w:sz="8" w:space="0" w:color="auto"/>
              <w:right w:val="nil"/>
            </w:tcBorders>
            <w:shd w:val="clear" w:color="000000" w:fill="FFFFFF"/>
            <w:vAlign w:val="center"/>
          </w:tcPr>
          <w:p w14:paraId="275BBED1"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r w:rsidRPr="004E0D64">
              <w:rPr>
                <w:rFonts w:asciiTheme="minorHAnsi" w:eastAsia="Times New Roman" w:hAnsiTheme="minorHAnsi" w:cstheme="minorHAnsi"/>
                <w:b/>
                <w:bCs/>
                <w:color w:val="000000"/>
                <w:szCs w:val="20"/>
                <w:lang w:eastAsia="en-AU"/>
              </w:rPr>
              <w:t>(288)</w:t>
            </w:r>
          </w:p>
        </w:tc>
        <w:tc>
          <w:tcPr>
            <w:tcW w:w="1044" w:type="dxa"/>
            <w:tcBorders>
              <w:top w:val="single" w:sz="8" w:space="0" w:color="auto"/>
              <w:left w:val="nil"/>
              <w:bottom w:val="single" w:sz="8" w:space="0" w:color="auto"/>
              <w:right w:val="nil"/>
            </w:tcBorders>
            <w:shd w:val="clear" w:color="000000" w:fill="FFFFFF"/>
            <w:vAlign w:val="center"/>
          </w:tcPr>
          <w:p w14:paraId="05B429AD" w14:textId="77777777" w:rsidR="00AB33EC" w:rsidRPr="004E0D64" w:rsidRDefault="00AB33EC" w:rsidP="00B721B7">
            <w:pPr>
              <w:spacing w:after="80"/>
              <w:jc w:val="right"/>
              <w:rPr>
                <w:rFonts w:asciiTheme="minorHAnsi" w:eastAsia="Times New Roman" w:hAnsiTheme="minorHAnsi" w:cstheme="minorHAnsi"/>
                <w:b/>
                <w:color w:val="000000"/>
                <w:szCs w:val="20"/>
                <w:lang w:eastAsia="en-AU"/>
              </w:rPr>
            </w:pPr>
            <w:r w:rsidRPr="004E0D64">
              <w:rPr>
                <w:rFonts w:asciiTheme="minorHAnsi" w:eastAsia="Times New Roman" w:hAnsiTheme="minorHAnsi" w:cstheme="minorHAnsi"/>
                <w:b/>
                <w:color w:val="000000"/>
                <w:szCs w:val="20"/>
                <w:lang w:eastAsia="en-AU"/>
              </w:rPr>
              <w:t>(45)</w:t>
            </w:r>
          </w:p>
        </w:tc>
        <w:tc>
          <w:tcPr>
            <w:tcW w:w="895" w:type="dxa"/>
            <w:tcBorders>
              <w:top w:val="single" w:sz="8" w:space="0" w:color="auto"/>
              <w:left w:val="nil"/>
              <w:bottom w:val="single" w:sz="8" w:space="0" w:color="auto"/>
              <w:right w:val="nil"/>
            </w:tcBorders>
            <w:shd w:val="clear" w:color="auto" w:fill="auto"/>
            <w:vAlign w:val="center"/>
            <w:hideMark/>
          </w:tcPr>
          <w:p w14:paraId="6BAF8BD7"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r w:rsidRPr="004E0D64">
              <w:rPr>
                <w:rFonts w:asciiTheme="minorHAnsi" w:eastAsia="Times New Roman" w:hAnsiTheme="minorHAnsi" w:cstheme="minorHAnsi"/>
                <w:b/>
                <w:color w:val="000000"/>
                <w:szCs w:val="20"/>
                <w:lang w:eastAsia="en-AU"/>
              </w:rPr>
              <w:t>(333)</w:t>
            </w:r>
          </w:p>
        </w:tc>
      </w:tr>
      <w:tr w:rsidR="00AB33EC" w:rsidRPr="003E75E2" w14:paraId="327C080F" w14:textId="77777777" w:rsidTr="00C5404E">
        <w:trPr>
          <w:trHeight w:val="162"/>
        </w:trPr>
        <w:tc>
          <w:tcPr>
            <w:tcW w:w="4481" w:type="dxa"/>
            <w:tcBorders>
              <w:top w:val="nil"/>
              <w:left w:val="nil"/>
              <w:bottom w:val="nil"/>
              <w:right w:val="nil"/>
            </w:tcBorders>
            <w:shd w:val="clear" w:color="000000" w:fill="FFFFFF"/>
            <w:noWrap/>
            <w:vAlign w:val="center"/>
            <w:hideMark/>
          </w:tcPr>
          <w:p w14:paraId="09ED7E9C"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339" w:type="dxa"/>
            <w:tcBorders>
              <w:top w:val="nil"/>
              <w:left w:val="nil"/>
              <w:bottom w:val="nil"/>
              <w:right w:val="nil"/>
            </w:tcBorders>
            <w:shd w:val="clear" w:color="000000" w:fill="FFFFFF"/>
            <w:noWrap/>
            <w:vAlign w:val="center"/>
            <w:hideMark/>
          </w:tcPr>
          <w:p w14:paraId="771ECFBB"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74142773"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nil"/>
              <w:right w:val="nil"/>
            </w:tcBorders>
            <w:shd w:val="clear" w:color="auto" w:fill="F1F1F2" w:themeFill="accent5" w:themeFillTint="33"/>
            <w:noWrap/>
            <w:vAlign w:val="center"/>
          </w:tcPr>
          <w:p w14:paraId="443A63FC"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895" w:type="dxa"/>
            <w:tcBorders>
              <w:top w:val="nil"/>
              <w:left w:val="nil"/>
              <w:bottom w:val="nil"/>
              <w:right w:val="nil"/>
            </w:tcBorders>
            <w:shd w:val="clear" w:color="000000" w:fill="FFFFFF"/>
            <w:vAlign w:val="center"/>
          </w:tcPr>
          <w:p w14:paraId="0F1A821B"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1044" w:type="dxa"/>
            <w:tcBorders>
              <w:top w:val="nil"/>
              <w:left w:val="nil"/>
              <w:bottom w:val="nil"/>
              <w:right w:val="nil"/>
            </w:tcBorders>
            <w:shd w:val="clear" w:color="000000" w:fill="FFFFFF"/>
            <w:vAlign w:val="center"/>
          </w:tcPr>
          <w:p w14:paraId="06FE0B32"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c>
          <w:tcPr>
            <w:tcW w:w="895" w:type="dxa"/>
            <w:tcBorders>
              <w:top w:val="nil"/>
              <w:left w:val="nil"/>
              <w:bottom w:val="nil"/>
              <w:right w:val="nil"/>
            </w:tcBorders>
            <w:shd w:val="clear" w:color="auto" w:fill="auto"/>
            <w:vAlign w:val="center"/>
            <w:hideMark/>
          </w:tcPr>
          <w:p w14:paraId="5B003848"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p>
        </w:tc>
      </w:tr>
      <w:tr w:rsidR="00AB33EC" w:rsidRPr="003E75E2" w14:paraId="19B6ED40" w14:textId="77777777" w:rsidTr="00C5404E">
        <w:trPr>
          <w:trHeight w:val="300"/>
        </w:trPr>
        <w:tc>
          <w:tcPr>
            <w:tcW w:w="4481" w:type="dxa"/>
            <w:tcBorders>
              <w:top w:val="nil"/>
              <w:left w:val="nil"/>
              <w:bottom w:val="nil"/>
              <w:right w:val="nil"/>
            </w:tcBorders>
            <w:shd w:val="clear" w:color="000000" w:fill="FFFFFF"/>
            <w:noWrap/>
            <w:vAlign w:val="center"/>
            <w:hideMark/>
          </w:tcPr>
          <w:p w14:paraId="5B4E027C"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Net increase in cash and cash equivalents</w:t>
            </w:r>
          </w:p>
        </w:tc>
        <w:tc>
          <w:tcPr>
            <w:tcW w:w="339" w:type="dxa"/>
            <w:tcBorders>
              <w:top w:val="nil"/>
              <w:left w:val="nil"/>
              <w:bottom w:val="nil"/>
              <w:right w:val="nil"/>
            </w:tcBorders>
            <w:shd w:val="clear" w:color="000000" w:fill="FFFFFF"/>
            <w:noWrap/>
            <w:vAlign w:val="center"/>
            <w:hideMark/>
          </w:tcPr>
          <w:p w14:paraId="5AC2437C"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bottom w:val="nil"/>
              <w:right w:val="nil"/>
            </w:tcBorders>
            <w:shd w:val="clear" w:color="auto" w:fill="auto"/>
          </w:tcPr>
          <w:p w14:paraId="69A3D039"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nil"/>
              <w:right w:val="nil"/>
            </w:tcBorders>
            <w:shd w:val="clear" w:color="auto" w:fill="F1F1F2" w:themeFill="accent5" w:themeFillTint="33"/>
            <w:noWrap/>
            <w:vAlign w:val="center"/>
          </w:tcPr>
          <w:p w14:paraId="4C78154A"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71</w:t>
            </w:r>
            <w:r>
              <w:rPr>
                <w:rFonts w:asciiTheme="minorHAnsi" w:eastAsia="Times New Roman" w:hAnsiTheme="minorHAnsi" w:cstheme="minorHAnsi"/>
                <w:color w:val="000000"/>
                <w:szCs w:val="20"/>
                <w:lang w:eastAsia="en-AU"/>
              </w:rPr>
              <w:t>6</w:t>
            </w:r>
          </w:p>
        </w:tc>
        <w:tc>
          <w:tcPr>
            <w:tcW w:w="895" w:type="dxa"/>
            <w:tcBorders>
              <w:top w:val="nil"/>
              <w:left w:val="nil"/>
              <w:bottom w:val="nil"/>
              <w:right w:val="nil"/>
            </w:tcBorders>
            <w:shd w:val="clear" w:color="000000" w:fill="FFFFFF"/>
            <w:vAlign w:val="center"/>
          </w:tcPr>
          <w:p w14:paraId="35D59804"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81</w:t>
            </w:r>
          </w:p>
        </w:tc>
        <w:tc>
          <w:tcPr>
            <w:tcW w:w="1044" w:type="dxa"/>
            <w:tcBorders>
              <w:top w:val="nil"/>
              <w:left w:val="nil"/>
              <w:bottom w:val="nil"/>
              <w:right w:val="nil"/>
            </w:tcBorders>
            <w:shd w:val="clear" w:color="000000" w:fill="FFFFFF"/>
            <w:vAlign w:val="center"/>
          </w:tcPr>
          <w:p w14:paraId="5E35AD04"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635</w:t>
            </w:r>
          </w:p>
        </w:tc>
        <w:tc>
          <w:tcPr>
            <w:tcW w:w="895" w:type="dxa"/>
            <w:tcBorders>
              <w:top w:val="nil"/>
              <w:left w:val="nil"/>
              <w:bottom w:val="nil"/>
              <w:right w:val="nil"/>
            </w:tcBorders>
            <w:shd w:val="clear" w:color="auto" w:fill="auto"/>
            <w:vAlign w:val="center"/>
            <w:hideMark/>
          </w:tcPr>
          <w:p w14:paraId="4C3B4AF1"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6,320</w:t>
            </w:r>
          </w:p>
        </w:tc>
      </w:tr>
      <w:tr w:rsidR="00AB33EC" w:rsidRPr="003E75E2" w14:paraId="4963BCBD" w14:textId="77777777" w:rsidTr="00C5404E">
        <w:trPr>
          <w:trHeight w:val="300"/>
        </w:trPr>
        <w:tc>
          <w:tcPr>
            <w:tcW w:w="4481" w:type="dxa"/>
            <w:tcBorders>
              <w:top w:val="nil"/>
              <w:left w:val="nil"/>
              <w:bottom w:val="nil"/>
              <w:right w:val="nil"/>
            </w:tcBorders>
            <w:shd w:val="clear" w:color="000000" w:fill="FFFFFF"/>
            <w:noWrap/>
            <w:vAlign w:val="center"/>
            <w:hideMark/>
          </w:tcPr>
          <w:p w14:paraId="19B860BB"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Cash and cash equivalents at beginning of period</w:t>
            </w:r>
          </w:p>
        </w:tc>
        <w:tc>
          <w:tcPr>
            <w:tcW w:w="339" w:type="dxa"/>
            <w:tcBorders>
              <w:top w:val="nil"/>
              <w:left w:val="nil"/>
              <w:bottom w:val="nil"/>
              <w:right w:val="nil"/>
            </w:tcBorders>
            <w:shd w:val="clear" w:color="000000" w:fill="FFFFFF"/>
            <w:noWrap/>
            <w:vAlign w:val="center"/>
            <w:hideMark/>
          </w:tcPr>
          <w:p w14:paraId="5163AD6A"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706" w:type="dxa"/>
            <w:tcBorders>
              <w:top w:val="nil"/>
              <w:left w:val="nil"/>
              <w:right w:val="nil"/>
            </w:tcBorders>
            <w:shd w:val="clear" w:color="auto" w:fill="auto"/>
          </w:tcPr>
          <w:p w14:paraId="7800A049"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134" w:type="dxa"/>
            <w:tcBorders>
              <w:top w:val="nil"/>
              <w:left w:val="nil"/>
              <w:bottom w:val="single" w:sz="8" w:space="0" w:color="auto"/>
              <w:right w:val="nil"/>
            </w:tcBorders>
            <w:shd w:val="clear" w:color="auto" w:fill="F1F1F2" w:themeFill="accent5" w:themeFillTint="33"/>
            <w:vAlign w:val="center"/>
          </w:tcPr>
          <w:p w14:paraId="4B11F61F"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25,215</w:t>
            </w:r>
          </w:p>
        </w:tc>
        <w:tc>
          <w:tcPr>
            <w:tcW w:w="895" w:type="dxa"/>
            <w:tcBorders>
              <w:top w:val="nil"/>
              <w:left w:val="nil"/>
              <w:bottom w:val="single" w:sz="8" w:space="0" w:color="auto"/>
              <w:right w:val="nil"/>
            </w:tcBorders>
            <w:shd w:val="clear" w:color="000000" w:fill="FFFFFF"/>
            <w:vAlign w:val="center"/>
          </w:tcPr>
          <w:p w14:paraId="0B1BE8CB"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25,788</w:t>
            </w:r>
          </w:p>
        </w:tc>
        <w:tc>
          <w:tcPr>
            <w:tcW w:w="1044" w:type="dxa"/>
            <w:tcBorders>
              <w:top w:val="nil"/>
              <w:left w:val="nil"/>
              <w:bottom w:val="single" w:sz="8" w:space="0" w:color="auto"/>
              <w:right w:val="nil"/>
            </w:tcBorders>
            <w:shd w:val="clear" w:color="000000" w:fill="FFFFFF"/>
            <w:vAlign w:val="center"/>
          </w:tcPr>
          <w:p w14:paraId="48BE6BF1" w14:textId="778965EC"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w:t>
            </w:r>
            <w:r w:rsidR="0059126C">
              <w:rPr>
                <w:rFonts w:asciiTheme="minorHAnsi" w:eastAsia="Times New Roman" w:hAnsiTheme="minorHAnsi" w:cstheme="minorHAnsi"/>
                <w:color w:val="000000"/>
                <w:szCs w:val="20"/>
                <w:lang w:eastAsia="en-AU"/>
              </w:rPr>
              <w:t>573</w:t>
            </w:r>
            <w:r w:rsidRPr="004E0D64">
              <w:rPr>
                <w:rFonts w:asciiTheme="minorHAnsi" w:eastAsia="Times New Roman" w:hAnsiTheme="minorHAnsi" w:cstheme="minorHAnsi"/>
                <w:color w:val="000000"/>
                <w:szCs w:val="20"/>
                <w:lang w:eastAsia="en-AU"/>
              </w:rPr>
              <w:t>)</w:t>
            </w:r>
          </w:p>
        </w:tc>
        <w:tc>
          <w:tcPr>
            <w:tcW w:w="895" w:type="dxa"/>
            <w:tcBorders>
              <w:top w:val="nil"/>
              <w:left w:val="nil"/>
              <w:bottom w:val="single" w:sz="8" w:space="0" w:color="auto"/>
              <w:right w:val="nil"/>
            </w:tcBorders>
            <w:shd w:val="clear" w:color="auto" w:fill="auto"/>
            <w:vAlign w:val="center"/>
            <w:hideMark/>
          </w:tcPr>
          <w:p w14:paraId="4C3FDF3B" w14:textId="77777777" w:rsidR="00AB33EC" w:rsidRPr="004E0D64" w:rsidRDefault="00AB33EC" w:rsidP="00B721B7">
            <w:pPr>
              <w:spacing w:after="80"/>
              <w:jc w:val="right"/>
              <w:rPr>
                <w:rFonts w:asciiTheme="minorHAnsi" w:eastAsia="Times New Roman" w:hAnsiTheme="minorHAnsi" w:cstheme="minorHAnsi"/>
                <w:color w:val="000000"/>
                <w:szCs w:val="20"/>
                <w:lang w:eastAsia="en-AU"/>
              </w:rPr>
            </w:pPr>
            <w:r w:rsidRPr="004E0D64">
              <w:rPr>
                <w:rFonts w:asciiTheme="minorHAnsi" w:eastAsia="Times New Roman" w:hAnsiTheme="minorHAnsi" w:cstheme="minorHAnsi"/>
                <w:color w:val="000000"/>
                <w:szCs w:val="20"/>
                <w:lang w:eastAsia="en-AU"/>
              </w:rPr>
              <w:t>18,895</w:t>
            </w:r>
          </w:p>
        </w:tc>
      </w:tr>
      <w:tr w:rsidR="00AB33EC" w:rsidRPr="003E75E2" w14:paraId="1D31A39B" w14:textId="77777777" w:rsidTr="00C5404E">
        <w:trPr>
          <w:trHeight w:val="315"/>
        </w:trPr>
        <w:tc>
          <w:tcPr>
            <w:tcW w:w="4481" w:type="dxa"/>
            <w:tcBorders>
              <w:top w:val="nil"/>
              <w:left w:val="nil"/>
              <w:bottom w:val="nil"/>
              <w:right w:val="nil"/>
            </w:tcBorders>
            <w:shd w:val="clear" w:color="000000" w:fill="FFFFFF"/>
            <w:noWrap/>
            <w:vAlign w:val="center"/>
            <w:hideMark/>
          </w:tcPr>
          <w:p w14:paraId="124C847E" w14:textId="77777777" w:rsidR="00AB33EC" w:rsidRPr="00E80281" w:rsidRDefault="00AB33EC" w:rsidP="00B721B7">
            <w:pPr>
              <w:spacing w:after="8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Cash and cash equivalents at end of period</w:t>
            </w:r>
          </w:p>
        </w:tc>
        <w:tc>
          <w:tcPr>
            <w:tcW w:w="339" w:type="dxa"/>
            <w:tcBorders>
              <w:top w:val="nil"/>
              <w:left w:val="nil"/>
              <w:bottom w:val="nil"/>
              <w:right w:val="nil"/>
            </w:tcBorders>
            <w:shd w:val="clear" w:color="000000" w:fill="FFFFFF"/>
            <w:noWrap/>
            <w:vAlign w:val="center"/>
            <w:hideMark/>
          </w:tcPr>
          <w:p w14:paraId="1C83837B" w14:textId="77777777" w:rsidR="00AB33EC" w:rsidRPr="00E80281" w:rsidRDefault="00AB33EC" w:rsidP="00B721B7">
            <w:pPr>
              <w:spacing w:after="80"/>
              <w:jc w:val="center"/>
              <w:rPr>
                <w:rFonts w:asciiTheme="minorHAnsi" w:eastAsia="Times New Roman" w:hAnsiTheme="minorHAnsi" w:cstheme="minorHAnsi"/>
                <w:color w:val="000000"/>
                <w:szCs w:val="20"/>
                <w:lang w:eastAsia="en-AU"/>
              </w:rPr>
            </w:pPr>
          </w:p>
        </w:tc>
        <w:tc>
          <w:tcPr>
            <w:tcW w:w="706" w:type="dxa"/>
            <w:tcBorders>
              <w:left w:val="nil"/>
              <w:right w:val="nil"/>
            </w:tcBorders>
            <w:shd w:val="clear" w:color="auto" w:fill="auto"/>
          </w:tcPr>
          <w:p w14:paraId="7C57D7E0"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color w:val="000000"/>
                <w:szCs w:val="20"/>
                <w:lang w:eastAsia="en-AU"/>
              </w:rPr>
              <w:t>7</w:t>
            </w:r>
          </w:p>
        </w:tc>
        <w:tc>
          <w:tcPr>
            <w:tcW w:w="1134" w:type="dxa"/>
            <w:tcBorders>
              <w:top w:val="single" w:sz="8" w:space="0" w:color="auto"/>
              <w:left w:val="nil"/>
              <w:bottom w:val="double" w:sz="4" w:space="0" w:color="auto"/>
              <w:right w:val="nil"/>
            </w:tcBorders>
            <w:shd w:val="clear" w:color="auto" w:fill="F1F1F2" w:themeFill="accent5" w:themeFillTint="33"/>
            <w:noWrap/>
            <w:vAlign w:val="center"/>
          </w:tcPr>
          <w:p w14:paraId="5101B68B"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r w:rsidRPr="004E0D64">
              <w:rPr>
                <w:rFonts w:asciiTheme="minorHAnsi" w:eastAsia="Times New Roman" w:hAnsiTheme="minorHAnsi" w:cstheme="minorHAnsi"/>
                <w:b/>
                <w:bCs/>
                <w:color w:val="000000"/>
                <w:szCs w:val="20"/>
                <w:lang w:eastAsia="en-AU"/>
              </w:rPr>
              <w:t>25,931</w:t>
            </w:r>
          </w:p>
        </w:tc>
        <w:tc>
          <w:tcPr>
            <w:tcW w:w="895" w:type="dxa"/>
            <w:tcBorders>
              <w:top w:val="single" w:sz="8" w:space="0" w:color="auto"/>
              <w:left w:val="nil"/>
              <w:bottom w:val="double" w:sz="4" w:space="0" w:color="auto"/>
              <w:right w:val="nil"/>
            </w:tcBorders>
            <w:shd w:val="clear" w:color="000000" w:fill="FFFFFF"/>
            <w:vAlign w:val="center"/>
          </w:tcPr>
          <w:p w14:paraId="49C4CA3D"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r w:rsidRPr="004E0D64">
              <w:rPr>
                <w:rFonts w:asciiTheme="minorHAnsi" w:eastAsia="Times New Roman" w:hAnsiTheme="minorHAnsi" w:cstheme="minorHAnsi"/>
                <w:b/>
                <w:bCs/>
                <w:color w:val="000000"/>
                <w:szCs w:val="20"/>
                <w:lang w:eastAsia="en-AU"/>
              </w:rPr>
              <w:t>25,869</w:t>
            </w:r>
          </w:p>
        </w:tc>
        <w:tc>
          <w:tcPr>
            <w:tcW w:w="1044" w:type="dxa"/>
            <w:tcBorders>
              <w:top w:val="single" w:sz="8" w:space="0" w:color="auto"/>
              <w:left w:val="nil"/>
              <w:bottom w:val="double" w:sz="4" w:space="0" w:color="auto"/>
              <w:right w:val="nil"/>
            </w:tcBorders>
            <w:shd w:val="clear" w:color="000000" w:fill="FFFFFF"/>
            <w:vAlign w:val="center"/>
          </w:tcPr>
          <w:p w14:paraId="1D8F548A" w14:textId="7313A186" w:rsidR="00AB33EC" w:rsidRPr="004E0D64" w:rsidRDefault="001D64D0" w:rsidP="00B721B7">
            <w:pPr>
              <w:spacing w:after="80"/>
              <w:jc w:val="right"/>
              <w:rPr>
                <w:rFonts w:asciiTheme="minorHAnsi" w:eastAsia="Times New Roman" w:hAnsiTheme="minorHAnsi" w:cstheme="minorHAnsi"/>
                <w:b/>
                <w:bCs/>
                <w:color w:val="000000"/>
                <w:szCs w:val="20"/>
                <w:lang w:eastAsia="en-AU"/>
              </w:rPr>
            </w:pPr>
            <w:r>
              <w:rPr>
                <w:rFonts w:asciiTheme="minorHAnsi" w:eastAsia="Times New Roman" w:hAnsiTheme="minorHAnsi" w:cstheme="minorHAnsi"/>
                <w:b/>
                <w:bCs/>
                <w:color w:val="000000"/>
                <w:szCs w:val="20"/>
                <w:lang w:eastAsia="en-AU"/>
              </w:rPr>
              <w:t>62</w:t>
            </w:r>
          </w:p>
        </w:tc>
        <w:tc>
          <w:tcPr>
            <w:tcW w:w="895" w:type="dxa"/>
            <w:tcBorders>
              <w:top w:val="single" w:sz="8" w:space="0" w:color="auto"/>
              <w:left w:val="nil"/>
              <w:bottom w:val="double" w:sz="4" w:space="0" w:color="auto"/>
              <w:right w:val="nil"/>
            </w:tcBorders>
            <w:shd w:val="clear" w:color="auto" w:fill="auto"/>
            <w:vAlign w:val="center"/>
            <w:hideMark/>
          </w:tcPr>
          <w:p w14:paraId="1EAAE576" w14:textId="77777777" w:rsidR="00AB33EC" w:rsidRPr="004E0D64" w:rsidRDefault="00AB33EC" w:rsidP="00B721B7">
            <w:pPr>
              <w:spacing w:after="80"/>
              <w:jc w:val="right"/>
              <w:rPr>
                <w:rFonts w:asciiTheme="minorHAnsi" w:eastAsia="Times New Roman" w:hAnsiTheme="minorHAnsi" w:cstheme="minorHAnsi"/>
                <w:b/>
                <w:bCs/>
                <w:color w:val="000000"/>
                <w:szCs w:val="20"/>
                <w:lang w:eastAsia="en-AU"/>
              </w:rPr>
            </w:pPr>
            <w:r w:rsidRPr="004E0D64">
              <w:rPr>
                <w:rFonts w:asciiTheme="minorHAnsi" w:eastAsia="Times New Roman" w:hAnsiTheme="minorHAnsi" w:cstheme="minorHAnsi"/>
                <w:b/>
                <w:bCs/>
                <w:color w:val="000000"/>
                <w:szCs w:val="20"/>
                <w:lang w:eastAsia="en-AU"/>
              </w:rPr>
              <w:t>25,215</w:t>
            </w:r>
          </w:p>
        </w:tc>
      </w:tr>
    </w:tbl>
    <w:p w14:paraId="145E2C94" w14:textId="77777777" w:rsidR="00AB33EC" w:rsidRPr="003E75E2" w:rsidRDefault="00AB33EC" w:rsidP="00AB33EC">
      <w:pPr>
        <w:pStyle w:val="Notes"/>
        <w:rPr>
          <w:rFonts w:cstheme="minorHAnsi"/>
          <w:i/>
        </w:rPr>
      </w:pPr>
    </w:p>
    <w:p w14:paraId="7BE0F73D" w14:textId="77777777" w:rsidR="00AB33EC" w:rsidRDefault="00AB33EC" w:rsidP="00AB33EC">
      <w:pPr>
        <w:tabs>
          <w:tab w:val="left" w:pos="4500"/>
        </w:tabs>
        <w:rPr>
          <w:rFonts w:cs="Arial"/>
          <w:i/>
          <w:sz w:val="17"/>
          <w:szCs w:val="17"/>
        </w:rPr>
      </w:pPr>
      <w:r w:rsidRPr="00BC4938">
        <w:rPr>
          <w:rFonts w:cs="Arial"/>
          <w:i/>
          <w:sz w:val="17"/>
          <w:szCs w:val="17"/>
        </w:rPr>
        <w:t xml:space="preserve">* An explanation of major variances is included at Note </w:t>
      </w:r>
      <w:r>
        <w:rPr>
          <w:rFonts w:cs="Arial"/>
          <w:i/>
          <w:sz w:val="17"/>
          <w:szCs w:val="17"/>
        </w:rPr>
        <w:t>18</w:t>
      </w:r>
      <w:r w:rsidRPr="00BC4938">
        <w:rPr>
          <w:rFonts w:cs="Arial"/>
          <w:i/>
          <w:sz w:val="17"/>
          <w:szCs w:val="17"/>
        </w:rPr>
        <w:t>.</w:t>
      </w:r>
    </w:p>
    <w:p w14:paraId="5D6C90B0" w14:textId="66643EFC" w:rsidR="00AB33EC" w:rsidRPr="009D5C28" w:rsidRDefault="00AB33EC" w:rsidP="009D5C28">
      <w:pPr>
        <w:pStyle w:val="Notes"/>
        <w:rPr>
          <w:i/>
        </w:rPr>
      </w:pPr>
      <w:r w:rsidRPr="003F19CB">
        <w:rPr>
          <w:i/>
        </w:rPr>
        <w:t xml:space="preserve">The accompanying notes form part of </w:t>
      </w:r>
      <w:r w:rsidRPr="00BC4938">
        <w:rPr>
          <w:i/>
        </w:rPr>
        <w:t>these statements.</w:t>
      </w:r>
    </w:p>
    <w:p w14:paraId="28F7940B" w14:textId="77777777" w:rsidR="00AB33EC" w:rsidRPr="003E75E2" w:rsidRDefault="00AB33EC" w:rsidP="00AB33EC">
      <w:pPr>
        <w:spacing w:before="60"/>
        <w:rPr>
          <w:rFonts w:asciiTheme="minorHAnsi" w:eastAsia="Calibri" w:hAnsiTheme="minorHAnsi" w:cstheme="minorHAnsi"/>
          <w:b/>
          <w:color w:val="000000"/>
        </w:rPr>
      </w:pPr>
    </w:p>
    <w:p w14:paraId="3CF742B6" w14:textId="77777777" w:rsidR="00AB33EC" w:rsidRPr="00E80281" w:rsidRDefault="00AB33EC" w:rsidP="00AB33EC">
      <w:pPr>
        <w:spacing w:before="60"/>
        <w:rPr>
          <w:rFonts w:asciiTheme="minorHAnsi" w:eastAsia="Calibri" w:hAnsiTheme="minorHAnsi" w:cstheme="minorHAnsi"/>
          <w:color w:val="000000"/>
        </w:rPr>
      </w:pPr>
      <w:r w:rsidRPr="00E80281">
        <w:rPr>
          <w:rFonts w:asciiTheme="minorHAnsi" w:eastAsia="Calibri" w:hAnsiTheme="minorHAnsi" w:cstheme="minorHAnsi"/>
          <w:b/>
          <w:color w:val="000000"/>
        </w:rPr>
        <w:t>Reconciliation of Operating Result to Net Cash Provided by Operating Activities</w:t>
      </w:r>
    </w:p>
    <w:p w14:paraId="74C71C5A" w14:textId="77777777" w:rsidR="00AB33EC" w:rsidRPr="00E80281" w:rsidRDefault="00AB33EC" w:rsidP="00AB33EC">
      <w:pPr>
        <w:tabs>
          <w:tab w:val="left" w:pos="1851"/>
        </w:tabs>
        <w:rPr>
          <w:rFonts w:asciiTheme="minorHAnsi" w:eastAsia="Calibri" w:hAnsiTheme="minorHAnsi" w:cstheme="minorHAnsi"/>
          <w:b/>
          <w:bCs/>
          <w:color w:val="000000"/>
          <w:szCs w:val="20"/>
        </w:rPr>
      </w:pPr>
      <w:r w:rsidRPr="00E80281">
        <w:rPr>
          <w:rFonts w:asciiTheme="minorHAnsi" w:eastAsia="Calibri" w:hAnsiTheme="minorHAnsi" w:cstheme="minorHAnsi"/>
          <w:b/>
          <w:bCs/>
          <w:color w:val="000000"/>
          <w:szCs w:val="20"/>
        </w:rPr>
        <w:tab/>
      </w:r>
    </w:p>
    <w:tbl>
      <w:tblPr>
        <w:tblW w:w="9220" w:type="dxa"/>
        <w:tblLook w:val="04A0" w:firstRow="1" w:lastRow="0" w:firstColumn="1" w:lastColumn="0" w:noHBand="0" w:noVBand="1"/>
      </w:tblPr>
      <w:tblGrid>
        <w:gridCol w:w="6820"/>
        <w:gridCol w:w="1200"/>
        <w:gridCol w:w="1200"/>
      </w:tblGrid>
      <w:tr w:rsidR="00AB33EC" w:rsidRPr="00E80281" w14:paraId="7419D274" w14:textId="77777777" w:rsidTr="00B721B7">
        <w:trPr>
          <w:trHeight w:val="285"/>
        </w:trPr>
        <w:tc>
          <w:tcPr>
            <w:tcW w:w="6820" w:type="dxa"/>
            <w:tcBorders>
              <w:top w:val="nil"/>
              <w:left w:val="nil"/>
              <w:bottom w:val="nil"/>
              <w:right w:val="nil"/>
            </w:tcBorders>
            <w:shd w:val="clear" w:color="auto" w:fill="auto"/>
            <w:noWrap/>
            <w:vAlign w:val="center"/>
            <w:hideMark/>
          </w:tcPr>
          <w:p w14:paraId="1597998A" w14:textId="77777777" w:rsidR="00AB33EC" w:rsidRPr="00E80281" w:rsidRDefault="00AB33EC" w:rsidP="00B721B7">
            <w:pPr>
              <w:spacing w:after="80"/>
              <w:rPr>
                <w:rFonts w:asciiTheme="minorHAnsi" w:eastAsia="Times New Roman" w:hAnsiTheme="minorHAnsi" w:cstheme="minorHAnsi"/>
                <w:color w:val="000000"/>
                <w:sz w:val="24"/>
                <w:szCs w:val="24"/>
                <w:lang w:eastAsia="en-AU"/>
              </w:rPr>
            </w:pPr>
          </w:p>
        </w:tc>
        <w:tc>
          <w:tcPr>
            <w:tcW w:w="1200" w:type="dxa"/>
            <w:tcBorders>
              <w:top w:val="nil"/>
              <w:left w:val="nil"/>
              <w:bottom w:val="nil"/>
              <w:right w:val="nil"/>
            </w:tcBorders>
            <w:shd w:val="clear" w:color="auto" w:fill="F1F1F2" w:themeFill="accent5" w:themeFillTint="33"/>
            <w:noWrap/>
            <w:vAlign w:val="center"/>
            <w:hideMark/>
          </w:tcPr>
          <w:p w14:paraId="73EA0BE3"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2024</w:t>
            </w:r>
          </w:p>
        </w:tc>
        <w:tc>
          <w:tcPr>
            <w:tcW w:w="1200" w:type="dxa"/>
            <w:tcBorders>
              <w:top w:val="nil"/>
              <w:left w:val="nil"/>
              <w:bottom w:val="nil"/>
              <w:right w:val="nil"/>
            </w:tcBorders>
            <w:shd w:val="clear" w:color="000000" w:fill="FFFFFF"/>
            <w:noWrap/>
            <w:vAlign w:val="center"/>
            <w:hideMark/>
          </w:tcPr>
          <w:p w14:paraId="74D6EB9D"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2023</w:t>
            </w:r>
          </w:p>
        </w:tc>
      </w:tr>
      <w:tr w:rsidR="00AB33EC" w:rsidRPr="00E80281" w14:paraId="0EF0722E" w14:textId="77777777" w:rsidTr="00B721B7">
        <w:trPr>
          <w:trHeight w:val="285"/>
        </w:trPr>
        <w:tc>
          <w:tcPr>
            <w:tcW w:w="6820" w:type="dxa"/>
            <w:tcBorders>
              <w:top w:val="nil"/>
              <w:left w:val="nil"/>
              <w:bottom w:val="nil"/>
              <w:right w:val="nil"/>
            </w:tcBorders>
            <w:shd w:val="clear" w:color="auto" w:fill="auto"/>
            <w:noWrap/>
            <w:vAlign w:val="center"/>
            <w:hideMark/>
          </w:tcPr>
          <w:p w14:paraId="1DABA60D"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p>
        </w:tc>
        <w:tc>
          <w:tcPr>
            <w:tcW w:w="1200" w:type="dxa"/>
            <w:tcBorders>
              <w:top w:val="nil"/>
              <w:left w:val="nil"/>
              <w:bottom w:val="nil"/>
              <w:right w:val="nil"/>
            </w:tcBorders>
            <w:shd w:val="clear" w:color="auto" w:fill="F1F1F2" w:themeFill="accent5" w:themeFillTint="33"/>
            <w:noWrap/>
            <w:vAlign w:val="center"/>
            <w:hideMark/>
          </w:tcPr>
          <w:p w14:paraId="5D0E0894"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$’000</w:t>
            </w:r>
          </w:p>
        </w:tc>
        <w:tc>
          <w:tcPr>
            <w:tcW w:w="1200" w:type="dxa"/>
            <w:tcBorders>
              <w:top w:val="nil"/>
              <w:left w:val="nil"/>
              <w:bottom w:val="nil"/>
              <w:right w:val="nil"/>
            </w:tcBorders>
            <w:shd w:val="clear" w:color="000000" w:fill="FFFFFF"/>
            <w:noWrap/>
            <w:vAlign w:val="center"/>
            <w:hideMark/>
          </w:tcPr>
          <w:p w14:paraId="7E6BF705"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$’000</w:t>
            </w:r>
          </w:p>
        </w:tc>
      </w:tr>
      <w:tr w:rsidR="00AB33EC" w:rsidRPr="00E80281" w14:paraId="6470CB70" w14:textId="77777777" w:rsidTr="00B721B7">
        <w:trPr>
          <w:trHeight w:val="285"/>
        </w:trPr>
        <w:tc>
          <w:tcPr>
            <w:tcW w:w="6820" w:type="dxa"/>
            <w:tcBorders>
              <w:top w:val="nil"/>
              <w:left w:val="nil"/>
              <w:bottom w:val="nil"/>
              <w:right w:val="nil"/>
            </w:tcBorders>
            <w:shd w:val="clear" w:color="auto" w:fill="auto"/>
            <w:noWrap/>
            <w:vAlign w:val="center"/>
            <w:hideMark/>
          </w:tcPr>
          <w:p w14:paraId="39590FD3" w14:textId="77777777" w:rsidR="00AB33EC" w:rsidRPr="00E80281" w:rsidRDefault="00AB33EC" w:rsidP="00B721B7">
            <w:pPr>
              <w:jc w:val="right"/>
              <w:rPr>
                <w:rFonts w:asciiTheme="minorHAnsi" w:eastAsia="Times New Roman" w:hAnsiTheme="minorHAnsi" w:cstheme="minorHAnsi"/>
                <w:b/>
                <w:bCs/>
                <w:color w:val="000000"/>
                <w:szCs w:val="20"/>
                <w:lang w:eastAsia="en-AU"/>
              </w:rPr>
            </w:pPr>
          </w:p>
        </w:tc>
        <w:tc>
          <w:tcPr>
            <w:tcW w:w="1200" w:type="dxa"/>
            <w:tcBorders>
              <w:top w:val="nil"/>
              <w:left w:val="nil"/>
              <w:bottom w:val="nil"/>
              <w:right w:val="nil"/>
            </w:tcBorders>
            <w:shd w:val="clear" w:color="auto" w:fill="F1F1F2" w:themeFill="accent5" w:themeFillTint="33"/>
            <w:noWrap/>
            <w:vAlign w:val="center"/>
            <w:hideMark/>
          </w:tcPr>
          <w:p w14:paraId="28C0E593" w14:textId="77777777" w:rsidR="00AB33EC" w:rsidRPr="00E80281" w:rsidRDefault="00AB33EC" w:rsidP="00B721B7">
            <w:pPr>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c>
          <w:tcPr>
            <w:tcW w:w="1200" w:type="dxa"/>
            <w:tcBorders>
              <w:top w:val="nil"/>
              <w:left w:val="nil"/>
              <w:bottom w:val="nil"/>
              <w:right w:val="nil"/>
            </w:tcBorders>
            <w:shd w:val="clear" w:color="000000" w:fill="FFFFFF"/>
            <w:noWrap/>
            <w:vAlign w:val="center"/>
            <w:hideMark/>
          </w:tcPr>
          <w:p w14:paraId="0B33FCAA" w14:textId="77777777" w:rsidR="00AB33EC" w:rsidRPr="00E80281" w:rsidRDefault="00AB33EC" w:rsidP="00B721B7">
            <w:pPr>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 </w:t>
            </w:r>
          </w:p>
        </w:tc>
      </w:tr>
      <w:tr w:rsidR="00AB33EC" w:rsidRPr="00E80281" w14:paraId="2B0F1B6D" w14:textId="77777777" w:rsidTr="00B721B7">
        <w:trPr>
          <w:trHeight w:val="285"/>
        </w:trPr>
        <w:tc>
          <w:tcPr>
            <w:tcW w:w="6820" w:type="dxa"/>
            <w:tcBorders>
              <w:top w:val="nil"/>
              <w:left w:val="nil"/>
              <w:bottom w:val="nil"/>
              <w:right w:val="nil"/>
            </w:tcBorders>
            <w:shd w:val="clear" w:color="auto" w:fill="auto"/>
            <w:noWrap/>
            <w:vAlign w:val="center"/>
            <w:hideMark/>
          </w:tcPr>
          <w:p w14:paraId="5639850B"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Operating result from continuing operations</w:t>
            </w:r>
          </w:p>
        </w:tc>
        <w:tc>
          <w:tcPr>
            <w:tcW w:w="1200" w:type="dxa"/>
            <w:tcBorders>
              <w:top w:val="nil"/>
              <w:left w:val="nil"/>
              <w:bottom w:val="nil"/>
              <w:right w:val="nil"/>
            </w:tcBorders>
            <w:shd w:val="clear" w:color="auto" w:fill="F1F1F2" w:themeFill="accent5" w:themeFillTint="33"/>
            <w:noWrap/>
            <w:vAlign w:val="center"/>
          </w:tcPr>
          <w:p w14:paraId="77B1CC69"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(156)</w:t>
            </w:r>
          </w:p>
        </w:tc>
        <w:tc>
          <w:tcPr>
            <w:tcW w:w="1200" w:type="dxa"/>
            <w:tcBorders>
              <w:top w:val="nil"/>
              <w:left w:val="nil"/>
              <w:bottom w:val="nil"/>
              <w:right w:val="nil"/>
            </w:tcBorders>
            <w:shd w:val="clear" w:color="auto" w:fill="auto"/>
            <w:noWrap/>
            <w:vAlign w:val="center"/>
            <w:hideMark/>
          </w:tcPr>
          <w:p w14:paraId="7AFBDB0A"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6,431</w:t>
            </w:r>
          </w:p>
        </w:tc>
      </w:tr>
      <w:tr w:rsidR="00AB33EC" w:rsidRPr="00E80281" w14:paraId="0936EB59" w14:textId="77777777" w:rsidTr="00B721B7">
        <w:trPr>
          <w:trHeight w:val="285"/>
        </w:trPr>
        <w:tc>
          <w:tcPr>
            <w:tcW w:w="6820" w:type="dxa"/>
            <w:tcBorders>
              <w:top w:val="nil"/>
              <w:left w:val="nil"/>
              <w:bottom w:val="nil"/>
              <w:right w:val="nil"/>
            </w:tcBorders>
            <w:shd w:val="clear" w:color="auto" w:fill="auto"/>
            <w:noWrap/>
            <w:vAlign w:val="center"/>
            <w:hideMark/>
          </w:tcPr>
          <w:p w14:paraId="7D9BE3C2"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Depreciation and amortisation expense</w:t>
            </w:r>
          </w:p>
        </w:tc>
        <w:tc>
          <w:tcPr>
            <w:tcW w:w="1200" w:type="dxa"/>
            <w:tcBorders>
              <w:top w:val="nil"/>
              <w:left w:val="nil"/>
              <w:bottom w:val="nil"/>
              <w:right w:val="nil"/>
            </w:tcBorders>
            <w:shd w:val="clear" w:color="auto" w:fill="F1F1F2" w:themeFill="accent5" w:themeFillTint="33"/>
            <w:noWrap/>
            <w:vAlign w:val="center"/>
          </w:tcPr>
          <w:p w14:paraId="607D8E66"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2,148</w:t>
            </w:r>
          </w:p>
        </w:tc>
        <w:tc>
          <w:tcPr>
            <w:tcW w:w="1200" w:type="dxa"/>
            <w:tcBorders>
              <w:top w:val="nil"/>
              <w:left w:val="nil"/>
              <w:bottom w:val="nil"/>
              <w:right w:val="nil"/>
            </w:tcBorders>
            <w:shd w:val="clear" w:color="auto" w:fill="auto"/>
            <w:noWrap/>
            <w:vAlign w:val="center"/>
            <w:hideMark/>
          </w:tcPr>
          <w:p w14:paraId="4BCCC1E2"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2,288</w:t>
            </w:r>
          </w:p>
        </w:tc>
      </w:tr>
      <w:tr w:rsidR="00AB33EC" w:rsidRPr="00E80281" w14:paraId="2240A9DC" w14:textId="77777777" w:rsidTr="00B721B7">
        <w:trPr>
          <w:trHeight w:val="285"/>
        </w:trPr>
        <w:tc>
          <w:tcPr>
            <w:tcW w:w="6820" w:type="dxa"/>
            <w:tcBorders>
              <w:top w:val="nil"/>
              <w:left w:val="nil"/>
              <w:bottom w:val="nil"/>
              <w:right w:val="nil"/>
            </w:tcBorders>
            <w:shd w:val="clear" w:color="auto" w:fill="auto"/>
            <w:noWrap/>
            <w:vAlign w:val="center"/>
            <w:hideMark/>
          </w:tcPr>
          <w:p w14:paraId="1AEF6C8F"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Losses on disposal of property, plant and equipment</w:t>
            </w:r>
          </w:p>
        </w:tc>
        <w:tc>
          <w:tcPr>
            <w:tcW w:w="1200" w:type="dxa"/>
            <w:tcBorders>
              <w:top w:val="nil"/>
              <w:left w:val="nil"/>
              <w:bottom w:val="nil"/>
              <w:right w:val="nil"/>
            </w:tcBorders>
            <w:shd w:val="clear" w:color="auto" w:fill="F1F1F2" w:themeFill="accent5" w:themeFillTint="33"/>
            <w:noWrap/>
            <w:vAlign w:val="center"/>
          </w:tcPr>
          <w:p w14:paraId="6E245867"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31</w:t>
            </w:r>
          </w:p>
        </w:tc>
        <w:tc>
          <w:tcPr>
            <w:tcW w:w="1200" w:type="dxa"/>
            <w:tcBorders>
              <w:top w:val="nil"/>
              <w:left w:val="nil"/>
              <w:bottom w:val="nil"/>
              <w:right w:val="nil"/>
            </w:tcBorders>
            <w:shd w:val="clear" w:color="auto" w:fill="auto"/>
            <w:noWrap/>
            <w:vAlign w:val="center"/>
            <w:hideMark/>
          </w:tcPr>
          <w:p w14:paraId="036058F0"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27</w:t>
            </w:r>
          </w:p>
        </w:tc>
      </w:tr>
      <w:tr w:rsidR="00AB33EC" w:rsidRPr="00E80281" w14:paraId="2F1C44E9" w14:textId="77777777" w:rsidTr="00B721B7">
        <w:trPr>
          <w:trHeight w:val="285"/>
        </w:trPr>
        <w:tc>
          <w:tcPr>
            <w:tcW w:w="6820" w:type="dxa"/>
            <w:tcBorders>
              <w:top w:val="nil"/>
              <w:left w:val="nil"/>
              <w:bottom w:val="nil"/>
              <w:right w:val="nil"/>
            </w:tcBorders>
            <w:shd w:val="clear" w:color="auto" w:fill="auto"/>
            <w:noWrap/>
            <w:vAlign w:val="center"/>
            <w:hideMark/>
          </w:tcPr>
          <w:p w14:paraId="25C11904"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Gains on disposal of property, plant and equipment</w:t>
            </w:r>
          </w:p>
        </w:tc>
        <w:tc>
          <w:tcPr>
            <w:tcW w:w="1200" w:type="dxa"/>
            <w:tcBorders>
              <w:top w:val="nil"/>
              <w:left w:val="nil"/>
              <w:bottom w:val="nil"/>
              <w:right w:val="nil"/>
            </w:tcBorders>
            <w:shd w:val="clear" w:color="auto" w:fill="F1F1F2" w:themeFill="accent5" w:themeFillTint="33"/>
            <w:noWrap/>
            <w:vAlign w:val="center"/>
          </w:tcPr>
          <w:p w14:paraId="7BE97BDA"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(18)</w:t>
            </w:r>
          </w:p>
        </w:tc>
        <w:tc>
          <w:tcPr>
            <w:tcW w:w="1200" w:type="dxa"/>
            <w:tcBorders>
              <w:top w:val="nil"/>
              <w:left w:val="nil"/>
              <w:bottom w:val="nil"/>
              <w:right w:val="nil"/>
            </w:tcBorders>
            <w:shd w:val="clear" w:color="auto" w:fill="auto"/>
            <w:noWrap/>
            <w:vAlign w:val="center"/>
            <w:hideMark/>
          </w:tcPr>
          <w:p w14:paraId="47414C63"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(91)</w:t>
            </w:r>
          </w:p>
        </w:tc>
      </w:tr>
      <w:tr w:rsidR="00AB33EC" w:rsidRPr="00E80281" w14:paraId="47E0ADEE" w14:textId="77777777" w:rsidTr="00B721B7">
        <w:trPr>
          <w:trHeight w:val="285"/>
        </w:trPr>
        <w:tc>
          <w:tcPr>
            <w:tcW w:w="6820" w:type="dxa"/>
            <w:tcBorders>
              <w:top w:val="nil"/>
              <w:left w:val="nil"/>
              <w:bottom w:val="nil"/>
              <w:right w:val="nil"/>
            </w:tcBorders>
            <w:shd w:val="clear" w:color="auto" w:fill="auto"/>
            <w:noWrap/>
            <w:vAlign w:val="center"/>
            <w:hideMark/>
          </w:tcPr>
          <w:p w14:paraId="6A8C7B67"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Finance costs</w:t>
            </w:r>
          </w:p>
        </w:tc>
        <w:tc>
          <w:tcPr>
            <w:tcW w:w="1200" w:type="dxa"/>
            <w:tcBorders>
              <w:top w:val="nil"/>
              <w:left w:val="nil"/>
              <w:bottom w:val="nil"/>
              <w:right w:val="nil"/>
            </w:tcBorders>
            <w:shd w:val="clear" w:color="auto" w:fill="F1F1F2" w:themeFill="accent5" w:themeFillTint="33"/>
            <w:noWrap/>
            <w:vAlign w:val="center"/>
          </w:tcPr>
          <w:p w14:paraId="2A6719AD"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29</w:t>
            </w:r>
          </w:p>
        </w:tc>
        <w:tc>
          <w:tcPr>
            <w:tcW w:w="1200" w:type="dxa"/>
            <w:tcBorders>
              <w:top w:val="nil"/>
              <w:left w:val="nil"/>
              <w:bottom w:val="nil"/>
              <w:right w:val="nil"/>
            </w:tcBorders>
            <w:shd w:val="clear" w:color="auto" w:fill="auto"/>
            <w:noWrap/>
            <w:vAlign w:val="center"/>
            <w:hideMark/>
          </w:tcPr>
          <w:p w14:paraId="5050D3F8"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24</w:t>
            </w:r>
          </w:p>
        </w:tc>
      </w:tr>
      <w:tr w:rsidR="00AB33EC" w:rsidRPr="00E80281" w14:paraId="7A07AB93" w14:textId="77777777" w:rsidTr="00B721B7">
        <w:trPr>
          <w:trHeight w:val="285"/>
        </w:trPr>
        <w:tc>
          <w:tcPr>
            <w:tcW w:w="6820" w:type="dxa"/>
            <w:tcBorders>
              <w:top w:val="nil"/>
              <w:left w:val="nil"/>
              <w:bottom w:val="nil"/>
              <w:right w:val="nil"/>
            </w:tcBorders>
            <w:shd w:val="clear" w:color="auto" w:fill="auto"/>
            <w:noWrap/>
            <w:vAlign w:val="center"/>
            <w:hideMark/>
          </w:tcPr>
          <w:p w14:paraId="117D5F54"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p>
        </w:tc>
        <w:tc>
          <w:tcPr>
            <w:tcW w:w="1200" w:type="dxa"/>
            <w:tcBorders>
              <w:top w:val="nil"/>
              <w:left w:val="nil"/>
              <w:bottom w:val="nil"/>
              <w:right w:val="nil"/>
            </w:tcBorders>
            <w:shd w:val="clear" w:color="auto" w:fill="F1F1F2" w:themeFill="accent5" w:themeFillTint="33"/>
            <w:noWrap/>
            <w:vAlign w:val="center"/>
          </w:tcPr>
          <w:p w14:paraId="11BEC128"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p>
        </w:tc>
        <w:tc>
          <w:tcPr>
            <w:tcW w:w="1200" w:type="dxa"/>
            <w:tcBorders>
              <w:top w:val="nil"/>
              <w:left w:val="nil"/>
              <w:bottom w:val="nil"/>
              <w:right w:val="nil"/>
            </w:tcBorders>
            <w:shd w:val="clear" w:color="auto" w:fill="auto"/>
            <w:noWrap/>
            <w:vAlign w:val="center"/>
            <w:hideMark/>
          </w:tcPr>
          <w:p w14:paraId="5E04D261"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p>
        </w:tc>
      </w:tr>
      <w:tr w:rsidR="00AB33EC" w:rsidRPr="00E80281" w14:paraId="3BB7A86E" w14:textId="77777777" w:rsidTr="00B721B7">
        <w:trPr>
          <w:trHeight w:val="285"/>
        </w:trPr>
        <w:tc>
          <w:tcPr>
            <w:tcW w:w="6820" w:type="dxa"/>
            <w:tcBorders>
              <w:top w:val="nil"/>
              <w:left w:val="nil"/>
              <w:bottom w:val="nil"/>
              <w:right w:val="nil"/>
            </w:tcBorders>
            <w:shd w:val="clear" w:color="auto" w:fill="auto"/>
            <w:noWrap/>
            <w:vAlign w:val="center"/>
            <w:hideMark/>
          </w:tcPr>
          <w:p w14:paraId="134E2C87" w14:textId="77777777" w:rsidR="00AB33EC" w:rsidRPr="00E80281" w:rsidRDefault="00AB33EC" w:rsidP="00B721B7">
            <w:pPr>
              <w:spacing w:after="8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Change in asset and liabilities:</w:t>
            </w:r>
          </w:p>
        </w:tc>
        <w:tc>
          <w:tcPr>
            <w:tcW w:w="1200" w:type="dxa"/>
            <w:tcBorders>
              <w:top w:val="nil"/>
              <w:left w:val="nil"/>
              <w:bottom w:val="nil"/>
              <w:right w:val="nil"/>
            </w:tcBorders>
            <w:shd w:val="clear" w:color="auto" w:fill="F1F1F2" w:themeFill="accent5" w:themeFillTint="33"/>
            <w:noWrap/>
            <w:vAlign w:val="center"/>
          </w:tcPr>
          <w:p w14:paraId="390EEFEA"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p>
        </w:tc>
        <w:tc>
          <w:tcPr>
            <w:tcW w:w="1200" w:type="dxa"/>
            <w:tcBorders>
              <w:top w:val="nil"/>
              <w:left w:val="nil"/>
              <w:bottom w:val="nil"/>
              <w:right w:val="nil"/>
            </w:tcBorders>
            <w:shd w:val="clear" w:color="auto" w:fill="auto"/>
            <w:noWrap/>
            <w:vAlign w:val="center"/>
            <w:hideMark/>
          </w:tcPr>
          <w:p w14:paraId="0D16B8AE"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p>
        </w:tc>
      </w:tr>
      <w:tr w:rsidR="00AB33EC" w:rsidRPr="00E80281" w14:paraId="4DC30A5B" w14:textId="77777777" w:rsidTr="00B721B7">
        <w:trPr>
          <w:trHeight w:val="285"/>
        </w:trPr>
        <w:tc>
          <w:tcPr>
            <w:tcW w:w="6820" w:type="dxa"/>
            <w:tcBorders>
              <w:top w:val="nil"/>
              <w:left w:val="nil"/>
              <w:bottom w:val="nil"/>
              <w:right w:val="nil"/>
            </w:tcBorders>
            <w:shd w:val="clear" w:color="auto" w:fill="auto"/>
            <w:noWrap/>
            <w:vAlign w:val="center"/>
            <w:hideMark/>
          </w:tcPr>
          <w:p w14:paraId="0FC546CD"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(Increase)/decrease in other receivables</w:t>
            </w:r>
          </w:p>
        </w:tc>
        <w:tc>
          <w:tcPr>
            <w:tcW w:w="1200" w:type="dxa"/>
            <w:tcBorders>
              <w:top w:val="nil"/>
              <w:left w:val="nil"/>
              <w:bottom w:val="nil"/>
              <w:right w:val="nil"/>
            </w:tcBorders>
            <w:shd w:val="clear" w:color="auto" w:fill="F1F1F2" w:themeFill="accent5" w:themeFillTint="33"/>
            <w:noWrap/>
            <w:vAlign w:val="center"/>
          </w:tcPr>
          <w:p w14:paraId="1E39DADA"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3</w:t>
            </w:r>
          </w:p>
        </w:tc>
        <w:tc>
          <w:tcPr>
            <w:tcW w:w="1200" w:type="dxa"/>
            <w:tcBorders>
              <w:top w:val="nil"/>
              <w:left w:val="nil"/>
              <w:bottom w:val="nil"/>
              <w:right w:val="nil"/>
            </w:tcBorders>
            <w:shd w:val="clear" w:color="auto" w:fill="auto"/>
            <w:noWrap/>
            <w:vAlign w:val="center"/>
            <w:hideMark/>
          </w:tcPr>
          <w:p w14:paraId="2C8D8F66"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(4)</w:t>
            </w:r>
          </w:p>
        </w:tc>
      </w:tr>
      <w:tr w:rsidR="00AB33EC" w:rsidRPr="00E80281" w14:paraId="44C6C2D4" w14:textId="77777777" w:rsidTr="00B721B7">
        <w:trPr>
          <w:trHeight w:val="285"/>
        </w:trPr>
        <w:tc>
          <w:tcPr>
            <w:tcW w:w="6820" w:type="dxa"/>
            <w:tcBorders>
              <w:top w:val="nil"/>
              <w:left w:val="nil"/>
              <w:bottom w:val="nil"/>
              <w:right w:val="nil"/>
            </w:tcBorders>
            <w:shd w:val="clear" w:color="auto" w:fill="auto"/>
            <w:noWrap/>
            <w:vAlign w:val="center"/>
            <w:hideMark/>
          </w:tcPr>
          <w:p w14:paraId="4E7117C7"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(Increase)/decrease in GST receivable</w:t>
            </w:r>
          </w:p>
        </w:tc>
        <w:tc>
          <w:tcPr>
            <w:tcW w:w="1200" w:type="dxa"/>
            <w:tcBorders>
              <w:top w:val="nil"/>
              <w:left w:val="nil"/>
              <w:bottom w:val="nil"/>
              <w:right w:val="nil"/>
            </w:tcBorders>
            <w:shd w:val="clear" w:color="auto" w:fill="F1F1F2" w:themeFill="accent5" w:themeFillTint="33"/>
            <w:noWrap/>
            <w:vAlign w:val="center"/>
          </w:tcPr>
          <w:p w14:paraId="63AA1B83"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12</w:t>
            </w:r>
          </w:p>
        </w:tc>
        <w:tc>
          <w:tcPr>
            <w:tcW w:w="1200" w:type="dxa"/>
            <w:tcBorders>
              <w:top w:val="nil"/>
              <w:left w:val="nil"/>
              <w:bottom w:val="nil"/>
              <w:right w:val="nil"/>
            </w:tcBorders>
            <w:shd w:val="clear" w:color="auto" w:fill="auto"/>
            <w:noWrap/>
            <w:vAlign w:val="center"/>
            <w:hideMark/>
          </w:tcPr>
          <w:p w14:paraId="0FEE51DA"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(27)</w:t>
            </w:r>
          </w:p>
        </w:tc>
      </w:tr>
      <w:tr w:rsidR="00AB33EC" w:rsidRPr="00E80281" w14:paraId="1FEF8495" w14:textId="77777777" w:rsidTr="00B721B7">
        <w:trPr>
          <w:trHeight w:val="285"/>
        </w:trPr>
        <w:tc>
          <w:tcPr>
            <w:tcW w:w="6820" w:type="dxa"/>
            <w:tcBorders>
              <w:top w:val="nil"/>
              <w:left w:val="nil"/>
              <w:bottom w:val="nil"/>
              <w:right w:val="nil"/>
            </w:tcBorders>
            <w:shd w:val="clear" w:color="auto" w:fill="auto"/>
            <w:noWrap/>
            <w:vAlign w:val="center"/>
            <w:hideMark/>
          </w:tcPr>
          <w:p w14:paraId="182D266B"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(Increase)/decrease in long service leave reimbursement receivable</w:t>
            </w:r>
          </w:p>
        </w:tc>
        <w:tc>
          <w:tcPr>
            <w:tcW w:w="1200" w:type="dxa"/>
            <w:tcBorders>
              <w:top w:val="nil"/>
              <w:left w:val="nil"/>
              <w:bottom w:val="nil"/>
              <w:right w:val="nil"/>
            </w:tcBorders>
            <w:shd w:val="clear" w:color="auto" w:fill="F1F1F2" w:themeFill="accent5" w:themeFillTint="33"/>
            <w:noWrap/>
            <w:vAlign w:val="center"/>
          </w:tcPr>
          <w:p w14:paraId="1727A3D3"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(118)</w:t>
            </w:r>
          </w:p>
        </w:tc>
        <w:tc>
          <w:tcPr>
            <w:tcW w:w="1200" w:type="dxa"/>
            <w:tcBorders>
              <w:top w:val="nil"/>
              <w:left w:val="nil"/>
              <w:bottom w:val="nil"/>
              <w:right w:val="nil"/>
            </w:tcBorders>
            <w:shd w:val="clear" w:color="auto" w:fill="auto"/>
            <w:noWrap/>
            <w:vAlign w:val="center"/>
            <w:hideMark/>
          </w:tcPr>
          <w:p w14:paraId="66C49E08"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59</w:t>
            </w:r>
          </w:p>
        </w:tc>
      </w:tr>
      <w:tr w:rsidR="00AB33EC" w:rsidRPr="00E80281" w14:paraId="52E40F74" w14:textId="77777777" w:rsidTr="00B721B7">
        <w:trPr>
          <w:trHeight w:val="285"/>
        </w:trPr>
        <w:tc>
          <w:tcPr>
            <w:tcW w:w="6820" w:type="dxa"/>
            <w:tcBorders>
              <w:top w:val="nil"/>
              <w:left w:val="nil"/>
              <w:bottom w:val="nil"/>
              <w:right w:val="nil"/>
            </w:tcBorders>
            <w:shd w:val="clear" w:color="auto" w:fill="auto"/>
            <w:noWrap/>
            <w:vAlign w:val="center"/>
            <w:hideMark/>
          </w:tcPr>
          <w:p w14:paraId="42BDFC47"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(Increase)/decrease in annual leave reimbursement receivable</w:t>
            </w:r>
          </w:p>
        </w:tc>
        <w:tc>
          <w:tcPr>
            <w:tcW w:w="1200" w:type="dxa"/>
            <w:tcBorders>
              <w:top w:val="nil"/>
              <w:left w:val="nil"/>
              <w:bottom w:val="nil"/>
              <w:right w:val="nil"/>
            </w:tcBorders>
            <w:shd w:val="clear" w:color="auto" w:fill="F1F1F2" w:themeFill="accent5" w:themeFillTint="33"/>
            <w:noWrap/>
            <w:vAlign w:val="center"/>
          </w:tcPr>
          <w:p w14:paraId="0D8419D2"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(2)</w:t>
            </w:r>
          </w:p>
        </w:tc>
        <w:tc>
          <w:tcPr>
            <w:tcW w:w="1200" w:type="dxa"/>
            <w:tcBorders>
              <w:top w:val="nil"/>
              <w:left w:val="nil"/>
              <w:bottom w:val="nil"/>
              <w:right w:val="nil"/>
            </w:tcBorders>
            <w:shd w:val="clear" w:color="auto" w:fill="auto"/>
            <w:noWrap/>
            <w:vAlign w:val="center"/>
            <w:hideMark/>
          </w:tcPr>
          <w:p w14:paraId="1FDF4197"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36</w:t>
            </w:r>
          </w:p>
        </w:tc>
      </w:tr>
      <w:tr w:rsidR="00AB33EC" w:rsidRPr="00E80281" w14:paraId="3837BA6E" w14:textId="77777777" w:rsidTr="00B721B7">
        <w:trPr>
          <w:trHeight w:val="285"/>
        </w:trPr>
        <w:tc>
          <w:tcPr>
            <w:tcW w:w="6820" w:type="dxa"/>
            <w:tcBorders>
              <w:top w:val="nil"/>
              <w:left w:val="nil"/>
              <w:bottom w:val="nil"/>
              <w:right w:val="nil"/>
            </w:tcBorders>
            <w:shd w:val="clear" w:color="auto" w:fill="auto"/>
            <w:noWrap/>
            <w:vAlign w:val="center"/>
            <w:hideMark/>
          </w:tcPr>
          <w:p w14:paraId="1231A791"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(Increase)/decrease in interest receivable</w:t>
            </w:r>
          </w:p>
        </w:tc>
        <w:tc>
          <w:tcPr>
            <w:tcW w:w="1200" w:type="dxa"/>
            <w:tcBorders>
              <w:top w:val="nil"/>
              <w:left w:val="nil"/>
              <w:bottom w:val="nil"/>
              <w:right w:val="nil"/>
            </w:tcBorders>
            <w:shd w:val="clear" w:color="auto" w:fill="F1F1F2" w:themeFill="accent5" w:themeFillTint="33"/>
            <w:noWrap/>
            <w:vAlign w:val="center"/>
          </w:tcPr>
          <w:p w14:paraId="15F611A9"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(16)</w:t>
            </w:r>
          </w:p>
        </w:tc>
        <w:tc>
          <w:tcPr>
            <w:tcW w:w="1200" w:type="dxa"/>
            <w:tcBorders>
              <w:top w:val="nil"/>
              <w:left w:val="nil"/>
              <w:bottom w:val="nil"/>
              <w:right w:val="nil"/>
            </w:tcBorders>
            <w:shd w:val="clear" w:color="auto" w:fill="auto"/>
            <w:noWrap/>
            <w:vAlign w:val="center"/>
            <w:hideMark/>
          </w:tcPr>
          <w:p w14:paraId="1C104BC6"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(80)</w:t>
            </w:r>
          </w:p>
        </w:tc>
      </w:tr>
      <w:tr w:rsidR="00AB33EC" w:rsidRPr="00E80281" w14:paraId="56731D9B" w14:textId="77777777" w:rsidTr="00B721B7">
        <w:trPr>
          <w:trHeight w:val="285"/>
        </w:trPr>
        <w:tc>
          <w:tcPr>
            <w:tcW w:w="6820" w:type="dxa"/>
            <w:tcBorders>
              <w:top w:val="nil"/>
              <w:left w:val="nil"/>
              <w:bottom w:val="nil"/>
              <w:right w:val="nil"/>
            </w:tcBorders>
            <w:shd w:val="clear" w:color="auto" w:fill="auto"/>
            <w:noWrap/>
            <w:vAlign w:val="center"/>
            <w:hideMark/>
          </w:tcPr>
          <w:p w14:paraId="4CF7DD16"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(Increase)/decrease in prepayments</w:t>
            </w:r>
          </w:p>
        </w:tc>
        <w:tc>
          <w:tcPr>
            <w:tcW w:w="1200" w:type="dxa"/>
            <w:tcBorders>
              <w:top w:val="nil"/>
              <w:left w:val="nil"/>
              <w:bottom w:val="nil"/>
              <w:right w:val="nil"/>
            </w:tcBorders>
            <w:shd w:val="clear" w:color="auto" w:fill="F1F1F2" w:themeFill="accent5" w:themeFillTint="33"/>
            <w:noWrap/>
            <w:vAlign w:val="center"/>
          </w:tcPr>
          <w:p w14:paraId="5BE967A3"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(65)</w:t>
            </w:r>
          </w:p>
        </w:tc>
        <w:tc>
          <w:tcPr>
            <w:tcW w:w="1200" w:type="dxa"/>
            <w:tcBorders>
              <w:top w:val="nil"/>
              <w:left w:val="nil"/>
              <w:bottom w:val="nil"/>
              <w:right w:val="nil"/>
            </w:tcBorders>
            <w:shd w:val="clear" w:color="auto" w:fill="auto"/>
            <w:noWrap/>
            <w:vAlign w:val="center"/>
            <w:hideMark/>
          </w:tcPr>
          <w:p w14:paraId="2439BF78"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(196)</w:t>
            </w:r>
          </w:p>
        </w:tc>
      </w:tr>
      <w:tr w:rsidR="00AB33EC" w:rsidRPr="00E80281" w14:paraId="788CDC37" w14:textId="77777777" w:rsidTr="00B721B7">
        <w:trPr>
          <w:trHeight w:val="285"/>
        </w:trPr>
        <w:tc>
          <w:tcPr>
            <w:tcW w:w="6820" w:type="dxa"/>
            <w:tcBorders>
              <w:top w:val="nil"/>
              <w:left w:val="nil"/>
              <w:bottom w:val="nil"/>
              <w:right w:val="nil"/>
            </w:tcBorders>
            <w:shd w:val="clear" w:color="auto" w:fill="auto"/>
            <w:noWrap/>
            <w:vAlign w:val="center"/>
            <w:hideMark/>
          </w:tcPr>
          <w:p w14:paraId="1943BA4C"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Increase/(decrease) in accounts payable</w:t>
            </w:r>
          </w:p>
        </w:tc>
        <w:tc>
          <w:tcPr>
            <w:tcW w:w="1200" w:type="dxa"/>
            <w:tcBorders>
              <w:top w:val="nil"/>
              <w:left w:val="nil"/>
              <w:bottom w:val="nil"/>
              <w:right w:val="nil"/>
            </w:tcBorders>
            <w:shd w:val="clear" w:color="auto" w:fill="F1F1F2" w:themeFill="accent5" w:themeFillTint="33"/>
            <w:noWrap/>
            <w:vAlign w:val="center"/>
          </w:tcPr>
          <w:p w14:paraId="564EBA2B"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(168)</w:t>
            </w:r>
          </w:p>
        </w:tc>
        <w:tc>
          <w:tcPr>
            <w:tcW w:w="1200" w:type="dxa"/>
            <w:tcBorders>
              <w:top w:val="nil"/>
              <w:left w:val="nil"/>
              <w:bottom w:val="nil"/>
              <w:right w:val="nil"/>
            </w:tcBorders>
            <w:shd w:val="clear" w:color="auto" w:fill="auto"/>
            <w:noWrap/>
            <w:vAlign w:val="center"/>
            <w:hideMark/>
          </w:tcPr>
          <w:p w14:paraId="2548E52E"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(446)</w:t>
            </w:r>
          </w:p>
        </w:tc>
      </w:tr>
      <w:tr w:rsidR="00AB33EC" w:rsidRPr="00E80281" w14:paraId="01CC8E9D" w14:textId="77777777" w:rsidTr="00B721B7">
        <w:trPr>
          <w:trHeight w:val="285"/>
        </w:trPr>
        <w:tc>
          <w:tcPr>
            <w:tcW w:w="6820" w:type="dxa"/>
            <w:tcBorders>
              <w:top w:val="nil"/>
              <w:left w:val="nil"/>
              <w:bottom w:val="nil"/>
              <w:right w:val="nil"/>
            </w:tcBorders>
            <w:shd w:val="clear" w:color="auto" w:fill="auto"/>
            <w:noWrap/>
            <w:vAlign w:val="center"/>
            <w:hideMark/>
          </w:tcPr>
          <w:p w14:paraId="4EE92743"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Increase/(decrease) in accrued employee benefits</w:t>
            </w:r>
          </w:p>
        </w:tc>
        <w:tc>
          <w:tcPr>
            <w:tcW w:w="1200" w:type="dxa"/>
            <w:tcBorders>
              <w:top w:val="nil"/>
              <w:left w:val="nil"/>
              <w:bottom w:val="nil"/>
              <w:right w:val="nil"/>
            </w:tcBorders>
            <w:shd w:val="clear" w:color="auto" w:fill="F1F1F2" w:themeFill="accent5" w:themeFillTint="33"/>
            <w:noWrap/>
            <w:vAlign w:val="center"/>
          </w:tcPr>
          <w:p w14:paraId="619403CA"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251</w:t>
            </w:r>
          </w:p>
        </w:tc>
        <w:tc>
          <w:tcPr>
            <w:tcW w:w="1200" w:type="dxa"/>
            <w:tcBorders>
              <w:top w:val="nil"/>
              <w:left w:val="nil"/>
              <w:bottom w:val="nil"/>
              <w:right w:val="nil"/>
            </w:tcBorders>
            <w:shd w:val="clear" w:color="auto" w:fill="auto"/>
            <w:noWrap/>
            <w:vAlign w:val="center"/>
            <w:hideMark/>
          </w:tcPr>
          <w:p w14:paraId="06623D0B"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(352)</w:t>
            </w:r>
          </w:p>
        </w:tc>
      </w:tr>
      <w:tr w:rsidR="00AB33EC" w:rsidRPr="00E80281" w14:paraId="79A4448E" w14:textId="77777777" w:rsidTr="00B721B7">
        <w:trPr>
          <w:trHeight w:val="285"/>
        </w:trPr>
        <w:tc>
          <w:tcPr>
            <w:tcW w:w="6820" w:type="dxa"/>
            <w:tcBorders>
              <w:top w:val="nil"/>
              <w:left w:val="nil"/>
              <w:bottom w:val="nil"/>
              <w:right w:val="nil"/>
            </w:tcBorders>
            <w:shd w:val="clear" w:color="auto" w:fill="auto"/>
            <w:noWrap/>
            <w:vAlign w:val="center"/>
            <w:hideMark/>
          </w:tcPr>
          <w:p w14:paraId="1F87D8AE" w14:textId="77777777" w:rsidR="00AB33EC" w:rsidRPr="00E80281" w:rsidRDefault="00AB33EC" w:rsidP="00B721B7">
            <w:pPr>
              <w:spacing w:after="80"/>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Increase/(decrease) in unearned revenue</w:t>
            </w:r>
          </w:p>
        </w:tc>
        <w:tc>
          <w:tcPr>
            <w:tcW w:w="1200" w:type="dxa"/>
            <w:tcBorders>
              <w:top w:val="nil"/>
              <w:left w:val="nil"/>
              <w:right w:val="nil"/>
            </w:tcBorders>
            <w:shd w:val="clear" w:color="auto" w:fill="F1F1F2" w:themeFill="accent5" w:themeFillTint="33"/>
            <w:noWrap/>
            <w:vAlign w:val="center"/>
          </w:tcPr>
          <w:p w14:paraId="3990552B"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(3)</w:t>
            </w:r>
          </w:p>
        </w:tc>
        <w:tc>
          <w:tcPr>
            <w:tcW w:w="1200" w:type="dxa"/>
            <w:tcBorders>
              <w:top w:val="nil"/>
              <w:left w:val="nil"/>
              <w:right w:val="nil"/>
            </w:tcBorders>
            <w:shd w:val="clear" w:color="auto" w:fill="auto"/>
            <w:noWrap/>
            <w:vAlign w:val="center"/>
            <w:hideMark/>
          </w:tcPr>
          <w:p w14:paraId="712027D0" w14:textId="77777777" w:rsidR="00AB33EC" w:rsidRPr="00E80281" w:rsidRDefault="00AB33EC" w:rsidP="00B721B7">
            <w:pPr>
              <w:spacing w:after="80"/>
              <w:jc w:val="right"/>
              <w:rPr>
                <w:rFonts w:asciiTheme="minorHAnsi" w:eastAsia="Times New Roman" w:hAnsiTheme="minorHAnsi" w:cstheme="minorHAnsi"/>
                <w:color w:val="000000"/>
                <w:szCs w:val="20"/>
                <w:lang w:eastAsia="en-AU"/>
              </w:rPr>
            </w:pPr>
            <w:r w:rsidRPr="00E80281">
              <w:rPr>
                <w:rFonts w:asciiTheme="minorHAnsi" w:eastAsia="Times New Roman" w:hAnsiTheme="minorHAnsi" w:cstheme="minorHAnsi"/>
                <w:color w:val="000000"/>
                <w:szCs w:val="20"/>
                <w:lang w:eastAsia="en-AU"/>
              </w:rPr>
              <w:t>4</w:t>
            </w:r>
          </w:p>
        </w:tc>
      </w:tr>
      <w:tr w:rsidR="00AB33EC" w:rsidRPr="00E80281" w14:paraId="4C81FBF0" w14:textId="77777777" w:rsidTr="00B721B7">
        <w:trPr>
          <w:trHeight w:val="293"/>
        </w:trPr>
        <w:tc>
          <w:tcPr>
            <w:tcW w:w="6820" w:type="dxa"/>
            <w:tcBorders>
              <w:top w:val="nil"/>
              <w:left w:val="nil"/>
              <w:bottom w:val="nil"/>
              <w:right w:val="nil"/>
            </w:tcBorders>
            <w:shd w:val="clear" w:color="auto" w:fill="auto"/>
            <w:noWrap/>
            <w:vAlign w:val="center"/>
            <w:hideMark/>
          </w:tcPr>
          <w:p w14:paraId="2DE6EE4D" w14:textId="77777777" w:rsidR="00AB33EC" w:rsidRPr="00E80281" w:rsidRDefault="00AB33EC" w:rsidP="00B721B7">
            <w:pPr>
              <w:spacing w:after="80"/>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Net Cash Provided by operating activities</w:t>
            </w:r>
          </w:p>
        </w:tc>
        <w:tc>
          <w:tcPr>
            <w:tcW w:w="1200" w:type="dxa"/>
            <w:tcBorders>
              <w:top w:val="single" w:sz="4" w:space="0" w:color="auto"/>
              <w:left w:val="nil"/>
              <w:bottom w:val="double" w:sz="6" w:space="0" w:color="auto"/>
              <w:right w:val="nil"/>
            </w:tcBorders>
            <w:shd w:val="clear" w:color="auto" w:fill="F1F1F2" w:themeFill="accent5" w:themeFillTint="33"/>
            <w:noWrap/>
            <w:vAlign w:val="center"/>
          </w:tcPr>
          <w:p w14:paraId="0F50DD69"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Pr>
                <w:rFonts w:asciiTheme="minorHAnsi" w:eastAsia="Times New Roman" w:hAnsiTheme="minorHAnsi" w:cstheme="minorHAnsi"/>
                <w:b/>
                <w:bCs/>
                <w:color w:val="000000"/>
                <w:szCs w:val="20"/>
                <w:lang w:eastAsia="en-AU"/>
              </w:rPr>
              <w:t>1,928</w:t>
            </w:r>
          </w:p>
        </w:tc>
        <w:tc>
          <w:tcPr>
            <w:tcW w:w="1200" w:type="dxa"/>
            <w:tcBorders>
              <w:top w:val="single" w:sz="4" w:space="0" w:color="auto"/>
              <w:left w:val="nil"/>
              <w:bottom w:val="double" w:sz="6" w:space="0" w:color="auto"/>
              <w:right w:val="nil"/>
            </w:tcBorders>
            <w:shd w:val="clear" w:color="auto" w:fill="auto"/>
            <w:noWrap/>
            <w:vAlign w:val="center"/>
            <w:hideMark/>
          </w:tcPr>
          <w:p w14:paraId="2C4ACC07" w14:textId="77777777" w:rsidR="00AB33EC" w:rsidRPr="00E80281" w:rsidRDefault="00AB33EC" w:rsidP="00B721B7">
            <w:pPr>
              <w:spacing w:after="80"/>
              <w:jc w:val="right"/>
              <w:rPr>
                <w:rFonts w:asciiTheme="minorHAnsi" w:eastAsia="Times New Roman" w:hAnsiTheme="minorHAnsi" w:cstheme="minorHAnsi"/>
                <w:b/>
                <w:bCs/>
                <w:color w:val="000000"/>
                <w:szCs w:val="20"/>
                <w:lang w:eastAsia="en-AU"/>
              </w:rPr>
            </w:pPr>
            <w:r w:rsidRPr="00E80281">
              <w:rPr>
                <w:rFonts w:asciiTheme="minorHAnsi" w:eastAsia="Times New Roman" w:hAnsiTheme="minorHAnsi" w:cstheme="minorHAnsi"/>
                <w:b/>
                <w:bCs/>
                <w:color w:val="000000"/>
                <w:szCs w:val="20"/>
                <w:lang w:eastAsia="en-AU"/>
              </w:rPr>
              <w:t>7,673</w:t>
            </w:r>
          </w:p>
        </w:tc>
      </w:tr>
    </w:tbl>
    <w:p w14:paraId="31AB0666" w14:textId="77777777" w:rsidR="00AB33EC" w:rsidRPr="00E80281" w:rsidRDefault="00AB33EC" w:rsidP="00AB33EC">
      <w:pPr>
        <w:tabs>
          <w:tab w:val="left" w:pos="1851"/>
        </w:tabs>
        <w:rPr>
          <w:rFonts w:asciiTheme="minorHAnsi" w:eastAsia="Calibri" w:hAnsiTheme="minorHAnsi" w:cstheme="minorHAnsi"/>
          <w:b/>
          <w:bCs/>
          <w:color w:val="000000"/>
          <w:szCs w:val="20"/>
        </w:rPr>
      </w:pPr>
    </w:p>
    <w:p w14:paraId="0921333A" w14:textId="77777777" w:rsidR="00AB33EC" w:rsidRPr="003E75E2" w:rsidRDefault="00AB33EC" w:rsidP="00AB33EC">
      <w:pPr>
        <w:pStyle w:val="Notes"/>
        <w:rPr>
          <w:rFonts w:cstheme="minorHAnsi"/>
          <w:i/>
        </w:rPr>
      </w:pPr>
    </w:p>
    <w:p w14:paraId="59B6E613" w14:textId="77777777" w:rsidR="00AB33EC" w:rsidRPr="003E75E2" w:rsidRDefault="00AB33EC" w:rsidP="00AB33EC">
      <w:pPr>
        <w:pStyle w:val="Notes"/>
        <w:rPr>
          <w:rFonts w:cstheme="minorHAnsi"/>
          <w:i/>
        </w:rPr>
      </w:pPr>
    </w:p>
    <w:p w14:paraId="58A554F9" w14:textId="77777777" w:rsidR="00AB33EC" w:rsidRDefault="00AB33EC" w:rsidP="00AB33EC">
      <w:pPr>
        <w:tabs>
          <w:tab w:val="left" w:pos="1851"/>
        </w:tabs>
        <w:rPr>
          <w:rFonts w:asciiTheme="minorHAnsi" w:hAnsiTheme="minorHAnsi" w:cstheme="minorHAnsi"/>
          <w:szCs w:val="20"/>
        </w:rPr>
        <w:sectPr w:rsidR="00AB33EC" w:rsidSect="00954847">
          <w:headerReference w:type="even" r:id="rId287"/>
          <w:headerReference w:type="default" r:id="rId288"/>
          <w:pgSz w:w="11906" w:h="16838"/>
          <w:pgMar w:top="1701" w:right="1418" w:bottom="1418" w:left="1418" w:header="709" w:footer="283" w:gutter="0"/>
          <w:cols w:space="708"/>
          <w:docGrid w:linePitch="360"/>
        </w:sectPr>
      </w:pPr>
      <w:r w:rsidRPr="003E75E2">
        <w:rPr>
          <w:rFonts w:asciiTheme="minorHAnsi" w:hAnsiTheme="minorHAnsi" w:cstheme="minorHAnsi"/>
          <w:szCs w:val="20"/>
        </w:rPr>
        <w:tab/>
      </w:r>
    </w:p>
    <w:p w14:paraId="59B9A7C7" w14:textId="77777777" w:rsidR="00AB33EC" w:rsidRPr="003E75E2" w:rsidRDefault="00AB33EC" w:rsidP="00AB33EC">
      <w:pPr>
        <w:tabs>
          <w:tab w:val="left" w:pos="1851"/>
        </w:tabs>
        <w:rPr>
          <w:rFonts w:asciiTheme="minorHAnsi" w:hAnsiTheme="minorHAnsi" w:cstheme="minorHAnsi"/>
        </w:rPr>
        <w:sectPr w:rsidR="00AB33EC" w:rsidRPr="003E75E2" w:rsidSect="00AB33EC">
          <w:type w:val="continuous"/>
          <w:pgSz w:w="11906" w:h="16838"/>
          <w:pgMar w:top="1701" w:right="1418" w:bottom="1418" w:left="1418" w:header="709" w:footer="709" w:gutter="0"/>
          <w:cols w:space="708"/>
          <w:docGrid w:linePitch="360"/>
        </w:sectPr>
      </w:pPr>
    </w:p>
    <w:p w14:paraId="42665688" w14:textId="6916F47A" w:rsidR="00AB33EC" w:rsidRPr="00E80281" w:rsidRDefault="00AB33EC" w:rsidP="00AB33EC">
      <w:pPr>
        <w:tabs>
          <w:tab w:val="right" w:pos="8505"/>
          <w:tab w:val="right" w:pos="9072"/>
        </w:tabs>
        <w:spacing w:line="360" w:lineRule="auto"/>
        <w:outlineLvl w:val="0"/>
        <w:rPr>
          <w:rFonts w:asciiTheme="minorHAnsi" w:eastAsia="Times New Roman" w:hAnsiTheme="minorHAnsi" w:cstheme="minorHAnsi"/>
          <w:b/>
          <w:color w:val="000000"/>
          <w:szCs w:val="20"/>
        </w:rPr>
      </w:pPr>
      <w:r w:rsidRPr="00E80281">
        <w:rPr>
          <w:rFonts w:asciiTheme="minorHAnsi" w:eastAsia="Times New Roman" w:hAnsiTheme="minorHAnsi" w:cstheme="minorHAnsi"/>
          <w:b/>
          <w:color w:val="000000"/>
          <w:szCs w:val="20"/>
        </w:rPr>
        <w:t>Objectives of the Crime and Corruption Commission</w:t>
      </w:r>
      <w:r w:rsidRPr="00E80281">
        <w:rPr>
          <w:rFonts w:asciiTheme="minorHAnsi" w:eastAsia="Times New Roman" w:hAnsiTheme="minorHAnsi" w:cstheme="minorHAnsi"/>
          <w:b/>
          <w:color w:val="000000"/>
          <w:szCs w:val="20"/>
        </w:rPr>
        <w:tab/>
      </w:r>
      <w:r w:rsidRPr="00E80281">
        <w:rPr>
          <w:rFonts w:asciiTheme="minorHAnsi" w:eastAsia="Times New Roman" w:hAnsiTheme="minorHAnsi" w:cstheme="minorHAnsi"/>
          <w:b/>
          <w:color w:val="000000"/>
          <w:szCs w:val="20"/>
        </w:rPr>
        <w:tab/>
      </w:r>
      <w:r w:rsidR="005975D4">
        <w:rPr>
          <w:rFonts w:asciiTheme="minorHAnsi" w:eastAsia="Times New Roman" w:hAnsiTheme="minorHAnsi" w:cstheme="minorHAnsi"/>
          <w:bCs/>
          <w:color w:val="000000"/>
          <w:szCs w:val="20"/>
        </w:rPr>
        <w:t>81</w:t>
      </w:r>
    </w:p>
    <w:p w14:paraId="6B12860E" w14:textId="473AF5ED" w:rsidR="00AB33EC" w:rsidRPr="00E80281" w:rsidRDefault="00AB33EC" w:rsidP="00AB33EC">
      <w:pPr>
        <w:tabs>
          <w:tab w:val="right" w:pos="9072"/>
        </w:tabs>
        <w:spacing w:line="360" w:lineRule="auto"/>
        <w:ind w:left="1134" w:hanging="1134"/>
        <w:rPr>
          <w:rFonts w:asciiTheme="minorHAnsi" w:eastAsia="Times New Roman" w:hAnsiTheme="minorHAnsi" w:cstheme="minorHAnsi"/>
          <w:color w:val="000000"/>
          <w:szCs w:val="20"/>
        </w:rPr>
      </w:pPr>
      <w:r w:rsidRPr="00E80281">
        <w:rPr>
          <w:rFonts w:asciiTheme="minorHAnsi" w:eastAsia="Times New Roman" w:hAnsiTheme="minorHAnsi" w:cstheme="minorHAnsi"/>
          <w:b/>
          <w:color w:val="000000"/>
          <w:szCs w:val="20"/>
        </w:rPr>
        <w:t>Note 1</w:t>
      </w:r>
      <w:r w:rsidRPr="00E80281">
        <w:rPr>
          <w:rFonts w:asciiTheme="minorHAnsi" w:eastAsia="Times New Roman" w:hAnsiTheme="minorHAnsi" w:cstheme="minorHAnsi"/>
          <w:color w:val="000000"/>
          <w:szCs w:val="20"/>
        </w:rPr>
        <w:tab/>
        <w:t>Summary of Significant Accounting Policies</w:t>
      </w:r>
      <w:r w:rsidRPr="00E80281">
        <w:rPr>
          <w:rFonts w:asciiTheme="minorHAnsi" w:eastAsia="Times New Roman" w:hAnsiTheme="minorHAnsi" w:cstheme="minorHAnsi"/>
          <w:color w:val="000000"/>
          <w:szCs w:val="20"/>
        </w:rPr>
        <w:tab/>
      </w:r>
      <w:r w:rsidR="005975D4">
        <w:rPr>
          <w:rFonts w:asciiTheme="minorHAnsi" w:eastAsia="Times New Roman" w:hAnsiTheme="minorHAnsi" w:cstheme="minorHAnsi"/>
          <w:color w:val="000000"/>
          <w:szCs w:val="20"/>
        </w:rPr>
        <w:t>81</w:t>
      </w:r>
    </w:p>
    <w:p w14:paraId="40ADC172" w14:textId="7D32CF7A" w:rsidR="00AB33EC" w:rsidRPr="00E80281" w:rsidRDefault="00AB33EC" w:rsidP="00AB33EC">
      <w:pPr>
        <w:tabs>
          <w:tab w:val="right" w:pos="9072"/>
        </w:tabs>
        <w:spacing w:line="360" w:lineRule="auto"/>
        <w:ind w:left="1134" w:hanging="1134"/>
        <w:rPr>
          <w:rFonts w:asciiTheme="minorHAnsi" w:eastAsia="Times New Roman" w:hAnsiTheme="minorHAnsi" w:cstheme="minorHAnsi"/>
          <w:color w:val="000000"/>
          <w:szCs w:val="20"/>
        </w:rPr>
      </w:pPr>
      <w:r w:rsidRPr="00E80281">
        <w:rPr>
          <w:rFonts w:asciiTheme="minorHAnsi" w:eastAsia="Times New Roman" w:hAnsiTheme="minorHAnsi" w:cstheme="minorHAnsi"/>
          <w:b/>
          <w:color w:val="000000"/>
          <w:szCs w:val="20"/>
        </w:rPr>
        <w:t>Note 2</w:t>
      </w:r>
      <w:r w:rsidRPr="00E80281">
        <w:rPr>
          <w:rFonts w:asciiTheme="minorHAnsi" w:eastAsia="Times New Roman" w:hAnsiTheme="minorHAnsi" w:cstheme="minorHAnsi"/>
          <w:color w:val="000000"/>
          <w:szCs w:val="20"/>
        </w:rPr>
        <w:tab/>
        <w:t>Grants and Other Contributions</w:t>
      </w:r>
      <w:r w:rsidRPr="00E80281">
        <w:rPr>
          <w:rFonts w:asciiTheme="minorHAnsi" w:eastAsia="Times New Roman" w:hAnsiTheme="minorHAnsi" w:cstheme="minorHAnsi"/>
          <w:color w:val="000000"/>
          <w:szCs w:val="20"/>
        </w:rPr>
        <w:tab/>
      </w:r>
      <w:r w:rsidR="005975D4">
        <w:rPr>
          <w:rFonts w:asciiTheme="minorHAnsi" w:eastAsia="Times New Roman" w:hAnsiTheme="minorHAnsi" w:cstheme="minorHAnsi"/>
          <w:color w:val="000000"/>
          <w:szCs w:val="20"/>
        </w:rPr>
        <w:t>83</w:t>
      </w:r>
    </w:p>
    <w:p w14:paraId="64E2FDB7" w14:textId="2EEDAAC4" w:rsidR="00AB33EC" w:rsidRPr="00E80281" w:rsidRDefault="00AB33EC" w:rsidP="00AB33EC">
      <w:pPr>
        <w:tabs>
          <w:tab w:val="right" w:pos="9072"/>
        </w:tabs>
        <w:spacing w:line="360" w:lineRule="auto"/>
        <w:ind w:left="1134" w:hanging="1134"/>
        <w:rPr>
          <w:rFonts w:asciiTheme="minorHAnsi" w:eastAsia="Times New Roman" w:hAnsiTheme="minorHAnsi" w:cstheme="minorHAnsi"/>
          <w:color w:val="000000"/>
          <w:szCs w:val="20"/>
        </w:rPr>
      </w:pPr>
      <w:r w:rsidRPr="00E80281">
        <w:rPr>
          <w:rFonts w:asciiTheme="minorHAnsi" w:eastAsia="Times New Roman" w:hAnsiTheme="minorHAnsi" w:cstheme="minorHAnsi"/>
          <w:b/>
          <w:color w:val="000000"/>
          <w:szCs w:val="20"/>
        </w:rPr>
        <w:t>Note 3</w:t>
      </w:r>
      <w:r w:rsidRPr="00E80281">
        <w:rPr>
          <w:rFonts w:asciiTheme="minorHAnsi" w:eastAsia="Times New Roman" w:hAnsiTheme="minorHAnsi" w:cstheme="minorHAnsi"/>
          <w:color w:val="000000"/>
          <w:szCs w:val="20"/>
        </w:rPr>
        <w:tab/>
        <w:t>Employee Expenses</w:t>
      </w:r>
      <w:r w:rsidRPr="00E80281">
        <w:rPr>
          <w:rFonts w:asciiTheme="minorHAnsi" w:eastAsia="Times New Roman" w:hAnsiTheme="minorHAnsi" w:cstheme="minorHAnsi"/>
          <w:color w:val="000000"/>
          <w:szCs w:val="20"/>
        </w:rPr>
        <w:tab/>
      </w:r>
      <w:r w:rsidR="005975D4">
        <w:rPr>
          <w:rFonts w:asciiTheme="minorHAnsi" w:eastAsia="Times New Roman" w:hAnsiTheme="minorHAnsi" w:cstheme="minorHAnsi"/>
          <w:color w:val="000000"/>
          <w:szCs w:val="20"/>
        </w:rPr>
        <w:t>84</w:t>
      </w:r>
    </w:p>
    <w:p w14:paraId="732C445F" w14:textId="77777777" w:rsidR="00AB33EC" w:rsidRDefault="00AB33EC" w:rsidP="00AB33EC">
      <w:pPr>
        <w:tabs>
          <w:tab w:val="right" w:pos="9072"/>
        </w:tabs>
        <w:ind w:left="1134" w:hanging="1134"/>
        <w:rPr>
          <w:rFonts w:asciiTheme="minorHAnsi" w:eastAsia="Times New Roman" w:hAnsiTheme="minorHAnsi" w:cstheme="minorHAnsi"/>
          <w:color w:val="000000"/>
          <w:szCs w:val="20"/>
        </w:rPr>
      </w:pPr>
      <w:r w:rsidRPr="00E80281">
        <w:rPr>
          <w:rFonts w:asciiTheme="minorHAnsi" w:eastAsia="Times New Roman" w:hAnsiTheme="minorHAnsi" w:cstheme="minorHAnsi"/>
          <w:b/>
          <w:color w:val="000000"/>
          <w:szCs w:val="20"/>
        </w:rPr>
        <w:t>Note 4</w:t>
      </w:r>
      <w:r w:rsidRPr="00E80281">
        <w:rPr>
          <w:rFonts w:asciiTheme="minorHAnsi" w:eastAsia="Times New Roman" w:hAnsiTheme="minorHAnsi" w:cstheme="minorHAnsi"/>
          <w:color w:val="000000"/>
          <w:szCs w:val="20"/>
        </w:rPr>
        <w:tab/>
        <w:t xml:space="preserve">The Commission, Senior Executive Personnel, Remuneration </w:t>
      </w:r>
    </w:p>
    <w:p w14:paraId="0447EA20" w14:textId="4C4B5588" w:rsidR="00AB33EC" w:rsidRPr="00E80281" w:rsidRDefault="00AB33EC" w:rsidP="00AB33EC">
      <w:pPr>
        <w:tabs>
          <w:tab w:val="right" w:pos="9072"/>
        </w:tabs>
        <w:ind w:left="1134" w:hanging="1134"/>
        <w:rPr>
          <w:rFonts w:asciiTheme="minorHAnsi" w:eastAsia="Times New Roman" w:hAnsiTheme="minorHAnsi" w:cstheme="minorHAnsi"/>
          <w:color w:val="000000"/>
          <w:szCs w:val="20"/>
        </w:rPr>
      </w:pPr>
      <w:r>
        <w:rPr>
          <w:rFonts w:asciiTheme="minorHAnsi" w:eastAsia="Times New Roman" w:hAnsiTheme="minorHAnsi" w:cstheme="minorHAnsi"/>
          <w:b/>
          <w:color w:val="000000"/>
          <w:szCs w:val="20"/>
        </w:rPr>
        <w:tab/>
      </w:r>
      <w:r w:rsidRPr="00E80281">
        <w:rPr>
          <w:rFonts w:asciiTheme="minorHAnsi" w:eastAsia="Times New Roman" w:hAnsiTheme="minorHAnsi" w:cstheme="minorHAnsi"/>
          <w:color w:val="000000"/>
          <w:szCs w:val="20"/>
        </w:rPr>
        <w:t>Expenses and Related Party Transactions</w:t>
      </w:r>
      <w:r w:rsidRPr="00E80281">
        <w:rPr>
          <w:rFonts w:asciiTheme="minorHAnsi" w:eastAsia="Times New Roman" w:hAnsiTheme="minorHAnsi" w:cstheme="minorHAnsi"/>
          <w:color w:val="000000"/>
          <w:szCs w:val="20"/>
        </w:rPr>
        <w:tab/>
      </w:r>
      <w:r w:rsidR="005975D4">
        <w:rPr>
          <w:rFonts w:asciiTheme="minorHAnsi" w:eastAsia="Times New Roman" w:hAnsiTheme="minorHAnsi" w:cstheme="minorHAnsi"/>
          <w:color w:val="000000"/>
          <w:szCs w:val="20"/>
        </w:rPr>
        <w:t>86</w:t>
      </w:r>
    </w:p>
    <w:p w14:paraId="55ED799B" w14:textId="48143E75" w:rsidR="00AB33EC" w:rsidRPr="00E80281" w:rsidRDefault="00AB33EC" w:rsidP="00AB33EC">
      <w:pPr>
        <w:tabs>
          <w:tab w:val="right" w:pos="9072"/>
        </w:tabs>
        <w:spacing w:line="360" w:lineRule="auto"/>
        <w:ind w:left="1134" w:hanging="1134"/>
        <w:rPr>
          <w:rFonts w:asciiTheme="minorHAnsi" w:eastAsia="Times New Roman" w:hAnsiTheme="minorHAnsi" w:cstheme="minorHAnsi"/>
          <w:color w:val="000000"/>
          <w:szCs w:val="20"/>
        </w:rPr>
      </w:pPr>
      <w:r w:rsidRPr="00E80281">
        <w:rPr>
          <w:rFonts w:asciiTheme="minorHAnsi" w:eastAsia="Times New Roman" w:hAnsiTheme="minorHAnsi" w:cstheme="minorHAnsi"/>
          <w:b/>
          <w:color w:val="000000"/>
          <w:szCs w:val="20"/>
        </w:rPr>
        <w:t>Note 5</w:t>
      </w:r>
      <w:r w:rsidRPr="00E80281">
        <w:rPr>
          <w:rFonts w:asciiTheme="minorHAnsi" w:eastAsia="Times New Roman" w:hAnsiTheme="minorHAnsi" w:cstheme="minorHAnsi"/>
          <w:color w:val="000000"/>
          <w:szCs w:val="20"/>
        </w:rPr>
        <w:tab/>
        <w:t>Supplies and Services</w:t>
      </w:r>
      <w:r w:rsidRPr="00E80281">
        <w:rPr>
          <w:rFonts w:asciiTheme="minorHAnsi" w:eastAsia="Times New Roman" w:hAnsiTheme="minorHAnsi" w:cstheme="minorHAnsi"/>
          <w:color w:val="000000"/>
          <w:szCs w:val="20"/>
        </w:rPr>
        <w:tab/>
      </w:r>
      <w:r w:rsidR="005975D4">
        <w:rPr>
          <w:rFonts w:asciiTheme="minorHAnsi" w:eastAsia="Times New Roman" w:hAnsiTheme="minorHAnsi" w:cstheme="minorHAnsi"/>
          <w:color w:val="000000"/>
          <w:szCs w:val="20"/>
        </w:rPr>
        <w:t>91</w:t>
      </w:r>
    </w:p>
    <w:p w14:paraId="125F210E" w14:textId="644093BB" w:rsidR="00AB33EC" w:rsidRPr="00E80281" w:rsidRDefault="00AB33EC" w:rsidP="00AB33EC">
      <w:pPr>
        <w:tabs>
          <w:tab w:val="right" w:pos="9072"/>
        </w:tabs>
        <w:spacing w:line="360" w:lineRule="auto"/>
        <w:ind w:left="1134" w:hanging="1134"/>
        <w:rPr>
          <w:rFonts w:asciiTheme="minorHAnsi" w:eastAsia="Times New Roman" w:hAnsiTheme="minorHAnsi" w:cstheme="minorHAnsi"/>
          <w:color w:val="000000"/>
          <w:szCs w:val="20"/>
        </w:rPr>
      </w:pPr>
      <w:r w:rsidRPr="00E80281">
        <w:rPr>
          <w:rFonts w:asciiTheme="minorHAnsi" w:eastAsia="Times New Roman" w:hAnsiTheme="minorHAnsi" w:cstheme="minorHAnsi"/>
          <w:b/>
          <w:color w:val="000000"/>
          <w:szCs w:val="20"/>
        </w:rPr>
        <w:t>Note 6</w:t>
      </w:r>
      <w:r w:rsidRPr="00E80281">
        <w:rPr>
          <w:rFonts w:asciiTheme="minorHAnsi" w:eastAsia="Times New Roman" w:hAnsiTheme="minorHAnsi" w:cstheme="minorHAnsi"/>
          <w:b/>
          <w:color w:val="000000"/>
          <w:szCs w:val="20"/>
        </w:rPr>
        <w:tab/>
      </w:r>
      <w:r w:rsidRPr="00E80281">
        <w:rPr>
          <w:rFonts w:asciiTheme="minorHAnsi" w:eastAsia="Times New Roman" w:hAnsiTheme="minorHAnsi" w:cstheme="minorHAnsi"/>
          <w:color w:val="000000"/>
          <w:szCs w:val="20"/>
        </w:rPr>
        <w:t>Other Expenses</w:t>
      </w:r>
      <w:r w:rsidRPr="00E80281">
        <w:rPr>
          <w:rFonts w:asciiTheme="minorHAnsi" w:eastAsia="Times New Roman" w:hAnsiTheme="minorHAnsi" w:cstheme="minorHAnsi"/>
          <w:color w:val="000000"/>
          <w:szCs w:val="20"/>
        </w:rPr>
        <w:tab/>
      </w:r>
      <w:r w:rsidR="005975D4">
        <w:rPr>
          <w:rFonts w:asciiTheme="minorHAnsi" w:eastAsia="Times New Roman" w:hAnsiTheme="minorHAnsi" w:cstheme="minorHAnsi"/>
          <w:color w:val="000000"/>
          <w:szCs w:val="20"/>
        </w:rPr>
        <w:t>91</w:t>
      </w:r>
    </w:p>
    <w:p w14:paraId="6683BF38" w14:textId="1683201E" w:rsidR="00AB33EC" w:rsidRPr="00E80281" w:rsidRDefault="00AB33EC" w:rsidP="00AB33EC">
      <w:pPr>
        <w:tabs>
          <w:tab w:val="left" w:pos="340"/>
          <w:tab w:val="left" w:pos="680"/>
          <w:tab w:val="left" w:pos="1020"/>
          <w:tab w:val="left" w:pos="1360"/>
          <w:tab w:val="left" w:pos="1700"/>
          <w:tab w:val="left" w:pos="2040"/>
          <w:tab w:val="left" w:pos="2380"/>
          <w:tab w:val="left" w:pos="2720"/>
          <w:tab w:val="left" w:pos="3060"/>
          <w:tab w:val="right" w:pos="9070"/>
        </w:tabs>
        <w:spacing w:line="360" w:lineRule="auto"/>
        <w:ind w:left="1134" w:hanging="1134"/>
        <w:rPr>
          <w:rFonts w:asciiTheme="minorHAnsi" w:eastAsia="Times New Roman" w:hAnsiTheme="minorHAnsi" w:cstheme="minorHAnsi"/>
          <w:color w:val="000000"/>
          <w:szCs w:val="20"/>
        </w:rPr>
      </w:pPr>
      <w:r w:rsidRPr="00E80281">
        <w:rPr>
          <w:rFonts w:asciiTheme="minorHAnsi" w:eastAsia="Times New Roman" w:hAnsiTheme="minorHAnsi" w:cstheme="minorHAnsi"/>
          <w:b/>
          <w:color w:val="000000"/>
          <w:szCs w:val="20"/>
        </w:rPr>
        <w:t>Note 7</w:t>
      </w:r>
      <w:r w:rsidRPr="00E80281">
        <w:rPr>
          <w:rFonts w:asciiTheme="minorHAnsi" w:eastAsia="Times New Roman" w:hAnsiTheme="minorHAnsi" w:cstheme="minorHAnsi"/>
          <w:color w:val="000000"/>
          <w:szCs w:val="20"/>
        </w:rPr>
        <w:tab/>
      </w:r>
      <w:r w:rsidRPr="00E80281">
        <w:rPr>
          <w:rFonts w:asciiTheme="minorHAnsi" w:eastAsia="Times New Roman" w:hAnsiTheme="minorHAnsi" w:cstheme="minorHAnsi"/>
          <w:color w:val="000000"/>
          <w:szCs w:val="20"/>
        </w:rPr>
        <w:tab/>
      </w:r>
      <w:r w:rsidRPr="00E80281">
        <w:rPr>
          <w:rFonts w:asciiTheme="minorHAnsi" w:eastAsia="Times New Roman" w:hAnsiTheme="minorHAnsi" w:cstheme="minorHAnsi"/>
          <w:color w:val="000000"/>
          <w:szCs w:val="20"/>
        </w:rPr>
        <w:tab/>
        <w:t>Cash and Cash Equivalents</w:t>
      </w:r>
      <w:r w:rsidRPr="00E80281">
        <w:rPr>
          <w:rFonts w:asciiTheme="minorHAnsi" w:eastAsia="Times New Roman" w:hAnsiTheme="minorHAnsi" w:cstheme="minorHAnsi"/>
          <w:color w:val="000000"/>
          <w:szCs w:val="20"/>
        </w:rPr>
        <w:tab/>
      </w:r>
      <w:r w:rsidR="005975D4">
        <w:rPr>
          <w:rFonts w:asciiTheme="minorHAnsi" w:eastAsia="Times New Roman" w:hAnsiTheme="minorHAnsi" w:cstheme="minorHAnsi"/>
          <w:color w:val="000000"/>
          <w:szCs w:val="20"/>
        </w:rPr>
        <w:t>92</w:t>
      </w:r>
    </w:p>
    <w:p w14:paraId="674BBCD4" w14:textId="16A76820" w:rsidR="00AB33EC" w:rsidRPr="00E80281" w:rsidRDefault="00AB33EC" w:rsidP="00AB33EC">
      <w:pPr>
        <w:tabs>
          <w:tab w:val="right" w:pos="9072"/>
        </w:tabs>
        <w:spacing w:line="360" w:lineRule="auto"/>
        <w:ind w:left="1134" w:hanging="1134"/>
        <w:rPr>
          <w:rFonts w:asciiTheme="minorHAnsi" w:eastAsia="Times New Roman" w:hAnsiTheme="minorHAnsi" w:cstheme="minorHAnsi"/>
          <w:bCs/>
          <w:color w:val="000000"/>
          <w:szCs w:val="20"/>
        </w:rPr>
      </w:pPr>
      <w:r w:rsidRPr="00E80281">
        <w:rPr>
          <w:rFonts w:asciiTheme="minorHAnsi" w:eastAsia="Times New Roman" w:hAnsiTheme="minorHAnsi" w:cstheme="minorHAnsi"/>
          <w:b/>
          <w:color w:val="000000"/>
          <w:szCs w:val="20"/>
        </w:rPr>
        <w:t>Note 8</w:t>
      </w:r>
      <w:r w:rsidRPr="00E80281">
        <w:rPr>
          <w:rFonts w:asciiTheme="minorHAnsi" w:eastAsia="Times New Roman" w:hAnsiTheme="minorHAnsi" w:cstheme="minorHAnsi"/>
          <w:color w:val="000000"/>
          <w:szCs w:val="20"/>
        </w:rPr>
        <w:tab/>
      </w:r>
      <w:r w:rsidRPr="00E80281">
        <w:rPr>
          <w:rFonts w:asciiTheme="minorHAnsi" w:eastAsia="Times New Roman" w:hAnsiTheme="minorHAnsi" w:cstheme="minorHAnsi"/>
          <w:bCs/>
          <w:color w:val="000000"/>
          <w:szCs w:val="20"/>
        </w:rPr>
        <w:t>Intangible Assets</w:t>
      </w:r>
      <w:r w:rsidRPr="00E80281">
        <w:rPr>
          <w:rFonts w:asciiTheme="minorHAnsi" w:eastAsia="Times New Roman" w:hAnsiTheme="minorHAnsi" w:cstheme="minorHAnsi"/>
          <w:bCs/>
          <w:color w:val="000000"/>
          <w:szCs w:val="20"/>
        </w:rPr>
        <w:tab/>
      </w:r>
      <w:r w:rsidR="005975D4">
        <w:rPr>
          <w:rFonts w:asciiTheme="minorHAnsi" w:eastAsia="Times New Roman" w:hAnsiTheme="minorHAnsi" w:cstheme="minorHAnsi"/>
          <w:bCs/>
          <w:color w:val="000000"/>
          <w:szCs w:val="20"/>
        </w:rPr>
        <w:t>92</w:t>
      </w:r>
    </w:p>
    <w:p w14:paraId="5F980A06" w14:textId="51EE228B" w:rsidR="00AB33EC" w:rsidRPr="00E80281" w:rsidRDefault="00AB33EC" w:rsidP="00AB33EC">
      <w:pPr>
        <w:tabs>
          <w:tab w:val="right" w:pos="9072"/>
        </w:tabs>
        <w:spacing w:line="360" w:lineRule="auto"/>
        <w:ind w:left="1134" w:hanging="1134"/>
        <w:rPr>
          <w:rFonts w:asciiTheme="minorHAnsi" w:eastAsia="Times New Roman" w:hAnsiTheme="minorHAnsi" w:cstheme="minorHAnsi"/>
          <w:color w:val="000000"/>
          <w:szCs w:val="20"/>
        </w:rPr>
      </w:pPr>
      <w:r w:rsidRPr="00E80281">
        <w:rPr>
          <w:rFonts w:asciiTheme="minorHAnsi" w:eastAsia="Times New Roman" w:hAnsiTheme="minorHAnsi" w:cstheme="minorHAnsi"/>
          <w:b/>
          <w:color w:val="000000"/>
          <w:szCs w:val="20"/>
        </w:rPr>
        <w:t>Note 9</w:t>
      </w:r>
      <w:r w:rsidRPr="00E80281">
        <w:rPr>
          <w:rFonts w:asciiTheme="minorHAnsi" w:eastAsia="Times New Roman" w:hAnsiTheme="minorHAnsi" w:cstheme="minorHAnsi"/>
          <w:b/>
          <w:color w:val="000000"/>
          <w:szCs w:val="20"/>
        </w:rPr>
        <w:tab/>
      </w:r>
      <w:r w:rsidRPr="00E80281">
        <w:rPr>
          <w:rFonts w:asciiTheme="minorHAnsi" w:eastAsia="Times New Roman" w:hAnsiTheme="minorHAnsi" w:cstheme="minorHAnsi"/>
          <w:color w:val="000000"/>
          <w:szCs w:val="20"/>
        </w:rPr>
        <w:t>Property, Plant and Equipment</w:t>
      </w:r>
      <w:r w:rsidRPr="00E80281">
        <w:rPr>
          <w:rFonts w:asciiTheme="minorHAnsi" w:eastAsia="Times New Roman" w:hAnsiTheme="minorHAnsi" w:cstheme="minorHAnsi"/>
          <w:color w:val="000000"/>
          <w:szCs w:val="20"/>
        </w:rPr>
        <w:tab/>
      </w:r>
      <w:r w:rsidR="005975D4">
        <w:rPr>
          <w:rFonts w:asciiTheme="minorHAnsi" w:eastAsia="Times New Roman" w:hAnsiTheme="minorHAnsi" w:cstheme="minorHAnsi"/>
          <w:color w:val="000000"/>
          <w:szCs w:val="20"/>
        </w:rPr>
        <w:t>94</w:t>
      </w:r>
    </w:p>
    <w:p w14:paraId="66C56F6E" w14:textId="3FF0829A" w:rsidR="00AB33EC" w:rsidRPr="00E80281" w:rsidRDefault="00AB33EC" w:rsidP="00AB33EC">
      <w:pPr>
        <w:tabs>
          <w:tab w:val="right" w:pos="9072"/>
        </w:tabs>
        <w:spacing w:line="360" w:lineRule="auto"/>
        <w:ind w:left="1134" w:hanging="1134"/>
        <w:rPr>
          <w:rFonts w:asciiTheme="minorHAnsi" w:eastAsia="Times New Roman" w:hAnsiTheme="minorHAnsi" w:cstheme="minorHAnsi"/>
          <w:color w:val="000000"/>
          <w:szCs w:val="20"/>
        </w:rPr>
      </w:pPr>
      <w:r w:rsidRPr="00E80281">
        <w:rPr>
          <w:rFonts w:asciiTheme="minorHAnsi" w:eastAsia="Times New Roman" w:hAnsiTheme="minorHAnsi" w:cstheme="minorHAnsi"/>
          <w:b/>
          <w:color w:val="000000"/>
          <w:szCs w:val="20"/>
        </w:rPr>
        <w:t>Note 10</w:t>
      </w:r>
      <w:r w:rsidRPr="00E80281">
        <w:rPr>
          <w:rFonts w:asciiTheme="minorHAnsi" w:eastAsia="Times New Roman" w:hAnsiTheme="minorHAnsi" w:cstheme="minorHAnsi"/>
          <w:color w:val="000000"/>
          <w:szCs w:val="20"/>
        </w:rPr>
        <w:tab/>
        <w:t>Right-of-use Assets and Lease Liabilities</w:t>
      </w:r>
      <w:r w:rsidRPr="00E80281">
        <w:rPr>
          <w:rFonts w:asciiTheme="minorHAnsi" w:eastAsia="Times New Roman" w:hAnsiTheme="minorHAnsi" w:cstheme="minorHAnsi"/>
          <w:color w:val="000000"/>
          <w:szCs w:val="20"/>
        </w:rPr>
        <w:tab/>
      </w:r>
      <w:r w:rsidR="005975D4">
        <w:rPr>
          <w:rFonts w:asciiTheme="minorHAnsi" w:eastAsia="Times New Roman" w:hAnsiTheme="minorHAnsi" w:cstheme="minorHAnsi"/>
          <w:color w:val="000000"/>
          <w:szCs w:val="20"/>
        </w:rPr>
        <w:t>97</w:t>
      </w:r>
    </w:p>
    <w:p w14:paraId="3F50B457" w14:textId="0B9F8273" w:rsidR="00AB33EC" w:rsidRPr="00E80281" w:rsidRDefault="00AB33EC" w:rsidP="00AB33EC">
      <w:pPr>
        <w:tabs>
          <w:tab w:val="right" w:pos="9072"/>
        </w:tabs>
        <w:spacing w:line="360" w:lineRule="auto"/>
        <w:ind w:left="1134" w:hanging="1134"/>
        <w:rPr>
          <w:rFonts w:asciiTheme="minorHAnsi" w:eastAsia="Times New Roman" w:hAnsiTheme="minorHAnsi" w:cstheme="minorHAnsi"/>
          <w:color w:val="000000"/>
          <w:szCs w:val="20"/>
        </w:rPr>
      </w:pPr>
      <w:r w:rsidRPr="00E80281">
        <w:rPr>
          <w:rFonts w:asciiTheme="minorHAnsi" w:eastAsia="Times New Roman" w:hAnsiTheme="minorHAnsi" w:cstheme="minorHAnsi"/>
          <w:b/>
          <w:color w:val="000000"/>
          <w:szCs w:val="20"/>
        </w:rPr>
        <w:t>Note 11</w:t>
      </w:r>
      <w:r w:rsidRPr="00E80281">
        <w:rPr>
          <w:rFonts w:asciiTheme="minorHAnsi" w:eastAsia="Times New Roman" w:hAnsiTheme="minorHAnsi" w:cstheme="minorHAnsi"/>
          <w:color w:val="000000"/>
          <w:szCs w:val="20"/>
        </w:rPr>
        <w:tab/>
        <w:t>Payables</w:t>
      </w:r>
      <w:r w:rsidRPr="00E80281">
        <w:rPr>
          <w:rFonts w:asciiTheme="minorHAnsi" w:eastAsia="Times New Roman" w:hAnsiTheme="minorHAnsi" w:cstheme="minorHAnsi"/>
          <w:color w:val="000000"/>
          <w:szCs w:val="20"/>
        </w:rPr>
        <w:tab/>
      </w:r>
      <w:r w:rsidR="005975D4">
        <w:rPr>
          <w:rFonts w:asciiTheme="minorHAnsi" w:eastAsia="Times New Roman" w:hAnsiTheme="minorHAnsi" w:cstheme="minorHAnsi"/>
          <w:color w:val="000000"/>
          <w:szCs w:val="20"/>
        </w:rPr>
        <w:t>98</w:t>
      </w:r>
    </w:p>
    <w:p w14:paraId="16233E3B" w14:textId="20224384" w:rsidR="00AB33EC" w:rsidRPr="00E80281" w:rsidRDefault="00AB33EC" w:rsidP="00AB33EC">
      <w:pPr>
        <w:tabs>
          <w:tab w:val="right" w:pos="9072"/>
        </w:tabs>
        <w:spacing w:line="360" w:lineRule="auto"/>
        <w:ind w:left="1134" w:hanging="1134"/>
        <w:rPr>
          <w:rFonts w:asciiTheme="minorHAnsi" w:eastAsia="Times New Roman" w:hAnsiTheme="minorHAnsi" w:cstheme="minorHAnsi"/>
          <w:color w:val="000000"/>
          <w:szCs w:val="20"/>
        </w:rPr>
      </w:pPr>
      <w:r w:rsidRPr="00E80281">
        <w:rPr>
          <w:rFonts w:asciiTheme="minorHAnsi" w:eastAsia="Times New Roman" w:hAnsiTheme="minorHAnsi" w:cstheme="minorHAnsi"/>
          <w:b/>
          <w:color w:val="000000"/>
          <w:szCs w:val="20"/>
        </w:rPr>
        <w:t>Note 12</w:t>
      </w:r>
      <w:r w:rsidRPr="00E80281">
        <w:rPr>
          <w:rFonts w:asciiTheme="minorHAnsi" w:eastAsia="Times New Roman" w:hAnsiTheme="minorHAnsi" w:cstheme="minorHAnsi"/>
          <w:color w:val="000000"/>
          <w:szCs w:val="20"/>
        </w:rPr>
        <w:tab/>
        <w:t>Accrued Employee Benefits</w:t>
      </w:r>
      <w:r w:rsidRPr="00E80281">
        <w:rPr>
          <w:rFonts w:asciiTheme="minorHAnsi" w:eastAsia="Times New Roman" w:hAnsiTheme="minorHAnsi" w:cstheme="minorHAnsi"/>
          <w:color w:val="000000"/>
          <w:szCs w:val="20"/>
        </w:rPr>
        <w:tab/>
      </w:r>
      <w:r w:rsidR="005975D4">
        <w:rPr>
          <w:rFonts w:asciiTheme="minorHAnsi" w:eastAsia="Times New Roman" w:hAnsiTheme="minorHAnsi" w:cstheme="minorHAnsi"/>
          <w:color w:val="000000"/>
          <w:szCs w:val="20"/>
        </w:rPr>
        <w:t>98</w:t>
      </w:r>
    </w:p>
    <w:p w14:paraId="611721FE" w14:textId="4F24E89E" w:rsidR="00AB33EC" w:rsidRPr="00E80281" w:rsidRDefault="00AB33EC" w:rsidP="00AB33EC">
      <w:pPr>
        <w:tabs>
          <w:tab w:val="right" w:pos="9072"/>
        </w:tabs>
        <w:spacing w:line="360" w:lineRule="auto"/>
        <w:ind w:left="1134" w:hanging="1134"/>
        <w:rPr>
          <w:rFonts w:asciiTheme="minorHAnsi" w:eastAsia="Times New Roman" w:hAnsiTheme="minorHAnsi" w:cstheme="minorHAnsi"/>
          <w:color w:val="000000"/>
          <w:szCs w:val="20"/>
        </w:rPr>
      </w:pPr>
      <w:r w:rsidRPr="00E80281">
        <w:rPr>
          <w:rFonts w:asciiTheme="minorHAnsi" w:eastAsia="Times New Roman" w:hAnsiTheme="minorHAnsi" w:cstheme="minorHAnsi"/>
          <w:b/>
          <w:color w:val="000000"/>
          <w:szCs w:val="20"/>
        </w:rPr>
        <w:t>Note 13</w:t>
      </w:r>
      <w:r w:rsidRPr="00E80281">
        <w:rPr>
          <w:rFonts w:asciiTheme="minorHAnsi" w:eastAsia="Times New Roman" w:hAnsiTheme="minorHAnsi" w:cstheme="minorHAnsi"/>
          <w:color w:val="000000"/>
          <w:szCs w:val="20"/>
        </w:rPr>
        <w:tab/>
        <w:t>Provisions</w:t>
      </w:r>
      <w:r w:rsidRPr="00E80281">
        <w:rPr>
          <w:rFonts w:asciiTheme="minorHAnsi" w:eastAsia="Times New Roman" w:hAnsiTheme="minorHAnsi" w:cstheme="minorHAnsi"/>
          <w:color w:val="000000"/>
          <w:szCs w:val="20"/>
        </w:rPr>
        <w:tab/>
      </w:r>
      <w:r w:rsidR="005975D4">
        <w:rPr>
          <w:rFonts w:asciiTheme="minorHAnsi" w:eastAsia="Times New Roman" w:hAnsiTheme="minorHAnsi" w:cstheme="minorHAnsi"/>
          <w:color w:val="000000"/>
          <w:szCs w:val="20"/>
        </w:rPr>
        <w:t>99</w:t>
      </w:r>
    </w:p>
    <w:p w14:paraId="4F7FEED4" w14:textId="3DDCF8B2" w:rsidR="00AB33EC" w:rsidRPr="00E80281" w:rsidRDefault="00AB33EC" w:rsidP="00AB33EC">
      <w:pPr>
        <w:tabs>
          <w:tab w:val="right" w:pos="9072"/>
        </w:tabs>
        <w:spacing w:line="360" w:lineRule="auto"/>
        <w:ind w:left="1134" w:hanging="1134"/>
        <w:rPr>
          <w:rFonts w:asciiTheme="minorHAnsi" w:eastAsia="Times New Roman" w:hAnsiTheme="minorHAnsi" w:cstheme="minorHAnsi"/>
          <w:color w:val="000000"/>
          <w:szCs w:val="20"/>
        </w:rPr>
      </w:pPr>
      <w:r w:rsidRPr="00E80281">
        <w:rPr>
          <w:rFonts w:asciiTheme="minorHAnsi" w:eastAsia="Times New Roman" w:hAnsiTheme="minorHAnsi" w:cstheme="minorHAnsi"/>
          <w:b/>
          <w:color w:val="000000"/>
          <w:szCs w:val="20"/>
        </w:rPr>
        <w:t>Note 14</w:t>
      </w:r>
      <w:r w:rsidRPr="00E80281">
        <w:rPr>
          <w:rFonts w:asciiTheme="minorHAnsi" w:eastAsia="Times New Roman" w:hAnsiTheme="minorHAnsi" w:cstheme="minorHAnsi"/>
          <w:color w:val="000000"/>
          <w:szCs w:val="20"/>
        </w:rPr>
        <w:tab/>
        <w:t>Commitments for Expenditure</w:t>
      </w:r>
      <w:r w:rsidRPr="00E80281">
        <w:rPr>
          <w:rFonts w:asciiTheme="minorHAnsi" w:eastAsia="Times New Roman" w:hAnsiTheme="minorHAnsi" w:cstheme="minorHAnsi"/>
          <w:color w:val="000000"/>
          <w:szCs w:val="20"/>
        </w:rPr>
        <w:tab/>
      </w:r>
      <w:r w:rsidR="005975D4">
        <w:rPr>
          <w:rFonts w:asciiTheme="minorHAnsi" w:eastAsia="Times New Roman" w:hAnsiTheme="minorHAnsi" w:cstheme="minorHAnsi"/>
          <w:color w:val="000000"/>
          <w:szCs w:val="20"/>
        </w:rPr>
        <w:t>100</w:t>
      </w:r>
    </w:p>
    <w:p w14:paraId="79FA27E2" w14:textId="0BFC5C1B" w:rsidR="00AB33EC" w:rsidRPr="00E80281" w:rsidRDefault="00AB33EC" w:rsidP="00AB33EC">
      <w:pPr>
        <w:tabs>
          <w:tab w:val="right" w:pos="9072"/>
        </w:tabs>
        <w:spacing w:line="360" w:lineRule="auto"/>
        <w:ind w:left="1134" w:hanging="1134"/>
        <w:rPr>
          <w:rFonts w:asciiTheme="minorHAnsi" w:eastAsia="Times New Roman" w:hAnsiTheme="minorHAnsi" w:cstheme="minorHAnsi"/>
          <w:color w:val="000000"/>
          <w:szCs w:val="20"/>
        </w:rPr>
      </w:pPr>
      <w:r w:rsidRPr="00E80281">
        <w:rPr>
          <w:rFonts w:asciiTheme="minorHAnsi" w:eastAsia="Times New Roman" w:hAnsiTheme="minorHAnsi" w:cstheme="minorHAnsi"/>
          <w:b/>
          <w:color w:val="000000"/>
          <w:szCs w:val="20"/>
        </w:rPr>
        <w:t>Note 15</w:t>
      </w:r>
      <w:r w:rsidRPr="00E80281">
        <w:rPr>
          <w:rFonts w:asciiTheme="minorHAnsi" w:eastAsia="Times New Roman" w:hAnsiTheme="minorHAnsi" w:cstheme="minorHAnsi"/>
          <w:color w:val="000000"/>
          <w:szCs w:val="20"/>
        </w:rPr>
        <w:tab/>
        <w:t>Contingencies</w:t>
      </w:r>
      <w:r w:rsidRPr="00E80281">
        <w:rPr>
          <w:rFonts w:asciiTheme="minorHAnsi" w:eastAsia="Times New Roman" w:hAnsiTheme="minorHAnsi" w:cstheme="minorHAnsi"/>
          <w:color w:val="000000"/>
          <w:szCs w:val="20"/>
        </w:rPr>
        <w:tab/>
      </w:r>
      <w:r w:rsidR="005975D4">
        <w:rPr>
          <w:rFonts w:asciiTheme="minorHAnsi" w:eastAsia="Times New Roman" w:hAnsiTheme="minorHAnsi" w:cstheme="minorHAnsi"/>
          <w:color w:val="000000"/>
          <w:szCs w:val="20"/>
        </w:rPr>
        <w:t>100</w:t>
      </w:r>
    </w:p>
    <w:p w14:paraId="0CD90663" w14:textId="1ADDF045" w:rsidR="00AB33EC" w:rsidRPr="00E80281" w:rsidRDefault="00AB33EC" w:rsidP="00AB33EC">
      <w:pPr>
        <w:tabs>
          <w:tab w:val="right" w:pos="9072"/>
        </w:tabs>
        <w:spacing w:line="360" w:lineRule="auto"/>
        <w:ind w:left="1134" w:hanging="1134"/>
        <w:rPr>
          <w:rFonts w:asciiTheme="minorHAnsi" w:eastAsia="Times New Roman" w:hAnsiTheme="minorHAnsi" w:cstheme="minorHAnsi"/>
          <w:color w:val="000000"/>
          <w:szCs w:val="20"/>
        </w:rPr>
      </w:pPr>
      <w:r w:rsidRPr="00E80281">
        <w:rPr>
          <w:rFonts w:asciiTheme="minorHAnsi" w:eastAsia="Times New Roman" w:hAnsiTheme="minorHAnsi" w:cstheme="minorHAnsi"/>
          <w:b/>
          <w:color w:val="000000"/>
          <w:szCs w:val="20"/>
        </w:rPr>
        <w:t>Note 16</w:t>
      </w:r>
      <w:r w:rsidRPr="00E80281">
        <w:rPr>
          <w:rFonts w:asciiTheme="minorHAnsi" w:eastAsia="Times New Roman" w:hAnsiTheme="minorHAnsi" w:cstheme="minorHAnsi"/>
          <w:color w:val="000000"/>
          <w:szCs w:val="20"/>
        </w:rPr>
        <w:tab/>
        <w:t>Financial Instruments</w:t>
      </w:r>
      <w:r w:rsidRPr="00E80281">
        <w:rPr>
          <w:rFonts w:asciiTheme="minorHAnsi" w:eastAsia="Times New Roman" w:hAnsiTheme="minorHAnsi" w:cstheme="minorHAnsi"/>
          <w:color w:val="000000"/>
          <w:szCs w:val="20"/>
        </w:rPr>
        <w:tab/>
      </w:r>
      <w:r w:rsidR="005975D4">
        <w:rPr>
          <w:rFonts w:asciiTheme="minorHAnsi" w:eastAsia="Times New Roman" w:hAnsiTheme="minorHAnsi" w:cstheme="minorHAnsi"/>
          <w:color w:val="000000"/>
          <w:szCs w:val="20"/>
        </w:rPr>
        <w:t>101</w:t>
      </w:r>
    </w:p>
    <w:p w14:paraId="7CD6AC0C" w14:textId="04A013DC" w:rsidR="00AB33EC" w:rsidRPr="00E80281" w:rsidRDefault="00AB33EC" w:rsidP="00AB33EC">
      <w:pPr>
        <w:tabs>
          <w:tab w:val="right" w:pos="9072"/>
        </w:tabs>
        <w:spacing w:line="360" w:lineRule="auto"/>
        <w:ind w:left="1134" w:hanging="1134"/>
        <w:rPr>
          <w:rFonts w:asciiTheme="minorHAnsi" w:eastAsia="Times New Roman" w:hAnsiTheme="minorHAnsi" w:cstheme="minorHAnsi"/>
          <w:color w:val="000000"/>
          <w:szCs w:val="20"/>
        </w:rPr>
      </w:pPr>
      <w:r w:rsidRPr="00E80281">
        <w:rPr>
          <w:rFonts w:asciiTheme="minorHAnsi" w:eastAsia="Times New Roman" w:hAnsiTheme="minorHAnsi" w:cstheme="minorHAnsi"/>
          <w:b/>
          <w:color w:val="000000"/>
          <w:szCs w:val="20"/>
        </w:rPr>
        <w:t>Note 17</w:t>
      </w:r>
      <w:r w:rsidRPr="00E80281">
        <w:rPr>
          <w:rFonts w:asciiTheme="minorHAnsi" w:eastAsia="Times New Roman" w:hAnsiTheme="minorHAnsi" w:cstheme="minorHAnsi"/>
          <w:color w:val="000000"/>
          <w:szCs w:val="20"/>
        </w:rPr>
        <w:tab/>
        <w:t>Trust Transactions and Balances</w:t>
      </w:r>
      <w:r w:rsidRPr="00E80281">
        <w:rPr>
          <w:rFonts w:asciiTheme="minorHAnsi" w:eastAsia="Times New Roman" w:hAnsiTheme="minorHAnsi" w:cstheme="minorHAnsi"/>
          <w:color w:val="000000"/>
          <w:szCs w:val="20"/>
        </w:rPr>
        <w:tab/>
      </w:r>
      <w:r w:rsidR="005975D4">
        <w:rPr>
          <w:rFonts w:asciiTheme="minorHAnsi" w:eastAsia="Times New Roman" w:hAnsiTheme="minorHAnsi" w:cstheme="minorHAnsi"/>
          <w:color w:val="000000"/>
          <w:szCs w:val="20"/>
        </w:rPr>
        <w:t>103</w:t>
      </w:r>
    </w:p>
    <w:p w14:paraId="52934F61" w14:textId="68F24A1E" w:rsidR="00AB33EC" w:rsidRPr="00E80281" w:rsidRDefault="00AB33EC" w:rsidP="00AB33EC">
      <w:pPr>
        <w:tabs>
          <w:tab w:val="left" w:pos="462"/>
          <w:tab w:val="left" w:pos="1134"/>
          <w:tab w:val="left" w:pos="7132"/>
          <w:tab w:val="right" w:pos="9072"/>
        </w:tabs>
        <w:spacing w:line="360" w:lineRule="auto"/>
        <w:rPr>
          <w:rFonts w:asciiTheme="minorHAnsi" w:eastAsia="Calibri" w:hAnsiTheme="minorHAnsi" w:cstheme="minorHAnsi"/>
          <w:color w:val="000000"/>
          <w:szCs w:val="20"/>
        </w:rPr>
      </w:pPr>
      <w:r w:rsidRPr="00E80281">
        <w:rPr>
          <w:rFonts w:asciiTheme="minorHAnsi" w:eastAsia="Times New Roman" w:hAnsiTheme="minorHAnsi" w:cstheme="minorHAnsi"/>
          <w:b/>
          <w:color w:val="000000"/>
          <w:szCs w:val="20"/>
        </w:rPr>
        <w:t>Note 18</w:t>
      </w:r>
      <w:r w:rsidRPr="00E80281">
        <w:rPr>
          <w:rFonts w:asciiTheme="minorHAnsi" w:eastAsia="Calibri" w:hAnsiTheme="minorHAnsi" w:cstheme="minorHAnsi"/>
          <w:b/>
          <w:color w:val="000000"/>
          <w:szCs w:val="20"/>
        </w:rPr>
        <w:tab/>
      </w:r>
      <w:r w:rsidRPr="00E80281">
        <w:rPr>
          <w:rFonts w:asciiTheme="minorHAnsi" w:eastAsia="Times New Roman" w:hAnsiTheme="minorHAnsi" w:cstheme="minorHAnsi"/>
          <w:color w:val="000000"/>
          <w:szCs w:val="20"/>
        </w:rPr>
        <w:t>Explanation of Major Variances</w:t>
      </w:r>
      <w:r w:rsidRPr="00E80281">
        <w:rPr>
          <w:rFonts w:asciiTheme="minorHAnsi" w:eastAsia="Calibri" w:hAnsiTheme="minorHAnsi" w:cstheme="minorHAnsi"/>
          <w:color w:val="000000"/>
          <w:szCs w:val="20"/>
        </w:rPr>
        <w:tab/>
      </w:r>
      <w:r w:rsidRPr="00E80281">
        <w:rPr>
          <w:rFonts w:asciiTheme="minorHAnsi" w:eastAsia="Calibri" w:hAnsiTheme="minorHAnsi" w:cstheme="minorHAnsi"/>
          <w:color w:val="000000"/>
          <w:szCs w:val="20"/>
        </w:rPr>
        <w:tab/>
      </w:r>
      <w:r w:rsidR="005975D4">
        <w:rPr>
          <w:rFonts w:asciiTheme="minorHAnsi" w:eastAsia="Calibri" w:hAnsiTheme="minorHAnsi" w:cstheme="minorHAnsi"/>
          <w:color w:val="000000"/>
          <w:szCs w:val="20"/>
        </w:rPr>
        <w:t>104</w:t>
      </w:r>
    </w:p>
    <w:p w14:paraId="7859225D" w14:textId="299CBD3D" w:rsidR="00AB33EC" w:rsidRPr="00E80281" w:rsidRDefault="00AB33EC" w:rsidP="00AB33EC">
      <w:pPr>
        <w:tabs>
          <w:tab w:val="right" w:pos="9072"/>
        </w:tabs>
        <w:spacing w:line="360" w:lineRule="auto"/>
        <w:rPr>
          <w:rFonts w:asciiTheme="minorHAnsi" w:eastAsia="Calibri" w:hAnsiTheme="minorHAnsi" w:cstheme="minorHAnsi"/>
          <w:color w:val="000000"/>
          <w:sz w:val="24"/>
          <w:szCs w:val="24"/>
        </w:rPr>
        <w:sectPr w:rsidR="00AB33EC" w:rsidRPr="00E80281" w:rsidSect="00AB33EC">
          <w:headerReference w:type="even" r:id="rId289"/>
          <w:headerReference w:type="default" r:id="rId290"/>
          <w:headerReference w:type="first" r:id="rId291"/>
          <w:pgSz w:w="11906" w:h="16838"/>
          <w:pgMar w:top="2155" w:right="1134" w:bottom="964" w:left="1134" w:header="720" w:footer="283" w:gutter="0"/>
          <w:cols w:space="708"/>
          <w:docGrid w:linePitch="360"/>
        </w:sectPr>
      </w:pPr>
      <w:r w:rsidRPr="00E80281">
        <w:rPr>
          <w:rFonts w:asciiTheme="minorHAnsi" w:eastAsia="Calibri" w:hAnsiTheme="minorHAnsi" w:cstheme="minorHAnsi"/>
          <w:color w:val="000000"/>
          <w:szCs w:val="20"/>
        </w:rPr>
        <w:t>Management Certificate for the year ended 30 June 2024</w:t>
      </w:r>
      <w:r>
        <w:rPr>
          <w:rFonts w:asciiTheme="minorHAnsi" w:eastAsia="Calibri" w:hAnsiTheme="minorHAnsi" w:cstheme="minorHAnsi"/>
          <w:color w:val="000000"/>
          <w:szCs w:val="20"/>
        </w:rPr>
        <w:tab/>
      </w:r>
      <w:r w:rsidR="005975D4">
        <w:rPr>
          <w:rFonts w:asciiTheme="minorHAnsi" w:eastAsia="Calibri" w:hAnsiTheme="minorHAnsi" w:cstheme="minorHAnsi"/>
          <w:color w:val="000000"/>
          <w:szCs w:val="20"/>
        </w:rPr>
        <w:t>105</w:t>
      </w:r>
    </w:p>
    <w:p w14:paraId="0E8839BB" w14:textId="77777777" w:rsidR="00AB33EC" w:rsidRPr="00BA482A" w:rsidRDefault="00AB33EC" w:rsidP="0037124B">
      <w:pPr>
        <w:spacing w:line="360" w:lineRule="auto"/>
        <w:rPr>
          <w:rFonts w:asciiTheme="minorHAnsi" w:eastAsia="Calibri" w:hAnsiTheme="minorHAnsi" w:cstheme="minorHAnsi"/>
          <w:b/>
          <w:color w:val="000000"/>
          <w:sz w:val="24"/>
          <w:szCs w:val="24"/>
        </w:rPr>
      </w:pPr>
      <w:r w:rsidRPr="00BA482A">
        <w:rPr>
          <w:rFonts w:asciiTheme="minorHAnsi" w:eastAsia="Calibri" w:hAnsiTheme="minorHAnsi" w:cstheme="minorHAnsi"/>
          <w:b/>
          <w:color w:val="000000"/>
          <w:sz w:val="24"/>
          <w:szCs w:val="24"/>
        </w:rPr>
        <w:t>Objectives of the Crime and Corruption Commission (CCC)</w:t>
      </w:r>
    </w:p>
    <w:p w14:paraId="1B1B7CCC" w14:textId="77777777" w:rsidR="00AB33EC" w:rsidRDefault="00AB33EC" w:rsidP="0037124B">
      <w:pPr>
        <w:rPr>
          <w:rFonts w:asciiTheme="minorHAnsi" w:eastAsia="Calibri" w:hAnsiTheme="minorHAnsi" w:cstheme="minorHAnsi"/>
          <w:color w:val="000000"/>
        </w:rPr>
      </w:pPr>
      <w:r w:rsidRPr="00BA482A">
        <w:rPr>
          <w:rFonts w:asciiTheme="minorHAnsi" w:eastAsia="Calibri" w:hAnsiTheme="minorHAnsi" w:cstheme="minorHAnsi"/>
          <w:color w:val="000000"/>
        </w:rPr>
        <w:t>The Crime and Corruption Commission (CCC) is an independent statutory body set up to combat and reduce the incidence of major crime and corruption in the public sector in Queensland. We investigate crime and corruption, have oversight of the public sector including police, and protect witnesses.</w:t>
      </w:r>
      <w:r w:rsidRPr="00BA482A" w:rsidDel="004C78EF">
        <w:rPr>
          <w:rFonts w:asciiTheme="minorHAnsi" w:eastAsia="Calibri" w:hAnsiTheme="minorHAnsi" w:cstheme="minorHAnsi"/>
          <w:color w:val="000000"/>
        </w:rPr>
        <w:t xml:space="preserve"> </w:t>
      </w:r>
    </w:p>
    <w:p w14:paraId="05959C0D" w14:textId="77777777" w:rsidR="00F96E14" w:rsidRPr="00BA482A" w:rsidRDefault="00F96E14" w:rsidP="0037124B">
      <w:pPr>
        <w:rPr>
          <w:rFonts w:asciiTheme="minorHAnsi" w:eastAsia="Calibri" w:hAnsiTheme="minorHAnsi" w:cstheme="minorHAnsi"/>
          <w:color w:val="000000"/>
        </w:rPr>
      </w:pPr>
    </w:p>
    <w:p w14:paraId="01082D54" w14:textId="77777777" w:rsidR="00AB33EC" w:rsidRPr="00BA482A" w:rsidRDefault="00AB33EC" w:rsidP="0037124B">
      <w:pPr>
        <w:outlineLvl w:val="0"/>
        <w:rPr>
          <w:rFonts w:asciiTheme="minorHAnsi" w:eastAsia="Times New Roman" w:hAnsiTheme="minorHAnsi" w:cstheme="minorHAnsi"/>
          <w:b/>
          <w:color w:val="000000"/>
          <w:sz w:val="23"/>
          <w:szCs w:val="23"/>
        </w:rPr>
      </w:pPr>
      <w:r w:rsidRPr="00BA482A">
        <w:rPr>
          <w:rFonts w:asciiTheme="minorHAnsi" w:eastAsia="Times New Roman" w:hAnsiTheme="minorHAnsi" w:cstheme="minorHAnsi"/>
          <w:b/>
          <w:color w:val="000000"/>
          <w:sz w:val="23"/>
          <w:szCs w:val="23"/>
        </w:rPr>
        <w:t>Note 1: Summary of Significant Accounting Policies</w:t>
      </w:r>
    </w:p>
    <w:p w14:paraId="31BF9295" w14:textId="77777777" w:rsidR="00AB33EC" w:rsidRPr="00BA482A" w:rsidRDefault="00AB33EC" w:rsidP="0037124B">
      <w:pPr>
        <w:rPr>
          <w:rFonts w:asciiTheme="minorHAnsi" w:eastAsia="Times New Roman" w:hAnsiTheme="minorHAnsi" w:cstheme="minorHAnsi"/>
          <w:b/>
          <w:color w:val="000000"/>
        </w:rPr>
      </w:pPr>
      <w:r w:rsidRPr="00BA482A">
        <w:rPr>
          <w:rFonts w:asciiTheme="minorHAnsi" w:eastAsia="Times New Roman" w:hAnsiTheme="minorHAnsi" w:cstheme="minorHAnsi"/>
          <w:b/>
          <w:color w:val="000000"/>
        </w:rPr>
        <w:t>Significant accounting policies are in the notes to which they relate, except as follows:</w:t>
      </w:r>
    </w:p>
    <w:p w14:paraId="1D673845" w14:textId="77777777" w:rsidR="00AB33EC" w:rsidRPr="00BA482A" w:rsidRDefault="00AB33EC" w:rsidP="0037124B">
      <w:pPr>
        <w:ind w:left="454" w:hanging="454"/>
        <w:rPr>
          <w:rFonts w:asciiTheme="minorHAnsi" w:eastAsia="Times New Roman" w:hAnsiTheme="minorHAnsi" w:cstheme="minorHAnsi"/>
          <w:b/>
          <w:bCs/>
          <w:color w:val="000000"/>
          <w:lang w:eastAsia="en-AU"/>
        </w:rPr>
      </w:pPr>
      <w:r w:rsidRPr="00BA482A">
        <w:rPr>
          <w:rFonts w:asciiTheme="minorHAnsi" w:eastAsia="Times New Roman" w:hAnsiTheme="minorHAnsi" w:cstheme="minorHAnsi"/>
          <w:b/>
          <w:bCs/>
          <w:color w:val="000000"/>
          <w:lang w:eastAsia="en-AU"/>
        </w:rPr>
        <w:t>(a)</w:t>
      </w:r>
      <w:r w:rsidRPr="00BA482A">
        <w:rPr>
          <w:rFonts w:asciiTheme="minorHAnsi" w:eastAsia="Times New Roman" w:hAnsiTheme="minorHAnsi" w:cstheme="minorHAnsi"/>
          <w:b/>
          <w:bCs/>
          <w:color w:val="000000"/>
          <w:lang w:eastAsia="en-AU"/>
        </w:rPr>
        <w:tab/>
        <w:t>Statement of Compliance</w:t>
      </w:r>
    </w:p>
    <w:p w14:paraId="1BE681C1" w14:textId="77777777" w:rsidR="00AB33EC" w:rsidRPr="00BA482A" w:rsidRDefault="00AB33EC" w:rsidP="0037124B">
      <w:pPr>
        <w:spacing w:before="40"/>
        <w:ind w:left="454"/>
        <w:rPr>
          <w:rFonts w:asciiTheme="minorHAnsi" w:eastAsia="Times New Roman" w:hAnsiTheme="minorHAnsi" w:cstheme="minorHAnsi"/>
          <w:color w:val="000000"/>
          <w:szCs w:val="20"/>
        </w:rPr>
      </w:pPr>
      <w:r w:rsidRPr="00BA482A">
        <w:rPr>
          <w:rFonts w:asciiTheme="minorHAnsi" w:eastAsia="Times New Roman" w:hAnsiTheme="minorHAnsi" w:cstheme="minorHAnsi"/>
          <w:color w:val="000000"/>
          <w:szCs w:val="20"/>
        </w:rPr>
        <w:t>These financial statements are general purpose financial statements which have been prepared on an accrual basis, except for the Statement of Cash Flows which is prepared on a cash basis.  They are prepared in accordance with:</w:t>
      </w:r>
    </w:p>
    <w:p w14:paraId="750C7A4D" w14:textId="79C75B5B" w:rsidR="00AB33EC" w:rsidRPr="00BA482A" w:rsidRDefault="00AB33EC" w:rsidP="0037124B">
      <w:pPr>
        <w:spacing w:before="60"/>
        <w:ind w:left="1040" w:hanging="360"/>
        <w:rPr>
          <w:rFonts w:asciiTheme="minorHAnsi" w:eastAsia="Times New Roman" w:hAnsiTheme="minorHAnsi" w:cstheme="minorHAnsi"/>
          <w:color w:val="000000"/>
          <w:szCs w:val="20"/>
          <w:lang w:eastAsia="en-AU"/>
        </w:rPr>
      </w:pPr>
      <w:r w:rsidRPr="00BA482A">
        <w:rPr>
          <w:rFonts w:asciiTheme="minorHAnsi" w:eastAsia="Times New Roman" w:hAnsiTheme="minorHAnsi" w:cstheme="minorHAnsi"/>
          <w:color w:val="000000"/>
          <w:szCs w:val="20"/>
          <w:lang w:eastAsia="en-AU"/>
        </w:rPr>
        <w:t xml:space="preserve">Section 39 of the </w:t>
      </w:r>
      <w:r w:rsidRPr="00BA482A">
        <w:rPr>
          <w:rFonts w:asciiTheme="minorHAnsi" w:eastAsia="Times New Roman" w:hAnsiTheme="minorHAnsi" w:cstheme="minorHAnsi"/>
          <w:i/>
          <w:color w:val="000000"/>
          <w:szCs w:val="20"/>
          <w:lang w:eastAsia="en-AU"/>
        </w:rPr>
        <w:t>Financial and Performance Management Standard 2019</w:t>
      </w:r>
      <w:r w:rsidR="00107923">
        <w:rPr>
          <w:rFonts w:asciiTheme="minorHAnsi" w:eastAsia="Times New Roman" w:hAnsiTheme="minorHAnsi" w:cstheme="minorHAnsi"/>
          <w:i/>
          <w:color w:val="000000"/>
          <w:szCs w:val="20"/>
          <w:lang w:eastAsia="en-AU"/>
        </w:rPr>
        <w:t>.</w:t>
      </w:r>
    </w:p>
    <w:p w14:paraId="7ABCD278" w14:textId="70089D47" w:rsidR="00AB33EC" w:rsidRPr="00BA482A" w:rsidRDefault="00AB33EC" w:rsidP="0037124B">
      <w:pPr>
        <w:spacing w:before="60"/>
        <w:ind w:left="1040" w:hanging="360"/>
        <w:rPr>
          <w:rFonts w:asciiTheme="minorHAnsi" w:eastAsia="Times New Roman" w:hAnsiTheme="minorHAnsi" w:cstheme="minorHAnsi"/>
          <w:color w:val="000000"/>
          <w:szCs w:val="20"/>
          <w:lang w:eastAsia="en-AU"/>
        </w:rPr>
      </w:pPr>
      <w:r w:rsidRPr="00BA482A">
        <w:rPr>
          <w:rFonts w:asciiTheme="minorHAnsi" w:eastAsia="Times New Roman" w:hAnsiTheme="minorHAnsi" w:cstheme="minorHAnsi"/>
          <w:color w:val="000000"/>
          <w:szCs w:val="20"/>
          <w:lang w:eastAsia="en-AU"/>
        </w:rPr>
        <w:t>Australian Accounting Standards and Interpretations applicable to not-for-profit entities</w:t>
      </w:r>
      <w:r w:rsidR="00107923">
        <w:rPr>
          <w:rFonts w:asciiTheme="minorHAnsi" w:eastAsia="Times New Roman" w:hAnsiTheme="minorHAnsi" w:cstheme="minorHAnsi"/>
          <w:color w:val="000000"/>
          <w:szCs w:val="20"/>
          <w:lang w:eastAsia="en-AU"/>
        </w:rPr>
        <w:t>.</w:t>
      </w:r>
    </w:p>
    <w:p w14:paraId="38E33CCE" w14:textId="1586AA4D" w:rsidR="00AB33EC" w:rsidRPr="00681C18" w:rsidRDefault="00AB33EC" w:rsidP="0037124B">
      <w:pPr>
        <w:spacing w:before="60"/>
        <w:ind w:left="709" w:hanging="29"/>
        <w:rPr>
          <w:rFonts w:asciiTheme="minorHAnsi" w:eastAsia="Times New Roman" w:hAnsiTheme="minorHAnsi" w:cstheme="minorHAnsi"/>
          <w:color w:val="000000"/>
          <w:szCs w:val="20"/>
          <w:lang w:eastAsia="en-AU"/>
        </w:rPr>
      </w:pPr>
      <w:r w:rsidRPr="00BA482A">
        <w:rPr>
          <w:rFonts w:asciiTheme="minorHAnsi" w:eastAsia="Times New Roman" w:hAnsiTheme="minorHAnsi" w:cstheme="minorHAnsi"/>
          <w:color w:val="000000"/>
          <w:szCs w:val="20"/>
          <w:lang w:eastAsia="en-AU"/>
        </w:rPr>
        <w:t xml:space="preserve">Queensland Treasury’s Minimum Reporting Requirements for reporting periods beginning on or </w:t>
      </w:r>
      <w:r w:rsidRPr="00681C18">
        <w:rPr>
          <w:rFonts w:asciiTheme="minorHAnsi" w:eastAsia="Times New Roman" w:hAnsiTheme="minorHAnsi" w:cstheme="minorHAnsi"/>
          <w:color w:val="000000"/>
          <w:szCs w:val="20"/>
          <w:lang w:eastAsia="en-AU"/>
        </w:rPr>
        <w:t>after 1</w:t>
      </w:r>
      <w:r w:rsidR="00622AB6">
        <w:rPr>
          <w:rFonts w:asciiTheme="minorHAnsi" w:eastAsia="Times New Roman" w:hAnsiTheme="minorHAnsi" w:cstheme="minorHAnsi"/>
          <w:color w:val="000000"/>
          <w:szCs w:val="20"/>
          <w:lang w:eastAsia="en-AU"/>
        </w:rPr>
        <w:t> </w:t>
      </w:r>
      <w:r w:rsidRPr="00681C18">
        <w:rPr>
          <w:rFonts w:asciiTheme="minorHAnsi" w:eastAsia="Times New Roman" w:hAnsiTheme="minorHAnsi" w:cstheme="minorHAnsi"/>
          <w:color w:val="000000"/>
          <w:szCs w:val="20"/>
          <w:lang w:eastAsia="en-AU"/>
        </w:rPr>
        <w:t>July 2023</w:t>
      </w:r>
      <w:r w:rsidR="00107923">
        <w:rPr>
          <w:rFonts w:asciiTheme="minorHAnsi" w:eastAsia="Times New Roman" w:hAnsiTheme="minorHAnsi" w:cstheme="minorHAnsi"/>
          <w:color w:val="000000"/>
          <w:szCs w:val="20"/>
          <w:lang w:eastAsia="en-AU"/>
        </w:rPr>
        <w:t>.</w:t>
      </w:r>
    </w:p>
    <w:p w14:paraId="00A08461" w14:textId="77777777" w:rsidR="00AB33EC" w:rsidRPr="00BA482A" w:rsidRDefault="00AB33EC" w:rsidP="0037124B">
      <w:pPr>
        <w:ind w:left="454"/>
        <w:rPr>
          <w:rFonts w:asciiTheme="minorHAnsi" w:eastAsia="Times New Roman" w:hAnsiTheme="minorHAnsi" w:cstheme="minorHAnsi"/>
          <w:color w:val="000000"/>
          <w:szCs w:val="20"/>
          <w:lang w:eastAsia="en-AU"/>
        </w:rPr>
      </w:pPr>
      <w:r w:rsidRPr="00BA482A">
        <w:rPr>
          <w:rFonts w:asciiTheme="minorHAnsi" w:eastAsia="Times New Roman" w:hAnsiTheme="minorHAnsi" w:cstheme="minorHAnsi"/>
          <w:color w:val="000000"/>
          <w:szCs w:val="20"/>
          <w:lang w:eastAsia="en-AU"/>
        </w:rPr>
        <w:t>Except where stated, the historical cost convention is used. This means that assets are recorded at their initial cost and liabilities are valued at the amount initially received in exchange for obligation.</w:t>
      </w:r>
    </w:p>
    <w:p w14:paraId="2903330A" w14:textId="77777777" w:rsidR="00AB33EC" w:rsidRPr="00BA482A" w:rsidRDefault="00AB33EC" w:rsidP="0037124B">
      <w:pPr>
        <w:ind w:left="454"/>
        <w:rPr>
          <w:rFonts w:asciiTheme="minorHAnsi" w:eastAsia="Times New Roman" w:hAnsiTheme="minorHAnsi" w:cstheme="minorHAnsi"/>
          <w:color w:val="000000"/>
          <w:szCs w:val="20"/>
          <w:lang w:eastAsia="en-AU"/>
        </w:rPr>
      </w:pPr>
      <w:r w:rsidRPr="00BA482A">
        <w:rPr>
          <w:rFonts w:asciiTheme="minorHAnsi" w:eastAsia="Times New Roman" w:hAnsiTheme="minorHAnsi" w:cstheme="minorHAnsi"/>
          <w:color w:val="000000"/>
          <w:szCs w:val="20"/>
          <w:lang w:eastAsia="en-AU"/>
        </w:rPr>
        <w:t xml:space="preserve">There are no new accounting policies applied or changes in accounting policy in </w:t>
      </w:r>
      <w:r w:rsidRPr="00681C18">
        <w:rPr>
          <w:rFonts w:asciiTheme="minorHAnsi" w:eastAsia="Times New Roman" w:hAnsiTheme="minorHAnsi" w:cstheme="minorHAnsi"/>
          <w:color w:val="000000"/>
          <w:szCs w:val="20"/>
          <w:lang w:eastAsia="en-AU"/>
        </w:rPr>
        <w:t>202</w:t>
      </w:r>
      <w:r>
        <w:rPr>
          <w:rFonts w:asciiTheme="minorHAnsi" w:eastAsia="Times New Roman" w:hAnsiTheme="minorHAnsi" w:cstheme="minorHAnsi"/>
          <w:color w:val="000000"/>
          <w:szCs w:val="20"/>
          <w:lang w:eastAsia="en-AU"/>
        </w:rPr>
        <w:t>3</w:t>
      </w:r>
      <w:r w:rsidRPr="00681C18">
        <w:rPr>
          <w:rFonts w:asciiTheme="minorHAnsi" w:eastAsia="Times New Roman" w:hAnsiTheme="minorHAnsi" w:cstheme="minorHAnsi"/>
          <w:color w:val="000000"/>
          <w:szCs w:val="20"/>
          <w:lang w:eastAsia="en-AU"/>
        </w:rPr>
        <w:t>-2</w:t>
      </w:r>
      <w:r>
        <w:rPr>
          <w:rFonts w:asciiTheme="minorHAnsi" w:eastAsia="Times New Roman" w:hAnsiTheme="minorHAnsi" w:cstheme="minorHAnsi"/>
          <w:color w:val="000000"/>
          <w:szCs w:val="20"/>
          <w:lang w:eastAsia="en-AU"/>
        </w:rPr>
        <w:t>4</w:t>
      </w:r>
      <w:r w:rsidRPr="00BA482A">
        <w:rPr>
          <w:rFonts w:asciiTheme="minorHAnsi" w:eastAsia="Times New Roman" w:hAnsiTheme="minorHAnsi" w:cstheme="minorHAnsi"/>
          <w:color w:val="000000"/>
          <w:szCs w:val="20"/>
          <w:lang w:eastAsia="en-AU"/>
        </w:rPr>
        <w:t xml:space="preserve">.  </w:t>
      </w:r>
    </w:p>
    <w:p w14:paraId="2A5CC5AC" w14:textId="77777777" w:rsidR="00AB33EC" w:rsidRPr="00BA482A" w:rsidRDefault="00AB33EC" w:rsidP="0037124B">
      <w:pPr>
        <w:ind w:left="454" w:hanging="454"/>
        <w:rPr>
          <w:rFonts w:asciiTheme="minorHAnsi" w:eastAsia="Times New Roman" w:hAnsiTheme="minorHAnsi" w:cstheme="minorHAnsi"/>
          <w:b/>
          <w:bCs/>
          <w:color w:val="000000"/>
          <w:lang w:eastAsia="en-AU"/>
        </w:rPr>
      </w:pPr>
      <w:r w:rsidRPr="00BA482A">
        <w:rPr>
          <w:rFonts w:asciiTheme="minorHAnsi" w:eastAsia="Times New Roman" w:hAnsiTheme="minorHAnsi" w:cstheme="minorHAnsi"/>
          <w:b/>
          <w:bCs/>
          <w:color w:val="000000"/>
          <w:lang w:eastAsia="en-AU"/>
        </w:rPr>
        <w:t>(b)</w:t>
      </w:r>
      <w:r w:rsidRPr="00BA482A">
        <w:rPr>
          <w:rFonts w:asciiTheme="minorHAnsi" w:eastAsia="Times New Roman" w:hAnsiTheme="minorHAnsi" w:cstheme="minorHAnsi"/>
          <w:b/>
          <w:bCs/>
          <w:color w:val="000000"/>
          <w:lang w:eastAsia="en-AU"/>
        </w:rPr>
        <w:tab/>
        <w:t>The Reporting Entity</w:t>
      </w:r>
    </w:p>
    <w:p w14:paraId="441819A5" w14:textId="77777777" w:rsidR="00AB33EC" w:rsidRPr="00BA482A" w:rsidRDefault="00AB33EC" w:rsidP="0037124B">
      <w:pPr>
        <w:spacing w:before="40"/>
        <w:ind w:left="454"/>
        <w:rPr>
          <w:rFonts w:asciiTheme="minorHAnsi" w:eastAsia="Times New Roman" w:hAnsiTheme="minorHAnsi" w:cstheme="minorHAnsi"/>
          <w:color w:val="000000"/>
          <w:szCs w:val="20"/>
          <w:lang w:eastAsia="en-AU"/>
        </w:rPr>
      </w:pPr>
      <w:r w:rsidRPr="00BA482A">
        <w:rPr>
          <w:rFonts w:asciiTheme="minorHAnsi" w:eastAsia="Times New Roman" w:hAnsiTheme="minorHAnsi" w:cstheme="minorHAnsi"/>
          <w:color w:val="000000"/>
          <w:szCs w:val="20"/>
          <w:lang w:eastAsia="en-AU"/>
        </w:rPr>
        <w:t>The financial statements include the value of all assets, liabilities, equity, revenues and expenses of the CCC. The CCC does not control any other entities.</w:t>
      </w:r>
    </w:p>
    <w:p w14:paraId="763FD897" w14:textId="77777777" w:rsidR="00AB33EC" w:rsidRPr="00BA482A" w:rsidRDefault="00AB33EC" w:rsidP="0037124B">
      <w:pPr>
        <w:ind w:left="454" w:hanging="454"/>
        <w:rPr>
          <w:rFonts w:asciiTheme="minorHAnsi" w:eastAsia="Times New Roman" w:hAnsiTheme="minorHAnsi" w:cstheme="minorHAnsi"/>
          <w:b/>
          <w:bCs/>
          <w:color w:val="000000"/>
          <w:lang w:eastAsia="en-AU"/>
        </w:rPr>
      </w:pPr>
      <w:r w:rsidRPr="00BA482A">
        <w:rPr>
          <w:rFonts w:asciiTheme="minorHAnsi" w:eastAsia="Times New Roman" w:hAnsiTheme="minorHAnsi" w:cstheme="minorHAnsi"/>
          <w:b/>
          <w:bCs/>
          <w:color w:val="000000"/>
          <w:lang w:eastAsia="en-AU"/>
        </w:rPr>
        <w:t>(c)</w:t>
      </w:r>
      <w:r w:rsidRPr="00BA482A">
        <w:rPr>
          <w:rFonts w:asciiTheme="minorHAnsi" w:eastAsia="Times New Roman" w:hAnsiTheme="minorHAnsi" w:cstheme="minorHAnsi"/>
          <w:b/>
          <w:bCs/>
          <w:color w:val="000000"/>
          <w:lang w:eastAsia="en-AU"/>
        </w:rPr>
        <w:tab/>
        <w:t>Other Presentation Matters</w:t>
      </w:r>
    </w:p>
    <w:p w14:paraId="0A650A3A" w14:textId="77777777" w:rsidR="00AB33EC" w:rsidRPr="00BA482A" w:rsidRDefault="00AB33EC" w:rsidP="0037124B">
      <w:pPr>
        <w:spacing w:before="40"/>
        <w:ind w:left="454"/>
        <w:rPr>
          <w:rFonts w:asciiTheme="minorHAnsi" w:eastAsia="Times New Roman" w:hAnsiTheme="minorHAnsi" w:cstheme="minorHAnsi"/>
          <w:b/>
          <w:color w:val="000000"/>
          <w:szCs w:val="20"/>
          <w:lang w:eastAsia="en-AU"/>
        </w:rPr>
      </w:pPr>
      <w:r w:rsidRPr="00BA482A">
        <w:rPr>
          <w:rFonts w:asciiTheme="minorHAnsi" w:eastAsia="Times New Roman" w:hAnsiTheme="minorHAnsi" w:cstheme="minorHAnsi"/>
          <w:b/>
          <w:i/>
          <w:color w:val="000000"/>
          <w:szCs w:val="20"/>
          <w:lang w:eastAsia="en-AU"/>
        </w:rPr>
        <w:t>Currency and rounding</w:t>
      </w:r>
    </w:p>
    <w:p w14:paraId="6145FFCD" w14:textId="77777777" w:rsidR="00AB33EC" w:rsidRPr="00BA482A" w:rsidRDefault="00AB33EC" w:rsidP="0037124B">
      <w:pPr>
        <w:spacing w:before="40"/>
        <w:ind w:left="454"/>
        <w:rPr>
          <w:rFonts w:asciiTheme="minorHAnsi" w:eastAsia="Times New Roman" w:hAnsiTheme="minorHAnsi" w:cstheme="minorHAnsi"/>
          <w:color w:val="000000"/>
          <w:szCs w:val="20"/>
          <w:lang w:eastAsia="en-AU"/>
        </w:rPr>
      </w:pPr>
      <w:r w:rsidRPr="00BA482A">
        <w:rPr>
          <w:rFonts w:asciiTheme="minorHAnsi" w:eastAsia="Times New Roman" w:hAnsiTheme="minorHAnsi" w:cstheme="minorHAnsi"/>
          <w:color w:val="000000"/>
          <w:szCs w:val="20"/>
          <w:lang w:eastAsia="en-AU"/>
        </w:rPr>
        <w:t>Amounts included in the financial statements are in Australian dollars and have been rounded to the nearest $1,000 or, where that amount is $500 or less, to zero, unless disclosure of the full amount is specifically required.</w:t>
      </w:r>
    </w:p>
    <w:p w14:paraId="5573462B" w14:textId="77777777" w:rsidR="00AB33EC" w:rsidRPr="00BA482A" w:rsidRDefault="00AB33EC" w:rsidP="0037124B">
      <w:pPr>
        <w:ind w:left="454"/>
        <w:rPr>
          <w:rFonts w:asciiTheme="minorHAnsi" w:eastAsia="Times New Roman" w:hAnsiTheme="minorHAnsi" w:cstheme="minorHAnsi"/>
          <w:b/>
          <w:color w:val="000000"/>
          <w:szCs w:val="20"/>
          <w:lang w:eastAsia="en-AU"/>
        </w:rPr>
      </w:pPr>
      <w:r w:rsidRPr="00BA482A">
        <w:rPr>
          <w:rFonts w:asciiTheme="minorHAnsi" w:eastAsia="Times New Roman" w:hAnsiTheme="minorHAnsi" w:cstheme="minorHAnsi"/>
          <w:b/>
          <w:i/>
          <w:color w:val="000000"/>
          <w:szCs w:val="20"/>
          <w:lang w:eastAsia="en-AU"/>
        </w:rPr>
        <w:t>Comparatives</w:t>
      </w:r>
    </w:p>
    <w:p w14:paraId="4257D2A3" w14:textId="77777777" w:rsidR="00AB33EC" w:rsidRPr="00BA482A" w:rsidRDefault="00AB33EC" w:rsidP="0037124B">
      <w:pPr>
        <w:ind w:left="454"/>
        <w:rPr>
          <w:rFonts w:asciiTheme="minorHAnsi" w:eastAsia="Times New Roman" w:hAnsiTheme="minorHAnsi" w:cstheme="minorHAnsi"/>
          <w:color w:val="000000"/>
          <w:szCs w:val="20"/>
          <w:lang w:eastAsia="en-AU"/>
        </w:rPr>
      </w:pPr>
      <w:r w:rsidRPr="00BA482A">
        <w:rPr>
          <w:rFonts w:asciiTheme="minorHAnsi" w:eastAsia="Times New Roman" w:hAnsiTheme="minorHAnsi" w:cstheme="minorHAnsi"/>
          <w:color w:val="000000"/>
          <w:szCs w:val="20"/>
          <w:lang w:eastAsia="en-AU"/>
        </w:rPr>
        <w:t>Comparative information has not been restated.</w:t>
      </w:r>
    </w:p>
    <w:p w14:paraId="3E388A16" w14:textId="77777777" w:rsidR="00AB33EC" w:rsidRPr="00BA482A" w:rsidRDefault="00AB33EC" w:rsidP="0037124B">
      <w:pPr>
        <w:autoSpaceDE w:val="0"/>
        <w:autoSpaceDN w:val="0"/>
        <w:adjustRightInd w:val="0"/>
        <w:ind w:left="426"/>
        <w:rPr>
          <w:rFonts w:asciiTheme="minorHAnsi" w:eastAsia="Calibri" w:hAnsiTheme="minorHAnsi" w:cstheme="minorHAnsi"/>
          <w:b/>
          <w:color w:val="000000"/>
          <w:szCs w:val="20"/>
        </w:rPr>
      </w:pPr>
      <w:r w:rsidRPr="00BA482A">
        <w:rPr>
          <w:rFonts w:asciiTheme="minorHAnsi" w:eastAsia="Calibri" w:hAnsiTheme="minorHAnsi" w:cstheme="minorHAnsi"/>
          <w:b/>
          <w:i/>
          <w:color w:val="000000"/>
          <w:szCs w:val="20"/>
        </w:rPr>
        <w:t>Current/Non-Current Classification</w:t>
      </w:r>
    </w:p>
    <w:p w14:paraId="1A1643CA" w14:textId="77777777" w:rsidR="00AB33EC" w:rsidRPr="00BA482A" w:rsidRDefault="00AB33EC" w:rsidP="0037124B">
      <w:pPr>
        <w:autoSpaceDE w:val="0"/>
        <w:autoSpaceDN w:val="0"/>
        <w:adjustRightInd w:val="0"/>
        <w:ind w:left="426"/>
        <w:rPr>
          <w:rFonts w:asciiTheme="minorHAnsi" w:eastAsia="Calibri" w:hAnsiTheme="minorHAnsi" w:cstheme="minorHAnsi"/>
          <w:color w:val="000000"/>
          <w:szCs w:val="20"/>
          <w:lang w:eastAsia="en-AU"/>
        </w:rPr>
      </w:pPr>
      <w:r w:rsidRPr="00BA482A">
        <w:rPr>
          <w:rFonts w:asciiTheme="minorHAnsi" w:eastAsia="Calibri" w:hAnsiTheme="minorHAnsi" w:cstheme="minorHAnsi"/>
          <w:color w:val="000000"/>
          <w:szCs w:val="20"/>
          <w:lang w:eastAsia="en-AU"/>
        </w:rPr>
        <w:t xml:space="preserve">Assets and liabilities are classified as either “current” or “non-current” in the Statement of Financial Position and associated notes. </w:t>
      </w:r>
    </w:p>
    <w:p w14:paraId="63334F08" w14:textId="77777777" w:rsidR="00AB33EC" w:rsidRPr="00BA482A" w:rsidRDefault="00AB33EC" w:rsidP="0037124B">
      <w:pPr>
        <w:autoSpaceDE w:val="0"/>
        <w:autoSpaceDN w:val="0"/>
        <w:adjustRightInd w:val="0"/>
        <w:ind w:left="426"/>
        <w:rPr>
          <w:rFonts w:asciiTheme="minorHAnsi" w:eastAsia="Calibri" w:hAnsiTheme="minorHAnsi" w:cstheme="minorHAnsi"/>
          <w:color w:val="000000"/>
          <w:szCs w:val="20"/>
          <w:lang w:eastAsia="en-AU"/>
        </w:rPr>
      </w:pPr>
      <w:r w:rsidRPr="00BA482A">
        <w:rPr>
          <w:rFonts w:asciiTheme="minorHAnsi" w:eastAsia="Calibri" w:hAnsiTheme="minorHAnsi" w:cstheme="minorHAnsi"/>
          <w:color w:val="000000"/>
          <w:szCs w:val="20"/>
          <w:lang w:eastAsia="en-AU"/>
        </w:rPr>
        <w:t>Assets are classified as “current” where their carrying amount is expected to be realised within 12 months after the reporting date.  Liabilities are classified as “current” when they are due to be settled within 12 months after the reporting date, or the CCC does not have an unconditional right to defer settlement to beyond 12 months after the reporting date.</w:t>
      </w:r>
    </w:p>
    <w:p w14:paraId="426BDE04" w14:textId="77777777" w:rsidR="00AB33EC" w:rsidRPr="00BA482A" w:rsidRDefault="00AB33EC" w:rsidP="0037124B">
      <w:pPr>
        <w:autoSpaceDE w:val="0"/>
        <w:autoSpaceDN w:val="0"/>
        <w:adjustRightInd w:val="0"/>
        <w:ind w:left="426"/>
        <w:rPr>
          <w:rFonts w:asciiTheme="minorHAnsi" w:eastAsia="Calibri" w:hAnsiTheme="minorHAnsi" w:cstheme="minorHAnsi"/>
          <w:color w:val="000000"/>
          <w:szCs w:val="20"/>
          <w:lang w:eastAsia="en-AU"/>
        </w:rPr>
      </w:pPr>
      <w:r w:rsidRPr="00BA482A">
        <w:rPr>
          <w:rFonts w:asciiTheme="minorHAnsi" w:eastAsia="Calibri" w:hAnsiTheme="minorHAnsi" w:cstheme="minorHAnsi"/>
          <w:color w:val="000000"/>
          <w:szCs w:val="20"/>
          <w:lang w:eastAsia="en-AU"/>
        </w:rPr>
        <w:t>All other assets and liabilities are classified as non-current.</w:t>
      </w:r>
    </w:p>
    <w:p w14:paraId="5A9E38AA" w14:textId="77777777" w:rsidR="00AB33EC" w:rsidRPr="00BA482A" w:rsidRDefault="00AB33EC" w:rsidP="0037124B">
      <w:pPr>
        <w:ind w:left="454" w:hanging="454"/>
        <w:rPr>
          <w:rFonts w:asciiTheme="minorHAnsi" w:eastAsia="Times New Roman" w:hAnsiTheme="minorHAnsi" w:cstheme="minorHAnsi"/>
          <w:b/>
          <w:bCs/>
          <w:color w:val="000000"/>
          <w:lang w:eastAsia="en-AU"/>
        </w:rPr>
      </w:pPr>
      <w:r w:rsidRPr="00BA482A">
        <w:rPr>
          <w:rFonts w:asciiTheme="minorHAnsi" w:eastAsia="Times New Roman" w:hAnsiTheme="minorHAnsi" w:cstheme="minorHAnsi"/>
          <w:b/>
          <w:bCs/>
          <w:color w:val="000000"/>
          <w:lang w:eastAsia="en-AU"/>
        </w:rPr>
        <w:t>(d)</w:t>
      </w:r>
      <w:r w:rsidRPr="00BA482A">
        <w:rPr>
          <w:rFonts w:asciiTheme="minorHAnsi" w:eastAsia="Times New Roman" w:hAnsiTheme="minorHAnsi" w:cstheme="minorHAnsi"/>
          <w:b/>
          <w:bCs/>
          <w:color w:val="000000"/>
          <w:lang w:eastAsia="en-AU"/>
        </w:rPr>
        <w:tab/>
        <w:t>Authorisation of Financial Statements for Issue</w:t>
      </w:r>
    </w:p>
    <w:p w14:paraId="02F0C441" w14:textId="77777777" w:rsidR="00AB33EC" w:rsidRPr="00BA482A" w:rsidRDefault="00AB33EC" w:rsidP="0037124B">
      <w:pPr>
        <w:spacing w:before="60"/>
        <w:ind w:left="426"/>
        <w:rPr>
          <w:rFonts w:asciiTheme="minorHAnsi" w:eastAsia="Times New Roman" w:hAnsiTheme="minorHAnsi" w:cstheme="minorHAnsi"/>
          <w:color w:val="000000"/>
          <w:szCs w:val="20"/>
          <w:lang w:eastAsia="en-AU"/>
        </w:rPr>
      </w:pPr>
      <w:r w:rsidRPr="00BA482A">
        <w:rPr>
          <w:rFonts w:asciiTheme="minorHAnsi" w:eastAsia="Times New Roman" w:hAnsiTheme="minorHAnsi" w:cstheme="minorHAnsi"/>
          <w:color w:val="000000"/>
          <w:szCs w:val="20"/>
          <w:lang w:eastAsia="en-AU"/>
        </w:rPr>
        <w:t>The financial statements are authorised for issue by the Chief Finance Officer, Chief Executive Officer and Chairperson at the date of signing the Management Certificate.</w:t>
      </w:r>
    </w:p>
    <w:p w14:paraId="10205309" w14:textId="77777777" w:rsidR="00AB33EC" w:rsidRPr="003E75E2" w:rsidRDefault="00AB33EC" w:rsidP="0037124B">
      <w:pPr>
        <w:pStyle w:val="Normal115pttext"/>
        <w:spacing w:line="240" w:lineRule="auto"/>
        <w:rPr>
          <w:rFonts w:cstheme="minorHAnsi"/>
          <w:szCs w:val="23"/>
        </w:rPr>
      </w:pPr>
      <w:r w:rsidRPr="003E75E2">
        <w:rPr>
          <w:rFonts w:cstheme="minorHAnsi"/>
          <w:szCs w:val="23"/>
        </w:rPr>
        <w:t>Note 1: Summary of Significant Accounting Policies (cont’d)</w:t>
      </w:r>
    </w:p>
    <w:p w14:paraId="431E474D" w14:textId="77777777" w:rsidR="00AB33EC" w:rsidRPr="003E75E2" w:rsidRDefault="00AB33EC" w:rsidP="0037124B">
      <w:pPr>
        <w:pStyle w:val="Normalhanginglist105pt"/>
        <w:spacing w:line="240" w:lineRule="auto"/>
        <w:rPr>
          <w:rFonts w:cstheme="minorHAnsi"/>
          <w:sz w:val="22"/>
          <w:szCs w:val="22"/>
        </w:rPr>
      </w:pPr>
      <w:r w:rsidRPr="003E75E2">
        <w:rPr>
          <w:rFonts w:cstheme="minorHAnsi"/>
          <w:sz w:val="22"/>
          <w:szCs w:val="22"/>
        </w:rPr>
        <w:t xml:space="preserve"> (e)</w:t>
      </w:r>
      <w:r w:rsidRPr="003E75E2">
        <w:rPr>
          <w:rFonts w:cstheme="minorHAnsi"/>
          <w:sz w:val="22"/>
          <w:szCs w:val="22"/>
        </w:rPr>
        <w:tab/>
        <w:t>Taxation</w:t>
      </w:r>
    </w:p>
    <w:p w14:paraId="7BA2364D" w14:textId="77777777" w:rsidR="00AB33EC" w:rsidRPr="003E75E2" w:rsidRDefault="00AB33EC" w:rsidP="0037124B">
      <w:pPr>
        <w:pStyle w:val="Normalindent1stpara"/>
        <w:spacing w:line="240" w:lineRule="auto"/>
        <w:rPr>
          <w:rFonts w:cstheme="minorHAnsi"/>
          <w:szCs w:val="20"/>
          <w:lang w:eastAsia="en-AU"/>
        </w:rPr>
      </w:pPr>
      <w:r w:rsidRPr="003E75E2">
        <w:rPr>
          <w:rFonts w:cstheme="minorHAnsi"/>
          <w:szCs w:val="20"/>
          <w:lang w:eastAsia="en-AU"/>
        </w:rPr>
        <w:t xml:space="preserve">The CCC is a State body as defined under the </w:t>
      </w:r>
      <w:r w:rsidRPr="003E75E2">
        <w:rPr>
          <w:rFonts w:cstheme="minorHAnsi"/>
          <w:i/>
          <w:szCs w:val="20"/>
          <w:lang w:eastAsia="en-AU"/>
        </w:rPr>
        <w:t>Income Tax Assessment Act 1936</w:t>
      </w:r>
      <w:r w:rsidRPr="003E75E2">
        <w:rPr>
          <w:rFonts w:cstheme="minorHAnsi"/>
          <w:szCs w:val="20"/>
          <w:lang w:eastAsia="en-AU"/>
        </w:rPr>
        <w:t xml:space="preserve"> and is exempt from Commonwealth taxation with the exception of Fringe Benefits Tax (FBT) and Goods and Services Tax (GST). </w:t>
      </w:r>
    </w:p>
    <w:p w14:paraId="356C3B67" w14:textId="77777777" w:rsidR="00AB33EC" w:rsidRPr="003E75E2" w:rsidRDefault="00AB33EC" w:rsidP="0037124B">
      <w:pPr>
        <w:pStyle w:val="Normalhanginglist105pt"/>
        <w:rPr>
          <w:rFonts w:cstheme="minorHAnsi"/>
          <w:sz w:val="22"/>
          <w:szCs w:val="22"/>
        </w:rPr>
      </w:pPr>
      <w:r w:rsidRPr="003E75E2">
        <w:rPr>
          <w:rFonts w:cstheme="minorHAnsi"/>
          <w:sz w:val="22"/>
          <w:szCs w:val="22"/>
        </w:rPr>
        <w:t>(f)</w:t>
      </w:r>
      <w:r w:rsidRPr="003E75E2">
        <w:rPr>
          <w:rFonts w:cstheme="minorHAnsi"/>
          <w:sz w:val="22"/>
          <w:szCs w:val="22"/>
        </w:rPr>
        <w:tab/>
        <w:t>Receivables</w:t>
      </w:r>
    </w:p>
    <w:p w14:paraId="142FB9AF" w14:textId="77777777" w:rsidR="00AB33EC" w:rsidRPr="003E75E2" w:rsidRDefault="00AB33EC" w:rsidP="0037124B">
      <w:pPr>
        <w:pStyle w:val="Normalindent1stpara"/>
        <w:ind w:left="426"/>
        <w:rPr>
          <w:rFonts w:cstheme="minorHAnsi"/>
          <w:szCs w:val="20"/>
          <w:lang w:eastAsia="en-AU"/>
        </w:rPr>
      </w:pPr>
      <w:r w:rsidRPr="003E75E2">
        <w:rPr>
          <w:rFonts w:cstheme="minorHAnsi"/>
          <w:lang w:eastAsia="en-AU"/>
        </w:rPr>
        <w:t>Receivables are measured at amortised cost which approximates their fair value and represent amounts owed to the CCC at the end of the reporting period.</w:t>
      </w:r>
      <w:r w:rsidRPr="003E75E2">
        <w:rPr>
          <w:rFonts w:cstheme="minorHAnsi"/>
          <w:szCs w:val="20"/>
        </w:rPr>
        <w:t xml:space="preserve"> Any receivable impairment allowance reflects expected credit losses and incorporates reasonable and supportable forward-looking information, including forecast recoverability.</w:t>
      </w:r>
      <w:r w:rsidRPr="003E75E2">
        <w:rPr>
          <w:rFonts w:cstheme="minorHAnsi"/>
        </w:rPr>
        <w:t xml:space="preserve"> </w:t>
      </w:r>
      <w:r w:rsidRPr="003E75E2">
        <w:rPr>
          <w:rFonts w:cstheme="minorHAnsi"/>
          <w:szCs w:val="20"/>
        </w:rPr>
        <w:t>Where there is no reasonable expectation of recovering an amount owed the debt is written-off by directly reducing the receivable against the loss allowance.</w:t>
      </w:r>
    </w:p>
    <w:p w14:paraId="5CCCCE9E" w14:textId="77777777" w:rsidR="00AB33EC" w:rsidRPr="003E75E2" w:rsidRDefault="00AB33EC" w:rsidP="00A02139">
      <w:pPr>
        <w:pStyle w:val="NormalIndent1"/>
        <w:spacing w:line="240" w:lineRule="auto"/>
        <w:rPr>
          <w:rFonts w:cstheme="minorHAnsi"/>
          <w:szCs w:val="20"/>
        </w:rPr>
      </w:pPr>
      <w:r w:rsidRPr="003E75E2">
        <w:rPr>
          <w:rFonts w:cstheme="minorHAnsi"/>
          <w:szCs w:val="20"/>
        </w:rPr>
        <w:t xml:space="preserve">Sundry debtors are recognised at the amounts due at the time of service delivery, that is, the agreed sale/contract price.  Settlement of these amounts is required within 30 days from invoice date. </w:t>
      </w:r>
    </w:p>
    <w:p w14:paraId="259C4698" w14:textId="77777777" w:rsidR="00AB33EC" w:rsidRPr="003E75E2" w:rsidRDefault="00AB33EC" w:rsidP="0037124B">
      <w:pPr>
        <w:pStyle w:val="Normalhanginglist105pt"/>
        <w:spacing w:line="240" w:lineRule="auto"/>
        <w:rPr>
          <w:rFonts w:cstheme="minorHAnsi"/>
          <w:sz w:val="22"/>
          <w:szCs w:val="22"/>
        </w:rPr>
      </w:pPr>
      <w:r w:rsidRPr="003E75E2">
        <w:rPr>
          <w:rFonts w:cstheme="minorHAnsi"/>
          <w:sz w:val="22"/>
          <w:szCs w:val="22"/>
        </w:rPr>
        <w:t>(g)</w:t>
      </w:r>
      <w:r w:rsidRPr="003E75E2">
        <w:rPr>
          <w:rFonts w:cstheme="minorHAnsi"/>
          <w:sz w:val="22"/>
          <w:szCs w:val="22"/>
        </w:rPr>
        <w:tab/>
        <w:t>Accounting Estimates and Judgements</w:t>
      </w:r>
    </w:p>
    <w:p w14:paraId="774CF953" w14:textId="77777777" w:rsidR="00AB33EC" w:rsidRPr="003E75E2" w:rsidRDefault="00AB33EC" w:rsidP="0037124B">
      <w:pPr>
        <w:pStyle w:val="Normalindent1stpara"/>
        <w:spacing w:line="240" w:lineRule="auto"/>
        <w:rPr>
          <w:rFonts w:cstheme="minorHAnsi"/>
          <w:szCs w:val="20"/>
          <w:lang w:eastAsia="en-AU"/>
        </w:rPr>
      </w:pPr>
      <w:r w:rsidRPr="003E75E2">
        <w:rPr>
          <w:rFonts w:cstheme="minorHAnsi"/>
          <w:szCs w:val="20"/>
          <w:lang w:eastAsia="en-AU"/>
        </w:rPr>
        <w:t>The preparation of financial statements necessarily requires the determination and use of certain critical accounting estimates, assumptions and management judgements that have the potential to cause a material adjustment to the carrying amount of assets and liabilities and associated depreciation and amortisation expenses within the next period. Such estimates, judgements and underlying assumptions are reviewed on an ongoing basis. Revisions to accounting estimates are recognised in the period in which the estimate is revised and in future periods as relevant.</w:t>
      </w:r>
    </w:p>
    <w:p w14:paraId="5F05E9A0" w14:textId="77777777" w:rsidR="00AB33EC" w:rsidRPr="003E75E2" w:rsidRDefault="00AB33EC" w:rsidP="0037124B">
      <w:pPr>
        <w:pStyle w:val="NormalIndent1"/>
        <w:spacing w:line="240" w:lineRule="auto"/>
        <w:rPr>
          <w:rFonts w:cstheme="minorHAnsi"/>
          <w:szCs w:val="20"/>
        </w:rPr>
      </w:pPr>
      <w:r w:rsidRPr="003E75E2">
        <w:rPr>
          <w:rFonts w:cstheme="minorHAnsi"/>
          <w:szCs w:val="20"/>
        </w:rPr>
        <w:t xml:space="preserve">Estimates and assumptions that have a potential significant effect are outlined in the following financial </w:t>
      </w:r>
      <w:r w:rsidRPr="003E75E2">
        <w:rPr>
          <w:rFonts w:cstheme="minorHAnsi"/>
          <w:szCs w:val="20"/>
        </w:rPr>
        <w:br/>
        <w:t>statement notes:</w:t>
      </w:r>
    </w:p>
    <w:p w14:paraId="00E07E5D" w14:textId="47F6254C" w:rsidR="00AB33EC" w:rsidRPr="003E75E2" w:rsidRDefault="00AB33EC" w:rsidP="0037124B">
      <w:pPr>
        <w:pStyle w:val="NormalindentbulletsL1"/>
        <w:spacing w:line="240" w:lineRule="auto"/>
        <w:ind w:left="1040"/>
        <w:rPr>
          <w:rFonts w:cstheme="minorHAnsi"/>
          <w:szCs w:val="20"/>
        </w:rPr>
      </w:pPr>
      <w:r w:rsidRPr="003E75E2">
        <w:rPr>
          <w:rFonts w:cstheme="minorHAnsi"/>
          <w:szCs w:val="20"/>
        </w:rPr>
        <w:t>Intangible Assets (Note 8)</w:t>
      </w:r>
      <w:r w:rsidR="00A25381">
        <w:rPr>
          <w:rFonts w:cstheme="minorHAnsi"/>
          <w:szCs w:val="20"/>
        </w:rPr>
        <w:t>.</w:t>
      </w:r>
    </w:p>
    <w:p w14:paraId="3F5C6417" w14:textId="4901A3A9" w:rsidR="00AB33EC" w:rsidRPr="003E75E2" w:rsidRDefault="00AB33EC" w:rsidP="0037124B">
      <w:pPr>
        <w:pStyle w:val="NormalindentbulletsL1"/>
        <w:ind w:left="1040"/>
        <w:rPr>
          <w:rFonts w:cstheme="minorHAnsi"/>
        </w:rPr>
      </w:pPr>
      <w:r w:rsidRPr="003E75E2">
        <w:rPr>
          <w:rFonts w:cstheme="minorHAnsi"/>
        </w:rPr>
        <w:t>Valuation, depreciation and impairment of Property, Plant and Equipment (Note 9)</w:t>
      </w:r>
      <w:r w:rsidR="00A25381">
        <w:rPr>
          <w:rFonts w:cstheme="minorHAnsi"/>
        </w:rPr>
        <w:t>.</w:t>
      </w:r>
    </w:p>
    <w:p w14:paraId="5678A9EF" w14:textId="5EF05612" w:rsidR="00AB33EC" w:rsidRPr="003E75E2" w:rsidRDefault="00AB33EC" w:rsidP="0037124B">
      <w:pPr>
        <w:pStyle w:val="NormalindentbulletsL1"/>
        <w:spacing w:line="240" w:lineRule="auto"/>
        <w:ind w:left="1040"/>
        <w:rPr>
          <w:rFonts w:cstheme="minorHAnsi"/>
          <w:szCs w:val="20"/>
        </w:rPr>
      </w:pPr>
      <w:r w:rsidRPr="003E75E2">
        <w:rPr>
          <w:rFonts w:cstheme="minorHAnsi"/>
          <w:szCs w:val="20"/>
        </w:rPr>
        <w:t>Right-of-use Assets and Lease Liabilities (Note 10)</w:t>
      </w:r>
      <w:r w:rsidR="00A25381">
        <w:rPr>
          <w:rFonts w:cstheme="minorHAnsi"/>
          <w:szCs w:val="20"/>
        </w:rPr>
        <w:t>.</w:t>
      </w:r>
    </w:p>
    <w:p w14:paraId="6E1C2A7C" w14:textId="4522DBE9" w:rsidR="00AB33EC" w:rsidRPr="003E75E2" w:rsidRDefault="00AB33EC" w:rsidP="0037124B">
      <w:pPr>
        <w:pStyle w:val="NormalindentbulletsL1"/>
        <w:ind w:left="1040"/>
        <w:rPr>
          <w:rFonts w:cstheme="minorHAnsi"/>
        </w:rPr>
      </w:pPr>
      <w:r w:rsidRPr="003E75E2">
        <w:rPr>
          <w:rFonts w:cstheme="minorHAnsi"/>
        </w:rPr>
        <w:t>Provisions (Note 13)</w:t>
      </w:r>
      <w:r w:rsidR="00A25381">
        <w:rPr>
          <w:rFonts w:cstheme="minorHAnsi"/>
        </w:rPr>
        <w:t>.</w:t>
      </w:r>
    </w:p>
    <w:p w14:paraId="4996D021" w14:textId="655B5EA5" w:rsidR="00AB33EC" w:rsidRPr="003E75E2" w:rsidRDefault="00AB33EC" w:rsidP="0037124B">
      <w:pPr>
        <w:pStyle w:val="NormalindentbulletsL1"/>
        <w:spacing w:line="240" w:lineRule="auto"/>
        <w:ind w:left="1040"/>
        <w:rPr>
          <w:rFonts w:cstheme="minorHAnsi"/>
          <w:szCs w:val="20"/>
        </w:rPr>
      </w:pPr>
      <w:r w:rsidRPr="003E75E2">
        <w:rPr>
          <w:rFonts w:cstheme="minorHAnsi"/>
          <w:szCs w:val="20"/>
        </w:rPr>
        <w:t>Contingencies (Note 15)</w:t>
      </w:r>
      <w:r w:rsidR="00A25381">
        <w:rPr>
          <w:rFonts w:cstheme="minorHAnsi"/>
          <w:szCs w:val="20"/>
        </w:rPr>
        <w:t>.</w:t>
      </w:r>
    </w:p>
    <w:p w14:paraId="66CC8282" w14:textId="77777777" w:rsidR="00AB33EC" w:rsidRPr="003E75E2" w:rsidRDefault="00AB33EC" w:rsidP="0037124B">
      <w:pPr>
        <w:pStyle w:val="Normalhanginglist105pt"/>
        <w:spacing w:line="240" w:lineRule="auto"/>
        <w:rPr>
          <w:rFonts w:cstheme="minorHAnsi"/>
          <w:sz w:val="22"/>
          <w:szCs w:val="22"/>
        </w:rPr>
      </w:pPr>
      <w:r w:rsidRPr="003E75E2">
        <w:rPr>
          <w:rFonts w:cstheme="minorHAnsi"/>
          <w:sz w:val="22"/>
          <w:szCs w:val="22"/>
        </w:rPr>
        <w:t>(h)</w:t>
      </w:r>
      <w:r w:rsidRPr="003E75E2">
        <w:rPr>
          <w:rFonts w:cstheme="minorHAnsi"/>
          <w:sz w:val="22"/>
          <w:szCs w:val="22"/>
        </w:rPr>
        <w:tab/>
        <w:t>Future Impact of Accounting Standards Not Yet Effective</w:t>
      </w:r>
    </w:p>
    <w:p w14:paraId="4EB7AC96" w14:textId="77777777" w:rsidR="00AB33EC" w:rsidRPr="003E75E2" w:rsidRDefault="00AB33EC" w:rsidP="0037124B">
      <w:pPr>
        <w:autoSpaceDE w:val="0"/>
        <w:autoSpaceDN w:val="0"/>
        <w:adjustRightInd w:val="0"/>
        <w:ind w:left="426"/>
        <w:rPr>
          <w:rFonts w:asciiTheme="minorHAnsi" w:hAnsiTheme="minorHAnsi" w:cstheme="minorHAnsi"/>
          <w:szCs w:val="20"/>
        </w:rPr>
      </w:pPr>
      <w:r w:rsidRPr="003E75E2">
        <w:rPr>
          <w:rFonts w:asciiTheme="minorHAnsi" w:hAnsiTheme="minorHAnsi" w:cstheme="minorHAnsi"/>
          <w:szCs w:val="20"/>
        </w:rPr>
        <w:t xml:space="preserve">At the date of authorisation of the financial statements, there are no new or amended accounting standards with future effective dates that are applicable and have a material impact on the CCC. </w:t>
      </w:r>
    </w:p>
    <w:p w14:paraId="7764DDE4" w14:textId="77777777" w:rsidR="00AB33EC" w:rsidRPr="003E75E2" w:rsidRDefault="00AB33EC" w:rsidP="00AB33EC">
      <w:pPr>
        <w:autoSpaceDE w:val="0"/>
        <w:autoSpaceDN w:val="0"/>
        <w:adjustRightInd w:val="0"/>
        <w:ind w:left="426"/>
        <w:jc w:val="both"/>
        <w:rPr>
          <w:rFonts w:asciiTheme="minorHAnsi" w:hAnsiTheme="minorHAnsi" w:cstheme="minorHAnsi"/>
          <w:sz w:val="16"/>
          <w:szCs w:val="16"/>
        </w:rPr>
      </w:pPr>
    </w:p>
    <w:p w14:paraId="73A16724" w14:textId="77777777" w:rsidR="00AB33EC" w:rsidRPr="003E75E2" w:rsidRDefault="00AB33EC" w:rsidP="00AB33EC">
      <w:pPr>
        <w:autoSpaceDE w:val="0"/>
        <w:autoSpaceDN w:val="0"/>
        <w:adjustRightInd w:val="0"/>
        <w:ind w:left="426"/>
        <w:jc w:val="both"/>
        <w:rPr>
          <w:rFonts w:asciiTheme="minorHAnsi" w:hAnsiTheme="minorHAnsi" w:cstheme="minorHAnsi"/>
          <w:sz w:val="16"/>
          <w:szCs w:val="16"/>
        </w:rPr>
      </w:pPr>
    </w:p>
    <w:p w14:paraId="11FEBEE6" w14:textId="77777777" w:rsidR="00AB33EC" w:rsidRPr="003E75E2" w:rsidRDefault="00AB33EC" w:rsidP="00AB33EC">
      <w:pPr>
        <w:autoSpaceDE w:val="0"/>
        <w:autoSpaceDN w:val="0"/>
        <w:adjustRightInd w:val="0"/>
        <w:ind w:left="426"/>
        <w:jc w:val="both"/>
        <w:rPr>
          <w:rFonts w:asciiTheme="minorHAnsi" w:hAnsiTheme="minorHAnsi" w:cstheme="minorHAnsi"/>
          <w:sz w:val="16"/>
          <w:szCs w:val="16"/>
        </w:rPr>
      </w:pPr>
    </w:p>
    <w:p w14:paraId="74EE49E7" w14:textId="77777777" w:rsidR="00AB33EC" w:rsidRPr="003E75E2" w:rsidRDefault="00AB33EC" w:rsidP="00AB33EC">
      <w:pPr>
        <w:autoSpaceDE w:val="0"/>
        <w:autoSpaceDN w:val="0"/>
        <w:adjustRightInd w:val="0"/>
        <w:ind w:left="426"/>
        <w:jc w:val="both"/>
        <w:rPr>
          <w:rFonts w:asciiTheme="minorHAnsi" w:hAnsiTheme="minorHAnsi" w:cstheme="minorHAnsi"/>
          <w:sz w:val="16"/>
          <w:szCs w:val="16"/>
        </w:rPr>
      </w:pPr>
    </w:p>
    <w:p w14:paraId="749626A4" w14:textId="77777777" w:rsidR="00AB33EC" w:rsidRPr="003E75E2" w:rsidRDefault="00AB33EC" w:rsidP="00AB33EC">
      <w:pPr>
        <w:autoSpaceDE w:val="0"/>
        <w:autoSpaceDN w:val="0"/>
        <w:adjustRightInd w:val="0"/>
        <w:ind w:left="426"/>
        <w:jc w:val="both"/>
        <w:rPr>
          <w:rFonts w:asciiTheme="minorHAnsi" w:hAnsiTheme="minorHAnsi" w:cstheme="minorHAnsi"/>
          <w:sz w:val="16"/>
          <w:szCs w:val="16"/>
        </w:rPr>
      </w:pPr>
    </w:p>
    <w:p w14:paraId="3F554801" w14:textId="77777777" w:rsidR="00AB33EC" w:rsidRPr="003E75E2" w:rsidRDefault="00AB33EC" w:rsidP="00AB33EC">
      <w:pPr>
        <w:autoSpaceDE w:val="0"/>
        <w:autoSpaceDN w:val="0"/>
        <w:adjustRightInd w:val="0"/>
        <w:ind w:left="426"/>
        <w:jc w:val="both"/>
        <w:rPr>
          <w:rFonts w:asciiTheme="minorHAnsi" w:hAnsiTheme="minorHAnsi" w:cstheme="minorHAnsi"/>
          <w:sz w:val="16"/>
          <w:szCs w:val="16"/>
        </w:rPr>
      </w:pPr>
    </w:p>
    <w:p w14:paraId="45B833E4" w14:textId="77777777" w:rsidR="00AB33EC" w:rsidRPr="003E75E2" w:rsidRDefault="00AB33EC" w:rsidP="00AB33EC">
      <w:pPr>
        <w:autoSpaceDE w:val="0"/>
        <w:autoSpaceDN w:val="0"/>
        <w:adjustRightInd w:val="0"/>
        <w:ind w:left="426"/>
        <w:jc w:val="both"/>
        <w:rPr>
          <w:rFonts w:asciiTheme="minorHAnsi" w:hAnsiTheme="minorHAnsi" w:cstheme="minorHAnsi"/>
          <w:sz w:val="16"/>
          <w:szCs w:val="16"/>
        </w:rPr>
      </w:pPr>
    </w:p>
    <w:p w14:paraId="46AB9063" w14:textId="77777777" w:rsidR="00AB33EC" w:rsidRPr="003E75E2" w:rsidRDefault="00AB33EC" w:rsidP="00AB33EC">
      <w:pPr>
        <w:autoSpaceDE w:val="0"/>
        <w:autoSpaceDN w:val="0"/>
        <w:adjustRightInd w:val="0"/>
        <w:ind w:left="426"/>
        <w:jc w:val="both"/>
        <w:rPr>
          <w:rFonts w:asciiTheme="minorHAnsi" w:hAnsiTheme="minorHAnsi" w:cstheme="minorHAnsi"/>
          <w:sz w:val="16"/>
          <w:szCs w:val="16"/>
        </w:rPr>
      </w:pPr>
    </w:p>
    <w:p w14:paraId="3ECF08A5" w14:textId="77777777" w:rsidR="00AB33EC" w:rsidRPr="003E75E2" w:rsidRDefault="00AB33EC" w:rsidP="00AB33EC">
      <w:pPr>
        <w:autoSpaceDE w:val="0"/>
        <w:autoSpaceDN w:val="0"/>
        <w:adjustRightInd w:val="0"/>
        <w:ind w:left="426"/>
        <w:jc w:val="both"/>
        <w:rPr>
          <w:rFonts w:asciiTheme="minorHAnsi" w:hAnsiTheme="minorHAnsi" w:cstheme="minorHAnsi"/>
          <w:sz w:val="16"/>
          <w:szCs w:val="16"/>
        </w:rPr>
      </w:pPr>
    </w:p>
    <w:p w14:paraId="278B8440" w14:textId="77777777" w:rsidR="00AB33EC" w:rsidRPr="003E75E2" w:rsidRDefault="00AB33EC" w:rsidP="00AB33EC">
      <w:pPr>
        <w:autoSpaceDE w:val="0"/>
        <w:autoSpaceDN w:val="0"/>
        <w:adjustRightInd w:val="0"/>
        <w:ind w:left="426"/>
        <w:jc w:val="both"/>
        <w:rPr>
          <w:rFonts w:asciiTheme="minorHAnsi" w:hAnsiTheme="minorHAnsi" w:cstheme="minorHAnsi"/>
          <w:sz w:val="16"/>
          <w:szCs w:val="16"/>
        </w:rPr>
      </w:pPr>
    </w:p>
    <w:p w14:paraId="2E5D4AB7" w14:textId="77777777" w:rsidR="00AB33EC" w:rsidRPr="003E75E2" w:rsidRDefault="00AB33EC" w:rsidP="00AB33EC">
      <w:pPr>
        <w:autoSpaceDE w:val="0"/>
        <w:autoSpaceDN w:val="0"/>
        <w:adjustRightInd w:val="0"/>
        <w:ind w:left="426"/>
        <w:jc w:val="both"/>
        <w:rPr>
          <w:rFonts w:asciiTheme="minorHAnsi" w:hAnsiTheme="minorHAnsi" w:cstheme="minorHAnsi"/>
          <w:sz w:val="16"/>
          <w:szCs w:val="16"/>
        </w:rPr>
      </w:pPr>
    </w:p>
    <w:p w14:paraId="20D3B711" w14:textId="39203A34" w:rsidR="000E6ED6" w:rsidRDefault="000E6ED6">
      <w:pPr>
        <w:spacing w:before="120" w:after="0" w:line="260" w:lineRule="exact"/>
        <w:rPr>
          <w:rFonts w:asciiTheme="minorHAnsi" w:eastAsia="Times New Roman" w:hAnsiTheme="minorHAnsi" w:cstheme="minorHAnsi"/>
          <w:b/>
          <w:color w:val="414042" w:themeColor="text1"/>
          <w:sz w:val="23"/>
          <w:szCs w:val="23"/>
        </w:rPr>
      </w:pPr>
    </w:p>
    <w:p w14:paraId="2B07054F" w14:textId="77777777" w:rsidR="00E4224F" w:rsidRDefault="00E4224F" w:rsidP="0037124B">
      <w:pPr>
        <w:pStyle w:val="Normal115pttext"/>
        <w:spacing w:after="240" w:line="240" w:lineRule="auto"/>
        <w:rPr>
          <w:rFonts w:cstheme="minorHAnsi"/>
          <w:color w:val="414042" w:themeColor="text1"/>
          <w:szCs w:val="23"/>
        </w:rPr>
      </w:pPr>
      <w:r>
        <w:rPr>
          <w:rFonts w:cstheme="minorHAnsi"/>
          <w:color w:val="414042" w:themeColor="text1"/>
          <w:szCs w:val="23"/>
        </w:rPr>
        <w:br w:type="page"/>
      </w:r>
    </w:p>
    <w:p w14:paraId="6F224D6B" w14:textId="726515EC" w:rsidR="00AB33EC" w:rsidRPr="003E75E2" w:rsidRDefault="00AB33EC" w:rsidP="0037124B">
      <w:pPr>
        <w:pStyle w:val="Normal115pttext"/>
        <w:spacing w:after="240" w:line="240" w:lineRule="auto"/>
        <w:rPr>
          <w:rFonts w:cstheme="minorHAnsi"/>
          <w:color w:val="414042" w:themeColor="text1"/>
          <w:szCs w:val="23"/>
        </w:rPr>
      </w:pPr>
      <w:r w:rsidRPr="003E75E2">
        <w:rPr>
          <w:rFonts w:cstheme="minorHAnsi"/>
          <w:color w:val="414042" w:themeColor="text1"/>
          <w:szCs w:val="23"/>
        </w:rPr>
        <w:t>Note 2:  Grants and Other Contributions</w:t>
      </w:r>
    </w:p>
    <w:p w14:paraId="1200E5AE" w14:textId="77777777" w:rsidR="00AB33EC" w:rsidRPr="003E75E2" w:rsidRDefault="00AB33EC" w:rsidP="0037124B">
      <w:pPr>
        <w:pStyle w:val="Policyheading"/>
        <w:spacing w:line="240" w:lineRule="auto"/>
        <w:rPr>
          <w:rFonts w:cstheme="minorHAnsi"/>
          <w:color w:val="414042" w:themeColor="text1"/>
          <w:sz w:val="22"/>
          <w:szCs w:val="22"/>
        </w:rPr>
      </w:pPr>
      <w:r w:rsidRPr="003E75E2">
        <w:rPr>
          <w:rFonts w:cstheme="minorHAnsi"/>
          <w:color w:val="414042" w:themeColor="text1"/>
          <w:sz w:val="22"/>
          <w:szCs w:val="22"/>
        </w:rPr>
        <w:t>Accounting Policy:</w:t>
      </w:r>
    </w:p>
    <w:p w14:paraId="4777F597" w14:textId="77777777" w:rsidR="00AB33EC" w:rsidRPr="003E75E2" w:rsidRDefault="00AB33EC" w:rsidP="0037124B">
      <w:pPr>
        <w:pStyle w:val="Policy1stpara"/>
        <w:spacing w:line="240" w:lineRule="auto"/>
        <w:rPr>
          <w:rFonts w:cstheme="minorHAnsi"/>
          <w:color w:val="414042" w:themeColor="text1"/>
        </w:rPr>
      </w:pPr>
      <w:r w:rsidRPr="003E75E2">
        <w:rPr>
          <w:rFonts w:cstheme="minorHAnsi"/>
          <w:b/>
          <w:i/>
          <w:color w:val="414042" w:themeColor="text1"/>
        </w:rPr>
        <w:t>Government Grants</w:t>
      </w:r>
      <w:r w:rsidRPr="003E75E2">
        <w:rPr>
          <w:rFonts w:cstheme="minorHAnsi"/>
          <w:i/>
          <w:color w:val="414042" w:themeColor="text1"/>
        </w:rPr>
        <w:t xml:space="preserve"> – </w:t>
      </w:r>
      <w:r w:rsidRPr="003E75E2">
        <w:rPr>
          <w:rFonts w:cstheme="minorHAnsi"/>
          <w:color w:val="414042" w:themeColor="text1"/>
        </w:rPr>
        <w:t>Government grants are non-reciprocal in nature and are recognised as revenue in the year in which the CCC obtains control over them or the right to receive them. Grants are accounted for under AASB 1058 Income of Not-for-Profit Entities, whereby revenue is recognised upon receipt of the grant funding.</w:t>
      </w:r>
    </w:p>
    <w:p w14:paraId="6015703B" w14:textId="77777777" w:rsidR="00AB33EC" w:rsidRPr="003E75E2" w:rsidRDefault="00AB33EC" w:rsidP="0037124B">
      <w:pPr>
        <w:pStyle w:val="Policy1stpara"/>
        <w:spacing w:line="240" w:lineRule="auto"/>
        <w:rPr>
          <w:rFonts w:cstheme="minorHAnsi"/>
          <w:color w:val="414042" w:themeColor="text1"/>
        </w:rPr>
      </w:pPr>
      <w:r w:rsidRPr="003E75E2">
        <w:rPr>
          <w:rFonts w:cstheme="minorHAnsi"/>
          <w:b/>
          <w:i/>
          <w:color w:val="414042" w:themeColor="text1"/>
        </w:rPr>
        <w:t>Other Contributions – Services Received Below Fair Value</w:t>
      </w:r>
      <w:r w:rsidRPr="003E75E2">
        <w:rPr>
          <w:rFonts w:cstheme="minorHAnsi"/>
          <w:i/>
          <w:color w:val="414042" w:themeColor="text1"/>
        </w:rPr>
        <w:t xml:space="preserve"> – </w:t>
      </w:r>
      <w:r w:rsidRPr="003E75E2">
        <w:rPr>
          <w:rFonts w:cstheme="minorHAnsi"/>
          <w:color w:val="414042" w:themeColor="text1"/>
        </w:rPr>
        <w:t>The CCC recognises contributions of services only if the services would have been purchased had they not been donated and their fair value can be measured reliably. Where this is the case, an equal amount is recognised as revenue and an expense.</w:t>
      </w:r>
    </w:p>
    <w:p w14:paraId="317F6120" w14:textId="77777777" w:rsidR="00AB33EC" w:rsidRPr="003E75E2" w:rsidRDefault="00AB33EC" w:rsidP="00AB33EC">
      <w:pPr>
        <w:rPr>
          <w:rFonts w:asciiTheme="minorHAnsi" w:hAnsiTheme="minorHAnsi" w:cstheme="minorHAnsi"/>
          <w:color w:val="414042" w:themeColor="text1"/>
        </w:rPr>
      </w:pPr>
    </w:p>
    <w:tbl>
      <w:tblPr>
        <w:tblW w:w="9214"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4029"/>
        <w:gridCol w:w="2492"/>
        <w:gridCol w:w="142"/>
        <w:gridCol w:w="1134"/>
        <w:gridCol w:w="283"/>
        <w:gridCol w:w="1134"/>
      </w:tblGrid>
      <w:tr w:rsidR="00AB33EC" w:rsidRPr="003E75E2" w14:paraId="01E93FAD" w14:textId="77777777" w:rsidTr="00B721B7">
        <w:trPr>
          <w:trHeight w:val="20"/>
        </w:trPr>
        <w:tc>
          <w:tcPr>
            <w:tcW w:w="4029" w:type="dxa"/>
            <w:tcBorders>
              <w:top w:val="nil"/>
              <w:left w:val="nil"/>
              <w:bottom w:val="nil"/>
              <w:right w:val="nil"/>
            </w:tcBorders>
          </w:tcPr>
          <w:p w14:paraId="7EBDCC5B" w14:textId="77777777" w:rsidR="00AB33EC" w:rsidRPr="003E75E2" w:rsidRDefault="00AB33EC" w:rsidP="00B721B7">
            <w:pPr>
              <w:pStyle w:val="Normaltabletextleft"/>
              <w:spacing w:line="240" w:lineRule="auto"/>
              <w:rPr>
                <w:rFonts w:cstheme="minorHAnsi"/>
                <w:color w:val="414042" w:themeColor="text1"/>
                <w:szCs w:val="20"/>
                <w:lang w:eastAsia="en-AU"/>
              </w:rPr>
            </w:pPr>
          </w:p>
        </w:tc>
        <w:tc>
          <w:tcPr>
            <w:tcW w:w="2492" w:type="dxa"/>
            <w:tcBorders>
              <w:top w:val="nil"/>
              <w:left w:val="nil"/>
              <w:bottom w:val="nil"/>
            </w:tcBorders>
            <w:vAlign w:val="bottom"/>
          </w:tcPr>
          <w:p w14:paraId="5255C70D" w14:textId="77777777" w:rsidR="00AB33EC" w:rsidRPr="003E75E2" w:rsidRDefault="00AB33EC" w:rsidP="00B721B7">
            <w:pPr>
              <w:pStyle w:val="Normaltabletextleft"/>
              <w:spacing w:line="240" w:lineRule="auto"/>
              <w:rPr>
                <w:rFonts w:cstheme="minorHAnsi"/>
                <w:color w:val="414042" w:themeColor="text1"/>
                <w:szCs w:val="20"/>
                <w:lang w:eastAsia="en-AU"/>
              </w:rPr>
            </w:pPr>
          </w:p>
        </w:tc>
        <w:tc>
          <w:tcPr>
            <w:tcW w:w="142" w:type="dxa"/>
            <w:tcBorders>
              <w:top w:val="nil"/>
              <w:bottom w:val="nil"/>
            </w:tcBorders>
            <w:noWrap/>
            <w:tcMar>
              <w:left w:w="0" w:type="dxa"/>
              <w:right w:w="0" w:type="dxa"/>
            </w:tcMar>
            <w:vAlign w:val="bottom"/>
          </w:tcPr>
          <w:p w14:paraId="3FC231A3" w14:textId="77777777" w:rsidR="00AB33EC" w:rsidRPr="003E75E2" w:rsidRDefault="00AB33EC" w:rsidP="00B721B7">
            <w:pPr>
              <w:pStyle w:val="Normaltabletextleft"/>
              <w:spacing w:line="240" w:lineRule="auto"/>
              <w:rPr>
                <w:rFonts w:cstheme="minorHAnsi"/>
                <w:color w:val="414042" w:themeColor="text1"/>
                <w:szCs w:val="20"/>
                <w:lang w:eastAsia="en-AU"/>
              </w:rPr>
            </w:pPr>
          </w:p>
        </w:tc>
        <w:tc>
          <w:tcPr>
            <w:tcW w:w="1134" w:type="dxa"/>
            <w:tcBorders>
              <w:top w:val="nil"/>
              <w:bottom w:val="nil"/>
            </w:tcBorders>
            <w:shd w:val="clear" w:color="auto" w:fill="F1F1F2" w:themeFill="accent5" w:themeFillTint="33"/>
            <w:noWrap/>
            <w:tcMar>
              <w:left w:w="0" w:type="dxa"/>
              <w:right w:w="113" w:type="dxa"/>
            </w:tcMar>
            <w:vAlign w:val="bottom"/>
          </w:tcPr>
          <w:p w14:paraId="17F713FB" w14:textId="77777777" w:rsidR="00AB33EC" w:rsidRPr="003E75E2" w:rsidRDefault="00AB33EC" w:rsidP="00B721B7">
            <w:pPr>
              <w:pStyle w:val="Normaltabletext1stpararight"/>
              <w:spacing w:line="240" w:lineRule="auto"/>
              <w:rPr>
                <w:rFonts w:cstheme="minorHAnsi"/>
                <w:b/>
                <w:color w:val="414042" w:themeColor="text1"/>
                <w:szCs w:val="20"/>
                <w:lang w:eastAsia="en-AU"/>
              </w:rPr>
            </w:pPr>
          </w:p>
        </w:tc>
        <w:tc>
          <w:tcPr>
            <w:tcW w:w="283" w:type="dxa"/>
            <w:tcBorders>
              <w:top w:val="nil"/>
              <w:bottom w:val="nil"/>
            </w:tcBorders>
            <w:noWrap/>
            <w:tcMar>
              <w:left w:w="0" w:type="dxa"/>
              <w:right w:w="0" w:type="dxa"/>
            </w:tcMar>
            <w:vAlign w:val="bottom"/>
          </w:tcPr>
          <w:p w14:paraId="7CC64EE2" w14:textId="77777777" w:rsidR="00AB33EC" w:rsidRPr="003E75E2" w:rsidRDefault="00AB33EC" w:rsidP="00B721B7">
            <w:pPr>
              <w:pStyle w:val="Normaltabletextcentred"/>
              <w:spacing w:line="240" w:lineRule="auto"/>
              <w:rPr>
                <w:rFonts w:cstheme="minorHAnsi"/>
                <w:color w:val="414042" w:themeColor="text1"/>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5ECD37F9" w14:textId="77777777" w:rsidR="00AB33EC" w:rsidRPr="003E75E2" w:rsidRDefault="00AB33EC" w:rsidP="00B721B7">
            <w:pPr>
              <w:pStyle w:val="Normaltabletext1stpararight"/>
              <w:spacing w:line="240" w:lineRule="auto"/>
              <w:ind w:left="122" w:firstLine="122"/>
              <w:rPr>
                <w:rFonts w:cstheme="minorHAnsi"/>
                <w:b/>
                <w:color w:val="414042" w:themeColor="text1"/>
                <w:szCs w:val="20"/>
                <w:lang w:eastAsia="en-AU"/>
              </w:rPr>
            </w:pPr>
          </w:p>
        </w:tc>
      </w:tr>
      <w:tr w:rsidR="00AB33EC" w:rsidRPr="003E75E2" w14:paraId="457AC653" w14:textId="77777777" w:rsidTr="00B721B7">
        <w:trPr>
          <w:trHeight w:val="20"/>
        </w:trPr>
        <w:tc>
          <w:tcPr>
            <w:tcW w:w="4029" w:type="dxa"/>
            <w:tcBorders>
              <w:top w:val="nil"/>
              <w:left w:val="nil"/>
              <w:bottom w:val="nil"/>
              <w:right w:val="nil"/>
            </w:tcBorders>
          </w:tcPr>
          <w:p w14:paraId="6C3C78C2" w14:textId="77777777" w:rsidR="00AB33EC" w:rsidRPr="003E75E2" w:rsidRDefault="00AB33EC" w:rsidP="00B721B7">
            <w:pPr>
              <w:pStyle w:val="Normaltabletextleft"/>
              <w:spacing w:line="240" w:lineRule="auto"/>
              <w:rPr>
                <w:rFonts w:cstheme="minorHAnsi"/>
                <w:color w:val="414042" w:themeColor="text1"/>
                <w:szCs w:val="20"/>
                <w:lang w:eastAsia="en-AU"/>
              </w:rPr>
            </w:pPr>
          </w:p>
          <w:p w14:paraId="66F18B0F" w14:textId="77777777" w:rsidR="00AB33EC" w:rsidRPr="003E75E2" w:rsidRDefault="00AB33EC" w:rsidP="00B721B7">
            <w:pPr>
              <w:pStyle w:val="Normaltabletextleft"/>
              <w:spacing w:line="240" w:lineRule="auto"/>
              <w:rPr>
                <w:rFonts w:cstheme="minorHAnsi"/>
                <w:color w:val="414042" w:themeColor="text1"/>
                <w:szCs w:val="20"/>
                <w:lang w:eastAsia="en-AU"/>
              </w:rPr>
            </w:pPr>
          </w:p>
        </w:tc>
        <w:tc>
          <w:tcPr>
            <w:tcW w:w="2492" w:type="dxa"/>
            <w:tcBorders>
              <w:top w:val="nil"/>
              <w:left w:val="nil"/>
              <w:bottom w:val="nil"/>
            </w:tcBorders>
            <w:vAlign w:val="bottom"/>
          </w:tcPr>
          <w:p w14:paraId="5B70B476" w14:textId="77777777" w:rsidR="00AB33EC" w:rsidRPr="003E75E2" w:rsidRDefault="00AB33EC" w:rsidP="00B721B7">
            <w:pPr>
              <w:pStyle w:val="Normaltabletextleft"/>
              <w:spacing w:line="240" w:lineRule="auto"/>
              <w:rPr>
                <w:rFonts w:cstheme="minorHAnsi"/>
                <w:color w:val="414042" w:themeColor="text1"/>
                <w:szCs w:val="20"/>
                <w:lang w:eastAsia="en-AU"/>
              </w:rPr>
            </w:pPr>
          </w:p>
        </w:tc>
        <w:tc>
          <w:tcPr>
            <w:tcW w:w="142" w:type="dxa"/>
            <w:tcBorders>
              <w:top w:val="nil"/>
              <w:bottom w:val="nil"/>
            </w:tcBorders>
            <w:noWrap/>
            <w:tcMar>
              <w:left w:w="0" w:type="dxa"/>
              <w:right w:w="0" w:type="dxa"/>
            </w:tcMar>
            <w:vAlign w:val="bottom"/>
          </w:tcPr>
          <w:p w14:paraId="0DC7EFEE" w14:textId="77777777" w:rsidR="00AB33EC" w:rsidRPr="003E75E2" w:rsidRDefault="00AB33EC" w:rsidP="00B721B7">
            <w:pPr>
              <w:pStyle w:val="Normaltabletextleft"/>
              <w:spacing w:line="240" w:lineRule="auto"/>
              <w:rPr>
                <w:rFonts w:cstheme="minorHAnsi"/>
                <w:color w:val="414042" w:themeColor="text1"/>
                <w:szCs w:val="20"/>
                <w:lang w:eastAsia="en-AU"/>
              </w:rPr>
            </w:pPr>
          </w:p>
        </w:tc>
        <w:tc>
          <w:tcPr>
            <w:tcW w:w="1134" w:type="dxa"/>
            <w:tcBorders>
              <w:top w:val="nil"/>
              <w:bottom w:val="nil"/>
            </w:tcBorders>
            <w:shd w:val="clear" w:color="auto" w:fill="F1F1F2" w:themeFill="accent5" w:themeFillTint="33"/>
            <w:noWrap/>
            <w:tcMar>
              <w:left w:w="0" w:type="dxa"/>
              <w:right w:w="113" w:type="dxa"/>
            </w:tcMar>
            <w:vAlign w:val="bottom"/>
          </w:tcPr>
          <w:p w14:paraId="4A4C47DD" w14:textId="77777777" w:rsidR="00AB33EC" w:rsidRPr="003E75E2" w:rsidRDefault="00AB33EC" w:rsidP="00B721B7">
            <w:pPr>
              <w:pStyle w:val="Normaltabletext1stpararight"/>
              <w:spacing w:line="240" w:lineRule="auto"/>
              <w:rPr>
                <w:rFonts w:cstheme="minorHAnsi"/>
                <w:b/>
                <w:color w:val="414042" w:themeColor="text1"/>
                <w:szCs w:val="20"/>
                <w:lang w:eastAsia="en-AU"/>
              </w:rPr>
            </w:pPr>
            <w:r w:rsidRPr="003E75E2">
              <w:rPr>
                <w:rFonts w:cstheme="minorHAnsi"/>
                <w:b/>
                <w:color w:val="414042" w:themeColor="text1"/>
                <w:szCs w:val="20"/>
                <w:lang w:eastAsia="en-AU"/>
              </w:rPr>
              <w:t>202</w:t>
            </w:r>
            <w:r>
              <w:rPr>
                <w:rFonts w:cstheme="minorHAnsi"/>
                <w:b/>
                <w:color w:val="414042" w:themeColor="text1"/>
                <w:szCs w:val="20"/>
                <w:lang w:eastAsia="en-AU"/>
              </w:rPr>
              <w:t>4</w:t>
            </w:r>
          </w:p>
          <w:p w14:paraId="6B6DD149" w14:textId="77777777" w:rsidR="00AB33EC" w:rsidRPr="003E75E2" w:rsidRDefault="00AB33EC" w:rsidP="00B721B7">
            <w:pPr>
              <w:pStyle w:val="Normaltabletext1stpararight"/>
              <w:spacing w:line="240" w:lineRule="auto"/>
              <w:rPr>
                <w:rFonts w:cstheme="minorHAnsi"/>
                <w:b/>
                <w:color w:val="414042" w:themeColor="text1"/>
                <w:szCs w:val="20"/>
                <w:lang w:eastAsia="en-AU"/>
              </w:rPr>
            </w:pPr>
            <w:r w:rsidRPr="003E75E2">
              <w:rPr>
                <w:rFonts w:cstheme="minorHAnsi"/>
                <w:b/>
                <w:color w:val="414042" w:themeColor="text1"/>
                <w:szCs w:val="20"/>
                <w:lang w:eastAsia="en-AU"/>
              </w:rPr>
              <w:t>$’000</w:t>
            </w:r>
          </w:p>
        </w:tc>
        <w:tc>
          <w:tcPr>
            <w:tcW w:w="283" w:type="dxa"/>
            <w:tcBorders>
              <w:top w:val="nil"/>
              <w:bottom w:val="nil"/>
            </w:tcBorders>
            <w:noWrap/>
            <w:tcMar>
              <w:left w:w="0" w:type="dxa"/>
              <w:right w:w="0" w:type="dxa"/>
            </w:tcMar>
            <w:vAlign w:val="bottom"/>
          </w:tcPr>
          <w:p w14:paraId="6F02BBDA" w14:textId="77777777" w:rsidR="00AB33EC" w:rsidRPr="003E75E2" w:rsidRDefault="00AB33EC" w:rsidP="00B721B7">
            <w:pPr>
              <w:pStyle w:val="Normaltabletextcentred"/>
              <w:spacing w:line="240" w:lineRule="auto"/>
              <w:rPr>
                <w:rFonts w:cstheme="minorHAnsi"/>
                <w:color w:val="414042" w:themeColor="text1"/>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56ED8E68" w14:textId="77777777" w:rsidR="00AB33EC" w:rsidRPr="003E75E2" w:rsidRDefault="00AB33EC" w:rsidP="00B721B7">
            <w:pPr>
              <w:pStyle w:val="Normaltabletext1stpararight"/>
              <w:spacing w:line="240" w:lineRule="auto"/>
              <w:ind w:left="122" w:firstLine="122"/>
              <w:rPr>
                <w:rFonts w:cstheme="minorHAnsi"/>
                <w:b/>
                <w:color w:val="414042" w:themeColor="text1"/>
                <w:szCs w:val="20"/>
                <w:lang w:eastAsia="en-AU"/>
              </w:rPr>
            </w:pPr>
            <w:r w:rsidRPr="003E75E2">
              <w:rPr>
                <w:rFonts w:cstheme="minorHAnsi"/>
                <w:b/>
                <w:color w:val="414042" w:themeColor="text1"/>
                <w:szCs w:val="20"/>
                <w:lang w:eastAsia="en-AU"/>
              </w:rPr>
              <w:t>202</w:t>
            </w:r>
            <w:r>
              <w:rPr>
                <w:rFonts w:cstheme="minorHAnsi"/>
                <w:b/>
                <w:color w:val="414042" w:themeColor="text1"/>
                <w:szCs w:val="20"/>
                <w:lang w:eastAsia="en-AU"/>
              </w:rPr>
              <w:t>3</w:t>
            </w:r>
          </w:p>
          <w:p w14:paraId="727D217E" w14:textId="77777777" w:rsidR="00AB33EC" w:rsidRPr="003E75E2" w:rsidRDefault="00AB33EC" w:rsidP="00B721B7">
            <w:pPr>
              <w:pStyle w:val="Normaltabletext1stpararight"/>
              <w:spacing w:line="240" w:lineRule="auto"/>
              <w:ind w:left="122" w:firstLine="122"/>
              <w:rPr>
                <w:rFonts w:cstheme="minorHAnsi"/>
                <w:b/>
                <w:color w:val="414042" w:themeColor="text1"/>
                <w:szCs w:val="20"/>
                <w:lang w:eastAsia="en-AU"/>
              </w:rPr>
            </w:pPr>
            <w:r w:rsidRPr="003E75E2">
              <w:rPr>
                <w:rFonts w:cstheme="minorHAnsi"/>
                <w:b/>
                <w:color w:val="414042" w:themeColor="text1"/>
                <w:szCs w:val="20"/>
                <w:lang w:eastAsia="en-AU"/>
              </w:rPr>
              <w:t>$’000</w:t>
            </w:r>
          </w:p>
        </w:tc>
      </w:tr>
      <w:tr w:rsidR="00AB33EC" w:rsidRPr="003E75E2" w14:paraId="7DD7E2AB" w14:textId="77777777" w:rsidTr="00B721B7">
        <w:trPr>
          <w:trHeight w:val="20"/>
        </w:trPr>
        <w:tc>
          <w:tcPr>
            <w:tcW w:w="4029" w:type="dxa"/>
            <w:tcBorders>
              <w:top w:val="nil"/>
              <w:left w:val="nil"/>
              <w:bottom w:val="nil"/>
              <w:right w:val="nil"/>
            </w:tcBorders>
          </w:tcPr>
          <w:p w14:paraId="12173931" w14:textId="77777777" w:rsidR="00AB33EC" w:rsidRPr="003E75E2" w:rsidRDefault="00AB33EC" w:rsidP="00B721B7">
            <w:pPr>
              <w:pStyle w:val="Normaltabletextleft"/>
              <w:spacing w:line="240" w:lineRule="auto"/>
              <w:rPr>
                <w:rFonts w:cstheme="minorHAnsi"/>
                <w:b/>
                <w:color w:val="414042" w:themeColor="text1"/>
                <w:szCs w:val="20"/>
                <w:lang w:eastAsia="en-AU"/>
              </w:rPr>
            </w:pPr>
            <w:r w:rsidRPr="003E75E2">
              <w:rPr>
                <w:rFonts w:cstheme="minorHAnsi"/>
                <w:b/>
                <w:color w:val="414042" w:themeColor="text1"/>
                <w:szCs w:val="20"/>
                <w:lang w:eastAsia="en-AU"/>
              </w:rPr>
              <w:t>Grants</w:t>
            </w:r>
          </w:p>
        </w:tc>
        <w:tc>
          <w:tcPr>
            <w:tcW w:w="2492" w:type="dxa"/>
            <w:tcBorders>
              <w:top w:val="nil"/>
              <w:left w:val="nil"/>
              <w:bottom w:val="nil"/>
            </w:tcBorders>
            <w:vAlign w:val="bottom"/>
          </w:tcPr>
          <w:p w14:paraId="1FF9DAE1" w14:textId="77777777" w:rsidR="00AB33EC" w:rsidRPr="003E75E2" w:rsidRDefault="00AB33EC" w:rsidP="00B721B7">
            <w:pPr>
              <w:pStyle w:val="Normaltabletextleft"/>
              <w:spacing w:line="240" w:lineRule="auto"/>
              <w:rPr>
                <w:rFonts w:cstheme="minorHAnsi"/>
                <w:color w:val="414042" w:themeColor="text1"/>
                <w:szCs w:val="20"/>
                <w:lang w:eastAsia="en-AU"/>
              </w:rPr>
            </w:pPr>
          </w:p>
        </w:tc>
        <w:tc>
          <w:tcPr>
            <w:tcW w:w="142" w:type="dxa"/>
            <w:tcBorders>
              <w:top w:val="nil"/>
              <w:bottom w:val="nil"/>
            </w:tcBorders>
            <w:noWrap/>
            <w:tcMar>
              <w:left w:w="0" w:type="dxa"/>
              <w:right w:w="0" w:type="dxa"/>
            </w:tcMar>
            <w:vAlign w:val="bottom"/>
          </w:tcPr>
          <w:p w14:paraId="4F4EA78E" w14:textId="77777777" w:rsidR="00AB33EC" w:rsidRPr="003E75E2" w:rsidRDefault="00AB33EC" w:rsidP="00B721B7">
            <w:pPr>
              <w:pStyle w:val="Normaltabletextleft"/>
              <w:spacing w:line="240" w:lineRule="auto"/>
              <w:rPr>
                <w:rFonts w:cstheme="minorHAnsi"/>
                <w:color w:val="414042" w:themeColor="text1"/>
                <w:szCs w:val="20"/>
                <w:lang w:eastAsia="en-AU"/>
              </w:rPr>
            </w:pPr>
          </w:p>
        </w:tc>
        <w:tc>
          <w:tcPr>
            <w:tcW w:w="1134" w:type="dxa"/>
            <w:tcBorders>
              <w:top w:val="nil"/>
              <w:bottom w:val="nil"/>
            </w:tcBorders>
            <w:shd w:val="clear" w:color="auto" w:fill="F1F1F2" w:themeFill="accent5" w:themeFillTint="33"/>
            <w:noWrap/>
            <w:tcMar>
              <w:left w:w="0" w:type="dxa"/>
              <w:right w:w="113" w:type="dxa"/>
            </w:tcMar>
            <w:vAlign w:val="bottom"/>
          </w:tcPr>
          <w:p w14:paraId="177EC6CF" w14:textId="77777777" w:rsidR="00AB33EC" w:rsidRPr="003E75E2" w:rsidRDefault="00AB33EC" w:rsidP="00B721B7">
            <w:pPr>
              <w:pStyle w:val="Normaltabletext1stpararight"/>
              <w:spacing w:line="240" w:lineRule="auto"/>
              <w:rPr>
                <w:rFonts w:cstheme="minorHAnsi"/>
                <w:color w:val="414042" w:themeColor="text1"/>
                <w:szCs w:val="20"/>
                <w:lang w:eastAsia="en-AU"/>
              </w:rPr>
            </w:pPr>
          </w:p>
        </w:tc>
        <w:tc>
          <w:tcPr>
            <w:tcW w:w="283" w:type="dxa"/>
            <w:tcBorders>
              <w:top w:val="nil"/>
              <w:bottom w:val="nil"/>
            </w:tcBorders>
            <w:noWrap/>
            <w:tcMar>
              <w:left w:w="0" w:type="dxa"/>
              <w:right w:w="0" w:type="dxa"/>
            </w:tcMar>
            <w:vAlign w:val="bottom"/>
          </w:tcPr>
          <w:p w14:paraId="759DACF7" w14:textId="77777777" w:rsidR="00AB33EC" w:rsidRPr="003E75E2" w:rsidRDefault="00AB33EC" w:rsidP="00B721B7">
            <w:pPr>
              <w:pStyle w:val="Normaltabletextcentred"/>
              <w:spacing w:line="240" w:lineRule="auto"/>
              <w:rPr>
                <w:rFonts w:cstheme="minorHAnsi"/>
                <w:color w:val="414042" w:themeColor="text1"/>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3D0181A8" w14:textId="77777777" w:rsidR="00AB33EC" w:rsidRPr="003E75E2" w:rsidRDefault="00AB33EC" w:rsidP="00B721B7">
            <w:pPr>
              <w:pStyle w:val="Normaltabletext1stpararight"/>
              <w:spacing w:line="240" w:lineRule="auto"/>
              <w:rPr>
                <w:rFonts w:cstheme="minorHAnsi"/>
                <w:color w:val="414042" w:themeColor="text1"/>
                <w:szCs w:val="20"/>
                <w:lang w:eastAsia="en-AU"/>
              </w:rPr>
            </w:pPr>
          </w:p>
        </w:tc>
      </w:tr>
      <w:tr w:rsidR="00B763FA" w:rsidRPr="003E75E2" w14:paraId="6A9D8CBB" w14:textId="77777777" w:rsidTr="00B721B7">
        <w:trPr>
          <w:trHeight w:val="20"/>
        </w:trPr>
        <w:tc>
          <w:tcPr>
            <w:tcW w:w="4029" w:type="dxa"/>
            <w:tcBorders>
              <w:top w:val="nil"/>
              <w:left w:val="nil"/>
              <w:bottom w:val="nil"/>
              <w:right w:val="nil"/>
            </w:tcBorders>
          </w:tcPr>
          <w:p w14:paraId="5E1FB5C0" w14:textId="77777777" w:rsidR="00B763FA" w:rsidRPr="003E75E2" w:rsidRDefault="00B763FA" w:rsidP="00B763FA">
            <w:pPr>
              <w:pStyle w:val="Normaltabletextleft"/>
              <w:spacing w:line="240" w:lineRule="auto"/>
              <w:rPr>
                <w:rFonts w:cstheme="minorHAnsi"/>
                <w:color w:val="414042" w:themeColor="text1"/>
                <w:szCs w:val="20"/>
                <w:lang w:eastAsia="en-AU"/>
              </w:rPr>
            </w:pPr>
            <w:r w:rsidRPr="003E75E2">
              <w:rPr>
                <w:rFonts w:cstheme="minorHAnsi"/>
                <w:color w:val="414042" w:themeColor="text1"/>
                <w:szCs w:val="20"/>
                <w:lang w:eastAsia="en-AU"/>
              </w:rPr>
              <w:t>Queensland Government grant</w:t>
            </w:r>
            <w:r w:rsidRPr="003E75E2">
              <w:rPr>
                <w:rFonts w:cstheme="minorHAnsi"/>
                <w:color w:val="414042" w:themeColor="text1"/>
                <w:szCs w:val="20"/>
              </w:rPr>
              <w:t>¹</w:t>
            </w:r>
          </w:p>
        </w:tc>
        <w:tc>
          <w:tcPr>
            <w:tcW w:w="2492" w:type="dxa"/>
            <w:tcBorders>
              <w:top w:val="nil"/>
              <w:left w:val="nil"/>
              <w:bottom w:val="nil"/>
            </w:tcBorders>
            <w:vAlign w:val="bottom"/>
          </w:tcPr>
          <w:p w14:paraId="018C7BDE" w14:textId="77777777" w:rsidR="00B763FA" w:rsidRPr="003E75E2" w:rsidRDefault="00B763FA" w:rsidP="00B763FA">
            <w:pPr>
              <w:pStyle w:val="Normaltabletextleft"/>
              <w:spacing w:line="240" w:lineRule="auto"/>
              <w:rPr>
                <w:rFonts w:cstheme="minorHAnsi"/>
                <w:color w:val="414042" w:themeColor="text1"/>
                <w:szCs w:val="20"/>
                <w:lang w:eastAsia="en-AU"/>
              </w:rPr>
            </w:pPr>
          </w:p>
        </w:tc>
        <w:tc>
          <w:tcPr>
            <w:tcW w:w="142" w:type="dxa"/>
            <w:tcBorders>
              <w:top w:val="nil"/>
              <w:bottom w:val="nil"/>
            </w:tcBorders>
            <w:noWrap/>
            <w:tcMar>
              <w:left w:w="0" w:type="dxa"/>
              <w:right w:w="0" w:type="dxa"/>
            </w:tcMar>
            <w:vAlign w:val="bottom"/>
          </w:tcPr>
          <w:p w14:paraId="0578A375" w14:textId="77777777" w:rsidR="00B763FA" w:rsidRPr="003E75E2" w:rsidRDefault="00B763FA" w:rsidP="00B763FA">
            <w:pPr>
              <w:pStyle w:val="Normaltabletextleft"/>
              <w:spacing w:line="240" w:lineRule="auto"/>
              <w:rPr>
                <w:rFonts w:cstheme="minorHAnsi"/>
                <w:color w:val="414042" w:themeColor="text1"/>
                <w:szCs w:val="20"/>
                <w:lang w:eastAsia="en-AU"/>
              </w:rPr>
            </w:pPr>
          </w:p>
        </w:tc>
        <w:tc>
          <w:tcPr>
            <w:tcW w:w="1134" w:type="dxa"/>
            <w:tcBorders>
              <w:top w:val="nil"/>
              <w:bottom w:val="nil"/>
            </w:tcBorders>
            <w:shd w:val="clear" w:color="auto" w:fill="F1F1F2" w:themeFill="accent5" w:themeFillTint="33"/>
            <w:noWrap/>
            <w:tcMar>
              <w:left w:w="0" w:type="dxa"/>
              <w:right w:w="113" w:type="dxa"/>
            </w:tcMar>
            <w:vAlign w:val="bottom"/>
          </w:tcPr>
          <w:p w14:paraId="00236EA4" w14:textId="77777777" w:rsidR="00B763FA" w:rsidRPr="003E75E2" w:rsidRDefault="00B763FA" w:rsidP="00B763FA">
            <w:pPr>
              <w:pStyle w:val="Normaltabletext1stpararight"/>
              <w:spacing w:line="240" w:lineRule="auto"/>
              <w:rPr>
                <w:rFonts w:cstheme="minorHAnsi"/>
                <w:color w:val="414042" w:themeColor="text1"/>
                <w:szCs w:val="20"/>
                <w:lang w:eastAsia="en-AU"/>
              </w:rPr>
            </w:pPr>
            <w:r>
              <w:rPr>
                <w:rFonts w:cstheme="minorHAnsi"/>
                <w:color w:val="414042" w:themeColor="text1"/>
                <w:szCs w:val="20"/>
                <w:lang w:eastAsia="en-AU"/>
              </w:rPr>
              <w:t>69,050</w:t>
            </w:r>
          </w:p>
        </w:tc>
        <w:tc>
          <w:tcPr>
            <w:tcW w:w="283" w:type="dxa"/>
            <w:tcBorders>
              <w:top w:val="nil"/>
              <w:bottom w:val="nil"/>
            </w:tcBorders>
            <w:noWrap/>
            <w:tcMar>
              <w:left w:w="0" w:type="dxa"/>
              <w:right w:w="0" w:type="dxa"/>
            </w:tcMar>
            <w:vAlign w:val="bottom"/>
          </w:tcPr>
          <w:p w14:paraId="6A582BDA" w14:textId="77777777" w:rsidR="00B763FA" w:rsidRPr="003E75E2" w:rsidRDefault="00B763FA" w:rsidP="00B763FA">
            <w:pPr>
              <w:pStyle w:val="Normaltabletextcentred"/>
              <w:spacing w:line="240" w:lineRule="auto"/>
              <w:rPr>
                <w:rFonts w:cstheme="minorHAnsi"/>
                <w:color w:val="414042" w:themeColor="text1"/>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53973372" w14:textId="71D762CB" w:rsidR="00B763FA" w:rsidRPr="003E75E2" w:rsidRDefault="00B763FA" w:rsidP="00B763FA">
            <w:pPr>
              <w:pStyle w:val="Normaltabletext1stpararight"/>
              <w:spacing w:line="240" w:lineRule="auto"/>
              <w:rPr>
                <w:rFonts w:cstheme="minorHAnsi"/>
                <w:color w:val="414042" w:themeColor="text1"/>
                <w:szCs w:val="20"/>
                <w:lang w:eastAsia="en-AU"/>
              </w:rPr>
            </w:pPr>
            <w:r>
              <w:rPr>
                <w:rFonts w:cstheme="minorHAnsi"/>
                <w:color w:val="414042" w:themeColor="text1"/>
                <w:szCs w:val="20"/>
                <w:lang w:eastAsia="en-AU"/>
              </w:rPr>
              <w:t>67,045</w:t>
            </w:r>
          </w:p>
        </w:tc>
      </w:tr>
      <w:tr w:rsidR="00B763FA" w:rsidRPr="003E75E2" w14:paraId="6CFE931C" w14:textId="77777777" w:rsidTr="00B721B7">
        <w:trPr>
          <w:trHeight w:val="20"/>
        </w:trPr>
        <w:tc>
          <w:tcPr>
            <w:tcW w:w="6663" w:type="dxa"/>
            <w:gridSpan w:val="3"/>
            <w:tcBorders>
              <w:top w:val="nil"/>
              <w:left w:val="nil"/>
              <w:bottom w:val="nil"/>
            </w:tcBorders>
            <w:vAlign w:val="bottom"/>
          </w:tcPr>
          <w:p w14:paraId="392CC67D" w14:textId="77777777" w:rsidR="00B763FA" w:rsidRPr="003E75E2" w:rsidRDefault="00B763FA" w:rsidP="00B763FA">
            <w:pPr>
              <w:pStyle w:val="Normaltabletext1stpararight"/>
              <w:spacing w:line="240" w:lineRule="auto"/>
              <w:jc w:val="left"/>
              <w:rPr>
                <w:rFonts w:cstheme="minorHAnsi"/>
                <w:color w:val="414042" w:themeColor="text1"/>
                <w:szCs w:val="20"/>
              </w:rPr>
            </w:pPr>
          </w:p>
        </w:tc>
        <w:tc>
          <w:tcPr>
            <w:tcW w:w="1134" w:type="dxa"/>
            <w:tcBorders>
              <w:top w:val="nil"/>
              <w:bottom w:val="nil"/>
            </w:tcBorders>
            <w:shd w:val="clear" w:color="auto" w:fill="F1F1F2" w:themeFill="accent5" w:themeFillTint="33"/>
            <w:noWrap/>
            <w:tcMar>
              <w:left w:w="0" w:type="dxa"/>
              <w:right w:w="113" w:type="dxa"/>
            </w:tcMar>
            <w:vAlign w:val="bottom"/>
          </w:tcPr>
          <w:p w14:paraId="05C77A1D" w14:textId="77777777" w:rsidR="00B763FA" w:rsidRPr="003E75E2" w:rsidRDefault="00B763FA" w:rsidP="00B763FA">
            <w:pPr>
              <w:pStyle w:val="Normaltabletext1stpararight"/>
              <w:spacing w:line="240" w:lineRule="auto"/>
              <w:rPr>
                <w:rFonts w:cstheme="minorHAnsi"/>
                <w:color w:val="414042" w:themeColor="text1"/>
                <w:szCs w:val="20"/>
                <w:lang w:eastAsia="en-AU"/>
              </w:rPr>
            </w:pPr>
          </w:p>
        </w:tc>
        <w:tc>
          <w:tcPr>
            <w:tcW w:w="283" w:type="dxa"/>
            <w:tcBorders>
              <w:top w:val="nil"/>
              <w:bottom w:val="nil"/>
            </w:tcBorders>
            <w:noWrap/>
            <w:tcMar>
              <w:left w:w="0" w:type="dxa"/>
              <w:right w:w="0" w:type="dxa"/>
            </w:tcMar>
            <w:vAlign w:val="bottom"/>
          </w:tcPr>
          <w:p w14:paraId="50A44FB3" w14:textId="77777777" w:rsidR="00B763FA" w:rsidRPr="003E75E2" w:rsidRDefault="00B763FA" w:rsidP="00B763FA">
            <w:pPr>
              <w:pStyle w:val="Normaltabletextcentred"/>
              <w:spacing w:line="240" w:lineRule="auto"/>
              <w:rPr>
                <w:rFonts w:cstheme="minorHAnsi"/>
                <w:color w:val="414042" w:themeColor="text1"/>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4A926376" w14:textId="77777777" w:rsidR="00B763FA" w:rsidRPr="003E75E2" w:rsidRDefault="00B763FA" w:rsidP="00B763FA">
            <w:pPr>
              <w:pStyle w:val="Normaltabletext1stpararight"/>
              <w:spacing w:line="240" w:lineRule="auto"/>
              <w:rPr>
                <w:rFonts w:cstheme="minorHAnsi"/>
                <w:color w:val="414042" w:themeColor="text1"/>
                <w:szCs w:val="20"/>
                <w:lang w:eastAsia="en-AU"/>
              </w:rPr>
            </w:pPr>
          </w:p>
        </w:tc>
      </w:tr>
      <w:tr w:rsidR="00B763FA" w:rsidRPr="003E75E2" w14:paraId="1DCF866F" w14:textId="77777777" w:rsidTr="00B721B7">
        <w:trPr>
          <w:trHeight w:val="20"/>
        </w:trPr>
        <w:tc>
          <w:tcPr>
            <w:tcW w:w="6663" w:type="dxa"/>
            <w:gridSpan w:val="3"/>
            <w:tcBorders>
              <w:top w:val="nil"/>
              <w:left w:val="nil"/>
              <w:bottom w:val="nil"/>
            </w:tcBorders>
            <w:vAlign w:val="bottom"/>
          </w:tcPr>
          <w:p w14:paraId="7D5E92ED" w14:textId="77777777" w:rsidR="00B763FA" w:rsidRPr="003E75E2" w:rsidRDefault="00B763FA" w:rsidP="00B763FA">
            <w:pPr>
              <w:pStyle w:val="Normaltabletextleft"/>
              <w:spacing w:line="240" w:lineRule="auto"/>
              <w:rPr>
                <w:rFonts w:cstheme="minorHAnsi"/>
                <w:color w:val="414042" w:themeColor="text1"/>
                <w:szCs w:val="20"/>
                <w:lang w:eastAsia="en-AU"/>
              </w:rPr>
            </w:pPr>
            <w:r w:rsidRPr="003E75E2">
              <w:rPr>
                <w:rFonts w:cstheme="minorHAnsi"/>
                <w:b/>
                <w:color w:val="414042" w:themeColor="text1"/>
                <w:szCs w:val="20"/>
                <w:lang w:eastAsia="en-AU"/>
              </w:rPr>
              <w:t>Other Contributions – Services Received Below Fair Value (Note 6)</w:t>
            </w:r>
          </w:p>
        </w:tc>
        <w:tc>
          <w:tcPr>
            <w:tcW w:w="1134" w:type="dxa"/>
            <w:tcBorders>
              <w:top w:val="nil"/>
              <w:bottom w:val="nil"/>
            </w:tcBorders>
            <w:shd w:val="clear" w:color="auto" w:fill="F1F1F2" w:themeFill="accent5" w:themeFillTint="33"/>
            <w:noWrap/>
            <w:tcMar>
              <w:left w:w="0" w:type="dxa"/>
              <w:right w:w="113" w:type="dxa"/>
            </w:tcMar>
            <w:vAlign w:val="bottom"/>
          </w:tcPr>
          <w:p w14:paraId="303794BF" w14:textId="77777777" w:rsidR="00B763FA" w:rsidRPr="003E75E2" w:rsidRDefault="00B763FA" w:rsidP="00B763FA">
            <w:pPr>
              <w:pStyle w:val="Normaltabletext1stpararight"/>
              <w:spacing w:line="240" w:lineRule="auto"/>
              <w:rPr>
                <w:rFonts w:cstheme="minorHAnsi"/>
                <w:color w:val="414042" w:themeColor="text1"/>
                <w:szCs w:val="20"/>
                <w:lang w:eastAsia="en-AU"/>
              </w:rPr>
            </w:pPr>
          </w:p>
        </w:tc>
        <w:tc>
          <w:tcPr>
            <w:tcW w:w="283" w:type="dxa"/>
            <w:tcBorders>
              <w:top w:val="nil"/>
              <w:bottom w:val="nil"/>
            </w:tcBorders>
            <w:noWrap/>
            <w:tcMar>
              <w:left w:w="0" w:type="dxa"/>
              <w:right w:w="0" w:type="dxa"/>
            </w:tcMar>
            <w:vAlign w:val="bottom"/>
          </w:tcPr>
          <w:p w14:paraId="5F522699" w14:textId="77777777" w:rsidR="00B763FA" w:rsidRPr="003E75E2" w:rsidRDefault="00B763FA" w:rsidP="00B763FA">
            <w:pPr>
              <w:pStyle w:val="Normaltabletextcentred"/>
              <w:spacing w:line="240" w:lineRule="auto"/>
              <w:rPr>
                <w:rFonts w:cstheme="minorHAnsi"/>
                <w:color w:val="414042" w:themeColor="text1"/>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6D9F92CC" w14:textId="77777777" w:rsidR="00B763FA" w:rsidRPr="003E75E2" w:rsidRDefault="00B763FA" w:rsidP="00B763FA">
            <w:pPr>
              <w:pStyle w:val="Normaltabletext1stpararight"/>
              <w:spacing w:line="240" w:lineRule="auto"/>
              <w:rPr>
                <w:rFonts w:cstheme="minorHAnsi"/>
                <w:color w:val="414042" w:themeColor="text1"/>
                <w:szCs w:val="20"/>
                <w:lang w:eastAsia="en-AU"/>
              </w:rPr>
            </w:pPr>
          </w:p>
        </w:tc>
      </w:tr>
      <w:tr w:rsidR="00B763FA" w:rsidRPr="003E75E2" w14:paraId="6DB9D1A0" w14:textId="77777777" w:rsidTr="00B721B7">
        <w:trPr>
          <w:trHeight w:val="20"/>
        </w:trPr>
        <w:tc>
          <w:tcPr>
            <w:tcW w:w="6663" w:type="dxa"/>
            <w:gridSpan w:val="3"/>
            <w:tcBorders>
              <w:top w:val="nil"/>
              <w:left w:val="nil"/>
              <w:bottom w:val="nil"/>
            </w:tcBorders>
            <w:vAlign w:val="bottom"/>
          </w:tcPr>
          <w:p w14:paraId="3D652093" w14:textId="77777777" w:rsidR="00B763FA" w:rsidRPr="003E75E2" w:rsidRDefault="00B763FA" w:rsidP="00B763FA">
            <w:pPr>
              <w:pStyle w:val="Normaltabletextleft"/>
              <w:spacing w:line="240" w:lineRule="auto"/>
              <w:rPr>
                <w:rFonts w:cstheme="minorHAnsi"/>
                <w:b/>
                <w:color w:val="414042" w:themeColor="text1"/>
                <w:szCs w:val="20"/>
                <w:lang w:eastAsia="en-AU"/>
              </w:rPr>
            </w:pPr>
            <w:r w:rsidRPr="003E75E2">
              <w:rPr>
                <w:rFonts w:cstheme="minorHAnsi"/>
                <w:color w:val="414042" w:themeColor="text1"/>
                <w:szCs w:val="20"/>
                <w:lang w:eastAsia="en-AU"/>
              </w:rPr>
              <w:t>Queensland State Archives</w:t>
            </w:r>
          </w:p>
        </w:tc>
        <w:tc>
          <w:tcPr>
            <w:tcW w:w="1134" w:type="dxa"/>
            <w:tcBorders>
              <w:top w:val="nil"/>
              <w:bottom w:val="nil"/>
            </w:tcBorders>
            <w:shd w:val="clear" w:color="auto" w:fill="F1F1F2" w:themeFill="accent5" w:themeFillTint="33"/>
            <w:noWrap/>
            <w:tcMar>
              <w:left w:w="0" w:type="dxa"/>
              <w:right w:w="113" w:type="dxa"/>
            </w:tcMar>
            <w:vAlign w:val="bottom"/>
          </w:tcPr>
          <w:p w14:paraId="6B9F6F7B" w14:textId="77777777" w:rsidR="00B763FA" w:rsidRPr="003E75E2" w:rsidRDefault="00B763FA" w:rsidP="00B763FA">
            <w:pPr>
              <w:pStyle w:val="Normaltabletext1stpararight"/>
              <w:spacing w:line="240" w:lineRule="auto"/>
              <w:rPr>
                <w:rFonts w:cstheme="minorHAnsi"/>
                <w:color w:val="414042" w:themeColor="text1"/>
                <w:szCs w:val="20"/>
                <w:lang w:eastAsia="en-AU"/>
              </w:rPr>
            </w:pPr>
            <w:r>
              <w:rPr>
                <w:rFonts w:cstheme="minorHAnsi"/>
                <w:color w:val="414042" w:themeColor="text1"/>
                <w:szCs w:val="20"/>
                <w:lang w:eastAsia="en-AU"/>
              </w:rPr>
              <w:t>166</w:t>
            </w:r>
          </w:p>
        </w:tc>
        <w:tc>
          <w:tcPr>
            <w:tcW w:w="283" w:type="dxa"/>
            <w:tcBorders>
              <w:top w:val="nil"/>
              <w:bottom w:val="nil"/>
            </w:tcBorders>
            <w:noWrap/>
            <w:tcMar>
              <w:left w:w="0" w:type="dxa"/>
              <w:right w:w="0" w:type="dxa"/>
            </w:tcMar>
            <w:vAlign w:val="bottom"/>
          </w:tcPr>
          <w:p w14:paraId="5E84B7D8" w14:textId="77777777" w:rsidR="00B763FA" w:rsidRPr="003E75E2" w:rsidRDefault="00B763FA" w:rsidP="00B763FA">
            <w:pPr>
              <w:pStyle w:val="Normaltabletextcentred"/>
              <w:spacing w:line="240" w:lineRule="auto"/>
              <w:rPr>
                <w:rFonts w:cstheme="minorHAnsi"/>
                <w:color w:val="414042" w:themeColor="text1"/>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248DC48B" w14:textId="77777777" w:rsidR="00B763FA" w:rsidRPr="003E75E2" w:rsidRDefault="00B763FA" w:rsidP="00B763FA">
            <w:pPr>
              <w:pStyle w:val="Normaltabletext1stpararight"/>
              <w:spacing w:line="240" w:lineRule="auto"/>
              <w:rPr>
                <w:rFonts w:cstheme="minorHAnsi"/>
                <w:color w:val="414042" w:themeColor="text1"/>
                <w:szCs w:val="20"/>
                <w:lang w:eastAsia="en-AU"/>
              </w:rPr>
            </w:pPr>
            <w:r w:rsidRPr="003E75E2">
              <w:rPr>
                <w:rFonts w:cstheme="minorHAnsi"/>
                <w:color w:val="414042" w:themeColor="text1"/>
                <w:szCs w:val="20"/>
                <w:lang w:eastAsia="en-AU"/>
              </w:rPr>
              <w:t>135</w:t>
            </w:r>
          </w:p>
        </w:tc>
      </w:tr>
      <w:tr w:rsidR="00B763FA" w:rsidRPr="003E75E2" w14:paraId="591B7791" w14:textId="77777777" w:rsidTr="00B721B7">
        <w:trPr>
          <w:trHeight w:val="20"/>
        </w:trPr>
        <w:tc>
          <w:tcPr>
            <w:tcW w:w="6521" w:type="dxa"/>
            <w:gridSpan w:val="2"/>
            <w:tcBorders>
              <w:top w:val="nil"/>
              <w:left w:val="nil"/>
              <w:bottom w:val="nil"/>
            </w:tcBorders>
          </w:tcPr>
          <w:p w14:paraId="0CABCBC2" w14:textId="77777777" w:rsidR="00B763FA" w:rsidRPr="003E75E2" w:rsidRDefault="00B763FA" w:rsidP="00B763FA">
            <w:pPr>
              <w:pStyle w:val="Normaltabletextleft"/>
              <w:spacing w:line="240" w:lineRule="auto"/>
              <w:rPr>
                <w:rFonts w:cstheme="minorHAnsi"/>
                <w:color w:val="414042" w:themeColor="text1"/>
                <w:szCs w:val="20"/>
                <w:lang w:eastAsia="en-AU"/>
              </w:rPr>
            </w:pPr>
            <w:r w:rsidRPr="003E75E2">
              <w:rPr>
                <w:rFonts w:cstheme="minorHAnsi"/>
                <w:color w:val="414042" w:themeColor="text1"/>
                <w:szCs w:val="20"/>
                <w:lang w:eastAsia="en-AU"/>
              </w:rPr>
              <w:t>Employee costs for police secondments from Queensland Police Service (QPS)²</w:t>
            </w:r>
          </w:p>
        </w:tc>
        <w:tc>
          <w:tcPr>
            <w:tcW w:w="142" w:type="dxa"/>
            <w:tcBorders>
              <w:top w:val="nil"/>
              <w:bottom w:val="nil"/>
            </w:tcBorders>
            <w:noWrap/>
            <w:tcMar>
              <w:left w:w="0" w:type="dxa"/>
              <w:right w:w="0" w:type="dxa"/>
            </w:tcMar>
            <w:vAlign w:val="bottom"/>
          </w:tcPr>
          <w:p w14:paraId="35B482DB" w14:textId="77777777" w:rsidR="00B763FA" w:rsidRPr="003E75E2" w:rsidRDefault="00B763FA" w:rsidP="00B763FA">
            <w:pPr>
              <w:pStyle w:val="Normaltabletextleft"/>
              <w:spacing w:line="240" w:lineRule="auto"/>
              <w:rPr>
                <w:rFonts w:cstheme="minorHAnsi"/>
                <w:b/>
                <w:color w:val="414042" w:themeColor="text1"/>
                <w:szCs w:val="20"/>
                <w:lang w:eastAsia="en-AU"/>
              </w:rPr>
            </w:pPr>
          </w:p>
        </w:tc>
        <w:tc>
          <w:tcPr>
            <w:tcW w:w="1134" w:type="dxa"/>
            <w:tcBorders>
              <w:top w:val="nil"/>
              <w:bottom w:val="single" w:sz="4" w:space="0" w:color="auto"/>
            </w:tcBorders>
            <w:shd w:val="clear" w:color="auto" w:fill="F1F1F2" w:themeFill="accent5" w:themeFillTint="33"/>
            <w:noWrap/>
            <w:tcMar>
              <w:left w:w="0" w:type="dxa"/>
              <w:right w:w="113" w:type="dxa"/>
            </w:tcMar>
            <w:vAlign w:val="bottom"/>
          </w:tcPr>
          <w:p w14:paraId="690CD9EE" w14:textId="77777777" w:rsidR="00B763FA" w:rsidRPr="003E75E2" w:rsidRDefault="00B763FA" w:rsidP="00B763FA">
            <w:pPr>
              <w:pStyle w:val="Normaltabletext1stpararight"/>
              <w:spacing w:line="240" w:lineRule="auto"/>
              <w:rPr>
                <w:rFonts w:cstheme="minorHAnsi"/>
                <w:color w:val="414042" w:themeColor="text1"/>
                <w:szCs w:val="20"/>
                <w:lang w:eastAsia="en-AU"/>
              </w:rPr>
            </w:pPr>
            <w:r>
              <w:rPr>
                <w:rFonts w:cstheme="minorHAnsi"/>
                <w:color w:val="414042" w:themeColor="text1"/>
                <w:szCs w:val="20"/>
                <w:lang w:eastAsia="en-AU"/>
              </w:rPr>
              <w:t>1,375</w:t>
            </w:r>
          </w:p>
        </w:tc>
        <w:tc>
          <w:tcPr>
            <w:tcW w:w="283" w:type="dxa"/>
            <w:tcBorders>
              <w:top w:val="nil"/>
              <w:bottom w:val="nil"/>
            </w:tcBorders>
            <w:noWrap/>
            <w:tcMar>
              <w:left w:w="0" w:type="dxa"/>
              <w:right w:w="0" w:type="dxa"/>
            </w:tcMar>
            <w:vAlign w:val="bottom"/>
          </w:tcPr>
          <w:p w14:paraId="2D117F84" w14:textId="77777777" w:rsidR="00B763FA" w:rsidRPr="003E75E2" w:rsidRDefault="00B763FA" w:rsidP="00B763FA">
            <w:pPr>
              <w:pStyle w:val="Normaltabletextcentred"/>
              <w:spacing w:line="240" w:lineRule="auto"/>
              <w:rPr>
                <w:rFonts w:cstheme="minorHAnsi"/>
                <w:color w:val="414042" w:themeColor="text1"/>
                <w:szCs w:val="20"/>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vAlign w:val="bottom"/>
          </w:tcPr>
          <w:p w14:paraId="1355AEB1" w14:textId="77777777" w:rsidR="00B763FA" w:rsidRPr="003E75E2" w:rsidRDefault="00B763FA" w:rsidP="00B763FA">
            <w:pPr>
              <w:pStyle w:val="Normaltabletext1stpararight"/>
              <w:spacing w:line="240" w:lineRule="auto"/>
              <w:rPr>
                <w:rFonts w:cstheme="minorHAnsi"/>
                <w:color w:val="414042" w:themeColor="text1"/>
                <w:szCs w:val="20"/>
                <w:lang w:eastAsia="en-AU"/>
              </w:rPr>
            </w:pPr>
            <w:r w:rsidRPr="003E75E2">
              <w:rPr>
                <w:rFonts w:cstheme="minorHAnsi"/>
                <w:color w:val="414042" w:themeColor="text1"/>
                <w:szCs w:val="20"/>
                <w:lang w:eastAsia="en-AU"/>
              </w:rPr>
              <w:t>1,110</w:t>
            </w:r>
          </w:p>
        </w:tc>
      </w:tr>
      <w:tr w:rsidR="00B763FA" w:rsidRPr="003E75E2" w14:paraId="618D01CE" w14:textId="77777777" w:rsidTr="00B721B7">
        <w:trPr>
          <w:trHeight w:val="20"/>
        </w:trPr>
        <w:tc>
          <w:tcPr>
            <w:tcW w:w="4029" w:type="dxa"/>
            <w:tcBorders>
              <w:top w:val="nil"/>
              <w:left w:val="nil"/>
              <w:bottom w:val="nil"/>
              <w:right w:val="nil"/>
            </w:tcBorders>
          </w:tcPr>
          <w:p w14:paraId="0DC6E985" w14:textId="77777777" w:rsidR="00B763FA" w:rsidRPr="003E75E2" w:rsidRDefault="00B763FA" w:rsidP="00B763FA">
            <w:pPr>
              <w:pStyle w:val="Normaltabletextleft"/>
              <w:spacing w:line="240" w:lineRule="auto"/>
              <w:rPr>
                <w:rFonts w:cstheme="minorHAnsi"/>
                <w:b/>
                <w:color w:val="414042" w:themeColor="text1"/>
                <w:szCs w:val="20"/>
                <w:lang w:eastAsia="en-AU"/>
              </w:rPr>
            </w:pPr>
          </w:p>
        </w:tc>
        <w:tc>
          <w:tcPr>
            <w:tcW w:w="2492" w:type="dxa"/>
            <w:tcBorders>
              <w:top w:val="nil"/>
              <w:left w:val="nil"/>
              <w:bottom w:val="nil"/>
            </w:tcBorders>
            <w:vAlign w:val="bottom"/>
          </w:tcPr>
          <w:p w14:paraId="22F93FC0" w14:textId="77777777" w:rsidR="00B763FA" w:rsidRPr="003E75E2" w:rsidRDefault="00B763FA" w:rsidP="00B763FA">
            <w:pPr>
              <w:pStyle w:val="Normaltabletextleft"/>
              <w:spacing w:line="240" w:lineRule="auto"/>
              <w:rPr>
                <w:rFonts w:cstheme="minorHAnsi"/>
                <w:b/>
                <w:color w:val="414042" w:themeColor="text1"/>
                <w:szCs w:val="20"/>
                <w:lang w:eastAsia="en-AU"/>
              </w:rPr>
            </w:pPr>
          </w:p>
        </w:tc>
        <w:tc>
          <w:tcPr>
            <w:tcW w:w="142" w:type="dxa"/>
            <w:tcBorders>
              <w:top w:val="nil"/>
              <w:bottom w:val="nil"/>
            </w:tcBorders>
            <w:noWrap/>
            <w:tcMar>
              <w:left w:w="0" w:type="dxa"/>
              <w:right w:w="0" w:type="dxa"/>
            </w:tcMar>
            <w:vAlign w:val="bottom"/>
          </w:tcPr>
          <w:p w14:paraId="4F0F7793" w14:textId="77777777" w:rsidR="00B763FA" w:rsidRPr="003E75E2" w:rsidRDefault="00B763FA" w:rsidP="00B763FA">
            <w:pPr>
              <w:pStyle w:val="Normaltabletextleft"/>
              <w:spacing w:line="240" w:lineRule="auto"/>
              <w:rPr>
                <w:rFonts w:cstheme="minorHAnsi"/>
                <w:b/>
                <w:color w:val="414042" w:themeColor="text1"/>
                <w:szCs w:val="20"/>
                <w:lang w:eastAsia="en-AU"/>
              </w:rPr>
            </w:pPr>
          </w:p>
        </w:tc>
        <w:tc>
          <w:tcPr>
            <w:tcW w:w="1134" w:type="dxa"/>
            <w:tcBorders>
              <w:top w:val="single" w:sz="4" w:space="0" w:color="auto"/>
              <w:bottom w:val="nil"/>
            </w:tcBorders>
            <w:shd w:val="clear" w:color="auto" w:fill="F1F1F2" w:themeFill="accent5" w:themeFillTint="33"/>
            <w:noWrap/>
            <w:tcMar>
              <w:left w:w="0" w:type="dxa"/>
              <w:right w:w="113" w:type="dxa"/>
            </w:tcMar>
            <w:vAlign w:val="bottom"/>
          </w:tcPr>
          <w:p w14:paraId="1F6B1F8A" w14:textId="77777777" w:rsidR="00B763FA" w:rsidRPr="003E75E2" w:rsidRDefault="00B763FA" w:rsidP="00B763FA">
            <w:pPr>
              <w:pStyle w:val="Normaltabletext1stpararight"/>
              <w:spacing w:line="240" w:lineRule="auto"/>
              <w:rPr>
                <w:rFonts w:cstheme="minorHAnsi"/>
                <w:color w:val="414042" w:themeColor="text1"/>
                <w:szCs w:val="20"/>
                <w:lang w:eastAsia="en-AU"/>
              </w:rPr>
            </w:pPr>
            <w:r>
              <w:rPr>
                <w:rFonts w:cstheme="minorHAnsi"/>
                <w:color w:val="414042" w:themeColor="text1"/>
                <w:szCs w:val="20"/>
                <w:lang w:eastAsia="en-AU"/>
              </w:rPr>
              <w:t>1,541</w:t>
            </w:r>
          </w:p>
        </w:tc>
        <w:tc>
          <w:tcPr>
            <w:tcW w:w="283" w:type="dxa"/>
            <w:tcBorders>
              <w:top w:val="nil"/>
              <w:bottom w:val="nil"/>
            </w:tcBorders>
            <w:noWrap/>
            <w:tcMar>
              <w:left w:w="0" w:type="dxa"/>
              <w:right w:w="0" w:type="dxa"/>
            </w:tcMar>
            <w:vAlign w:val="bottom"/>
          </w:tcPr>
          <w:p w14:paraId="6BA5C281" w14:textId="77777777" w:rsidR="00B763FA" w:rsidRPr="003E75E2" w:rsidRDefault="00B763FA" w:rsidP="00B763FA">
            <w:pPr>
              <w:pStyle w:val="Normaltabletextcentred"/>
              <w:spacing w:line="240" w:lineRule="auto"/>
              <w:rPr>
                <w:rFonts w:cstheme="minorHAnsi"/>
                <w:b/>
                <w:color w:val="414042" w:themeColor="text1"/>
                <w:szCs w:val="20"/>
                <w:lang w:eastAsia="en-AU"/>
              </w:rPr>
            </w:pPr>
          </w:p>
        </w:tc>
        <w:tc>
          <w:tcPr>
            <w:tcW w:w="1134" w:type="dxa"/>
            <w:tcBorders>
              <w:top w:val="single" w:sz="4" w:space="0" w:color="auto"/>
              <w:bottom w:val="nil"/>
              <w:right w:val="nil"/>
            </w:tcBorders>
            <w:shd w:val="clear" w:color="auto" w:fill="FFFFFF" w:themeFill="background1"/>
            <w:noWrap/>
            <w:tcMar>
              <w:left w:w="0" w:type="dxa"/>
              <w:right w:w="113" w:type="dxa"/>
            </w:tcMar>
            <w:vAlign w:val="bottom"/>
          </w:tcPr>
          <w:p w14:paraId="5123B2BE" w14:textId="6F4C2D3A" w:rsidR="00B763FA" w:rsidRPr="003E75E2" w:rsidRDefault="00B763FA" w:rsidP="00B763FA">
            <w:pPr>
              <w:pStyle w:val="Normaltabletext1stpararight"/>
              <w:spacing w:line="240" w:lineRule="auto"/>
              <w:rPr>
                <w:rFonts w:cstheme="minorHAnsi"/>
                <w:color w:val="414042" w:themeColor="text1"/>
                <w:szCs w:val="20"/>
                <w:lang w:eastAsia="en-AU"/>
              </w:rPr>
            </w:pPr>
            <w:r w:rsidRPr="003E75E2">
              <w:rPr>
                <w:rFonts w:cstheme="minorHAnsi"/>
                <w:color w:val="414042" w:themeColor="text1"/>
                <w:szCs w:val="20"/>
                <w:lang w:eastAsia="en-AU"/>
              </w:rPr>
              <w:t>1,</w:t>
            </w:r>
            <w:r>
              <w:rPr>
                <w:rFonts w:cstheme="minorHAnsi"/>
                <w:color w:val="414042" w:themeColor="text1"/>
                <w:szCs w:val="20"/>
                <w:lang w:eastAsia="en-AU"/>
              </w:rPr>
              <w:t>302</w:t>
            </w:r>
          </w:p>
        </w:tc>
      </w:tr>
      <w:tr w:rsidR="00B763FA" w:rsidRPr="003E75E2" w14:paraId="17763334" w14:textId="77777777" w:rsidTr="00B721B7">
        <w:trPr>
          <w:trHeight w:val="20"/>
        </w:trPr>
        <w:tc>
          <w:tcPr>
            <w:tcW w:w="4029" w:type="dxa"/>
            <w:tcBorders>
              <w:top w:val="nil"/>
              <w:left w:val="nil"/>
              <w:bottom w:val="nil"/>
              <w:right w:val="nil"/>
            </w:tcBorders>
          </w:tcPr>
          <w:p w14:paraId="798B336B" w14:textId="77777777" w:rsidR="00B763FA" w:rsidRPr="003E75E2" w:rsidRDefault="00B763FA" w:rsidP="00B763FA">
            <w:pPr>
              <w:pStyle w:val="Normaltabletextleft"/>
              <w:spacing w:line="240" w:lineRule="auto"/>
              <w:rPr>
                <w:rFonts w:cstheme="minorHAnsi"/>
                <w:b/>
                <w:color w:val="414042" w:themeColor="text1"/>
                <w:szCs w:val="20"/>
                <w:lang w:eastAsia="en-AU"/>
              </w:rPr>
            </w:pPr>
          </w:p>
        </w:tc>
        <w:tc>
          <w:tcPr>
            <w:tcW w:w="2492" w:type="dxa"/>
            <w:tcBorders>
              <w:top w:val="nil"/>
              <w:left w:val="nil"/>
              <w:bottom w:val="nil"/>
            </w:tcBorders>
            <w:vAlign w:val="bottom"/>
          </w:tcPr>
          <w:p w14:paraId="6C408C2D" w14:textId="77777777" w:rsidR="00B763FA" w:rsidRPr="003E75E2" w:rsidRDefault="00B763FA" w:rsidP="00B763FA">
            <w:pPr>
              <w:pStyle w:val="Normaltabletextleft"/>
              <w:spacing w:line="240" w:lineRule="auto"/>
              <w:rPr>
                <w:rFonts w:cstheme="minorHAnsi"/>
                <w:b/>
                <w:color w:val="414042" w:themeColor="text1"/>
                <w:szCs w:val="20"/>
                <w:lang w:eastAsia="en-AU"/>
              </w:rPr>
            </w:pPr>
          </w:p>
        </w:tc>
        <w:tc>
          <w:tcPr>
            <w:tcW w:w="142" w:type="dxa"/>
            <w:tcBorders>
              <w:top w:val="nil"/>
              <w:bottom w:val="nil"/>
            </w:tcBorders>
            <w:noWrap/>
            <w:tcMar>
              <w:left w:w="0" w:type="dxa"/>
              <w:right w:w="0" w:type="dxa"/>
            </w:tcMar>
            <w:vAlign w:val="bottom"/>
          </w:tcPr>
          <w:p w14:paraId="034E8161" w14:textId="77777777" w:rsidR="00B763FA" w:rsidRPr="003E75E2" w:rsidRDefault="00B763FA" w:rsidP="00B763FA">
            <w:pPr>
              <w:pStyle w:val="Normaltabletextleft"/>
              <w:spacing w:line="240" w:lineRule="auto"/>
              <w:rPr>
                <w:rFonts w:cstheme="minorHAnsi"/>
                <w:b/>
                <w:color w:val="414042" w:themeColor="text1"/>
                <w:szCs w:val="20"/>
                <w:lang w:eastAsia="en-AU"/>
              </w:rPr>
            </w:pPr>
          </w:p>
        </w:tc>
        <w:tc>
          <w:tcPr>
            <w:tcW w:w="1134" w:type="dxa"/>
            <w:tcBorders>
              <w:top w:val="nil"/>
              <w:bottom w:val="single" w:sz="4" w:space="0" w:color="auto"/>
            </w:tcBorders>
            <w:shd w:val="clear" w:color="auto" w:fill="F1F1F2" w:themeFill="accent5" w:themeFillTint="33"/>
            <w:noWrap/>
            <w:tcMar>
              <w:left w:w="0" w:type="dxa"/>
              <w:right w:w="113" w:type="dxa"/>
            </w:tcMar>
            <w:vAlign w:val="bottom"/>
          </w:tcPr>
          <w:p w14:paraId="75C6106C" w14:textId="77777777" w:rsidR="00B763FA" w:rsidRPr="003E75E2" w:rsidRDefault="00B763FA" w:rsidP="00B763FA">
            <w:pPr>
              <w:pStyle w:val="Normaltabletext1stpararight"/>
              <w:spacing w:line="240" w:lineRule="auto"/>
              <w:jc w:val="center"/>
              <w:rPr>
                <w:rFonts w:cstheme="minorHAnsi"/>
                <w:b/>
                <w:color w:val="414042" w:themeColor="text1"/>
                <w:szCs w:val="20"/>
                <w:lang w:eastAsia="en-AU"/>
              </w:rPr>
            </w:pPr>
          </w:p>
        </w:tc>
        <w:tc>
          <w:tcPr>
            <w:tcW w:w="283" w:type="dxa"/>
            <w:tcBorders>
              <w:top w:val="nil"/>
              <w:bottom w:val="nil"/>
            </w:tcBorders>
            <w:noWrap/>
            <w:tcMar>
              <w:left w:w="0" w:type="dxa"/>
              <w:right w:w="0" w:type="dxa"/>
            </w:tcMar>
            <w:vAlign w:val="bottom"/>
          </w:tcPr>
          <w:p w14:paraId="4A70E331" w14:textId="77777777" w:rsidR="00B763FA" w:rsidRPr="003E75E2" w:rsidRDefault="00B763FA" w:rsidP="00B763FA">
            <w:pPr>
              <w:pStyle w:val="Normaltabletextcentred"/>
              <w:spacing w:line="240" w:lineRule="auto"/>
              <w:rPr>
                <w:rFonts w:cstheme="minorHAnsi"/>
                <w:b/>
                <w:color w:val="414042" w:themeColor="text1"/>
                <w:szCs w:val="20"/>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vAlign w:val="bottom"/>
          </w:tcPr>
          <w:p w14:paraId="67C8A531" w14:textId="77777777" w:rsidR="00B763FA" w:rsidRPr="003E75E2" w:rsidRDefault="00B763FA" w:rsidP="00B763FA">
            <w:pPr>
              <w:pStyle w:val="Normaltabletext1stpararight"/>
              <w:spacing w:line="240" w:lineRule="auto"/>
              <w:jc w:val="center"/>
              <w:rPr>
                <w:rFonts w:cstheme="minorHAnsi"/>
                <w:b/>
                <w:color w:val="414042" w:themeColor="text1"/>
                <w:szCs w:val="20"/>
                <w:lang w:eastAsia="en-AU"/>
              </w:rPr>
            </w:pPr>
          </w:p>
        </w:tc>
      </w:tr>
      <w:tr w:rsidR="00B763FA" w:rsidRPr="003E75E2" w14:paraId="1DD9E8DE" w14:textId="77777777" w:rsidTr="00B721B7">
        <w:trPr>
          <w:trHeight w:val="20"/>
        </w:trPr>
        <w:tc>
          <w:tcPr>
            <w:tcW w:w="4029" w:type="dxa"/>
            <w:tcBorders>
              <w:top w:val="nil"/>
              <w:left w:val="nil"/>
              <w:bottom w:val="nil"/>
              <w:right w:val="nil"/>
            </w:tcBorders>
          </w:tcPr>
          <w:p w14:paraId="2C9702AC" w14:textId="77777777" w:rsidR="00B763FA" w:rsidRPr="003E75E2" w:rsidRDefault="00B763FA" w:rsidP="00B763FA">
            <w:pPr>
              <w:pStyle w:val="Normaltabletextleft"/>
              <w:spacing w:line="240" w:lineRule="auto"/>
              <w:rPr>
                <w:rFonts w:cstheme="minorHAnsi"/>
                <w:b/>
                <w:color w:val="414042" w:themeColor="text1"/>
                <w:szCs w:val="20"/>
                <w:lang w:eastAsia="en-AU"/>
              </w:rPr>
            </w:pPr>
            <w:r w:rsidRPr="003E75E2">
              <w:rPr>
                <w:rFonts w:cstheme="minorHAnsi"/>
                <w:b/>
                <w:color w:val="414042" w:themeColor="text1"/>
                <w:szCs w:val="20"/>
                <w:lang w:eastAsia="en-AU"/>
              </w:rPr>
              <w:t>Total</w:t>
            </w:r>
          </w:p>
        </w:tc>
        <w:tc>
          <w:tcPr>
            <w:tcW w:w="2492" w:type="dxa"/>
            <w:tcBorders>
              <w:top w:val="nil"/>
              <w:left w:val="nil"/>
              <w:bottom w:val="nil"/>
            </w:tcBorders>
            <w:vAlign w:val="bottom"/>
          </w:tcPr>
          <w:p w14:paraId="384E3D7A" w14:textId="77777777" w:rsidR="00B763FA" w:rsidRPr="003E75E2" w:rsidRDefault="00B763FA" w:rsidP="00B763FA">
            <w:pPr>
              <w:pStyle w:val="Normaltabletextleft"/>
              <w:spacing w:line="240" w:lineRule="auto"/>
              <w:rPr>
                <w:rFonts w:cstheme="minorHAnsi"/>
                <w:b/>
                <w:color w:val="414042" w:themeColor="text1"/>
                <w:szCs w:val="20"/>
                <w:lang w:eastAsia="en-AU"/>
              </w:rPr>
            </w:pPr>
          </w:p>
        </w:tc>
        <w:tc>
          <w:tcPr>
            <w:tcW w:w="142" w:type="dxa"/>
            <w:tcBorders>
              <w:top w:val="nil"/>
              <w:bottom w:val="nil"/>
            </w:tcBorders>
            <w:noWrap/>
            <w:tcMar>
              <w:left w:w="0" w:type="dxa"/>
              <w:right w:w="0" w:type="dxa"/>
            </w:tcMar>
            <w:vAlign w:val="bottom"/>
          </w:tcPr>
          <w:p w14:paraId="2C99459E" w14:textId="77777777" w:rsidR="00B763FA" w:rsidRPr="003E75E2" w:rsidRDefault="00B763FA" w:rsidP="00B763FA">
            <w:pPr>
              <w:pStyle w:val="Normaltabletextleft"/>
              <w:spacing w:line="240" w:lineRule="auto"/>
              <w:rPr>
                <w:rFonts w:cstheme="minorHAnsi"/>
                <w:b/>
                <w:color w:val="414042" w:themeColor="text1"/>
                <w:szCs w:val="20"/>
                <w:lang w:eastAsia="en-AU"/>
              </w:rPr>
            </w:pPr>
          </w:p>
        </w:tc>
        <w:tc>
          <w:tcPr>
            <w:tcW w:w="1134" w:type="dxa"/>
            <w:tcBorders>
              <w:top w:val="single" w:sz="4" w:space="0" w:color="auto"/>
              <w:bottom w:val="double" w:sz="4" w:space="0" w:color="auto"/>
            </w:tcBorders>
            <w:shd w:val="clear" w:color="auto" w:fill="F1F1F2" w:themeFill="accent5" w:themeFillTint="33"/>
            <w:noWrap/>
            <w:tcMar>
              <w:left w:w="0" w:type="dxa"/>
              <w:right w:w="113" w:type="dxa"/>
            </w:tcMar>
            <w:vAlign w:val="bottom"/>
          </w:tcPr>
          <w:p w14:paraId="0F107F24" w14:textId="77777777" w:rsidR="00B763FA" w:rsidRPr="003E75E2" w:rsidRDefault="00B763FA" w:rsidP="00B763FA">
            <w:pPr>
              <w:pStyle w:val="Normaltabletext1stpararight"/>
              <w:spacing w:line="240" w:lineRule="auto"/>
              <w:rPr>
                <w:rFonts w:cstheme="minorHAnsi"/>
                <w:b/>
                <w:color w:val="414042" w:themeColor="text1"/>
                <w:szCs w:val="20"/>
                <w:lang w:eastAsia="en-AU"/>
              </w:rPr>
            </w:pPr>
            <w:r>
              <w:rPr>
                <w:rFonts w:cstheme="minorHAnsi"/>
                <w:b/>
                <w:color w:val="414042" w:themeColor="text1"/>
                <w:szCs w:val="20"/>
                <w:lang w:eastAsia="en-AU"/>
              </w:rPr>
              <w:t>70,591</w:t>
            </w:r>
          </w:p>
        </w:tc>
        <w:tc>
          <w:tcPr>
            <w:tcW w:w="283" w:type="dxa"/>
            <w:tcBorders>
              <w:top w:val="nil"/>
              <w:bottom w:val="nil"/>
            </w:tcBorders>
            <w:noWrap/>
            <w:tcMar>
              <w:left w:w="0" w:type="dxa"/>
              <w:right w:w="0" w:type="dxa"/>
            </w:tcMar>
            <w:vAlign w:val="bottom"/>
          </w:tcPr>
          <w:p w14:paraId="06EA3929" w14:textId="77777777" w:rsidR="00B763FA" w:rsidRPr="003E75E2" w:rsidRDefault="00B763FA" w:rsidP="00B763FA">
            <w:pPr>
              <w:pStyle w:val="Normaltabletextcentred"/>
              <w:spacing w:line="240" w:lineRule="auto"/>
              <w:rPr>
                <w:rFonts w:cstheme="minorHAnsi"/>
                <w:b/>
                <w:color w:val="414042" w:themeColor="text1"/>
                <w:szCs w:val="20"/>
                <w:lang w:eastAsia="en-AU"/>
              </w:rPr>
            </w:pPr>
          </w:p>
        </w:tc>
        <w:tc>
          <w:tcPr>
            <w:tcW w:w="1134"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629F8C65" w14:textId="5A2D94DE" w:rsidR="00B763FA" w:rsidRPr="003E75E2" w:rsidRDefault="00B763FA" w:rsidP="00B763FA">
            <w:pPr>
              <w:pStyle w:val="Normaltabletext1stpararight"/>
              <w:spacing w:line="240" w:lineRule="auto"/>
              <w:rPr>
                <w:rFonts w:cstheme="minorHAnsi"/>
                <w:b/>
                <w:color w:val="414042" w:themeColor="text1"/>
                <w:szCs w:val="20"/>
                <w:lang w:eastAsia="en-AU"/>
              </w:rPr>
            </w:pPr>
            <w:r w:rsidRPr="003E75E2">
              <w:rPr>
                <w:rFonts w:cstheme="minorHAnsi"/>
                <w:b/>
                <w:color w:val="414042" w:themeColor="text1"/>
                <w:szCs w:val="20"/>
                <w:lang w:eastAsia="en-AU"/>
              </w:rPr>
              <w:t>6</w:t>
            </w:r>
            <w:r>
              <w:rPr>
                <w:rFonts w:cstheme="minorHAnsi"/>
                <w:b/>
                <w:color w:val="414042" w:themeColor="text1"/>
                <w:szCs w:val="20"/>
                <w:lang w:eastAsia="en-AU"/>
              </w:rPr>
              <w:t>8,347</w:t>
            </w:r>
          </w:p>
        </w:tc>
      </w:tr>
      <w:tr w:rsidR="00AB33EC" w:rsidRPr="003E75E2" w14:paraId="012261E3" w14:textId="77777777" w:rsidTr="00B721B7">
        <w:trPr>
          <w:trHeight w:val="20"/>
        </w:trPr>
        <w:tc>
          <w:tcPr>
            <w:tcW w:w="4029" w:type="dxa"/>
            <w:tcBorders>
              <w:top w:val="nil"/>
              <w:left w:val="nil"/>
              <w:bottom w:val="nil"/>
              <w:right w:val="nil"/>
            </w:tcBorders>
          </w:tcPr>
          <w:p w14:paraId="4BC74EE2" w14:textId="77777777" w:rsidR="00AB33EC" w:rsidRPr="003E75E2" w:rsidRDefault="00AB33EC" w:rsidP="00B721B7">
            <w:pPr>
              <w:pStyle w:val="Normaltabletextleft"/>
              <w:spacing w:line="240" w:lineRule="auto"/>
              <w:rPr>
                <w:rFonts w:cstheme="minorHAnsi"/>
                <w:color w:val="414042" w:themeColor="text1"/>
                <w:szCs w:val="20"/>
                <w:lang w:eastAsia="en-AU"/>
              </w:rPr>
            </w:pPr>
          </w:p>
          <w:p w14:paraId="382A23D2" w14:textId="77777777" w:rsidR="00AB33EC" w:rsidRPr="003E75E2" w:rsidRDefault="00AB33EC" w:rsidP="00B721B7">
            <w:pPr>
              <w:pStyle w:val="Normaltabletextleft"/>
              <w:spacing w:line="240" w:lineRule="auto"/>
              <w:rPr>
                <w:rFonts w:cstheme="minorHAnsi"/>
                <w:color w:val="414042" w:themeColor="text1"/>
                <w:szCs w:val="20"/>
                <w:lang w:eastAsia="en-AU"/>
              </w:rPr>
            </w:pPr>
          </w:p>
        </w:tc>
        <w:tc>
          <w:tcPr>
            <w:tcW w:w="2492" w:type="dxa"/>
            <w:tcBorders>
              <w:top w:val="nil"/>
              <w:left w:val="nil"/>
              <w:bottom w:val="nil"/>
            </w:tcBorders>
            <w:vAlign w:val="bottom"/>
          </w:tcPr>
          <w:p w14:paraId="43AD0276" w14:textId="77777777" w:rsidR="00AB33EC" w:rsidRPr="003E75E2" w:rsidRDefault="00AB33EC" w:rsidP="00B721B7">
            <w:pPr>
              <w:pStyle w:val="Normaltabletextleft"/>
              <w:spacing w:line="240" w:lineRule="auto"/>
              <w:rPr>
                <w:rFonts w:cstheme="minorHAnsi"/>
                <w:color w:val="414042" w:themeColor="text1"/>
                <w:szCs w:val="20"/>
                <w:lang w:eastAsia="en-AU"/>
              </w:rPr>
            </w:pPr>
          </w:p>
        </w:tc>
        <w:tc>
          <w:tcPr>
            <w:tcW w:w="142" w:type="dxa"/>
            <w:tcBorders>
              <w:top w:val="nil"/>
              <w:bottom w:val="nil"/>
            </w:tcBorders>
            <w:noWrap/>
            <w:tcMar>
              <w:left w:w="0" w:type="dxa"/>
              <w:right w:w="0" w:type="dxa"/>
            </w:tcMar>
            <w:vAlign w:val="bottom"/>
          </w:tcPr>
          <w:p w14:paraId="5F44342B" w14:textId="77777777" w:rsidR="00AB33EC" w:rsidRPr="003E75E2" w:rsidRDefault="00AB33EC" w:rsidP="00B721B7">
            <w:pPr>
              <w:pStyle w:val="Normaltabletextleft"/>
              <w:spacing w:line="240" w:lineRule="auto"/>
              <w:rPr>
                <w:rFonts w:cstheme="minorHAnsi"/>
                <w:b/>
                <w:color w:val="414042" w:themeColor="text1"/>
                <w:szCs w:val="20"/>
                <w:lang w:eastAsia="en-AU"/>
              </w:rPr>
            </w:pPr>
          </w:p>
        </w:tc>
        <w:tc>
          <w:tcPr>
            <w:tcW w:w="1134" w:type="dxa"/>
            <w:tcBorders>
              <w:top w:val="double" w:sz="4" w:space="0" w:color="auto"/>
              <w:bottom w:val="nil"/>
            </w:tcBorders>
            <w:shd w:val="clear" w:color="auto" w:fill="auto"/>
            <w:noWrap/>
            <w:tcMar>
              <w:left w:w="0" w:type="dxa"/>
              <w:right w:w="113" w:type="dxa"/>
            </w:tcMar>
            <w:vAlign w:val="bottom"/>
          </w:tcPr>
          <w:p w14:paraId="56924484" w14:textId="77777777" w:rsidR="00AB33EC" w:rsidRPr="003E75E2" w:rsidRDefault="00AB33EC" w:rsidP="00B721B7">
            <w:pPr>
              <w:pStyle w:val="Normaltabletext1stpararight"/>
              <w:spacing w:line="240" w:lineRule="auto"/>
              <w:rPr>
                <w:rFonts w:cstheme="minorHAnsi"/>
                <w:color w:val="414042" w:themeColor="text1"/>
                <w:szCs w:val="20"/>
                <w:lang w:eastAsia="en-AU"/>
              </w:rPr>
            </w:pPr>
          </w:p>
        </w:tc>
        <w:tc>
          <w:tcPr>
            <w:tcW w:w="283" w:type="dxa"/>
            <w:tcBorders>
              <w:top w:val="nil"/>
              <w:bottom w:val="nil"/>
            </w:tcBorders>
            <w:noWrap/>
            <w:tcMar>
              <w:left w:w="0" w:type="dxa"/>
              <w:right w:w="0" w:type="dxa"/>
            </w:tcMar>
            <w:vAlign w:val="bottom"/>
          </w:tcPr>
          <w:p w14:paraId="445B4F33" w14:textId="77777777" w:rsidR="00AB33EC" w:rsidRPr="003E75E2" w:rsidRDefault="00AB33EC" w:rsidP="00B721B7">
            <w:pPr>
              <w:pStyle w:val="Normaltabletextcentred"/>
              <w:spacing w:line="240" w:lineRule="auto"/>
              <w:rPr>
                <w:rFonts w:cstheme="minorHAnsi"/>
                <w:color w:val="414042" w:themeColor="text1"/>
                <w:szCs w:val="20"/>
                <w:lang w:eastAsia="en-AU"/>
              </w:rPr>
            </w:pPr>
          </w:p>
        </w:tc>
        <w:tc>
          <w:tcPr>
            <w:tcW w:w="1134" w:type="dxa"/>
            <w:tcBorders>
              <w:top w:val="double" w:sz="4" w:space="0" w:color="auto"/>
              <w:bottom w:val="nil"/>
              <w:right w:val="nil"/>
            </w:tcBorders>
            <w:noWrap/>
            <w:tcMar>
              <w:left w:w="0" w:type="dxa"/>
              <w:right w:w="113" w:type="dxa"/>
            </w:tcMar>
            <w:vAlign w:val="bottom"/>
          </w:tcPr>
          <w:p w14:paraId="7DFA29CC" w14:textId="77777777" w:rsidR="00AB33EC" w:rsidRPr="003E75E2" w:rsidRDefault="00AB33EC" w:rsidP="00B721B7">
            <w:pPr>
              <w:pStyle w:val="Normaltabletext1stpararight"/>
              <w:spacing w:line="240" w:lineRule="auto"/>
              <w:rPr>
                <w:rFonts w:cstheme="minorHAnsi"/>
                <w:color w:val="414042" w:themeColor="text1"/>
                <w:szCs w:val="20"/>
                <w:lang w:eastAsia="en-AU"/>
              </w:rPr>
            </w:pPr>
          </w:p>
        </w:tc>
      </w:tr>
    </w:tbl>
    <w:p w14:paraId="1F11EECC" w14:textId="77777777" w:rsidR="00AB33EC" w:rsidRPr="00681C18" w:rsidRDefault="00AB33EC" w:rsidP="0037124B">
      <w:pPr>
        <w:pStyle w:val="Noteswithhangingindent"/>
        <w:spacing w:line="240" w:lineRule="auto"/>
        <w:rPr>
          <w:rFonts w:cstheme="minorHAnsi"/>
        </w:rPr>
      </w:pPr>
      <w:r w:rsidRPr="003E75E2">
        <w:rPr>
          <w:rFonts w:cstheme="minorHAnsi"/>
          <w:vertAlign w:val="superscript"/>
        </w:rPr>
        <w:t>1</w:t>
      </w:r>
      <w:r w:rsidRPr="003E75E2">
        <w:rPr>
          <w:rFonts w:cstheme="minorHAnsi"/>
        </w:rPr>
        <w:tab/>
      </w:r>
      <w:r w:rsidRPr="00681C18">
        <w:rPr>
          <w:rFonts w:cstheme="minorHAnsi"/>
        </w:rPr>
        <w:t>The CCC is funded by parliamentary appropriations for the provision of its outputs. These appropriations are received by the Department of Justice and Attorney-General (DJAG) and forwarded to the CCC on a quarterly basis in the form of a grant.</w:t>
      </w:r>
    </w:p>
    <w:p w14:paraId="0E02DDD5" w14:textId="77777777" w:rsidR="00AB33EC" w:rsidRPr="003E75E2" w:rsidRDefault="00AB33EC" w:rsidP="0037124B">
      <w:pPr>
        <w:pStyle w:val="Noteswithhangingindent"/>
        <w:spacing w:line="240" w:lineRule="auto"/>
        <w:rPr>
          <w:rFonts w:cstheme="minorHAnsi"/>
        </w:rPr>
      </w:pPr>
      <w:r w:rsidRPr="00681C18">
        <w:rPr>
          <w:rFonts w:cstheme="minorHAnsi"/>
        </w:rPr>
        <w:t>²</w:t>
      </w:r>
      <w:r w:rsidRPr="00681C18">
        <w:rPr>
          <w:rFonts w:cstheme="minorHAnsi"/>
        </w:rPr>
        <w:tab/>
        <w:t>As at 30 June 202</w:t>
      </w:r>
      <w:r>
        <w:rPr>
          <w:rFonts w:cstheme="minorHAnsi"/>
        </w:rPr>
        <w:t>4</w:t>
      </w:r>
      <w:r w:rsidRPr="00681C18">
        <w:rPr>
          <w:rFonts w:cstheme="minorHAnsi"/>
        </w:rPr>
        <w:t>, 8 police FTEs were seconded to the CCC from the QPS and paid for by the QPS (202</w:t>
      </w:r>
      <w:r>
        <w:rPr>
          <w:rFonts w:cstheme="minorHAnsi"/>
        </w:rPr>
        <w:t>3</w:t>
      </w:r>
      <w:r w:rsidRPr="00681C18">
        <w:rPr>
          <w:rFonts w:cstheme="minorHAnsi"/>
        </w:rPr>
        <w:t>: 8 police FTEs seconded).</w:t>
      </w:r>
      <w:r w:rsidRPr="003E75E2">
        <w:rPr>
          <w:rFonts w:cstheme="minorHAnsi"/>
        </w:rPr>
        <w:t xml:space="preserve"> </w:t>
      </w:r>
    </w:p>
    <w:p w14:paraId="1F04EB91" w14:textId="77777777" w:rsidR="00AB33EC" w:rsidRPr="003E75E2" w:rsidRDefault="00AB33EC" w:rsidP="00AB33EC">
      <w:pPr>
        <w:spacing w:line="260" w:lineRule="exact"/>
        <w:rPr>
          <w:rFonts w:asciiTheme="minorHAnsi" w:hAnsiTheme="minorHAnsi" w:cstheme="minorHAnsi"/>
          <w:color w:val="414042" w:themeColor="text1"/>
        </w:rPr>
      </w:pPr>
      <w:r w:rsidRPr="003E75E2">
        <w:rPr>
          <w:rFonts w:asciiTheme="minorHAnsi" w:hAnsiTheme="minorHAnsi" w:cstheme="minorHAnsi"/>
          <w:color w:val="414042" w:themeColor="text1"/>
        </w:rPr>
        <w:br w:type="page"/>
      </w:r>
    </w:p>
    <w:p w14:paraId="1ACDD7D5" w14:textId="77777777" w:rsidR="00AB33EC" w:rsidRPr="003E75E2" w:rsidRDefault="00AB33EC" w:rsidP="0037124B">
      <w:pPr>
        <w:pStyle w:val="Normal115pttext"/>
        <w:spacing w:line="480" w:lineRule="auto"/>
        <w:rPr>
          <w:rFonts w:cstheme="minorHAnsi"/>
          <w:color w:val="414042" w:themeColor="text1"/>
        </w:rPr>
      </w:pPr>
      <w:r w:rsidRPr="003E75E2">
        <w:rPr>
          <w:rFonts w:cstheme="minorHAnsi"/>
          <w:color w:val="414042" w:themeColor="text1"/>
        </w:rPr>
        <w:t>Note 3:  Employee Expenses</w:t>
      </w:r>
    </w:p>
    <w:p w14:paraId="65DDC069" w14:textId="77777777" w:rsidR="00AB33EC" w:rsidRPr="003E75E2" w:rsidRDefault="00AB33EC" w:rsidP="0037124B">
      <w:pPr>
        <w:pStyle w:val="Policyheading"/>
        <w:spacing w:line="240" w:lineRule="auto"/>
        <w:rPr>
          <w:rFonts w:cstheme="minorHAnsi"/>
          <w:color w:val="414042" w:themeColor="text1"/>
          <w:sz w:val="22"/>
          <w:szCs w:val="22"/>
        </w:rPr>
      </w:pPr>
      <w:r w:rsidRPr="003E75E2">
        <w:rPr>
          <w:rFonts w:cstheme="minorHAnsi"/>
          <w:color w:val="414042" w:themeColor="text1"/>
          <w:sz w:val="22"/>
          <w:szCs w:val="22"/>
        </w:rPr>
        <w:t>Accounting Policy:</w:t>
      </w:r>
    </w:p>
    <w:p w14:paraId="072B5CEB" w14:textId="77777777" w:rsidR="00AB33EC" w:rsidRPr="003E75E2" w:rsidRDefault="00AB33EC" w:rsidP="0037124B">
      <w:pPr>
        <w:pStyle w:val="Policy1stpara"/>
        <w:spacing w:line="240" w:lineRule="auto"/>
        <w:rPr>
          <w:rFonts w:cstheme="minorHAnsi"/>
          <w:color w:val="414042" w:themeColor="text1"/>
        </w:rPr>
      </w:pPr>
      <w:r w:rsidRPr="003E75E2">
        <w:rPr>
          <w:rFonts w:cstheme="minorHAnsi"/>
          <w:b/>
          <w:i/>
          <w:color w:val="414042" w:themeColor="text1"/>
        </w:rPr>
        <w:t>Wages, Salaries and Sick Leave</w:t>
      </w:r>
      <w:r w:rsidRPr="003E75E2">
        <w:rPr>
          <w:rFonts w:cstheme="minorHAnsi"/>
          <w:i/>
          <w:color w:val="414042" w:themeColor="text1"/>
        </w:rPr>
        <w:t xml:space="preserve"> – </w:t>
      </w:r>
      <w:r w:rsidRPr="003E75E2">
        <w:rPr>
          <w:rFonts w:cstheme="minorHAnsi"/>
          <w:color w:val="414042" w:themeColor="text1"/>
        </w:rPr>
        <w:t>Salaries and wages due but unpaid at reporting date are recognised as a liability in the Statement of Financial Position. As the CCC expects such liabilities to be wholly settled within 12 months of reporting date, the liabilities are recognised at undiscounted amounts. Refer to Note 13 for balances.</w:t>
      </w:r>
    </w:p>
    <w:p w14:paraId="25985A38" w14:textId="77777777" w:rsidR="00AB33EC" w:rsidRPr="003E75E2" w:rsidRDefault="00AB33EC" w:rsidP="0037124B">
      <w:pPr>
        <w:pStyle w:val="Policyfollowingparas"/>
        <w:spacing w:line="240" w:lineRule="auto"/>
        <w:rPr>
          <w:rFonts w:cstheme="minorHAnsi"/>
          <w:color w:val="414042" w:themeColor="text1"/>
        </w:rPr>
      </w:pPr>
      <w:r w:rsidRPr="003E75E2">
        <w:rPr>
          <w:rFonts w:cstheme="minorHAnsi"/>
          <w:color w:val="414042" w:themeColor="text1"/>
        </w:rPr>
        <w:t>Prior history indicates that on average, sick leave taken each reporting period is less than the entitlement accrued. This is expected to continue in future periods. Accordingly, it is unlikely that existing accumulated entitlements will be used by employees, and no liability for unused sick leave entitlements is recognised. As sick leave is non-vesting, an expense is recognised for this leave as it is taken.</w:t>
      </w:r>
    </w:p>
    <w:p w14:paraId="60C9EEAF" w14:textId="77777777" w:rsidR="00AB33EC" w:rsidRPr="003E75E2" w:rsidRDefault="00AB33EC" w:rsidP="0037124B">
      <w:pPr>
        <w:pStyle w:val="Policyfollowingparas"/>
        <w:spacing w:line="240" w:lineRule="auto"/>
        <w:rPr>
          <w:rFonts w:cstheme="minorHAnsi"/>
          <w:color w:val="414042" w:themeColor="text1"/>
        </w:rPr>
      </w:pPr>
    </w:p>
    <w:p w14:paraId="3DD68F55" w14:textId="77777777" w:rsidR="00AB33EC" w:rsidRPr="003E75E2" w:rsidRDefault="00AB33EC" w:rsidP="0037124B">
      <w:pPr>
        <w:pStyle w:val="Policy1stpara"/>
        <w:spacing w:line="240" w:lineRule="auto"/>
        <w:rPr>
          <w:rFonts w:cstheme="minorHAnsi"/>
          <w:color w:val="414042" w:themeColor="text1"/>
        </w:rPr>
      </w:pPr>
      <w:r w:rsidRPr="003E75E2">
        <w:rPr>
          <w:rFonts w:cstheme="minorHAnsi"/>
          <w:b/>
          <w:i/>
          <w:color w:val="414042" w:themeColor="text1"/>
          <w:szCs w:val="19"/>
        </w:rPr>
        <w:t>Annual Leave</w:t>
      </w:r>
      <w:r w:rsidRPr="003E75E2">
        <w:rPr>
          <w:rFonts w:cstheme="minorHAnsi"/>
          <w:b/>
          <w:color w:val="414042" w:themeColor="text1"/>
          <w:szCs w:val="19"/>
        </w:rPr>
        <w:t xml:space="preserve"> – </w:t>
      </w:r>
      <w:r w:rsidRPr="003E75E2">
        <w:rPr>
          <w:rFonts w:cstheme="minorHAnsi"/>
          <w:color w:val="414042" w:themeColor="text1"/>
          <w:szCs w:val="19"/>
        </w:rPr>
        <w:t xml:space="preserve">The CCC became a member of the Queensland Government’s Annual Leave Central Scheme (ALCS) starting 1 July 2018. Under this scheme, a levy is made on the CCC to cover the cost of employees’ annual leave (including leave loading and on-costs). The levies are expensed in the period in which they are payable. Amounts paid to employees for annual leave are claimed from the scheme quarterly in arrears. </w:t>
      </w:r>
      <w:r w:rsidRPr="003E75E2">
        <w:rPr>
          <w:rFonts w:cstheme="minorHAnsi"/>
          <w:color w:val="414042" w:themeColor="text1"/>
        </w:rPr>
        <w:t>Refer to Note 13 for balances.</w:t>
      </w:r>
    </w:p>
    <w:p w14:paraId="6B458EF6" w14:textId="77777777" w:rsidR="00AB33EC" w:rsidRPr="003E75E2" w:rsidRDefault="00AB33EC" w:rsidP="0037124B">
      <w:pPr>
        <w:pStyle w:val="Policy1stpara"/>
        <w:spacing w:line="240" w:lineRule="auto"/>
        <w:rPr>
          <w:rFonts w:cstheme="minorHAnsi"/>
          <w:color w:val="414042" w:themeColor="text1"/>
        </w:rPr>
      </w:pPr>
    </w:p>
    <w:p w14:paraId="668A6076" w14:textId="77777777" w:rsidR="00AB33EC" w:rsidRPr="003E75E2" w:rsidRDefault="00AB33EC" w:rsidP="0037124B">
      <w:pPr>
        <w:pStyle w:val="Policy1stpara"/>
        <w:spacing w:line="240" w:lineRule="auto"/>
        <w:rPr>
          <w:rFonts w:cstheme="minorHAnsi"/>
          <w:color w:val="414042" w:themeColor="text1"/>
        </w:rPr>
      </w:pPr>
      <w:r w:rsidRPr="003E75E2">
        <w:rPr>
          <w:rFonts w:cstheme="minorHAnsi"/>
          <w:b/>
          <w:i/>
          <w:color w:val="414042" w:themeColor="text1"/>
        </w:rPr>
        <w:t xml:space="preserve">Long Service Leave – </w:t>
      </w:r>
      <w:r w:rsidRPr="003E75E2">
        <w:rPr>
          <w:rFonts w:cstheme="minorHAnsi"/>
          <w:color w:val="414042" w:themeColor="text1"/>
        </w:rPr>
        <w:t>Under the Queensland Government’s Long Service Leave Central Scheme, a levy is applied on the CCC to cover the cost of employees’ long service leave. Levies are expensed in the period in which they are payable. Amounts paid to employees for long service leave are claimed from the scheme quarterly in arrears. Refer to Note 13 for balances.</w:t>
      </w:r>
    </w:p>
    <w:p w14:paraId="65A37AB0" w14:textId="77777777" w:rsidR="00AB33EC" w:rsidRPr="003E75E2" w:rsidRDefault="00AB33EC" w:rsidP="0037124B">
      <w:pPr>
        <w:pStyle w:val="Policyfollowingparas"/>
        <w:spacing w:line="240" w:lineRule="auto"/>
        <w:rPr>
          <w:rFonts w:cstheme="minorHAnsi"/>
          <w:i/>
          <w:color w:val="414042" w:themeColor="text1"/>
        </w:rPr>
      </w:pPr>
      <w:r w:rsidRPr="003E75E2">
        <w:rPr>
          <w:rFonts w:cstheme="minorHAnsi"/>
          <w:color w:val="414042" w:themeColor="text1"/>
        </w:rPr>
        <w:t xml:space="preserve">No provision for long service leave is recognised in the CCC’s financial statements, the liability being held on a whole-of-government basis and reported in those financial statements, pursuant to AASB 1049 </w:t>
      </w:r>
      <w:r w:rsidRPr="003E75E2">
        <w:rPr>
          <w:rFonts w:cstheme="minorHAnsi"/>
          <w:i/>
          <w:color w:val="414042" w:themeColor="text1"/>
        </w:rPr>
        <w:t>Whole of Government and General Government Sector Financial Reporting.</w:t>
      </w:r>
    </w:p>
    <w:p w14:paraId="4BA69A63" w14:textId="77777777" w:rsidR="00AB33EC" w:rsidRPr="003E75E2" w:rsidRDefault="00AB33EC" w:rsidP="0037124B">
      <w:pPr>
        <w:pStyle w:val="Policyfollowingparas"/>
        <w:spacing w:line="240" w:lineRule="auto"/>
        <w:rPr>
          <w:rFonts w:cstheme="minorHAnsi"/>
          <w:color w:val="414042" w:themeColor="text1"/>
        </w:rPr>
      </w:pPr>
    </w:p>
    <w:p w14:paraId="517DA9BF" w14:textId="77777777" w:rsidR="00AB33EC" w:rsidRPr="003E75E2" w:rsidRDefault="00AB33EC" w:rsidP="0037124B">
      <w:pPr>
        <w:pStyle w:val="Policy1stpara"/>
        <w:spacing w:line="240" w:lineRule="auto"/>
        <w:rPr>
          <w:rFonts w:cstheme="minorHAnsi"/>
          <w:color w:val="414042" w:themeColor="text1"/>
        </w:rPr>
      </w:pPr>
      <w:r w:rsidRPr="003E75E2">
        <w:rPr>
          <w:rFonts w:cstheme="minorHAnsi"/>
          <w:b/>
          <w:i/>
          <w:color w:val="414042" w:themeColor="text1"/>
        </w:rPr>
        <w:t xml:space="preserve">Superannuation – </w:t>
      </w:r>
      <w:r w:rsidRPr="003E75E2">
        <w:rPr>
          <w:rFonts w:cstheme="minorHAnsi"/>
          <w:color w:val="414042" w:themeColor="text1"/>
        </w:rPr>
        <w:t xml:space="preserve">Post-employment benefits for superannuation are provided through defined contribution (accumulation) plans or the Queensland Government’s QSuper defined benefit plan as determined by the employee’s conditions of employment. </w:t>
      </w:r>
    </w:p>
    <w:p w14:paraId="5CE5DFCC" w14:textId="77777777" w:rsidR="00AB33EC" w:rsidRPr="003E75E2" w:rsidRDefault="00AB33EC" w:rsidP="0037124B">
      <w:pPr>
        <w:pStyle w:val="Policy1stpara"/>
        <w:spacing w:line="240" w:lineRule="auto"/>
        <w:rPr>
          <w:rFonts w:cstheme="minorHAnsi"/>
          <w:i/>
          <w:color w:val="414042" w:themeColor="text1"/>
          <w:u w:val="single"/>
        </w:rPr>
      </w:pPr>
    </w:p>
    <w:p w14:paraId="79C78606" w14:textId="77777777" w:rsidR="00AB33EC" w:rsidRPr="003E75E2" w:rsidRDefault="00AB33EC" w:rsidP="0037124B">
      <w:pPr>
        <w:pStyle w:val="Policy1stpara"/>
        <w:spacing w:line="240" w:lineRule="auto"/>
        <w:rPr>
          <w:rFonts w:cstheme="minorHAnsi"/>
          <w:color w:val="414042" w:themeColor="text1"/>
        </w:rPr>
      </w:pPr>
      <w:r w:rsidRPr="003E75E2">
        <w:rPr>
          <w:rFonts w:cstheme="minorHAnsi"/>
          <w:i/>
          <w:color w:val="414042" w:themeColor="text1"/>
          <w:u w:val="single"/>
        </w:rPr>
        <w:t>Defined Contribution Plans</w:t>
      </w:r>
      <w:r w:rsidRPr="003E75E2">
        <w:rPr>
          <w:rFonts w:cstheme="minorHAnsi"/>
          <w:color w:val="414042" w:themeColor="text1"/>
        </w:rPr>
        <w:t xml:space="preserve"> - Contributions are made to eligible complying superannuation funds based on the rates specified in the relevant Enterprise Bargaining Agreement (EBA) or other conditions of employment. Contributions are expensed when they are paid or become payable following completion of the employee’s service each pay period.</w:t>
      </w:r>
    </w:p>
    <w:p w14:paraId="766D8A1D" w14:textId="77777777" w:rsidR="00AB33EC" w:rsidRPr="003E75E2" w:rsidRDefault="00AB33EC" w:rsidP="0037124B">
      <w:pPr>
        <w:pStyle w:val="Policy1stpara"/>
        <w:spacing w:line="240" w:lineRule="auto"/>
        <w:rPr>
          <w:rFonts w:cstheme="minorHAnsi"/>
          <w:color w:val="414042" w:themeColor="text1"/>
        </w:rPr>
      </w:pPr>
    </w:p>
    <w:p w14:paraId="63587724" w14:textId="77777777" w:rsidR="00AB33EC" w:rsidRPr="003E75E2" w:rsidRDefault="00AB33EC" w:rsidP="0037124B">
      <w:pPr>
        <w:pStyle w:val="Policyfollowingparas"/>
        <w:spacing w:line="240" w:lineRule="auto"/>
        <w:rPr>
          <w:rFonts w:cstheme="minorHAnsi"/>
          <w:color w:val="414042" w:themeColor="text1"/>
        </w:rPr>
      </w:pPr>
      <w:r w:rsidRPr="003E75E2">
        <w:rPr>
          <w:rFonts w:cstheme="minorHAnsi"/>
          <w:i/>
          <w:color w:val="414042" w:themeColor="text1"/>
          <w:u w:val="single"/>
        </w:rPr>
        <w:t>Defined Benefit Plan</w:t>
      </w:r>
      <w:r w:rsidRPr="003E75E2">
        <w:rPr>
          <w:rFonts w:cstheme="minorHAnsi"/>
          <w:color w:val="414042" w:themeColor="text1"/>
        </w:rPr>
        <w:t xml:space="preserve"> - The liability for defined benefits is held on a whole-of-government basis and reported in those financial statements pursuant to AASB 1049 </w:t>
      </w:r>
      <w:r w:rsidRPr="003E75E2">
        <w:rPr>
          <w:rFonts w:cstheme="minorHAnsi"/>
          <w:i/>
          <w:color w:val="414042" w:themeColor="text1"/>
        </w:rPr>
        <w:t>Whole of Government and General Government Sector Financial Reporting</w:t>
      </w:r>
      <w:r w:rsidRPr="003E75E2">
        <w:rPr>
          <w:rFonts w:cstheme="minorHAnsi"/>
          <w:color w:val="414042" w:themeColor="text1"/>
        </w:rPr>
        <w:t>. The amount of contributions for defined benefit plan obligations is based upon the rates determined on the advice of the State Actuary. Contributions are paid by the CCC at the specified rate following completion of the employee’s service each pay period. The CCC’s obligations are limited to those contributions paid.</w:t>
      </w:r>
    </w:p>
    <w:p w14:paraId="53DF7C9D" w14:textId="77777777" w:rsidR="00AB33EC" w:rsidRPr="003E75E2" w:rsidRDefault="00AB33EC" w:rsidP="00AB33EC">
      <w:pPr>
        <w:rPr>
          <w:rFonts w:asciiTheme="minorHAnsi" w:hAnsiTheme="minorHAnsi" w:cstheme="minorHAnsi"/>
          <w:color w:val="414042" w:themeColor="text1"/>
        </w:rPr>
      </w:pPr>
    </w:p>
    <w:p w14:paraId="3C89A973" w14:textId="77777777" w:rsidR="00AB33EC" w:rsidRPr="003E75E2" w:rsidRDefault="00AB33EC" w:rsidP="00AB33EC">
      <w:pPr>
        <w:rPr>
          <w:rFonts w:asciiTheme="minorHAnsi" w:hAnsiTheme="minorHAnsi" w:cstheme="minorHAnsi"/>
        </w:rPr>
      </w:pPr>
    </w:p>
    <w:p w14:paraId="08367C7E" w14:textId="77777777" w:rsidR="00AB33EC" w:rsidRPr="003E75E2" w:rsidRDefault="00AB33EC" w:rsidP="00AB33EC">
      <w:pPr>
        <w:rPr>
          <w:rFonts w:asciiTheme="minorHAnsi" w:hAnsiTheme="minorHAnsi" w:cstheme="minorHAnsi"/>
        </w:rPr>
      </w:pPr>
    </w:p>
    <w:p w14:paraId="2D52ADD7" w14:textId="77777777" w:rsidR="00AB33EC" w:rsidRDefault="00AB33EC" w:rsidP="00AB33EC">
      <w:pPr>
        <w:rPr>
          <w:rFonts w:asciiTheme="minorHAnsi" w:hAnsiTheme="minorHAnsi" w:cstheme="minorHAnsi"/>
        </w:rPr>
      </w:pPr>
    </w:p>
    <w:p w14:paraId="0656C1F5" w14:textId="77777777" w:rsidR="00F175C1" w:rsidRPr="003E75E2" w:rsidRDefault="00F175C1" w:rsidP="00AB33EC">
      <w:pPr>
        <w:rPr>
          <w:rFonts w:asciiTheme="minorHAnsi" w:hAnsiTheme="minorHAnsi" w:cstheme="minorHAnsi"/>
        </w:rPr>
      </w:pPr>
    </w:p>
    <w:p w14:paraId="57E3D032" w14:textId="77777777" w:rsidR="00AB33EC" w:rsidRPr="00BA482A" w:rsidRDefault="00AB33EC" w:rsidP="00AB33EC">
      <w:pPr>
        <w:outlineLvl w:val="0"/>
        <w:rPr>
          <w:rFonts w:asciiTheme="minorHAnsi" w:eastAsia="Times New Roman" w:hAnsiTheme="minorHAnsi" w:cstheme="minorHAnsi"/>
          <w:b/>
          <w:color w:val="000000"/>
          <w:sz w:val="23"/>
          <w:szCs w:val="20"/>
        </w:rPr>
      </w:pPr>
      <w:r w:rsidRPr="00BA482A">
        <w:rPr>
          <w:rFonts w:asciiTheme="minorHAnsi" w:eastAsia="Times New Roman" w:hAnsiTheme="minorHAnsi" w:cstheme="minorHAnsi"/>
          <w:b/>
          <w:color w:val="000000"/>
          <w:sz w:val="23"/>
          <w:szCs w:val="20"/>
        </w:rPr>
        <w:t>Note 3:  Employee Expenses (cont’d)</w:t>
      </w:r>
    </w:p>
    <w:p w14:paraId="59B6E5C1" w14:textId="77777777" w:rsidR="00AB33EC" w:rsidRPr="00BA482A" w:rsidRDefault="00AB33EC" w:rsidP="00AB33EC">
      <w:pPr>
        <w:spacing w:before="60"/>
        <w:rPr>
          <w:rFonts w:asciiTheme="minorHAnsi" w:eastAsia="Calibri" w:hAnsiTheme="minorHAnsi" w:cstheme="minorHAnsi"/>
          <w:color w:val="000000"/>
        </w:rPr>
      </w:pPr>
    </w:p>
    <w:tbl>
      <w:tblPr>
        <w:tblW w:w="935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6096"/>
        <w:gridCol w:w="567"/>
        <w:gridCol w:w="1275"/>
        <w:gridCol w:w="283"/>
        <w:gridCol w:w="1134"/>
      </w:tblGrid>
      <w:tr w:rsidR="00AB33EC" w:rsidRPr="003E75E2" w14:paraId="74FEC7EB" w14:textId="77777777" w:rsidTr="00B721B7">
        <w:trPr>
          <w:trHeight w:val="20"/>
        </w:trPr>
        <w:tc>
          <w:tcPr>
            <w:tcW w:w="6096" w:type="dxa"/>
            <w:tcBorders>
              <w:top w:val="nil"/>
              <w:left w:val="nil"/>
              <w:bottom w:val="nil"/>
            </w:tcBorders>
            <w:noWrap/>
            <w:tcMar>
              <w:left w:w="0" w:type="dxa"/>
              <w:right w:w="0" w:type="dxa"/>
            </w:tcMar>
            <w:vAlign w:val="bottom"/>
          </w:tcPr>
          <w:p w14:paraId="589903EA" w14:textId="77777777" w:rsidR="00AB33EC" w:rsidRPr="00BA482A" w:rsidRDefault="00AB33EC" w:rsidP="00B721B7">
            <w:pPr>
              <w:rPr>
                <w:rFonts w:asciiTheme="minorHAnsi" w:eastAsia="Times New Roman" w:hAnsiTheme="minorHAnsi" w:cstheme="minorHAnsi"/>
                <w:b/>
                <w:bCs/>
                <w:color w:val="000000"/>
                <w:szCs w:val="18"/>
                <w:lang w:eastAsia="en-AU"/>
              </w:rPr>
            </w:pPr>
          </w:p>
        </w:tc>
        <w:tc>
          <w:tcPr>
            <w:tcW w:w="567" w:type="dxa"/>
            <w:tcBorders>
              <w:top w:val="nil"/>
              <w:bottom w:val="nil"/>
            </w:tcBorders>
            <w:noWrap/>
            <w:tcMar>
              <w:left w:w="0" w:type="dxa"/>
              <w:right w:w="0" w:type="dxa"/>
            </w:tcMar>
            <w:vAlign w:val="bottom"/>
          </w:tcPr>
          <w:p w14:paraId="013809F1"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275" w:type="dxa"/>
            <w:tcBorders>
              <w:top w:val="nil"/>
              <w:bottom w:val="nil"/>
            </w:tcBorders>
            <w:shd w:val="clear" w:color="auto" w:fill="F1F1F2" w:themeFill="accent5" w:themeFillTint="33"/>
            <w:noWrap/>
            <w:tcMar>
              <w:left w:w="0" w:type="dxa"/>
              <w:right w:w="113" w:type="dxa"/>
            </w:tcMar>
            <w:vAlign w:val="bottom"/>
          </w:tcPr>
          <w:p w14:paraId="5DE22589" w14:textId="77777777" w:rsidR="00AB33EC" w:rsidRPr="00BA482A" w:rsidRDefault="00AB33EC" w:rsidP="00B721B7">
            <w:pPr>
              <w:jc w:val="right"/>
              <w:rPr>
                <w:rFonts w:asciiTheme="minorHAnsi" w:eastAsia="Times New Roman" w:hAnsiTheme="minorHAnsi" w:cstheme="minorHAnsi"/>
                <w:b/>
                <w:bCs/>
                <w:color w:val="000000"/>
                <w:szCs w:val="18"/>
                <w:lang w:eastAsia="en-AU"/>
              </w:rPr>
            </w:pPr>
            <w:r w:rsidRPr="00BA482A">
              <w:rPr>
                <w:rFonts w:asciiTheme="minorHAnsi" w:eastAsia="Times New Roman" w:hAnsiTheme="minorHAnsi" w:cstheme="minorHAnsi"/>
                <w:b/>
                <w:bCs/>
                <w:color w:val="000000"/>
                <w:szCs w:val="18"/>
                <w:lang w:eastAsia="en-AU"/>
              </w:rPr>
              <w:t>202</w:t>
            </w:r>
            <w:r>
              <w:rPr>
                <w:rFonts w:asciiTheme="minorHAnsi" w:eastAsia="Times New Roman" w:hAnsiTheme="minorHAnsi" w:cstheme="minorHAnsi"/>
                <w:b/>
                <w:bCs/>
                <w:color w:val="000000"/>
                <w:szCs w:val="18"/>
                <w:lang w:eastAsia="en-AU"/>
              </w:rPr>
              <w:t>4</w:t>
            </w:r>
          </w:p>
        </w:tc>
        <w:tc>
          <w:tcPr>
            <w:tcW w:w="283" w:type="dxa"/>
            <w:tcBorders>
              <w:top w:val="nil"/>
              <w:bottom w:val="nil"/>
            </w:tcBorders>
            <w:noWrap/>
            <w:tcMar>
              <w:left w:w="0" w:type="dxa"/>
              <w:right w:w="0" w:type="dxa"/>
            </w:tcMar>
            <w:vAlign w:val="bottom"/>
          </w:tcPr>
          <w:p w14:paraId="47C6E172"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134" w:type="dxa"/>
            <w:tcBorders>
              <w:top w:val="nil"/>
              <w:bottom w:val="nil"/>
              <w:right w:val="nil"/>
            </w:tcBorders>
            <w:shd w:val="clear" w:color="auto" w:fill="FFFFFF"/>
            <w:noWrap/>
            <w:tcMar>
              <w:left w:w="0" w:type="dxa"/>
              <w:right w:w="113" w:type="dxa"/>
            </w:tcMar>
            <w:vAlign w:val="bottom"/>
          </w:tcPr>
          <w:p w14:paraId="33C3AE34" w14:textId="77777777" w:rsidR="00AB33EC" w:rsidRPr="00BA482A" w:rsidRDefault="00AB33EC" w:rsidP="00B721B7">
            <w:pPr>
              <w:jc w:val="right"/>
              <w:rPr>
                <w:rFonts w:asciiTheme="minorHAnsi" w:eastAsia="Times New Roman" w:hAnsiTheme="minorHAnsi" w:cstheme="minorHAnsi"/>
                <w:b/>
                <w:bCs/>
                <w:color w:val="000000"/>
                <w:szCs w:val="18"/>
                <w:lang w:eastAsia="en-AU"/>
              </w:rPr>
            </w:pPr>
            <w:r w:rsidRPr="00BA482A">
              <w:rPr>
                <w:rFonts w:asciiTheme="minorHAnsi" w:eastAsia="Times New Roman" w:hAnsiTheme="minorHAnsi" w:cstheme="minorHAnsi"/>
                <w:b/>
                <w:bCs/>
                <w:color w:val="000000"/>
                <w:szCs w:val="18"/>
                <w:lang w:eastAsia="en-AU"/>
              </w:rPr>
              <w:t>202</w:t>
            </w:r>
            <w:r>
              <w:rPr>
                <w:rFonts w:asciiTheme="minorHAnsi" w:eastAsia="Times New Roman" w:hAnsiTheme="minorHAnsi" w:cstheme="minorHAnsi"/>
                <w:b/>
                <w:bCs/>
                <w:color w:val="000000"/>
                <w:szCs w:val="18"/>
                <w:lang w:eastAsia="en-AU"/>
              </w:rPr>
              <w:t>3</w:t>
            </w:r>
          </w:p>
        </w:tc>
      </w:tr>
      <w:tr w:rsidR="00AB33EC" w:rsidRPr="003E75E2" w14:paraId="2E2A1550" w14:textId="77777777" w:rsidTr="00B721B7">
        <w:trPr>
          <w:trHeight w:val="20"/>
        </w:trPr>
        <w:tc>
          <w:tcPr>
            <w:tcW w:w="6096" w:type="dxa"/>
            <w:tcBorders>
              <w:top w:val="nil"/>
              <w:left w:val="nil"/>
              <w:bottom w:val="nil"/>
            </w:tcBorders>
            <w:noWrap/>
            <w:tcMar>
              <w:left w:w="0" w:type="dxa"/>
              <w:right w:w="0" w:type="dxa"/>
            </w:tcMar>
            <w:vAlign w:val="bottom"/>
          </w:tcPr>
          <w:p w14:paraId="6D488A10" w14:textId="77777777" w:rsidR="00AB33EC" w:rsidRPr="00BA482A" w:rsidRDefault="00AB33EC" w:rsidP="00B721B7">
            <w:pPr>
              <w:rPr>
                <w:rFonts w:asciiTheme="minorHAnsi" w:eastAsia="Times New Roman" w:hAnsiTheme="minorHAnsi" w:cstheme="minorHAnsi"/>
                <w:b/>
                <w:bCs/>
                <w:color w:val="000000"/>
                <w:szCs w:val="18"/>
                <w:lang w:eastAsia="en-AU"/>
              </w:rPr>
            </w:pPr>
          </w:p>
        </w:tc>
        <w:tc>
          <w:tcPr>
            <w:tcW w:w="567" w:type="dxa"/>
            <w:tcBorders>
              <w:top w:val="nil"/>
              <w:bottom w:val="nil"/>
            </w:tcBorders>
            <w:noWrap/>
            <w:tcMar>
              <w:left w:w="0" w:type="dxa"/>
              <w:right w:w="0" w:type="dxa"/>
            </w:tcMar>
            <w:vAlign w:val="bottom"/>
          </w:tcPr>
          <w:p w14:paraId="12E58638"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275" w:type="dxa"/>
            <w:tcBorders>
              <w:top w:val="nil"/>
              <w:bottom w:val="nil"/>
            </w:tcBorders>
            <w:shd w:val="clear" w:color="auto" w:fill="F1F1F2" w:themeFill="accent5" w:themeFillTint="33"/>
            <w:noWrap/>
            <w:tcMar>
              <w:left w:w="0" w:type="dxa"/>
              <w:right w:w="113" w:type="dxa"/>
            </w:tcMar>
            <w:vAlign w:val="bottom"/>
          </w:tcPr>
          <w:p w14:paraId="0A5AD64F" w14:textId="77777777" w:rsidR="00AB33EC" w:rsidRPr="00BA482A" w:rsidRDefault="00AB33EC" w:rsidP="00B721B7">
            <w:pPr>
              <w:jc w:val="right"/>
              <w:rPr>
                <w:rFonts w:asciiTheme="minorHAnsi" w:eastAsia="Times New Roman" w:hAnsiTheme="minorHAnsi" w:cstheme="minorHAnsi"/>
                <w:b/>
                <w:bCs/>
                <w:color w:val="000000"/>
                <w:szCs w:val="18"/>
                <w:lang w:eastAsia="en-AU"/>
              </w:rPr>
            </w:pPr>
            <w:r w:rsidRPr="00BA482A">
              <w:rPr>
                <w:rFonts w:asciiTheme="minorHAnsi" w:eastAsia="Times New Roman" w:hAnsiTheme="minorHAnsi" w:cstheme="minorHAnsi"/>
                <w:b/>
                <w:bCs/>
                <w:color w:val="000000"/>
                <w:szCs w:val="18"/>
                <w:lang w:eastAsia="en-AU"/>
              </w:rPr>
              <w:t>$’000</w:t>
            </w:r>
          </w:p>
        </w:tc>
        <w:tc>
          <w:tcPr>
            <w:tcW w:w="283" w:type="dxa"/>
            <w:tcBorders>
              <w:top w:val="nil"/>
              <w:bottom w:val="nil"/>
            </w:tcBorders>
            <w:noWrap/>
            <w:tcMar>
              <w:left w:w="0" w:type="dxa"/>
              <w:right w:w="0" w:type="dxa"/>
            </w:tcMar>
            <w:vAlign w:val="bottom"/>
          </w:tcPr>
          <w:p w14:paraId="59DC3E82"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134" w:type="dxa"/>
            <w:tcBorders>
              <w:top w:val="nil"/>
              <w:bottom w:val="nil"/>
              <w:right w:val="nil"/>
            </w:tcBorders>
            <w:shd w:val="clear" w:color="auto" w:fill="FFFFFF"/>
            <w:noWrap/>
            <w:tcMar>
              <w:left w:w="0" w:type="dxa"/>
              <w:right w:w="113" w:type="dxa"/>
            </w:tcMar>
            <w:vAlign w:val="bottom"/>
          </w:tcPr>
          <w:p w14:paraId="7156E8B3" w14:textId="77777777" w:rsidR="00AB33EC" w:rsidRPr="00BA482A" w:rsidRDefault="00AB33EC" w:rsidP="00B721B7">
            <w:pPr>
              <w:ind w:left="122" w:firstLine="122"/>
              <w:jc w:val="right"/>
              <w:rPr>
                <w:rFonts w:asciiTheme="minorHAnsi" w:eastAsia="Times New Roman" w:hAnsiTheme="minorHAnsi" w:cstheme="minorHAnsi"/>
                <w:b/>
                <w:bCs/>
                <w:color w:val="000000"/>
                <w:szCs w:val="18"/>
                <w:lang w:eastAsia="en-AU"/>
              </w:rPr>
            </w:pPr>
            <w:r w:rsidRPr="00BA482A">
              <w:rPr>
                <w:rFonts w:asciiTheme="minorHAnsi" w:eastAsia="Times New Roman" w:hAnsiTheme="minorHAnsi" w:cstheme="minorHAnsi"/>
                <w:b/>
                <w:bCs/>
                <w:color w:val="000000"/>
                <w:szCs w:val="18"/>
                <w:lang w:eastAsia="en-AU"/>
              </w:rPr>
              <w:t>$’000</w:t>
            </w:r>
          </w:p>
        </w:tc>
      </w:tr>
      <w:tr w:rsidR="00AB33EC" w:rsidRPr="003E75E2" w14:paraId="124F54CF" w14:textId="77777777" w:rsidTr="00B721B7">
        <w:trPr>
          <w:trHeight w:val="20"/>
        </w:trPr>
        <w:tc>
          <w:tcPr>
            <w:tcW w:w="6096" w:type="dxa"/>
            <w:tcBorders>
              <w:top w:val="nil"/>
              <w:left w:val="nil"/>
              <w:bottom w:val="nil"/>
            </w:tcBorders>
            <w:noWrap/>
            <w:tcMar>
              <w:left w:w="0" w:type="dxa"/>
              <w:right w:w="0" w:type="dxa"/>
            </w:tcMar>
            <w:vAlign w:val="bottom"/>
          </w:tcPr>
          <w:p w14:paraId="1F806253" w14:textId="77777777" w:rsidR="00AB33EC" w:rsidRPr="00BA482A" w:rsidRDefault="00AB33EC" w:rsidP="00B721B7">
            <w:pPr>
              <w:rPr>
                <w:rFonts w:asciiTheme="minorHAnsi" w:eastAsia="Times New Roman" w:hAnsiTheme="minorHAnsi" w:cstheme="minorHAnsi"/>
                <w:bCs/>
                <w:color w:val="000000"/>
                <w:szCs w:val="18"/>
                <w:lang w:eastAsia="en-AU"/>
              </w:rPr>
            </w:pPr>
            <w:r w:rsidRPr="00BA482A">
              <w:rPr>
                <w:rFonts w:asciiTheme="minorHAnsi" w:eastAsia="Times New Roman" w:hAnsiTheme="minorHAnsi" w:cstheme="minorHAnsi"/>
                <w:b/>
                <w:bCs/>
                <w:color w:val="000000"/>
                <w:szCs w:val="18"/>
                <w:lang w:eastAsia="en-AU"/>
              </w:rPr>
              <w:t>Employee Benefits</w:t>
            </w:r>
          </w:p>
        </w:tc>
        <w:tc>
          <w:tcPr>
            <w:tcW w:w="567" w:type="dxa"/>
            <w:tcBorders>
              <w:top w:val="nil"/>
              <w:bottom w:val="nil"/>
            </w:tcBorders>
            <w:noWrap/>
            <w:tcMar>
              <w:left w:w="0" w:type="dxa"/>
              <w:right w:w="0" w:type="dxa"/>
            </w:tcMar>
            <w:vAlign w:val="bottom"/>
          </w:tcPr>
          <w:p w14:paraId="1B48CFD7"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275" w:type="dxa"/>
            <w:tcBorders>
              <w:top w:val="nil"/>
              <w:bottom w:val="nil"/>
            </w:tcBorders>
            <w:shd w:val="clear" w:color="auto" w:fill="F1F1F2" w:themeFill="accent5" w:themeFillTint="33"/>
            <w:noWrap/>
            <w:tcMar>
              <w:left w:w="0" w:type="dxa"/>
              <w:right w:w="113" w:type="dxa"/>
            </w:tcMar>
            <w:vAlign w:val="bottom"/>
          </w:tcPr>
          <w:p w14:paraId="535A1BBC" w14:textId="77777777" w:rsidR="00AB33EC" w:rsidRPr="00BA482A" w:rsidRDefault="00AB33EC" w:rsidP="00B721B7">
            <w:pPr>
              <w:jc w:val="right"/>
              <w:rPr>
                <w:rFonts w:asciiTheme="minorHAnsi" w:eastAsia="Times New Roman" w:hAnsiTheme="minorHAnsi" w:cstheme="minorHAnsi"/>
                <w:bCs/>
                <w:color w:val="000000"/>
                <w:szCs w:val="18"/>
                <w:lang w:eastAsia="en-AU"/>
              </w:rPr>
            </w:pPr>
          </w:p>
        </w:tc>
        <w:tc>
          <w:tcPr>
            <w:tcW w:w="283" w:type="dxa"/>
            <w:tcBorders>
              <w:top w:val="nil"/>
              <w:bottom w:val="nil"/>
            </w:tcBorders>
            <w:noWrap/>
            <w:tcMar>
              <w:left w:w="0" w:type="dxa"/>
              <w:right w:w="0" w:type="dxa"/>
            </w:tcMar>
            <w:vAlign w:val="bottom"/>
          </w:tcPr>
          <w:p w14:paraId="42E6D0B7"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134" w:type="dxa"/>
            <w:tcBorders>
              <w:top w:val="nil"/>
              <w:bottom w:val="nil"/>
              <w:right w:val="nil"/>
            </w:tcBorders>
            <w:shd w:val="clear" w:color="auto" w:fill="FFFFFF"/>
            <w:noWrap/>
            <w:tcMar>
              <w:left w:w="0" w:type="dxa"/>
              <w:right w:w="113" w:type="dxa"/>
            </w:tcMar>
            <w:vAlign w:val="bottom"/>
          </w:tcPr>
          <w:p w14:paraId="2BE1D905" w14:textId="77777777" w:rsidR="00AB33EC" w:rsidRPr="00BA482A" w:rsidRDefault="00AB33EC" w:rsidP="00B721B7">
            <w:pPr>
              <w:jc w:val="right"/>
              <w:rPr>
                <w:rFonts w:asciiTheme="minorHAnsi" w:eastAsia="Times New Roman" w:hAnsiTheme="minorHAnsi" w:cstheme="minorHAnsi"/>
                <w:bCs/>
                <w:color w:val="000000"/>
                <w:szCs w:val="18"/>
                <w:lang w:eastAsia="en-AU"/>
              </w:rPr>
            </w:pPr>
          </w:p>
        </w:tc>
      </w:tr>
      <w:tr w:rsidR="00AB33EC" w:rsidRPr="003E75E2" w14:paraId="7DCE615D" w14:textId="77777777" w:rsidTr="00B721B7">
        <w:trPr>
          <w:trHeight w:val="20"/>
        </w:trPr>
        <w:tc>
          <w:tcPr>
            <w:tcW w:w="6096" w:type="dxa"/>
            <w:tcBorders>
              <w:top w:val="nil"/>
              <w:left w:val="nil"/>
              <w:bottom w:val="nil"/>
            </w:tcBorders>
            <w:noWrap/>
            <w:tcMar>
              <w:left w:w="0" w:type="dxa"/>
              <w:right w:w="0" w:type="dxa"/>
            </w:tcMar>
            <w:vAlign w:val="bottom"/>
          </w:tcPr>
          <w:p w14:paraId="08754153" w14:textId="77777777" w:rsidR="00AB33EC" w:rsidRPr="00BA482A" w:rsidRDefault="00AB33EC" w:rsidP="00B721B7">
            <w:pPr>
              <w:rPr>
                <w:rFonts w:asciiTheme="minorHAnsi" w:eastAsia="Times New Roman" w:hAnsiTheme="minorHAnsi" w:cstheme="minorHAnsi"/>
                <w:bCs/>
                <w:color w:val="000000"/>
                <w:szCs w:val="18"/>
                <w:lang w:eastAsia="en-AU"/>
              </w:rPr>
            </w:pPr>
            <w:r w:rsidRPr="00BA482A">
              <w:rPr>
                <w:rFonts w:asciiTheme="minorHAnsi" w:eastAsia="Times New Roman" w:hAnsiTheme="minorHAnsi" w:cstheme="minorHAnsi"/>
                <w:bCs/>
                <w:color w:val="000000"/>
                <w:szCs w:val="18"/>
                <w:lang w:eastAsia="en-AU"/>
              </w:rPr>
              <w:t>Wages and salaries</w:t>
            </w:r>
          </w:p>
        </w:tc>
        <w:tc>
          <w:tcPr>
            <w:tcW w:w="567" w:type="dxa"/>
            <w:tcBorders>
              <w:top w:val="nil"/>
              <w:bottom w:val="nil"/>
            </w:tcBorders>
            <w:noWrap/>
            <w:tcMar>
              <w:left w:w="0" w:type="dxa"/>
              <w:right w:w="0" w:type="dxa"/>
            </w:tcMar>
            <w:vAlign w:val="bottom"/>
          </w:tcPr>
          <w:p w14:paraId="1557C281"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275" w:type="dxa"/>
            <w:tcBorders>
              <w:top w:val="nil"/>
              <w:bottom w:val="nil"/>
            </w:tcBorders>
            <w:shd w:val="clear" w:color="auto" w:fill="F1F1F2" w:themeFill="accent5" w:themeFillTint="33"/>
            <w:noWrap/>
            <w:tcMar>
              <w:left w:w="0" w:type="dxa"/>
              <w:right w:w="113" w:type="dxa"/>
            </w:tcMar>
          </w:tcPr>
          <w:p w14:paraId="62CD8EED" w14:textId="77777777" w:rsidR="00AB33EC" w:rsidRPr="0087354F" w:rsidRDefault="00AB33EC" w:rsidP="00B721B7">
            <w:pPr>
              <w:jc w:val="right"/>
              <w:rPr>
                <w:rFonts w:asciiTheme="minorHAnsi" w:eastAsia="Times New Roman" w:hAnsiTheme="minorHAnsi" w:cstheme="minorHAnsi"/>
                <w:bCs/>
                <w:color w:val="000000"/>
                <w:szCs w:val="20"/>
                <w:lang w:eastAsia="en-AU"/>
              </w:rPr>
            </w:pPr>
            <w:r w:rsidRPr="0087354F">
              <w:rPr>
                <w:szCs w:val="20"/>
              </w:rPr>
              <w:t xml:space="preserve">39,751 </w:t>
            </w:r>
          </w:p>
        </w:tc>
        <w:tc>
          <w:tcPr>
            <w:tcW w:w="283" w:type="dxa"/>
            <w:tcBorders>
              <w:top w:val="nil"/>
              <w:bottom w:val="nil"/>
            </w:tcBorders>
            <w:noWrap/>
            <w:tcMar>
              <w:left w:w="0" w:type="dxa"/>
              <w:right w:w="0" w:type="dxa"/>
            </w:tcMar>
            <w:vAlign w:val="bottom"/>
          </w:tcPr>
          <w:p w14:paraId="02F0FF8E"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134" w:type="dxa"/>
            <w:tcBorders>
              <w:top w:val="nil"/>
              <w:bottom w:val="nil"/>
              <w:right w:val="nil"/>
            </w:tcBorders>
            <w:shd w:val="clear" w:color="auto" w:fill="FFFFFF"/>
            <w:noWrap/>
            <w:tcMar>
              <w:left w:w="0" w:type="dxa"/>
              <w:right w:w="113" w:type="dxa"/>
            </w:tcMar>
            <w:vAlign w:val="bottom"/>
          </w:tcPr>
          <w:p w14:paraId="72889BD0" w14:textId="77777777" w:rsidR="00AB33EC" w:rsidRPr="00BA482A" w:rsidRDefault="00AB33EC" w:rsidP="00B721B7">
            <w:pPr>
              <w:jc w:val="right"/>
              <w:rPr>
                <w:rFonts w:asciiTheme="minorHAnsi" w:eastAsia="Times New Roman" w:hAnsiTheme="minorHAnsi" w:cstheme="minorHAnsi"/>
                <w:bCs/>
                <w:color w:val="000000"/>
                <w:szCs w:val="18"/>
                <w:lang w:eastAsia="en-AU"/>
              </w:rPr>
            </w:pPr>
            <w:r w:rsidRPr="00BA482A">
              <w:rPr>
                <w:rFonts w:asciiTheme="minorHAnsi" w:eastAsia="Times New Roman" w:hAnsiTheme="minorHAnsi" w:cstheme="minorHAnsi"/>
                <w:bCs/>
                <w:color w:val="000000"/>
                <w:szCs w:val="18"/>
                <w:lang w:eastAsia="en-AU"/>
              </w:rPr>
              <w:t>34,550</w:t>
            </w:r>
          </w:p>
        </w:tc>
      </w:tr>
      <w:tr w:rsidR="00AB33EC" w:rsidRPr="003E75E2" w14:paraId="4751E1AC" w14:textId="77777777" w:rsidTr="00B721B7">
        <w:trPr>
          <w:trHeight w:val="20"/>
        </w:trPr>
        <w:tc>
          <w:tcPr>
            <w:tcW w:w="6096" w:type="dxa"/>
            <w:tcBorders>
              <w:top w:val="nil"/>
              <w:left w:val="nil"/>
              <w:bottom w:val="nil"/>
            </w:tcBorders>
            <w:noWrap/>
            <w:tcMar>
              <w:left w:w="0" w:type="dxa"/>
              <w:right w:w="0" w:type="dxa"/>
            </w:tcMar>
            <w:vAlign w:val="bottom"/>
          </w:tcPr>
          <w:p w14:paraId="717A25CB" w14:textId="77777777" w:rsidR="00AB33EC" w:rsidRPr="00BA482A" w:rsidRDefault="00AB33EC" w:rsidP="00B721B7">
            <w:pPr>
              <w:rPr>
                <w:rFonts w:asciiTheme="minorHAnsi" w:eastAsia="Times New Roman" w:hAnsiTheme="minorHAnsi" w:cstheme="minorHAnsi"/>
                <w:bCs/>
                <w:color w:val="000000"/>
                <w:szCs w:val="18"/>
                <w:lang w:eastAsia="en-AU"/>
              </w:rPr>
            </w:pPr>
            <w:r w:rsidRPr="00BA482A">
              <w:rPr>
                <w:rFonts w:asciiTheme="minorHAnsi" w:eastAsia="Times New Roman" w:hAnsiTheme="minorHAnsi" w:cstheme="minorHAnsi"/>
                <w:bCs/>
                <w:color w:val="000000"/>
                <w:szCs w:val="18"/>
                <w:lang w:eastAsia="en-AU"/>
              </w:rPr>
              <w:t>Annual leave levy/expense</w:t>
            </w:r>
          </w:p>
        </w:tc>
        <w:tc>
          <w:tcPr>
            <w:tcW w:w="567" w:type="dxa"/>
            <w:tcBorders>
              <w:top w:val="nil"/>
              <w:bottom w:val="nil"/>
            </w:tcBorders>
            <w:noWrap/>
            <w:tcMar>
              <w:left w:w="0" w:type="dxa"/>
              <w:right w:w="0" w:type="dxa"/>
            </w:tcMar>
            <w:vAlign w:val="bottom"/>
          </w:tcPr>
          <w:p w14:paraId="7608C412"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275" w:type="dxa"/>
            <w:tcBorders>
              <w:top w:val="nil"/>
              <w:bottom w:val="nil"/>
            </w:tcBorders>
            <w:shd w:val="clear" w:color="auto" w:fill="F1F1F2" w:themeFill="accent5" w:themeFillTint="33"/>
            <w:noWrap/>
            <w:tcMar>
              <w:left w:w="0" w:type="dxa"/>
              <w:right w:w="113" w:type="dxa"/>
            </w:tcMar>
          </w:tcPr>
          <w:p w14:paraId="4956D2F6" w14:textId="77777777" w:rsidR="00AB33EC" w:rsidRPr="0087354F" w:rsidRDefault="00AB33EC" w:rsidP="00B721B7">
            <w:pPr>
              <w:jc w:val="right"/>
              <w:rPr>
                <w:rFonts w:asciiTheme="minorHAnsi" w:eastAsia="Times New Roman" w:hAnsiTheme="minorHAnsi" w:cstheme="minorHAnsi"/>
                <w:bCs/>
                <w:color w:val="000000"/>
                <w:szCs w:val="20"/>
                <w:lang w:eastAsia="en-AU"/>
              </w:rPr>
            </w:pPr>
            <w:r w:rsidRPr="0087354F">
              <w:rPr>
                <w:szCs w:val="20"/>
              </w:rPr>
              <w:t xml:space="preserve">2,873 </w:t>
            </w:r>
          </w:p>
        </w:tc>
        <w:tc>
          <w:tcPr>
            <w:tcW w:w="283" w:type="dxa"/>
            <w:tcBorders>
              <w:top w:val="nil"/>
              <w:bottom w:val="nil"/>
            </w:tcBorders>
            <w:noWrap/>
            <w:tcMar>
              <w:left w:w="0" w:type="dxa"/>
              <w:right w:w="0" w:type="dxa"/>
            </w:tcMar>
            <w:vAlign w:val="bottom"/>
          </w:tcPr>
          <w:p w14:paraId="22E7FAEA"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134" w:type="dxa"/>
            <w:tcBorders>
              <w:top w:val="nil"/>
              <w:bottom w:val="nil"/>
              <w:right w:val="nil"/>
            </w:tcBorders>
            <w:shd w:val="clear" w:color="auto" w:fill="FFFFFF"/>
            <w:noWrap/>
            <w:tcMar>
              <w:left w:w="0" w:type="dxa"/>
              <w:right w:w="113" w:type="dxa"/>
            </w:tcMar>
            <w:vAlign w:val="bottom"/>
          </w:tcPr>
          <w:p w14:paraId="3891AACA" w14:textId="77777777" w:rsidR="00AB33EC" w:rsidRPr="00BA482A" w:rsidRDefault="00AB33EC" w:rsidP="00B721B7">
            <w:pPr>
              <w:jc w:val="right"/>
              <w:rPr>
                <w:rFonts w:asciiTheme="minorHAnsi" w:eastAsia="Times New Roman" w:hAnsiTheme="minorHAnsi" w:cstheme="minorHAnsi"/>
                <w:bCs/>
                <w:color w:val="000000"/>
                <w:szCs w:val="18"/>
                <w:lang w:eastAsia="en-AU"/>
              </w:rPr>
            </w:pPr>
            <w:r w:rsidRPr="00BA482A">
              <w:rPr>
                <w:rFonts w:asciiTheme="minorHAnsi" w:eastAsia="Times New Roman" w:hAnsiTheme="minorHAnsi" w:cstheme="minorHAnsi"/>
                <w:bCs/>
                <w:color w:val="000000"/>
                <w:szCs w:val="18"/>
                <w:lang w:eastAsia="en-AU"/>
              </w:rPr>
              <w:t>2,444</w:t>
            </w:r>
          </w:p>
        </w:tc>
      </w:tr>
      <w:tr w:rsidR="00AB33EC" w:rsidRPr="003E75E2" w14:paraId="7AE9D7BC" w14:textId="77777777" w:rsidTr="00B721B7">
        <w:trPr>
          <w:trHeight w:val="20"/>
        </w:trPr>
        <w:tc>
          <w:tcPr>
            <w:tcW w:w="6096" w:type="dxa"/>
            <w:tcBorders>
              <w:top w:val="nil"/>
              <w:left w:val="nil"/>
              <w:bottom w:val="nil"/>
            </w:tcBorders>
            <w:noWrap/>
            <w:tcMar>
              <w:left w:w="0" w:type="dxa"/>
              <w:right w:w="0" w:type="dxa"/>
            </w:tcMar>
            <w:vAlign w:val="bottom"/>
          </w:tcPr>
          <w:p w14:paraId="2B4B589B" w14:textId="77777777" w:rsidR="00AB33EC" w:rsidRPr="00BA482A" w:rsidRDefault="00AB33EC" w:rsidP="00B721B7">
            <w:pPr>
              <w:rPr>
                <w:rFonts w:asciiTheme="minorHAnsi" w:eastAsia="Times New Roman" w:hAnsiTheme="minorHAnsi" w:cstheme="minorHAnsi"/>
                <w:bCs/>
                <w:color w:val="000000"/>
                <w:szCs w:val="18"/>
                <w:lang w:eastAsia="en-AU"/>
              </w:rPr>
            </w:pPr>
            <w:r w:rsidRPr="00BA482A">
              <w:rPr>
                <w:rFonts w:asciiTheme="minorHAnsi" w:eastAsia="Times New Roman" w:hAnsiTheme="minorHAnsi" w:cstheme="minorHAnsi"/>
                <w:bCs/>
                <w:color w:val="000000"/>
                <w:szCs w:val="18"/>
                <w:lang w:eastAsia="en-AU"/>
              </w:rPr>
              <w:t>Long service leave levy/expense</w:t>
            </w:r>
          </w:p>
        </w:tc>
        <w:tc>
          <w:tcPr>
            <w:tcW w:w="567" w:type="dxa"/>
            <w:tcBorders>
              <w:top w:val="nil"/>
              <w:bottom w:val="nil"/>
            </w:tcBorders>
            <w:noWrap/>
            <w:tcMar>
              <w:left w:w="0" w:type="dxa"/>
              <w:right w:w="0" w:type="dxa"/>
            </w:tcMar>
            <w:vAlign w:val="bottom"/>
          </w:tcPr>
          <w:p w14:paraId="0492F2FA"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275" w:type="dxa"/>
            <w:tcBorders>
              <w:top w:val="nil"/>
              <w:bottom w:val="nil"/>
            </w:tcBorders>
            <w:shd w:val="clear" w:color="auto" w:fill="F1F1F2" w:themeFill="accent5" w:themeFillTint="33"/>
            <w:noWrap/>
            <w:tcMar>
              <w:left w:w="0" w:type="dxa"/>
              <w:right w:w="113" w:type="dxa"/>
            </w:tcMar>
          </w:tcPr>
          <w:p w14:paraId="14800AEF" w14:textId="77777777" w:rsidR="00AB33EC" w:rsidRPr="0087354F" w:rsidRDefault="00AB33EC" w:rsidP="00B721B7">
            <w:pPr>
              <w:jc w:val="right"/>
              <w:rPr>
                <w:rFonts w:asciiTheme="minorHAnsi" w:eastAsia="Times New Roman" w:hAnsiTheme="minorHAnsi" w:cstheme="minorHAnsi"/>
                <w:bCs/>
                <w:color w:val="000000"/>
                <w:szCs w:val="20"/>
                <w:lang w:eastAsia="en-AU"/>
              </w:rPr>
            </w:pPr>
            <w:r w:rsidRPr="0087354F">
              <w:rPr>
                <w:szCs w:val="20"/>
              </w:rPr>
              <w:t xml:space="preserve">1,105 </w:t>
            </w:r>
          </w:p>
        </w:tc>
        <w:tc>
          <w:tcPr>
            <w:tcW w:w="283" w:type="dxa"/>
            <w:tcBorders>
              <w:top w:val="nil"/>
              <w:bottom w:val="nil"/>
            </w:tcBorders>
            <w:noWrap/>
            <w:tcMar>
              <w:left w:w="0" w:type="dxa"/>
              <w:right w:w="0" w:type="dxa"/>
            </w:tcMar>
            <w:vAlign w:val="bottom"/>
          </w:tcPr>
          <w:p w14:paraId="0F302973"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134" w:type="dxa"/>
            <w:tcBorders>
              <w:top w:val="nil"/>
              <w:bottom w:val="nil"/>
              <w:right w:val="nil"/>
            </w:tcBorders>
            <w:shd w:val="clear" w:color="auto" w:fill="FFFFFF"/>
            <w:noWrap/>
            <w:tcMar>
              <w:left w:w="0" w:type="dxa"/>
              <w:right w:w="113" w:type="dxa"/>
            </w:tcMar>
            <w:vAlign w:val="bottom"/>
          </w:tcPr>
          <w:p w14:paraId="45B2E436" w14:textId="77777777" w:rsidR="00AB33EC" w:rsidRPr="00BA482A" w:rsidRDefault="00AB33EC" w:rsidP="00B721B7">
            <w:pPr>
              <w:jc w:val="right"/>
              <w:rPr>
                <w:rFonts w:asciiTheme="minorHAnsi" w:eastAsia="Times New Roman" w:hAnsiTheme="minorHAnsi" w:cstheme="minorHAnsi"/>
                <w:bCs/>
                <w:color w:val="000000"/>
                <w:szCs w:val="18"/>
                <w:lang w:eastAsia="en-AU"/>
              </w:rPr>
            </w:pPr>
            <w:r w:rsidRPr="00BA482A">
              <w:rPr>
                <w:rFonts w:asciiTheme="minorHAnsi" w:eastAsia="Times New Roman" w:hAnsiTheme="minorHAnsi" w:cstheme="minorHAnsi"/>
                <w:bCs/>
                <w:color w:val="000000"/>
                <w:szCs w:val="18"/>
                <w:lang w:eastAsia="en-AU"/>
              </w:rPr>
              <w:t>964</w:t>
            </w:r>
          </w:p>
        </w:tc>
      </w:tr>
      <w:tr w:rsidR="00AB33EC" w:rsidRPr="003E75E2" w14:paraId="4F34854D" w14:textId="77777777" w:rsidTr="00B721B7">
        <w:trPr>
          <w:trHeight w:val="20"/>
        </w:trPr>
        <w:tc>
          <w:tcPr>
            <w:tcW w:w="6096" w:type="dxa"/>
            <w:tcBorders>
              <w:top w:val="nil"/>
              <w:left w:val="nil"/>
              <w:bottom w:val="nil"/>
            </w:tcBorders>
            <w:noWrap/>
            <w:tcMar>
              <w:left w:w="0" w:type="dxa"/>
              <w:right w:w="0" w:type="dxa"/>
            </w:tcMar>
            <w:vAlign w:val="bottom"/>
          </w:tcPr>
          <w:p w14:paraId="78064B9E" w14:textId="77777777" w:rsidR="00AB33EC" w:rsidRPr="00BA482A" w:rsidRDefault="00AB33EC" w:rsidP="00B721B7">
            <w:pPr>
              <w:rPr>
                <w:rFonts w:asciiTheme="minorHAnsi" w:eastAsia="Times New Roman" w:hAnsiTheme="minorHAnsi" w:cstheme="minorHAnsi"/>
                <w:bCs/>
                <w:color w:val="000000"/>
                <w:szCs w:val="18"/>
                <w:lang w:eastAsia="en-AU"/>
              </w:rPr>
            </w:pPr>
            <w:r w:rsidRPr="00BA482A">
              <w:rPr>
                <w:rFonts w:asciiTheme="minorHAnsi" w:eastAsia="Times New Roman" w:hAnsiTheme="minorHAnsi" w:cstheme="minorHAnsi"/>
                <w:bCs/>
                <w:color w:val="000000"/>
                <w:szCs w:val="18"/>
                <w:lang w:eastAsia="en-AU"/>
              </w:rPr>
              <w:t>Employer superannuation contributions</w:t>
            </w:r>
          </w:p>
        </w:tc>
        <w:tc>
          <w:tcPr>
            <w:tcW w:w="567" w:type="dxa"/>
            <w:tcBorders>
              <w:top w:val="nil"/>
              <w:bottom w:val="nil"/>
            </w:tcBorders>
            <w:noWrap/>
            <w:tcMar>
              <w:left w:w="0" w:type="dxa"/>
              <w:right w:w="0" w:type="dxa"/>
            </w:tcMar>
            <w:vAlign w:val="bottom"/>
          </w:tcPr>
          <w:p w14:paraId="248FE436"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275" w:type="dxa"/>
            <w:tcBorders>
              <w:top w:val="nil"/>
              <w:bottom w:val="nil"/>
            </w:tcBorders>
            <w:shd w:val="clear" w:color="auto" w:fill="F1F1F2" w:themeFill="accent5" w:themeFillTint="33"/>
            <w:noWrap/>
            <w:tcMar>
              <w:left w:w="0" w:type="dxa"/>
              <w:right w:w="113" w:type="dxa"/>
            </w:tcMar>
          </w:tcPr>
          <w:p w14:paraId="3F32B02D" w14:textId="77777777" w:rsidR="00AB33EC" w:rsidRPr="0087354F" w:rsidRDefault="00AB33EC" w:rsidP="00B721B7">
            <w:pPr>
              <w:jc w:val="right"/>
              <w:rPr>
                <w:rFonts w:asciiTheme="minorHAnsi" w:eastAsia="Times New Roman" w:hAnsiTheme="minorHAnsi" w:cstheme="minorHAnsi"/>
                <w:bCs/>
                <w:color w:val="000000"/>
                <w:szCs w:val="20"/>
                <w:lang w:eastAsia="en-AU"/>
              </w:rPr>
            </w:pPr>
            <w:r w:rsidRPr="0087354F">
              <w:rPr>
                <w:szCs w:val="20"/>
              </w:rPr>
              <w:t xml:space="preserve">6,145 </w:t>
            </w:r>
          </w:p>
        </w:tc>
        <w:tc>
          <w:tcPr>
            <w:tcW w:w="283" w:type="dxa"/>
            <w:tcBorders>
              <w:top w:val="nil"/>
              <w:bottom w:val="nil"/>
            </w:tcBorders>
            <w:noWrap/>
            <w:tcMar>
              <w:left w:w="0" w:type="dxa"/>
              <w:right w:w="0" w:type="dxa"/>
            </w:tcMar>
            <w:vAlign w:val="bottom"/>
          </w:tcPr>
          <w:p w14:paraId="169D8FE8"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134" w:type="dxa"/>
            <w:tcBorders>
              <w:top w:val="nil"/>
              <w:bottom w:val="nil"/>
              <w:right w:val="nil"/>
            </w:tcBorders>
            <w:shd w:val="clear" w:color="auto" w:fill="FFFFFF"/>
            <w:noWrap/>
            <w:tcMar>
              <w:left w:w="0" w:type="dxa"/>
              <w:right w:w="113" w:type="dxa"/>
            </w:tcMar>
            <w:vAlign w:val="bottom"/>
          </w:tcPr>
          <w:p w14:paraId="35A67DCA" w14:textId="77777777" w:rsidR="00AB33EC" w:rsidRPr="00BA482A" w:rsidRDefault="00AB33EC" w:rsidP="00B721B7">
            <w:pPr>
              <w:jc w:val="right"/>
              <w:rPr>
                <w:rFonts w:asciiTheme="minorHAnsi" w:eastAsia="Times New Roman" w:hAnsiTheme="minorHAnsi" w:cstheme="minorHAnsi"/>
                <w:bCs/>
                <w:color w:val="000000"/>
                <w:szCs w:val="18"/>
                <w:lang w:eastAsia="en-AU"/>
              </w:rPr>
            </w:pPr>
            <w:r w:rsidRPr="00BA482A">
              <w:rPr>
                <w:rFonts w:asciiTheme="minorHAnsi" w:eastAsia="Times New Roman" w:hAnsiTheme="minorHAnsi" w:cstheme="minorHAnsi"/>
                <w:bCs/>
                <w:color w:val="000000"/>
                <w:szCs w:val="18"/>
                <w:lang w:eastAsia="en-AU"/>
              </w:rPr>
              <w:t>4,565</w:t>
            </w:r>
          </w:p>
        </w:tc>
      </w:tr>
      <w:tr w:rsidR="00AB33EC" w:rsidRPr="003E75E2" w14:paraId="08165FCB" w14:textId="77777777" w:rsidTr="00B721B7">
        <w:trPr>
          <w:trHeight w:val="20"/>
        </w:trPr>
        <w:tc>
          <w:tcPr>
            <w:tcW w:w="6096" w:type="dxa"/>
            <w:tcBorders>
              <w:top w:val="nil"/>
              <w:left w:val="nil"/>
              <w:bottom w:val="nil"/>
            </w:tcBorders>
            <w:noWrap/>
            <w:tcMar>
              <w:left w:w="0" w:type="dxa"/>
              <w:right w:w="0" w:type="dxa"/>
            </w:tcMar>
            <w:vAlign w:val="bottom"/>
          </w:tcPr>
          <w:p w14:paraId="2CEAA96D" w14:textId="77777777" w:rsidR="00AB33EC" w:rsidRPr="00BA482A" w:rsidRDefault="00AB33EC" w:rsidP="00B721B7">
            <w:pPr>
              <w:rPr>
                <w:rFonts w:asciiTheme="minorHAnsi" w:eastAsia="Times New Roman" w:hAnsiTheme="minorHAnsi" w:cstheme="minorHAnsi"/>
                <w:bCs/>
                <w:color w:val="000000"/>
                <w:szCs w:val="18"/>
                <w:lang w:eastAsia="en-AU"/>
              </w:rPr>
            </w:pPr>
            <w:r w:rsidRPr="00BA482A">
              <w:rPr>
                <w:rFonts w:asciiTheme="minorHAnsi" w:eastAsia="Times New Roman" w:hAnsiTheme="minorHAnsi" w:cstheme="minorHAnsi"/>
                <w:bCs/>
                <w:color w:val="000000"/>
                <w:szCs w:val="18"/>
                <w:lang w:eastAsia="en-AU"/>
              </w:rPr>
              <w:t>Other employee benefits</w:t>
            </w:r>
          </w:p>
        </w:tc>
        <w:tc>
          <w:tcPr>
            <w:tcW w:w="567" w:type="dxa"/>
            <w:tcBorders>
              <w:top w:val="nil"/>
              <w:bottom w:val="nil"/>
            </w:tcBorders>
            <w:noWrap/>
            <w:tcMar>
              <w:left w:w="0" w:type="dxa"/>
              <w:right w:w="0" w:type="dxa"/>
            </w:tcMar>
            <w:vAlign w:val="bottom"/>
          </w:tcPr>
          <w:p w14:paraId="417274E4"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275" w:type="dxa"/>
            <w:tcBorders>
              <w:top w:val="nil"/>
              <w:bottom w:val="nil"/>
            </w:tcBorders>
            <w:shd w:val="clear" w:color="auto" w:fill="F1F1F2" w:themeFill="accent5" w:themeFillTint="33"/>
            <w:noWrap/>
            <w:tcMar>
              <w:left w:w="0" w:type="dxa"/>
              <w:right w:w="113" w:type="dxa"/>
            </w:tcMar>
            <w:vAlign w:val="bottom"/>
          </w:tcPr>
          <w:p w14:paraId="5EFB34CE" w14:textId="77777777" w:rsidR="00AB33EC" w:rsidRPr="0087354F" w:rsidRDefault="00AB33EC" w:rsidP="00B721B7">
            <w:pPr>
              <w:jc w:val="right"/>
              <w:rPr>
                <w:rFonts w:asciiTheme="minorHAnsi" w:eastAsia="Times New Roman" w:hAnsiTheme="minorHAnsi" w:cstheme="minorHAnsi"/>
                <w:bCs/>
                <w:color w:val="000000"/>
                <w:szCs w:val="20"/>
                <w:lang w:eastAsia="en-AU"/>
              </w:rPr>
            </w:pPr>
            <w:r w:rsidRPr="0087354F">
              <w:rPr>
                <w:rFonts w:asciiTheme="minorHAnsi" w:eastAsia="Times New Roman" w:hAnsiTheme="minorHAnsi" w:cstheme="minorHAnsi"/>
                <w:bCs/>
                <w:color w:val="000000"/>
                <w:szCs w:val="20"/>
                <w:lang w:eastAsia="en-AU"/>
              </w:rPr>
              <w:t>170</w:t>
            </w:r>
          </w:p>
        </w:tc>
        <w:tc>
          <w:tcPr>
            <w:tcW w:w="283" w:type="dxa"/>
            <w:tcBorders>
              <w:top w:val="nil"/>
              <w:bottom w:val="nil"/>
            </w:tcBorders>
            <w:noWrap/>
            <w:tcMar>
              <w:left w:w="0" w:type="dxa"/>
              <w:right w:w="0" w:type="dxa"/>
            </w:tcMar>
            <w:vAlign w:val="bottom"/>
          </w:tcPr>
          <w:p w14:paraId="6625A4D7"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134" w:type="dxa"/>
            <w:tcBorders>
              <w:top w:val="nil"/>
              <w:bottom w:val="nil"/>
              <w:right w:val="nil"/>
            </w:tcBorders>
            <w:shd w:val="clear" w:color="auto" w:fill="FFFFFF"/>
            <w:noWrap/>
            <w:tcMar>
              <w:left w:w="0" w:type="dxa"/>
              <w:right w:w="113" w:type="dxa"/>
            </w:tcMar>
            <w:vAlign w:val="bottom"/>
          </w:tcPr>
          <w:p w14:paraId="4D31BC6C" w14:textId="77777777" w:rsidR="00AB33EC" w:rsidRPr="00BA482A" w:rsidRDefault="00AB33EC" w:rsidP="00B721B7">
            <w:pPr>
              <w:jc w:val="right"/>
              <w:rPr>
                <w:rFonts w:asciiTheme="minorHAnsi" w:eastAsia="Times New Roman" w:hAnsiTheme="minorHAnsi" w:cstheme="minorHAnsi"/>
                <w:bCs/>
                <w:color w:val="000000"/>
                <w:szCs w:val="18"/>
                <w:lang w:eastAsia="en-AU"/>
              </w:rPr>
            </w:pPr>
            <w:r w:rsidRPr="00BA482A">
              <w:rPr>
                <w:rFonts w:asciiTheme="minorHAnsi" w:eastAsia="Times New Roman" w:hAnsiTheme="minorHAnsi" w:cstheme="minorHAnsi"/>
                <w:bCs/>
                <w:color w:val="000000"/>
                <w:szCs w:val="18"/>
                <w:lang w:eastAsia="en-AU"/>
              </w:rPr>
              <w:t>133</w:t>
            </w:r>
          </w:p>
        </w:tc>
      </w:tr>
      <w:tr w:rsidR="00AB33EC" w:rsidRPr="003E75E2" w14:paraId="32971D31" w14:textId="77777777" w:rsidTr="00B721B7">
        <w:trPr>
          <w:trHeight w:val="20"/>
        </w:trPr>
        <w:tc>
          <w:tcPr>
            <w:tcW w:w="6096" w:type="dxa"/>
            <w:tcBorders>
              <w:top w:val="nil"/>
              <w:left w:val="nil"/>
              <w:bottom w:val="nil"/>
            </w:tcBorders>
            <w:noWrap/>
            <w:tcMar>
              <w:left w:w="0" w:type="dxa"/>
              <w:right w:w="0" w:type="dxa"/>
            </w:tcMar>
            <w:vAlign w:val="bottom"/>
          </w:tcPr>
          <w:p w14:paraId="5D659914" w14:textId="77777777" w:rsidR="00AB33EC" w:rsidRPr="00BA482A" w:rsidRDefault="00AB33EC" w:rsidP="00B721B7">
            <w:pPr>
              <w:rPr>
                <w:rFonts w:asciiTheme="minorHAnsi" w:eastAsia="Times New Roman" w:hAnsiTheme="minorHAnsi" w:cstheme="minorHAnsi"/>
                <w:b/>
                <w:bCs/>
                <w:color w:val="000000"/>
                <w:szCs w:val="18"/>
                <w:lang w:eastAsia="en-AU"/>
              </w:rPr>
            </w:pPr>
          </w:p>
        </w:tc>
        <w:tc>
          <w:tcPr>
            <w:tcW w:w="567" w:type="dxa"/>
            <w:tcBorders>
              <w:top w:val="nil"/>
              <w:bottom w:val="nil"/>
            </w:tcBorders>
            <w:noWrap/>
            <w:tcMar>
              <w:left w:w="0" w:type="dxa"/>
              <w:right w:w="0" w:type="dxa"/>
            </w:tcMar>
            <w:vAlign w:val="bottom"/>
          </w:tcPr>
          <w:p w14:paraId="1DAE8629"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275" w:type="dxa"/>
            <w:tcBorders>
              <w:top w:val="nil"/>
              <w:bottom w:val="nil"/>
            </w:tcBorders>
            <w:shd w:val="clear" w:color="auto" w:fill="F1F1F2" w:themeFill="accent5" w:themeFillTint="33"/>
            <w:noWrap/>
            <w:tcMar>
              <w:left w:w="0" w:type="dxa"/>
              <w:right w:w="113" w:type="dxa"/>
            </w:tcMar>
            <w:vAlign w:val="bottom"/>
          </w:tcPr>
          <w:p w14:paraId="4B5D89F7" w14:textId="77777777" w:rsidR="00AB33EC" w:rsidRPr="0087354F" w:rsidRDefault="00AB33EC" w:rsidP="00B721B7">
            <w:pPr>
              <w:jc w:val="right"/>
              <w:rPr>
                <w:rFonts w:asciiTheme="minorHAnsi" w:eastAsia="Times New Roman" w:hAnsiTheme="minorHAnsi" w:cstheme="minorHAnsi"/>
                <w:bCs/>
                <w:color w:val="000000"/>
                <w:szCs w:val="20"/>
                <w:lang w:eastAsia="en-AU"/>
              </w:rPr>
            </w:pPr>
          </w:p>
        </w:tc>
        <w:tc>
          <w:tcPr>
            <w:tcW w:w="283" w:type="dxa"/>
            <w:tcBorders>
              <w:top w:val="nil"/>
              <w:bottom w:val="nil"/>
            </w:tcBorders>
            <w:noWrap/>
            <w:tcMar>
              <w:left w:w="0" w:type="dxa"/>
              <w:right w:w="0" w:type="dxa"/>
            </w:tcMar>
            <w:vAlign w:val="bottom"/>
          </w:tcPr>
          <w:p w14:paraId="5E82B5F9"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134" w:type="dxa"/>
            <w:tcBorders>
              <w:top w:val="nil"/>
              <w:bottom w:val="nil"/>
              <w:right w:val="nil"/>
            </w:tcBorders>
            <w:shd w:val="clear" w:color="auto" w:fill="FFFFFF"/>
            <w:noWrap/>
            <w:tcMar>
              <w:left w:w="0" w:type="dxa"/>
              <w:right w:w="113" w:type="dxa"/>
            </w:tcMar>
            <w:vAlign w:val="bottom"/>
          </w:tcPr>
          <w:p w14:paraId="578C0B37" w14:textId="77777777" w:rsidR="00AB33EC" w:rsidRPr="00BA482A" w:rsidRDefault="00AB33EC" w:rsidP="00B721B7">
            <w:pPr>
              <w:jc w:val="right"/>
              <w:rPr>
                <w:rFonts w:asciiTheme="minorHAnsi" w:eastAsia="Times New Roman" w:hAnsiTheme="minorHAnsi" w:cstheme="minorHAnsi"/>
                <w:bCs/>
                <w:color w:val="000000"/>
                <w:szCs w:val="18"/>
                <w:lang w:eastAsia="en-AU"/>
              </w:rPr>
            </w:pPr>
          </w:p>
        </w:tc>
      </w:tr>
      <w:tr w:rsidR="00AB33EC" w:rsidRPr="003E75E2" w14:paraId="701CAFE1" w14:textId="77777777" w:rsidTr="00B721B7">
        <w:trPr>
          <w:trHeight w:val="20"/>
        </w:trPr>
        <w:tc>
          <w:tcPr>
            <w:tcW w:w="6096" w:type="dxa"/>
            <w:tcBorders>
              <w:top w:val="nil"/>
              <w:left w:val="nil"/>
              <w:bottom w:val="nil"/>
            </w:tcBorders>
            <w:noWrap/>
            <w:tcMar>
              <w:left w:w="0" w:type="dxa"/>
              <w:right w:w="0" w:type="dxa"/>
            </w:tcMar>
            <w:vAlign w:val="bottom"/>
          </w:tcPr>
          <w:p w14:paraId="6A479CF7" w14:textId="77777777" w:rsidR="00AB33EC" w:rsidRPr="00BA482A" w:rsidRDefault="00AB33EC" w:rsidP="00B721B7">
            <w:pPr>
              <w:rPr>
                <w:rFonts w:asciiTheme="minorHAnsi" w:eastAsia="Times New Roman" w:hAnsiTheme="minorHAnsi" w:cstheme="minorHAnsi"/>
                <w:b/>
                <w:bCs/>
                <w:color w:val="000000"/>
                <w:szCs w:val="18"/>
                <w:lang w:eastAsia="en-AU"/>
              </w:rPr>
            </w:pPr>
            <w:r w:rsidRPr="00BA482A">
              <w:rPr>
                <w:rFonts w:asciiTheme="minorHAnsi" w:eastAsia="Times New Roman" w:hAnsiTheme="minorHAnsi" w:cstheme="minorHAnsi"/>
                <w:b/>
                <w:bCs/>
                <w:color w:val="000000"/>
                <w:szCs w:val="18"/>
                <w:lang w:eastAsia="en-AU"/>
              </w:rPr>
              <w:t>Employee Related Expenses</w:t>
            </w:r>
          </w:p>
        </w:tc>
        <w:tc>
          <w:tcPr>
            <w:tcW w:w="567" w:type="dxa"/>
            <w:tcBorders>
              <w:top w:val="nil"/>
              <w:bottom w:val="nil"/>
            </w:tcBorders>
            <w:noWrap/>
            <w:tcMar>
              <w:left w:w="0" w:type="dxa"/>
              <w:right w:w="0" w:type="dxa"/>
            </w:tcMar>
            <w:vAlign w:val="bottom"/>
          </w:tcPr>
          <w:p w14:paraId="585DAA76"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275" w:type="dxa"/>
            <w:tcBorders>
              <w:top w:val="nil"/>
              <w:bottom w:val="nil"/>
            </w:tcBorders>
            <w:shd w:val="clear" w:color="auto" w:fill="F1F1F2" w:themeFill="accent5" w:themeFillTint="33"/>
            <w:noWrap/>
            <w:tcMar>
              <w:left w:w="0" w:type="dxa"/>
              <w:right w:w="113" w:type="dxa"/>
            </w:tcMar>
            <w:vAlign w:val="bottom"/>
          </w:tcPr>
          <w:p w14:paraId="1C615EF0" w14:textId="77777777" w:rsidR="00AB33EC" w:rsidRPr="0087354F" w:rsidRDefault="00AB33EC" w:rsidP="00B721B7">
            <w:pPr>
              <w:jc w:val="right"/>
              <w:rPr>
                <w:rFonts w:asciiTheme="minorHAnsi" w:eastAsia="Times New Roman" w:hAnsiTheme="minorHAnsi" w:cstheme="minorHAnsi"/>
                <w:bCs/>
                <w:color w:val="000000"/>
                <w:szCs w:val="20"/>
                <w:lang w:eastAsia="en-AU"/>
              </w:rPr>
            </w:pPr>
          </w:p>
        </w:tc>
        <w:tc>
          <w:tcPr>
            <w:tcW w:w="283" w:type="dxa"/>
            <w:tcBorders>
              <w:top w:val="nil"/>
              <w:bottom w:val="nil"/>
            </w:tcBorders>
            <w:noWrap/>
            <w:tcMar>
              <w:left w:w="0" w:type="dxa"/>
              <w:right w:w="0" w:type="dxa"/>
            </w:tcMar>
            <w:vAlign w:val="bottom"/>
          </w:tcPr>
          <w:p w14:paraId="5E83F082"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134" w:type="dxa"/>
            <w:tcBorders>
              <w:top w:val="nil"/>
              <w:bottom w:val="nil"/>
              <w:right w:val="nil"/>
            </w:tcBorders>
            <w:shd w:val="clear" w:color="auto" w:fill="FFFFFF"/>
            <w:noWrap/>
            <w:tcMar>
              <w:left w:w="0" w:type="dxa"/>
              <w:right w:w="113" w:type="dxa"/>
            </w:tcMar>
            <w:vAlign w:val="bottom"/>
          </w:tcPr>
          <w:p w14:paraId="06AE8478" w14:textId="77777777" w:rsidR="00AB33EC" w:rsidRPr="00BA482A" w:rsidRDefault="00AB33EC" w:rsidP="00B721B7">
            <w:pPr>
              <w:jc w:val="right"/>
              <w:rPr>
                <w:rFonts w:asciiTheme="minorHAnsi" w:eastAsia="Times New Roman" w:hAnsiTheme="minorHAnsi" w:cstheme="minorHAnsi"/>
                <w:bCs/>
                <w:color w:val="000000"/>
                <w:szCs w:val="18"/>
                <w:lang w:eastAsia="en-AU"/>
              </w:rPr>
            </w:pPr>
          </w:p>
        </w:tc>
      </w:tr>
      <w:tr w:rsidR="00AB33EC" w:rsidRPr="003E75E2" w14:paraId="30F4C6C9" w14:textId="77777777" w:rsidTr="00B721B7">
        <w:trPr>
          <w:trHeight w:val="20"/>
        </w:trPr>
        <w:tc>
          <w:tcPr>
            <w:tcW w:w="6096" w:type="dxa"/>
            <w:tcBorders>
              <w:top w:val="nil"/>
              <w:left w:val="nil"/>
              <w:bottom w:val="nil"/>
            </w:tcBorders>
            <w:noWrap/>
            <w:tcMar>
              <w:left w:w="0" w:type="dxa"/>
              <w:right w:w="0" w:type="dxa"/>
            </w:tcMar>
            <w:vAlign w:val="bottom"/>
          </w:tcPr>
          <w:p w14:paraId="17944519" w14:textId="77777777" w:rsidR="00AB33EC" w:rsidRPr="00BA482A" w:rsidRDefault="00AB33EC" w:rsidP="00B721B7">
            <w:pPr>
              <w:rPr>
                <w:rFonts w:asciiTheme="minorHAnsi" w:eastAsia="Times New Roman" w:hAnsiTheme="minorHAnsi" w:cstheme="minorHAnsi"/>
                <w:bCs/>
                <w:color w:val="000000"/>
                <w:szCs w:val="18"/>
                <w:lang w:eastAsia="en-AU"/>
              </w:rPr>
            </w:pPr>
            <w:r w:rsidRPr="00BA482A">
              <w:rPr>
                <w:rFonts w:asciiTheme="minorHAnsi" w:eastAsia="Times New Roman" w:hAnsiTheme="minorHAnsi" w:cstheme="minorHAnsi"/>
                <w:bCs/>
                <w:color w:val="000000"/>
                <w:szCs w:val="18"/>
                <w:lang w:eastAsia="en-AU"/>
              </w:rPr>
              <w:t xml:space="preserve">Workers’ compensation premium </w:t>
            </w:r>
          </w:p>
        </w:tc>
        <w:tc>
          <w:tcPr>
            <w:tcW w:w="567" w:type="dxa"/>
            <w:tcBorders>
              <w:top w:val="nil"/>
              <w:bottom w:val="nil"/>
            </w:tcBorders>
            <w:noWrap/>
            <w:tcMar>
              <w:left w:w="0" w:type="dxa"/>
              <w:right w:w="0" w:type="dxa"/>
            </w:tcMar>
            <w:vAlign w:val="bottom"/>
          </w:tcPr>
          <w:p w14:paraId="2E2B9B63"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275" w:type="dxa"/>
            <w:tcBorders>
              <w:top w:val="nil"/>
              <w:bottom w:val="nil"/>
            </w:tcBorders>
            <w:shd w:val="clear" w:color="auto" w:fill="F1F1F2" w:themeFill="accent5" w:themeFillTint="33"/>
            <w:noWrap/>
            <w:tcMar>
              <w:left w:w="0" w:type="dxa"/>
              <w:right w:w="113" w:type="dxa"/>
            </w:tcMar>
          </w:tcPr>
          <w:p w14:paraId="59F4ED7F" w14:textId="77777777" w:rsidR="00AB33EC" w:rsidRPr="0087354F" w:rsidRDefault="00AB33EC" w:rsidP="00B721B7">
            <w:pPr>
              <w:jc w:val="right"/>
              <w:rPr>
                <w:rFonts w:asciiTheme="minorHAnsi" w:eastAsia="Times New Roman" w:hAnsiTheme="minorHAnsi" w:cstheme="minorHAnsi"/>
                <w:bCs/>
                <w:color w:val="000000"/>
                <w:szCs w:val="20"/>
                <w:lang w:eastAsia="en-AU"/>
              </w:rPr>
            </w:pPr>
            <w:r w:rsidRPr="0087354F">
              <w:rPr>
                <w:szCs w:val="20"/>
              </w:rPr>
              <w:t xml:space="preserve">468 </w:t>
            </w:r>
          </w:p>
        </w:tc>
        <w:tc>
          <w:tcPr>
            <w:tcW w:w="283" w:type="dxa"/>
            <w:tcBorders>
              <w:top w:val="nil"/>
              <w:bottom w:val="nil"/>
            </w:tcBorders>
            <w:noWrap/>
            <w:tcMar>
              <w:left w:w="0" w:type="dxa"/>
              <w:right w:w="0" w:type="dxa"/>
            </w:tcMar>
            <w:vAlign w:val="bottom"/>
          </w:tcPr>
          <w:p w14:paraId="2447F462"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134" w:type="dxa"/>
            <w:tcBorders>
              <w:top w:val="nil"/>
              <w:bottom w:val="nil"/>
              <w:right w:val="nil"/>
            </w:tcBorders>
            <w:shd w:val="clear" w:color="auto" w:fill="FFFFFF"/>
            <w:noWrap/>
            <w:tcMar>
              <w:left w:w="0" w:type="dxa"/>
              <w:right w:w="113" w:type="dxa"/>
            </w:tcMar>
            <w:vAlign w:val="bottom"/>
          </w:tcPr>
          <w:p w14:paraId="777725DF" w14:textId="77777777" w:rsidR="00AB33EC" w:rsidRPr="00BA482A" w:rsidRDefault="00AB33EC" w:rsidP="00B721B7">
            <w:pPr>
              <w:jc w:val="right"/>
              <w:rPr>
                <w:rFonts w:asciiTheme="minorHAnsi" w:eastAsia="Times New Roman" w:hAnsiTheme="minorHAnsi" w:cstheme="minorHAnsi"/>
                <w:bCs/>
                <w:color w:val="000000"/>
                <w:szCs w:val="18"/>
                <w:lang w:eastAsia="en-AU"/>
              </w:rPr>
            </w:pPr>
            <w:r w:rsidRPr="00BA482A">
              <w:rPr>
                <w:rFonts w:asciiTheme="minorHAnsi" w:eastAsia="Times New Roman" w:hAnsiTheme="minorHAnsi" w:cstheme="minorHAnsi"/>
                <w:bCs/>
                <w:color w:val="000000"/>
                <w:szCs w:val="18"/>
                <w:lang w:eastAsia="en-AU"/>
              </w:rPr>
              <w:t>343</w:t>
            </w:r>
          </w:p>
        </w:tc>
      </w:tr>
      <w:tr w:rsidR="00AB33EC" w:rsidRPr="003E75E2" w14:paraId="6A799017" w14:textId="77777777" w:rsidTr="00B721B7">
        <w:trPr>
          <w:trHeight w:val="20"/>
        </w:trPr>
        <w:tc>
          <w:tcPr>
            <w:tcW w:w="6096" w:type="dxa"/>
            <w:tcBorders>
              <w:top w:val="nil"/>
              <w:left w:val="nil"/>
              <w:bottom w:val="nil"/>
            </w:tcBorders>
            <w:noWrap/>
            <w:tcMar>
              <w:left w:w="0" w:type="dxa"/>
              <w:right w:w="0" w:type="dxa"/>
            </w:tcMar>
            <w:vAlign w:val="bottom"/>
          </w:tcPr>
          <w:p w14:paraId="397AE0B7" w14:textId="77777777" w:rsidR="00AB33EC" w:rsidRPr="00BA482A" w:rsidRDefault="00AB33EC" w:rsidP="00B721B7">
            <w:pPr>
              <w:rPr>
                <w:rFonts w:asciiTheme="minorHAnsi" w:eastAsia="Times New Roman" w:hAnsiTheme="minorHAnsi" w:cstheme="minorHAnsi"/>
                <w:bCs/>
                <w:color w:val="000000"/>
                <w:szCs w:val="18"/>
                <w:lang w:eastAsia="en-AU"/>
              </w:rPr>
            </w:pPr>
            <w:r w:rsidRPr="00BA482A">
              <w:rPr>
                <w:rFonts w:asciiTheme="minorHAnsi" w:eastAsia="Times New Roman" w:hAnsiTheme="minorHAnsi" w:cstheme="minorHAnsi"/>
                <w:bCs/>
                <w:color w:val="000000"/>
                <w:szCs w:val="18"/>
                <w:lang w:eastAsia="en-AU"/>
              </w:rPr>
              <w:t>Payroll tax</w:t>
            </w:r>
          </w:p>
        </w:tc>
        <w:tc>
          <w:tcPr>
            <w:tcW w:w="567" w:type="dxa"/>
            <w:tcBorders>
              <w:top w:val="nil"/>
              <w:bottom w:val="nil"/>
            </w:tcBorders>
            <w:noWrap/>
            <w:tcMar>
              <w:left w:w="0" w:type="dxa"/>
              <w:right w:w="0" w:type="dxa"/>
            </w:tcMar>
            <w:vAlign w:val="bottom"/>
          </w:tcPr>
          <w:p w14:paraId="3A0BA233"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275" w:type="dxa"/>
            <w:tcBorders>
              <w:top w:val="nil"/>
              <w:bottom w:val="nil"/>
            </w:tcBorders>
            <w:shd w:val="clear" w:color="auto" w:fill="F1F1F2" w:themeFill="accent5" w:themeFillTint="33"/>
            <w:noWrap/>
            <w:tcMar>
              <w:left w:w="0" w:type="dxa"/>
              <w:right w:w="113" w:type="dxa"/>
            </w:tcMar>
          </w:tcPr>
          <w:p w14:paraId="6B5A5092" w14:textId="77777777" w:rsidR="00AB33EC" w:rsidRPr="0087354F" w:rsidRDefault="00AB33EC" w:rsidP="00B721B7">
            <w:pPr>
              <w:jc w:val="right"/>
              <w:rPr>
                <w:rFonts w:asciiTheme="minorHAnsi" w:eastAsia="Times New Roman" w:hAnsiTheme="minorHAnsi" w:cstheme="minorHAnsi"/>
                <w:bCs/>
                <w:color w:val="000000"/>
                <w:szCs w:val="20"/>
                <w:lang w:eastAsia="en-AU"/>
              </w:rPr>
            </w:pPr>
            <w:r w:rsidRPr="0087354F">
              <w:rPr>
                <w:szCs w:val="20"/>
              </w:rPr>
              <w:t xml:space="preserve">1,798 </w:t>
            </w:r>
          </w:p>
        </w:tc>
        <w:tc>
          <w:tcPr>
            <w:tcW w:w="283" w:type="dxa"/>
            <w:tcBorders>
              <w:top w:val="nil"/>
              <w:bottom w:val="nil"/>
            </w:tcBorders>
            <w:noWrap/>
            <w:tcMar>
              <w:left w:w="0" w:type="dxa"/>
              <w:right w:w="0" w:type="dxa"/>
            </w:tcMar>
            <w:vAlign w:val="bottom"/>
          </w:tcPr>
          <w:p w14:paraId="02D1ED46"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134" w:type="dxa"/>
            <w:tcBorders>
              <w:top w:val="nil"/>
              <w:bottom w:val="nil"/>
              <w:right w:val="nil"/>
            </w:tcBorders>
            <w:shd w:val="clear" w:color="auto" w:fill="FFFFFF"/>
            <w:noWrap/>
            <w:tcMar>
              <w:left w:w="0" w:type="dxa"/>
              <w:right w:w="113" w:type="dxa"/>
            </w:tcMar>
            <w:vAlign w:val="bottom"/>
          </w:tcPr>
          <w:p w14:paraId="4A885033" w14:textId="77777777" w:rsidR="00AB33EC" w:rsidRPr="00BA482A" w:rsidRDefault="00AB33EC" w:rsidP="00B721B7">
            <w:pPr>
              <w:jc w:val="right"/>
              <w:rPr>
                <w:rFonts w:asciiTheme="minorHAnsi" w:eastAsia="Times New Roman" w:hAnsiTheme="minorHAnsi" w:cstheme="minorHAnsi"/>
                <w:bCs/>
                <w:color w:val="000000"/>
                <w:szCs w:val="18"/>
                <w:lang w:eastAsia="en-AU"/>
              </w:rPr>
            </w:pPr>
            <w:r w:rsidRPr="00BA482A">
              <w:rPr>
                <w:rFonts w:asciiTheme="minorHAnsi" w:eastAsia="Times New Roman" w:hAnsiTheme="minorHAnsi" w:cstheme="minorHAnsi"/>
                <w:bCs/>
                <w:color w:val="000000"/>
                <w:szCs w:val="18"/>
                <w:lang w:eastAsia="en-AU"/>
              </w:rPr>
              <w:t>1,493</w:t>
            </w:r>
          </w:p>
        </w:tc>
      </w:tr>
      <w:tr w:rsidR="00AB33EC" w:rsidRPr="003E75E2" w14:paraId="15B3CF42" w14:textId="77777777" w:rsidTr="00B721B7">
        <w:trPr>
          <w:trHeight w:val="20"/>
        </w:trPr>
        <w:tc>
          <w:tcPr>
            <w:tcW w:w="6096" w:type="dxa"/>
            <w:tcBorders>
              <w:top w:val="nil"/>
              <w:left w:val="nil"/>
              <w:bottom w:val="nil"/>
            </w:tcBorders>
            <w:noWrap/>
            <w:tcMar>
              <w:left w:w="0" w:type="dxa"/>
              <w:right w:w="0" w:type="dxa"/>
            </w:tcMar>
            <w:vAlign w:val="bottom"/>
          </w:tcPr>
          <w:p w14:paraId="5499B1D9" w14:textId="77777777" w:rsidR="00AB33EC" w:rsidRPr="00BA482A" w:rsidRDefault="00AB33EC" w:rsidP="00B721B7">
            <w:pPr>
              <w:rPr>
                <w:rFonts w:asciiTheme="minorHAnsi" w:eastAsia="Times New Roman" w:hAnsiTheme="minorHAnsi" w:cstheme="minorHAnsi"/>
                <w:b/>
                <w:bCs/>
                <w:color w:val="000000"/>
                <w:szCs w:val="18"/>
                <w:lang w:eastAsia="en-AU"/>
              </w:rPr>
            </w:pPr>
            <w:r w:rsidRPr="00BA482A">
              <w:rPr>
                <w:rFonts w:asciiTheme="minorHAnsi" w:eastAsia="Times New Roman" w:hAnsiTheme="minorHAnsi" w:cstheme="minorHAnsi"/>
                <w:bCs/>
                <w:color w:val="000000"/>
                <w:szCs w:val="18"/>
                <w:lang w:eastAsia="en-AU"/>
              </w:rPr>
              <w:t>Other employee related expenses</w:t>
            </w:r>
          </w:p>
        </w:tc>
        <w:tc>
          <w:tcPr>
            <w:tcW w:w="567" w:type="dxa"/>
            <w:tcBorders>
              <w:top w:val="nil"/>
              <w:bottom w:val="nil"/>
            </w:tcBorders>
            <w:noWrap/>
            <w:tcMar>
              <w:left w:w="0" w:type="dxa"/>
              <w:right w:w="0" w:type="dxa"/>
            </w:tcMar>
            <w:vAlign w:val="bottom"/>
          </w:tcPr>
          <w:p w14:paraId="2748B676" w14:textId="77777777" w:rsidR="00AB33EC" w:rsidRPr="00BA482A" w:rsidRDefault="00AB33EC" w:rsidP="00B721B7">
            <w:pPr>
              <w:jc w:val="center"/>
              <w:rPr>
                <w:rFonts w:asciiTheme="minorHAnsi" w:eastAsia="Times New Roman" w:hAnsiTheme="minorHAnsi" w:cstheme="minorHAnsi"/>
                <w:b/>
                <w:bCs/>
                <w:color w:val="000000"/>
                <w:szCs w:val="18"/>
                <w:lang w:eastAsia="en-AU"/>
              </w:rPr>
            </w:pPr>
          </w:p>
        </w:tc>
        <w:tc>
          <w:tcPr>
            <w:tcW w:w="1275" w:type="dxa"/>
            <w:tcBorders>
              <w:top w:val="nil"/>
              <w:bottom w:val="nil"/>
            </w:tcBorders>
            <w:shd w:val="clear" w:color="auto" w:fill="F1F1F2" w:themeFill="accent5" w:themeFillTint="33"/>
            <w:noWrap/>
            <w:tcMar>
              <w:left w:w="0" w:type="dxa"/>
              <w:right w:w="113" w:type="dxa"/>
            </w:tcMar>
          </w:tcPr>
          <w:p w14:paraId="2B8CA489" w14:textId="77777777" w:rsidR="00AB33EC" w:rsidRPr="0087354F" w:rsidRDefault="00AB33EC" w:rsidP="00B721B7">
            <w:pPr>
              <w:jc w:val="right"/>
              <w:rPr>
                <w:rFonts w:asciiTheme="minorHAnsi" w:eastAsia="Times New Roman" w:hAnsiTheme="minorHAnsi" w:cstheme="minorHAnsi"/>
                <w:bCs/>
                <w:color w:val="000000"/>
                <w:szCs w:val="20"/>
                <w:lang w:eastAsia="en-AU"/>
              </w:rPr>
            </w:pPr>
            <w:r w:rsidRPr="0087354F">
              <w:rPr>
                <w:szCs w:val="20"/>
              </w:rPr>
              <w:t xml:space="preserve">799 </w:t>
            </w:r>
          </w:p>
        </w:tc>
        <w:tc>
          <w:tcPr>
            <w:tcW w:w="283" w:type="dxa"/>
            <w:tcBorders>
              <w:top w:val="nil"/>
              <w:bottom w:val="nil"/>
            </w:tcBorders>
            <w:noWrap/>
            <w:tcMar>
              <w:left w:w="0" w:type="dxa"/>
              <w:right w:w="0" w:type="dxa"/>
            </w:tcMar>
            <w:vAlign w:val="bottom"/>
          </w:tcPr>
          <w:p w14:paraId="4D90E32D"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134" w:type="dxa"/>
            <w:tcBorders>
              <w:top w:val="nil"/>
              <w:bottom w:val="nil"/>
              <w:right w:val="nil"/>
            </w:tcBorders>
            <w:shd w:val="clear" w:color="auto" w:fill="FFFFFF"/>
            <w:noWrap/>
            <w:tcMar>
              <w:left w:w="0" w:type="dxa"/>
              <w:right w:w="113" w:type="dxa"/>
            </w:tcMar>
            <w:vAlign w:val="bottom"/>
          </w:tcPr>
          <w:p w14:paraId="4A681328" w14:textId="77777777" w:rsidR="00AB33EC" w:rsidRPr="00BA482A" w:rsidRDefault="00AB33EC" w:rsidP="00B721B7">
            <w:pPr>
              <w:jc w:val="right"/>
              <w:rPr>
                <w:rFonts w:asciiTheme="minorHAnsi" w:eastAsia="Times New Roman" w:hAnsiTheme="minorHAnsi" w:cstheme="minorHAnsi"/>
                <w:bCs/>
                <w:color w:val="000000"/>
                <w:szCs w:val="18"/>
                <w:lang w:eastAsia="en-AU"/>
              </w:rPr>
            </w:pPr>
            <w:r w:rsidRPr="00BA482A">
              <w:rPr>
                <w:rFonts w:asciiTheme="minorHAnsi" w:eastAsia="Times New Roman" w:hAnsiTheme="minorHAnsi" w:cstheme="minorHAnsi"/>
                <w:bCs/>
                <w:color w:val="000000"/>
                <w:szCs w:val="18"/>
                <w:lang w:eastAsia="en-AU"/>
              </w:rPr>
              <w:t>645</w:t>
            </w:r>
          </w:p>
        </w:tc>
      </w:tr>
      <w:tr w:rsidR="00AB33EC" w:rsidRPr="003E75E2" w14:paraId="63680944" w14:textId="77777777" w:rsidTr="00B721B7">
        <w:trPr>
          <w:trHeight w:val="20"/>
        </w:trPr>
        <w:tc>
          <w:tcPr>
            <w:tcW w:w="6096" w:type="dxa"/>
            <w:tcBorders>
              <w:top w:val="nil"/>
              <w:left w:val="nil"/>
              <w:bottom w:val="nil"/>
            </w:tcBorders>
            <w:noWrap/>
            <w:tcMar>
              <w:left w:w="0" w:type="dxa"/>
              <w:right w:w="0" w:type="dxa"/>
            </w:tcMar>
            <w:vAlign w:val="bottom"/>
          </w:tcPr>
          <w:p w14:paraId="2E22D5C5" w14:textId="77777777" w:rsidR="00AB33EC" w:rsidRPr="00BA482A" w:rsidRDefault="00AB33EC" w:rsidP="00B721B7">
            <w:pPr>
              <w:rPr>
                <w:rFonts w:asciiTheme="minorHAnsi" w:eastAsia="Times New Roman" w:hAnsiTheme="minorHAnsi" w:cstheme="minorHAnsi"/>
                <w:b/>
                <w:bCs/>
                <w:color w:val="000000"/>
                <w:szCs w:val="18"/>
                <w:lang w:eastAsia="en-AU"/>
              </w:rPr>
            </w:pPr>
            <w:r w:rsidRPr="00BA482A">
              <w:rPr>
                <w:rFonts w:asciiTheme="minorHAnsi" w:eastAsia="Times New Roman" w:hAnsiTheme="minorHAnsi" w:cstheme="minorHAnsi"/>
                <w:b/>
                <w:bCs/>
                <w:color w:val="000000"/>
                <w:szCs w:val="18"/>
                <w:lang w:eastAsia="en-AU"/>
              </w:rPr>
              <w:t>Total</w:t>
            </w:r>
          </w:p>
        </w:tc>
        <w:tc>
          <w:tcPr>
            <w:tcW w:w="567" w:type="dxa"/>
            <w:tcBorders>
              <w:top w:val="nil"/>
              <w:bottom w:val="nil"/>
            </w:tcBorders>
            <w:noWrap/>
            <w:tcMar>
              <w:left w:w="0" w:type="dxa"/>
              <w:right w:w="0" w:type="dxa"/>
            </w:tcMar>
            <w:vAlign w:val="bottom"/>
          </w:tcPr>
          <w:p w14:paraId="096FA24A" w14:textId="77777777" w:rsidR="00AB33EC" w:rsidRPr="00BA482A" w:rsidRDefault="00AB33EC" w:rsidP="00B721B7">
            <w:pPr>
              <w:jc w:val="center"/>
              <w:rPr>
                <w:rFonts w:asciiTheme="minorHAnsi" w:eastAsia="Times New Roman" w:hAnsiTheme="minorHAnsi" w:cstheme="minorHAnsi"/>
                <w:b/>
                <w:bCs/>
                <w:color w:val="000000"/>
                <w:szCs w:val="18"/>
                <w:lang w:eastAsia="en-AU"/>
              </w:rPr>
            </w:pPr>
          </w:p>
        </w:tc>
        <w:tc>
          <w:tcPr>
            <w:tcW w:w="1275" w:type="dxa"/>
            <w:tcBorders>
              <w:top w:val="single" w:sz="4" w:space="0" w:color="auto"/>
              <w:bottom w:val="double" w:sz="4" w:space="0" w:color="auto"/>
            </w:tcBorders>
            <w:shd w:val="clear" w:color="auto" w:fill="F1F1F2" w:themeFill="accent5" w:themeFillTint="33"/>
            <w:noWrap/>
            <w:tcMar>
              <w:left w:w="0" w:type="dxa"/>
              <w:right w:w="113" w:type="dxa"/>
            </w:tcMar>
          </w:tcPr>
          <w:p w14:paraId="1AB19B72" w14:textId="77777777" w:rsidR="00AB33EC" w:rsidRPr="0087354F" w:rsidRDefault="00AB33EC" w:rsidP="00B721B7">
            <w:pPr>
              <w:jc w:val="right"/>
              <w:rPr>
                <w:rFonts w:asciiTheme="minorHAnsi" w:eastAsia="Times New Roman" w:hAnsiTheme="minorHAnsi" w:cstheme="minorHAnsi"/>
                <w:b/>
                <w:bCs/>
                <w:color w:val="000000"/>
                <w:szCs w:val="20"/>
                <w:lang w:eastAsia="en-AU"/>
              </w:rPr>
            </w:pPr>
            <w:r w:rsidRPr="0087354F">
              <w:rPr>
                <w:b/>
                <w:bCs/>
                <w:szCs w:val="20"/>
              </w:rPr>
              <w:t xml:space="preserve">53,109 </w:t>
            </w:r>
          </w:p>
        </w:tc>
        <w:tc>
          <w:tcPr>
            <w:tcW w:w="283" w:type="dxa"/>
            <w:tcBorders>
              <w:top w:val="nil"/>
              <w:bottom w:val="nil"/>
            </w:tcBorders>
            <w:noWrap/>
            <w:tcMar>
              <w:left w:w="0" w:type="dxa"/>
              <w:right w:w="0" w:type="dxa"/>
            </w:tcMar>
            <w:vAlign w:val="bottom"/>
          </w:tcPr>
          <w:p w14:paraId="2AA51E7C" w14:textId="77777777" w:rsidR="00AB33EC" w:rsidRPr="00BA482A" w:rsidRDefault="00AB33EC" w:rsidP="00B721B7">
            <w:pPr>
              <w:jc w:val="center"/>
              <w:rPr>
                <w:rFonts w:asciiTheme="minorHAnsi" w:eastAsia="Times New Roman" w:hAnsiTheme="minorHAnsi" w:cstheme="minorHAnsi"/>
                <w:b/>
                <w:bCs/>
                <w:color w:val="000000"/>
                <w:szCs w:val="18"/>
                <w:lang w:eastAsia="en-AU"/>
              </w:rPr>
            </w:pPr>
          </w:p>
        </w:tc>
        <w:tc>
          <w:tcPr>
            <w:tcW w:w="1134" w:type="dxa"/>
            <w:tcBorders>
              <w:top w:val="single" w:sz="4" w:space="0" w:color="auto"/>
              <w:bottom w:val="double" w:sz="4" w:space="0" w:color="auto"/>
              <w:right w:val="nil"/>
            </w:tcBorders>
            <w:shd w:val="clear" w:color="auto" w:fill="FFFFFF"/>
            <w:noWrap/>
            <w:tcMar>
              <w:left w:w="0" w:type="dxa"/>
              <w:right w:w="113" w:type="dxa"/>
            </w:tcMar>
            <w:vAlign w:val="bottom"/>
          </w:tcPr>
          <w:p w14:paraId="1B8F4C1F" w14:textId="77777777" w:rsidR="00AB33EC" w:rsidRPr="00BA482A" w:rsidRDefault="00AB33EC" w:rsidP="00B721B7">
            <w:pPr>
              <w:jc w:val="right"/>
              <w:rPr>
                <w:rFonts w:asciiTheme="minorHAnsi" w:eastAsia="Times New Roman" w:hAnsiTheme="minorHAnsi" w:cstheme="minorHAnsi"/>
                <w:b/>
                <w:color w:val="000000"/>
                <w:szCs w:val="18"/>
                <w:lang w:eastAsia="en-AU"/>
              </w:rPr>
            </w:pPr>
            <w:r w:rsidRPr="00BA482A">
              <w:rPr>
                <w:rFonts w:asciiTheme="minorHAnsi" w:eastAsia="Times New Roman" w:hAnsiTheme="minorHAnsi" w:cstheme="minorHAnsi"/>
                <w:b/>
                <w:bCs/>
                <w:color w:val="000000"/>
                <w:szCs w:val="18"/>
                <w:lang w:eastAsia="en-AU"/>
              </w:rPr>
              <w:t>45,137</w:t>
            </w:r>
          </w:p>
        </w:tc>
      </w:tr>
      <w:tr w:rsidR="00AB33EC" w:rsidRPr="00BA482A" w14:paraId="7383944F" w14:textId="77777777" w:rsidTr="00B721B7">
        <w:trPr>
          <w:trHeight w:val="20"/>
        </w:trPr>
        <w:tc>
          <w:tcPr>
            <w:tcW w:w="9355" w:type="dxa"/>
            <w:gridSpan w:val="5"/>
            <w:tcBorders>
              <w:top w:val="nil"/>
              <w:left w:val="nil"/>
              <w:bottom w:val="nil"/>
              <w:right w:val="nil"/>
            </w:tcBorders>
            <w:noWrap/>
            <w:tcMar>
              <w:left w:w="0" w:type="dxa"/>
              <w:right w:w="0" w:type="dxa"/>
            </w:tcMar>
          </w:tcPr>
          <w:p w14:paraId="293864E6" w14:textId="77777777" w:rsidR="00AB33EC" w:rsidRPr="00BA482A" w:rsidRDefault="00AB33EC" w:rsidP="00B721B7">
            <w:pPr>
              <w:rPr>
                <w:rFonts w:asciiTheme="minorHAnsi" w:eastAsia="Times New Roman" w:hAnsiTheme="minorHAnsi" w:cstheme="minorHAnsi"/>
                <w:bCs/>
                <w:color w:val="000000"/>
                <w:szCs w:val="18"/>
              </w:rPr>
            </w:pPr>
          </w:p>
        </w:tc>
      </w:tr>
      <w:tr w:rsidR="00AB33EC" w:rsidRPr="00BA482A" w14:paraId="61F1AB40" w14:textId="77777777" w:rsidTr="00B721B7">
        <w:trPr>
          <w:trHeight w:val="20"/>
        </w:trPr>
        <w:tc>
          <w:tcPr>
            <w:tcW w:w="9355" w:type="dxa"/>
            <w:gridSpan w:val="5"/>
            <w:tcBorders>
              <w:top w:val="nil"/>
              <w:left w:val="nil"/>
              <w:bottom w:val="nil"/>
              <w:right w:val="nil"/>
            </w:tcBorders>
            <w:noWrap/>
            <w:tcMar>
              <w:left w:w="0" w:type="dxa"/>
              <w:right w:w="0" w:type="dxa"/>
            </w:tcMar>
          </w:tcPr>
          <w:p w14:paraId="19DD82DA" w14:textId="77777777" w:rsidR="00AB33EC" w:rsidRPr="00BA482A" w:rsidRDefault="00AB33EC" w:rsidP="00B721B7">
            <w:pPr>
              <w:ind w:left="284" w:hanging="284"/>
              <w:rPr>
                <w:rFonts w:asciiTheme="minorHAnsi" w:eastAsia="Times New Roman" w:hAnsiTheme="minorHAnsi" w:cstheme="minorHAnsi"/>
                <w:bCs/>
                <w:color w:val="000000"/>
                <w:sz w:val="17"/>
                <w:szCs w:val="17"/>
              </w:rPr>
            </w:pPr>
          </w:p>
        </w:tc>
      </w:tr>
      <w:tr w:rsidR="00AB33EC" w:rsidRPr="00BA482A" w14:paraId="61978675" w14:textId="77777777" w:rsidTr="00B721B7">
        <w:trPr>
          <w:trHeight w:val="20"/>
        </w:trPr>
        <w:tc>
          <w:tcPr>
            <w:tcW w:w="6096" w:type="dxa"/>
            <w:tcBorders>
              <w:top w:val="nil"/>
              <w:left w:val="nil"/>
              <w:bottom w:val="nil"/>
              <w:right w:val="nil"/>
            </w:tcBorders>
            <w:noWrap/>
            <w:tcMar>
              <w:left w:w="0" w:type="dxa"/>
              <w:right w:w="0" w:type="dxa"/>
            </w:tcMar>
          </w:tcPr>
          <w:p w14:paraId="0F43B016" w14:textId="77777777" w:rsidR="00AB33EC" w:rsidRPr="00BA482A" w:rsidRDefault="00AB33EC" w:rsidP="00B721B7">
            <w:pPr>
              <w:rPr>
                <w:rFonts w:asciiTheme="minorHAnsi" w:eastAsia="Times New Roman" w:hAnsiTheme="minorHAnsi" w:cstheme="minorHAnsi"/>
                <w:bCs/>
                <w:color w:val="000000"/>
                <w:sz w:val="17"/>
                <w:szCs w:val="17"/>
              </w:rPr>
            </w:pPr>
          </w:p>
        </w:tc>
        <w:tc>
          <w:tcPr>
            <w:tcW w:w="567" w:type="dxa"/>
            <w:tcBorders>
              <w:top w:val="nil"/>
              <w:left w:val="nil"/>
              <w:bottom w:val="nil"/>
              <w:right w:val="nil"/>
            </w:tcBorders>
          </w:tcPr>
          <w:p w14:paraId="32C6FCCE" w14:textId="77777777" w:rsidR="00AB33EC" w:rsidRPr="00BA482A" w:rsidRDefault="00AB33EC" w:rsidP="00B721B7">
            <w:pPr>
              <w:rPr>
                <w:rFonts w:asciiTheme="minorHAnsi" w:eastAsia="Times New Roman" w:hAnsiTheme="minorHAnsi" w:cstheme="minorHAnsi"/>
                <w:bCs/>
                <w:color w:val="000000"/>
                <w:szCs w:val="18"/>
              </w:rPr>
            </w:pPr>
          </w:p>
        </w:tc>
        <w:tc>
          <w:tcPr>
            <w:tcW w:w="1275" w:type="dxa"/>
            <w:tcBorders>
              <w:top w:val="nil"/>
              <w:left w:val="nil"/>
              <w:bottom w:val="nil"/>
              <w:right w:val="nil"/>
            </w:tcBorders>
          </w:tcPr>
          <w:p w14:paraId="16DD4940" w14:textId="77777777" w:rsidR="00AB33EC" w:rsidRPr="00BA482A" w:rsidRDefault="00AB33EC" w:rsidP="00B721B7">
            <w:pPr>
              <w:rPr>
                <w:rFonts w:asciiTheme="minorHAnsi" w:eastAsia="Times New Roman" w:hAnsiTheme="minorHAnsi" w:cstheme="minorHAnsi"/>
                <w:bCs/>
                <w:color w:val="000000"/>
                <w:szCs w:val="18"/>
              </w:rPr>
            </w:pPr>
          </w:p>
          <w:p w14:paraId="424FCAA1" w14:textId="77777777" w:rsidR="00AB33EC" w:rsidRPr="00BA482A" w:rsidRDefault="00AB33EC" w:rsidP="00B721B7">
            <w:pPr>
              <w:rPr>
                <w:rFonts w:asciiTheme="minorHAnsi" w:eastAsia="Times New Roman" w:hAnsiTheme="minorHAnsi" w:cstheme="minorHAnsi"/>
                <w:bCs/>
                <w:color w:val="000000"/>
                <w:szCs w:val="18"/>
              </w:rPr>
            </w:pPr>
          </w:p>
          <w:p w14:paraId="0A1D6D0A" w14:textId="77777777" w:rsidR="00AB33EC" w:rsidRPr="00BA482A" w:rsidRDefault="00AB33EC" w:rsidP="00B721B7">
            <w:pPr>
              <w:rPr>
                <w:rFonts w:asciiTheme="minorHAnsi" w:eastAsia="Times New Roman" w:hAnsiTheme="minorHAnsi" w:cstheme="minorHAnsi"/>
                <w:bCs/>
                <w:color w:val="000000"/>
                <w:szCs w:val="18"/>
              </w:rPr>
            </w:pPr>
          </w:p>
        </w:tc>
        <w:tc>
          <w:tcPr>
            <w:tcW w:w="283" w:type="dxa"/>
            <w:tcBorders>
              <w:top w:val="nil"/>
              <w:left w:val="nil"/>
              <w:bottom w:val="nil"/>
              <w:right w:val="nil"/>
            </w:tcBorders>
          </w:tcPr>
          <w:p w14:paraId="25ECD75A" w14:textId="77777777" w:rsidR="00AB33EC" w:rsidRPr="00BA482A" w:rsidRDefault="00AB33EC" w:rsidP="00B721B7">
            <w:pPr>
              <w:rPr>
                <w:rFonts w:asciiTheme="minorHAnsi" w:eastAsia="Times New Roman" w:hAnsiTheme="minorHAnsi" w:cstheme="minorHAnsi"/>
                <w:bCs/>
                <w:color w:val="000000"/>
                <w:szCs w:val="18"/>
              </w:rPr>
            </w:pPr>
          </w:p>
        </w:tc>
        <w:tc>
          <w:tcPr>
            <w:tcW w:w="1134" w:type="dxa"/>
            <w:tcBorders>
              <w:top w:val="nil"/>
              <w:left w:val="nil"/>
              <w:bottom w:val="nil"/>
              <w:right w:val="nil"/>
            </w:tcBorders>
          </w:tcPr>
          <w:p w14:paraId="0A0E4C73" w14:textId="77777777" w:rsidR="00AB33EC" w:rsidRPr="00BA482A" w:rsidRDefault="00AB33EC" w:rsidP="00B721B7">
            <w:pPr>
              <w:rPr>
                <w:rFonts w:asciiTheme="minorHAnsi" w:eastAsia="Times New Roman" w:hAnsiTheme="minorHAnsi" w:cstheme="minorHAnsi"/>
                <w:bCs/>
                <w:color w:val="000000"/>
                <w:szCs w:val="18"/>
              </w:rPr>
            </w:pPr>
          </w:p>
        </w:tc>
      </w:tr>
      <w:tr w:rsidR="00AB33EC" w:rsidRPr="003E75E2" w14:paraId="345967B6" w14:textId="77777777" w:rsidTr="00B721B7">
        <w:trPr>
          <w:trHeight w:val="20"/>
        </w:trPr>
        <w:tc>
          <w:tcPr>
            <w:tcW w:w="6096" w:type="dxa"/>
            <w:tcBorders>
              <w:top w:val="nil"/>
              <w:left w:val="nil"/>
              <w:bottom w:val="nil"/>
            </w:tcBorders>
            <w:noWrap/>
            <w:tcMar>
              <w:left w:w="0" w:type="dxa"/>
              <w:right w:w="0" w:type="dxa"/>
            </w:tcMar>
            <w:vAlign w:val="bottom"/>
          </w:tcPr>
          <w:p w14:paraId="0D0E1691" w14:textId="77777777" w:rsidR="00AB33EC" w:rsidRPr="00BA482A" w:rsidRDefault="00AB33EC" w:rsidP="00B721B7">
            <w:pPr>
              <w:spacing w:before="240"/>
              <w:rPr>
                <w:rFonts w:asciiTheme="minorHAnsi" w:eastAsia="Times New Roman" w:hAnsiTheme="minorHAnsi" w:cstheme="minorHAnsi"/>
                <w:bCs/>
                <w:color w:val="000000"/>
                <w:szCs w:val="18"/>
                <w:lang w:eastAsia="en-AU"/>
              </w:rPr>
            </w:pPr>
          </w:p>
        </w:tc>
        <w:tc>
          <w:tcPr>
            <w:tcW w:w="567" w:type="dxa"/>
            <w:tcBorders>
              <w:top w:val="nil"/>
              <w:bottom w:val="nil"/>
            </w:tcBorders>
            <w:noWrap/>
            <w:tcMar>
              <w:left w:w="0" w:type="dxa"/>
              <w:right w:w="0" w:type="dxa"/>
            </w:tcMar>
            <w:vAlign w:val="bottom"/>
          </w:tcPr>
          <w:p w14:paraId="708466E7"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275" w:type="dxa"/>
            <w:tcBorders>
              <w:top w:val="nil"/>
              <w:bottom w:val="nil"/>
            </w:tcBorders>
            <w:shd w:val="clear" w:color="auto" w:fill="F1F1F2" w:themeFill="accent5" w:themeFillTint="33"/>
            <w:noWrap/>
            <w:tcMar>
              <w:left w:w="0" w:type="dxa"/>
              <w:right w:w="113" w:type="dxa"/>
            </w:tcMar>
          </w:tcPr>
          <w:p w14:paraId="226CAEE5" w14:textId="77777777" w:rsidR="00AB33EC" w:rsidRPr="00BA482A" w:rsidRDefault="00AB33EC" w:rsidP="00B721B7">
            <w:pPr>
              <w:jc w:val="right"/>
              <w:rPr>
                <w:rFonts w:asciiTheme="minorHAnsi" w:eastAsia="Times New Roman" w:hAnsiTheme="minorHAnsi" w:cstheme="minorHAnsi"/>
                <w:b/>
                <w:bCs/>
                <w:color w:val="000000"/>
                <w:szCs w:val="18"/>
                <w:lang w:eastAsia="en-AU"/>
              </w:rPr>
            </w:pPr>
            <w:r w:rsidRPr="00BA482A">
              <w:rPr>
                <w:rFonts w:asciiTheme="minorHAnsi" w:eastAsia="Times New Roman" w:hAnsiTheme="minorHAnsi" w:cstheme="minorHAnsi"/>
                <w:b/>
                <w:bCs/>
                <w:color w:val="000000"/>
                <w:szCs w:val="18"/>
                <w:lang w:eastAsia="en-AU"/>
              </w:rPr>
              <w:t>202</w:t>
            </w:r>
            <w:r>
              <w:rPr>
                <w:rFonts w:asciiTheme="minorHAnsi" w:eastAsia="Times New Roman" w:hAnsiTheme="minorHAnsi" w:cstheme="minorHAnsi"/>
                <w:b/>
                <w:bCs/>
                <w:color w:val="000000"/>
                <w:szCs w:val="18"/>
                <w:lang w:eastAsia="en-AU"/>
              </w:rPr>
              <w:t>4</w:t>
            </w:r>
          </w:p>
        </w:tc>
        <w:tc>
          <w:tcPr>
            <w:tcW w:w="283" w:type="dxa"/>
            <w:tcBorders>
              <w:top w:val="nil"/>
              <w:bottom w:val="nil"/>
            </w:tcBorders>
            <w:noWrap/>
            <w:tcMar>
              <w:left w:w="0" w:type="dxa"/>
              <w:right w:w="0" w:type="dxa"/>
            </w:tcMar>
            <w:vAlign w:val="bottom"/>
          </w:tcPr>
          <w:p w14:paraId="3E7E4E26"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134" w:type="dxa"/>
            <w:tcBorders>
              <w:top w:val="nil"/>
              <w:bottom w:val="nil"/>
              <w:right w:val="nil"/>
            </w:tcBorders>
            <w:shd w:val="clear" w:color="auto" w:fill="FFFFFF"/>
            <w:noWrap/>
            <w:tcMar>
              <w:left w:w="0" w:type="dxa"/>
              <w:right w:w="113" w:type="dxa"/>
            </w:tcMar>
          </w:tcPr>
          <w:p w14:paraId="0E88E22C" w14:textId="77777777" w:rsidR="00AB33EC" w:rsidRPr="00BA482A" w:rsidRDefault="00AB33EC" w:rsidP="00B721B7">
            <w:pPr>
              <w:jc w:val="right"/>
              <w:rPr>
                <w:rFonts w:asciiTheme="minorHAnsi" w:eastAsia="Times New Roman" w:hAnsiTheme="minorHAnsi" w:cstheme="minorHAnsi"/>
                <w:b/>
                <w:bCs/>
                <w:color w:val="000000"/>
                <w:szCs w:val="18"/>
                <w:lang w:eastAsia="en-AU"/>
              </w:rPr>
            </w:pPr>
            <w:r w:rsidRPr="00BA482A">
              <w:rPr>
                <w:rFonts w:asciiTheme="minorHAnsi" w:eastAsia="Times New Roman" w:hAnsiTheme="minorHAnsi" w:cstheme="minorHAnsi"/>
                <w:b/>
                <w:bCs/>
                <w:color w:val="000000"/>
                <w:szCs w:val="18"/>
                <w:lang w:eastAsia="en-AU"/>
              </w:rPr>
              <w:t>202</w:t>
            </w:r>
            <w:r>
              <w:rPr>
                <w:rFonts w:asciiTheme="minorHAnsi" w:eastAsia="Times New Roman" w:hAnsiTheme="minorHAnsi" w:cstheme="minorHAnsi"/>
                <w:b/>
                <w:bCs/>
                <w:color w:val="000000"/>
                <w:szCs w:val="18"/>
                <w:lang w:eastAsia="en-AU"/>
              </w:rPr>
              <w:t>3</w:t>
            </w:r>
          </w:p>
        </w:tc>
      </w:tr>
      <w:tr w:rsidR="00AB33EC" w:rsidRPr="003E75E2" w14:paraId="15BA5568" w14:textId="77777777" w:rsidTr="00B721B7">
        <w:trPr>
          <w:trHeight w:val="20"/>
        </w:trPr>
        <w:tc>
          <w:tcPr>
            <w:tcW w:w="6096" w:type="dxa"/>
            <w:tcBorders>
              <w:top w:val="nil"/>
              <w:left w:val="nil"/>
              <w:bottom w:val="nil"/>
            </w:tcBorders>
            <w:noWrap/>
            <w:tcMar>
              <w:left w:w="0" w:type="dxa"/>
              <w:right w:w="0" w:type="dxa"/>
            </w:tcMar>
            <w:vAlign w:val="bottom"/>
          </w:tcPr>
          <w:p w14:paraId="64EC6DA8" w14:textId="77777777" w:rsidR="00AB33EC" w:rsidRPr="00BA482A" w:rsidRDefault="00AB33EC" w:rsidP="00B721B7">
            <w:pPr>
              <w:rPr>
                <w:rFonts w:asciiTheme="minorHAnsi" w:eastAsia="Times New Roman" w:hAnsiTheme="minorHAnsi" w:cstheme="minorHAnsi"/>
                <w:bCs/>
                <w:color w:val="000000"/>
                <w:szCs w:val="18"/>
                <w:lang w:eastAsia="en-AU"/>
              </w:rPr>
            </w:pPr>
            <w:r w:rsidRPr="00BA482A">
              <w:rPr>
                <w:rFonts w:asciiTheme="minorHAnsi" w:eastAsia="Times New Roman" w:hAnsiTheme="minorHAnsi" w:cstheme="minorHAnsi"/>
                <w:bCs/>
                <w:color w:val="000000"/>
                <w:szCs w:val="18"/>
                <w:lang w:eastAsia="en-AU"/>
              </w:rPr>
              <w:t>Number of full-time equivalent (FTE) employees¹</w:t>
            </w:r>
          </w:p>
        </w:tc>
        <w:tc>
          <w:tcPr>
            <w:tcW w:w="567" w:type="dxa"/>
            <w:tcBorders>
              <w:top w:val="nil"/>
              <w:bottom w:val="nil"/>
            </w:tcBorders>
            <w:noWrap/>
            <w:tcMar>
              <w:left w:w="0" w:type="dxa"/>
              <w:right w:w="0" w:type="dxa"/>
            </w:tcMar>
            <w:vAlign w:val="bottom"/>
          </w:tcPr>
          <w:p w14:paraId="5D37BD3E"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275" w:type="dxa"/>
            <w:tcBorders>
              <w:top w:val="single" w:sz="4" w:space="0" w:color="auto"/>
              <w:bottom w:val="single" w:sz="4" w:space="0" w:color="auto"/>
            </w:tcBorders>
            <w:shd w:val="clear" w:color="auto" w:fill="F1F1F2" w:themeFill="accent5" w:themeFillTint="33"/>
            <w:noWrap/>
            <w:tcMar>
              <w:left w:w="0" w:type="dxa"/>
              <w:right w:w="113" w:type="dxa"/>
            </w:tcMar>
            <w:vAlign w:val="bottom"/>
          </w:tcPr>
          <w:p w14:paraId="3E63CCFD" w14:textId="77777777" w:rsidR="00AB33EC" w:rsidRPr="00BA482A" w:rsidRDefault="00AB33EC" w:rsidP="00B721B7">
            <w:pPr>
              <w:jc w:val="right"/>
              <w:rPr>
                <w:rFonts w:asciiTheme="minorHAnsi" w:eastAsia="Times New Roman" w:hAnsiTheme="minorHAnsi" w:cstheme="minorHAnsi"/>
                <w:bCs/>
                <w:color w:val="000000"/>
                <w:szCs w:val="18"/>
                <w:lang w:eastAsia="en-AU"/>
              </w:rPr>
            </w:pPr>
            <w:r>
              <w:rPr>
                <w:rFonts w:asciiTheme="minorHAnsi" w:eastAsia="Times New Roman" w:hAnsiTheme="minorHAnsi" w:cstheme="minorHAnsi"/>
                <w:bCs/>
                <w:color w:val="000000"/>
                <w:szCs w:val="18"/>
                <w:lang w:eastAsia="en-AU"/>
              </w:rPr>
              <w:t>341</w:t>
            </w:r>
          </w:p>
        </w:tc>
        <w:tc>
          <w:tcPr>
            <w:tcW w:w="283" w:type="dxa"/>
            <w:tcBorders>
              <w:top w:val="nil"/>
              <w:bottom w:val="nil"/>
            </w:tcBorders>
            <w:noWrap/>
            <w:tcMar>
              <w:left w:w="0" w:type="dxa"/>
              <w:right w:w="0" w:type="dxa"/>
            </w:tcMar>
            <w:vAlign w:val="bottom"/>
          </w:tcPr>
          <w:p w14:paraId="15BBDB1B" w14:textId="77777777" w:rsidR="00AB33EC" w:rsidRPr="00BA482A" w:rsidRDefault="00AB33EC" w:rsidP="00B721B7">
            <w:pPr>
              <w:jc w:val="center"/>
              <w:rPr>
                <w:rFonts w:asciiTheme="minorHAnsi" w:eastAsia="Times New Roman" w:hAnsiTheme="minorHAnsi" w:cstheme="minorHAnsi"/>
                <w:bCs/>
                <w:color w:val="000000"/>
                <w:szCs w:val="18"/>
                <w:lang w:eastAsia="en-AU"/>
              </w:rPr>
            </w:pPr>
          </w:p>
        </w:tc>
        <w:tc>
          <w:tcPr>
            <w:tcW w:w="1134" w:type="dxa"/>
            <w:tcBorders>
              <w:top w:val="single" w:sz="4" w:space="0" w:color="auto"/>
              <w:bottom w:val="single" w:sz="4" w:space="0" w:color="auto"/>
              <w:right w:val="nil"/>
            </w:tcBorders>
            <w:shd w:val="clear" w:color="auto" w:fill="FFFFFF"/>
            <w:noWrap/>
            <w:tcMar>
              <w:left w:w="0" w:type="dxa"/>
              <w:right w:w="113" w:type="dxa"/>
            </w:tcMar>
            <w:vAlign w:val="bottom"/>
          </w:tcPr>
          <w:p w14:paraId="62D16270" w14:textId="7BD3B58F" w:rsidR="00AB33EC" w:rsidRPr="00BA482A" w:rsidRDefault="00AB33EC" w:rsidP="00B721B7">
            <w:pPr>
              <w:jc w:val="right"/>
              <w:rPr>
                <w:rFonts w:asciiTheme="minorHAnsi" w:eastAsia="Times New Roman" w:hAnsiTheme="minorHAnsi" w:cstheme="minorHAnsi"/>
                <w:bCs/>
                <w:color w:val="000000"/>
                <w:szCs w:val="18"/>
                <w:lang w:eastAsia="en-AU"/>
              </w:rPr>
            </w:pPr>
            <w:r w:rsidRPr="00BA482A">
              <w:rPr>
                <w:rFonts w:asciiTheme="minorHAnsi" w:eastAsia="Times New Roman" w:hAnsiTheme="minorHAnsi" w:cstheme="minorHAnsi"/>
                <w:bCs/>
                <w:color w:val="000000"/>
                <w:szCs w:val="18"/>
                <w:lang w:eastAsia="en-AU"/>
              </w:rPr>
              <w:t>31</w:t>
            </w:r>
            <w:r w:rsidR="007B7409">
              <w:rPr>
                <w:rFonts w:asciiTheme="minorHAnsi" w:eastAsia="Times New Roman" w:hAnsiTheme="minorHAnsi" w:cstheme="minorHAnsi"/>
                <w:bCs/>
                <w:color w:val="000000"/>
                <w:szCs w:val="18"/>
                <w:lang w:eastAsia="en-AU"/>
              </w:rPr>
              <w:t>3</w:t>
            </w:r>
          </w:p>
        </w:tc>
      </w:tr>
    </w:tbl>
    <w:p w14:paraId="286B2DC8" w14:textId="77777777" w:rsidR="00AB33EC" w:rsidRPr="00BA482A" w:rsidRDefault="00AB33EC" w:rsidP="00AB33EC">
      <w:pPr>
        <w:spacing w:before="60"/>
        <w:ind w:left="284" w:hanging="284"/>
        <w:rPr>
          <w:rFonts w:asciiTheme="minorHAnsi" w:eastAsia="Times New Roman" w:hAnsiTheme="minorHAnsi" w:cstheme="minorHAnsi"/>
          <w:color w:val="000000"/>
          <w:sz w:val="17"/>
          <w:szCs w:val="16"/>
          <w:vertAlign w:val="superscript"/>
          <w:lang w:eastAsia="en-AU"/>
        </w:rPr>
      </w:pPr>
    </w:p>
    <w:p w14:paraId="32C81192" w14:textId="77777777" w:rsidR="00AB33EC" w:rsidRPr="00BA482A" w:rsidRDefault="00AB33EC" w:rsidP="00AB33EC">
      <w:pPr>
        <w:spacing w:before="60"/>
        <w:ind w:left="284" w:hanging="284"/>
        <w:rPr>
          <w:rFonts w:asciiTheme="minorHAnsi" w:eastAsia="Times New Roman" w:hAnsiTheme="minorHAnsi" w:cstheme="minorHAnsi"/>
          <w:color w:val="000000"/>
          <w:sz w:val="17"/>
          <w:szCs w:val="16"/>
          <w:vertAlign w:val="superscript"/>
          <w:lang w:eastAsia="en-AU"/>
        </w:rPr>
      </w:pPr>
    </w:p>
    <w:p w14:paraId="4056E58E" w14:textId="77777777" w:rsidR="00AB33EC" w:rsidRPr="00BA482A" w:rsidRDefault="00AB33EC" w:rsidP="00AB33EC">
      <w:pPr>
        <w:spacing w:before="60"/>
        <w:ind w:left="284" w:right="-286" w:hanging="284"/>
        <w:rPr>
          <w:rFonts w:asciiTheme="minorHAnsi" w:eastAsia="Times New Roman" w:hAnsiTheme="minorHAnsi" w:cstheme="minorHAnsi"/>
          <w:color w:val="000000"/>
          <w:sz w:val="17"/>
          <w:szCs w:val="16"/>
          <w:lang w:eastAsia="en-AU"/>
        </w:rPr>
      </w:pPr>
      <w:r w:rsidRPr="00BA482A">
        <w:rPr>
          <w:rFonts w:asciiTheme="minorHAnsi" w:eastAsia="Times New Roman" w:hAnsiTheme="minorHAnsi" w:cstheme="minorHAnsi"/>
          <w:color w:val="000000"/>
          <w:sz w:val="17"/>
          <w:szCs w:val="16"/>
          <w:lang w:eastAsia="en-AU"/>
        </w:rPr>
        <w:t xml:space="preserve">¹ </w:t>
      </w:r>
      <w:r w:rsidRPr="00BA482A">
        <w:rPr>
          <w:rFonts w:asciiTheme="minorHAnsi" w:eastAsia="Times New Roman" w:hAnsiTheme="minorHAnsi" w:cstheme="minorHAnsi"/>
          <w:color w:val="000000"/>
          <w:sz w:val="17"/>
          <w:szCs w:val="16"/>
          <w:lang w:eastAsia="en-AU"/>
        </w:rPr>
        <w:tab/>
        <w:t>As at 30 June 202</w:t>
      </w:r>
      <w:r>
        <w:rPr>
          <w:rFonts w:asciiTheme="minorHAnsi" w:eastAsia="Times New Roman" w:hAnsiTheme="minorHAnsi" w:cstheme="minorHAnsi"/>
          <w:color w:val="000000"/>
          <w:sz w:val="17"/>
          <w:szCs w:val="16"/>
          <w:lang w:eastAsia="en-AU"/>
        </w:rPr>
        <w:t>4</w:t>
      </w:r>
      <w:r w:rsidRPr="00BA482A">
        <w:rPr>
          <w:rFonts w:asciiTheme="minorHAnsi" w:eastAsia="Times New Roman" w:hAnsiTheme="minorHAnsi" w:cstheme="minorHAnsi"/>
          <w:color w:val="000000"/>
          <w:sz w:val="17"/>
          <w:szCs w:val="16"/>
          <w:lang w:eastAsia="en-AU"/>
        </w:rPr>
        <w:t xml:space="preserve"> it includes 72 (202</w:t>
      </w:r>
      <w:r>
        <w:rPr>
          <w:rFonts w:asciiTheme="minorHAnsi" w:eastAsia="Times New Roman" w:hAnsiTheme="minorHAnsi" w:cstheme="minorHAnsi"/>
          <w:color w:val="000000"/>
          <w:sz w:val="17"/>
          <w:szCs w:val="16"/>
          <w:lang w:eastAsia="en-AU"/>
        </w:rPr>
        <w:t>3</w:t>
      </w:r>
      <w:r w:rsidRPr="00BA482A">
        <w:rPr>
          <w:rFonts w:asciiTheme="minorHAnsi" w:eastAsia="Times New Roman" w:hAnsiTheme="minorHAnsi" w:cstheme="minorHAnsi"/>
          <w:color w:val="000000"/>
          <w:sz w:val="17"/>
          <w:szCs w:val="16"/>
          <w:lang w:eastAsia="en-AU"/>
        </w:rPr>
        <w:t>: 7</w:t>
      </w:r>
      <w:r>
        <w:rPr>
          <w:rFonts w:asciiTheme="minorHAnsi" w:eastAsia="Times New Roman" w:hAnsiTheme="minorHAnsi" w:cstheme="minorHAnsi"/>
          <w:color w:val="000000"/>
          <w:sz w:val="17"/>
          <w:szCs w:val="16"/>
          <w:lang w:eastAsia="en-AU"/>
        </w:rPr>
        <w:t>2</w:t>
      </w:r>
      <w:r w:rsidRPr="00BA482A">
        <w:rPr>
          <w:rFonts w:asciiTheme="minorHAnsi" w:eastAsia="Times New Roman" w:hAnsiTheme="minorHAnsi" w:cstheme="minorHAnsi"/>
          <w:color w:val="000000"/>
          <w:sz w:val="17"/>
          <w:szCs w:val="16"/>
          <w:lang w:eastAsia="en-AU"/>
        </w:rPr>
        <w:t>) police FTE positions seconded from the QPS and paid for by the CCC.</w:t>
      </w:r>
    </w:p>
    <w:p w14:paraId="60B1586B" w14:textId="77777777" w:rsidR="00AB33EC" w:rsidRPr="00BA482A" w:rsidRDefault="00AB33EC" w:rsidP="00AB33EC">
      <w:pPr>
        <w:spacing w:line="260" w:lineRule="exact"/>
        <w:rPr>
          <w:rFonts w:asciiTheme="minorHAnsi" w:eastAsia="Calibri" w:hAnsiTheme="minorHAnsi" w:cstheme="minorHAnsi"/>
          <w:color w:val="000000"/>
        </w:rPr>
      </w:pPr>
      <w:r w:rsidRPr="00BA482A">
        <w:rPr>
          <w:rFonts w:asciiTheme="minorHAnsi" w:eastAsia="Calibri" w:hAnsiTheme="minorHAnsi" w:cstheme="minorHAnsi"/>
          <w:color w:val="000000"/>
        </w:rPr>
        <w:br w:type="page"/>
      </w:r>
    </w:p>
    <w:p w14:paraId="0E99E6ED" w14:textId="77777777" w:rsidR="00AB33EC" w:rsidRPr="003E75E2" w:rsidRDefault="00AB33EC" w:rsidP="0037124B">
      <w:pPr>
        <w:pStyle w:val="Normal115pttext"/>
        <w:spacing w:line="240" w:lineRule="auto"/>
        <w:rPr>
          <w:rFonts w:cstheme="minorHAnsi"/>
        </w:rPr>
      </w:pPr>
      <w:r w:rsidRPr="003E75E2">
        <w:rPr>
          <w:rFonts w:cstheme="minorHAnsi"/>
        </w:rPr>
        <w:t>Note 4:  The Commission, Senior Executive Personnel, Remuneration Expenses and Related Party Transactions</w:t>
      </w:r>
    </w:p>
    <w:p w14:paraId="55B90FF3" w14:textId="77777777" w:rsidR="00AB33EC" w:rsidRPr="003E75E2" w:rsidRDefault="00AB33EC" w:rsidP="0037124B">
      <w:pPr>
        <w:pStyle w:val="Normalhanginglist105pt"/>
        <w:spacing w:line="240" w:lineRule="auto"/>
        <w:rPr>
          <w:rFonts w:cstheme="minorHAnsi"/>
          <w:szCs w:val="21"/>
        </w:rPr>
      </w:pPr>
      <w:r w:rsidRPr="003E75E2">
        <w:rPr>
          <w:rFonts w:cstheme="minorHAnsi"/>
          <w:szCs w:val="21"/>
        </w:rPr>
        <w:t>(a)</w:t>
      </w:r>
      <w:r w:rsidRPr="003E75E2">
        <w:rPr>
          <w:rFonts w:cstheme="minorHAnsi"/>
          <w:szCs w:val="21"/>
        </w:rPr>
        <w:tab/>
        <w:t>The Commission</w:t>
      </w:r>
    </w:p>
    <w:p w14:paraId="37A5C235" w14:textId="77777777" w:rsidR="00AB33EC" w:rsidRPr="003E75E2" w:rsidRDefault="00AB33EC" w:rsidP="0037124B">
      <w:pPr>
        <w:pStyle w:val="Normalindent1stpara"/>
        <w:spacing w:line="240" w:lineRule="auto"/>
        <w:rPr>
          <w:rFonts w:cstheme="minorHAnsi"/>
          <w:szCs w:val="20"/>
        </w:rPr>
      </w:pPr>
      <w:r w:rsidRPr="003E75E2">
        <w:rPr>
          <w:rFonts w:cstheme="minorHAnsi"/>
          <w:szCs w:val="20"/>
        </w:rPr>
        <w:t>The Commission is the governing body and comprises a full time Commissioner who is the Chairperson, one (1) part-time Commissioner who is the Deputy Chairperson, and three (3) part-time Ordinary Commissioners. The Commission is responsible for providing strategic leadership and direction for the performance of the CCC’s functions. The Chairperson has specific responsibilities relating to the proper performance of the CCC’s functions.</w:t>
      </w:r>
    </w:p>
    <w:p w14:paraId="6D18386D" w14:textId="77777777" w:rsidR="00AB33EC" w:rsidRPr="003E75E2" w:rsidRDefault="00AB33EC" w:rsidP="0037124B">
      <w:pPr>
        <w:pStyle w:val="Normalindent1stpara"/>
        <w:spacing w:line="240" w:lineRule="auto"/>
        <w:rPr>
          <w:rFonts w:cstheme="minorHAnsi"/>
          <w:szCs w:val="20"/>
        </w:rPr>
      </w:pPr>
    </w:p>
    <w:p w14:paraId="5539B13F" w14:textId="77777777" w:rsidR="00AB33EC" w:rsidRPr="003E75E2" w:rsidRDefault="00AB33EC" w:rsidP="0037124B">
      <w:pPr>
        <w:pStyle w:val="Normalhanginglist105pt"/>
        <w:spacing w:line="240" w:lineRule="auto"/>
        <w:rPr>
          <w:rFonts w:cstheme="minorHAnsi"/>
          <w:szCs w:val="21"/>
        </w:rPr>
      </w:pPr>
      <w:r w:rsidRPr="003E75E2">
        <w:rPr>
          <w:rFonts w:cstheme="minorHAnsi"/>
          <w:szCs w:val="21"/>
        </w:rPr>
        <w:t>(b)</w:t>
      </w:r>
      <w:r w:rsidRPr="003E75E2">
        <w:rPr>
          <w:rFonts w:cstheme="minorHAnsi"/>
          <w:szCs w:val="21"/>
        </w:rPr>
        <w:tab/>
        <w:t>Chief Executive Officer (CEO)</w:t>
      </w:r>
    </w:p>
    <w:p w14:paraId="21519D46" w14:textId="77777777" w:rsidR="00AB33EC" w:rsidRPr="003E75E2" w:rsidRDefault="00AB33EC" w:rsidP="0037124B">
      <w:pPr>
        <w:pStyle w:val="Normalindent1stpara"/>
        <w:spacing w:line="240" w:lineRule="auto"/>
        <w:rPr>
          <w:rFonts w:cstheme="minorHAnsi"/>
          <w:szCs w:val="20"/>
        </w:rPr>
      </w:pPr>
      <w:r w:rsidRPr="003E75E2">
        <w:rPr>
          <w:rFonts w:cstheme="minorHAnsi"/>
          <w:szCs w:val="20"/>
        </w:rPr>
        <w:t>The CEO is responsible for the efficient, effective and economic administration of the CCC. The CCC’s financial functions are also delegated to the CEO. The CEO reports to the Commission.</w:t>
      </w:r>
    </w:p>
    <w:p w14:paraId="530B42AC" w14:textId="77777777" w:rsidR="00AB33EC" w:rsidRPr="003E75E2" w:rsidRDefault="00AB33EC" w:rsidP="0037124B">
      <w:pPr>
        <w:pStyle w:val="Normalindent1stpara"/>
        <w:spacing w:line="240" w:lineRule="auto"/>
        <w:rPr>
          <w:rFonts w:cstheme="minorHAnsi"/>
          <w:szCs w:val="20"/>
        </w:rPr>
      </w:pPr>
    </w:p>
    <w:p w14:paraId="72099BD2" w14:textId="77777777" w:rsidR="00AB33EC" w:rsidRPr="003E75E2" w:rsidRDefault="00AB33EC" w:rsidP="0037124B">
      <w:pPr>
        <w:pStyle w:val="Normalhanginglist105pt"/>
        <w:spacing w:line="240" w:lineRule="auto"/>
        <w:rPr>
          <w:rFonts w:cstheme="minorHAnsi"/>
          <w:szCs w:val="21"/>
        </w:rPr>
      </w:pPr>
      <w:r w:rsidRPr="003E75E2">
        <w:rPr>
          <w:rFonts w:cstheme="minorHAnsi"/>
          <w:szCs w:val="21"/>
        </w:rPr>
        <w:t>(c)</w:t>
      </w:r>
      <w:r w:rsidRPr="003E75E2">
        <w:rPr>
          <w:rFonts w:cstheme="minorHAnsi"/>
          <w:szCs w:val="21"/>
        </w:rPr>
        <w:tab/>
        <w:t>Key Management Personnel (KMP)</w:t>
      </w:r>
    </w:p>
    <w:p w14:paraId="75ABB13C" w14:textId="77777777" w:rsidR="00AB33EC" w:rsidRPr="003E75E2" w:rsidRDefault="00AB33EC" w:rsidP="0037124B">
      <w:pPr>
        <w:pStyle w:val="Normalindent1stpara"/>
        <w:spacing w:line="240" w:lineRule="auto"/>
        <w:ind w:right="-143"/>
        <w:rPr>
          <w:rFonts w:cstheme="minorHAnsi"/>
          <w:szCs w:val="20"/>
        </w:rPr>
      </w:pPr>
      <w:r w:rsidRPr="003E75E2">
        <w:rPr>
          <w:rFonts w:cstheme="minorHAnsi"/>
          <w:szCs w:val="20"/>
        </w:rPr>
        <w:t xml:space="preserve">The CCC’s responsible Minister is identified as part of the CCC’s KMP, consistent with additional guidance included in the revised version of AASB 124 </w:t>
      </w:r>
      <w:r w:rsidRPr="003E75E2">
        <w:rPr>
          <w:rFonts w:cstheme="minorHAnsi"/>
          <w:i/>
          <w:szCs w:val="20"/>
        </w:rPr>
        <w:t>Related Party Disclosures</w:t>
      </w:r>
      <w:r w:rsidRPr="003E75E2">
        <w:rPr>
          <w:rFonts w:cstheme="minorHAnsi"/>
          <w:szCs w:val="20"/>
        </w:rPr>
        <w:t xml:space="preserve">. That Minister is the Attorney-General and Minister for Justice and Minister for the Prevention of Domestic and Family Violence.  Ministerial remuneration entitlements are outlined in the Legislative Assembly of Queensland’s Member’s Remuneration Handbook. The CCC does not bear any cost of remuneration of Ministers. The majority of Ministerial entitlements are paid by the Legislative Assembly, with the remaining entitlements being provided by Ministerial Services Branch within the Department of Premier and Cabinet.  As all Ministers are reported as KMP of the Queensland Government, aggregate remuneration expenses for all Ministers is disclosed in the Queensland General Government and Whole of Government Consolidated Financial Statements, which are published as part of Queensland Treasury’s Report on State Finances. </w:t>
      </w:r>
    </w:p>
    <w:p w14:paraId="56BB4501" w14:textId="77777777" w:rsidR="00AB33EC" w:rsidRPr="003E75E2" w:rsidRDefault="00AB33EC" w:rsidP="0037124B">
      <w:pPr>
        <w:pStyle w:val="Normalindent1stpara"/>
        <w:spacing w:line="240" w:lineRule="auto"/>
        <w:ind w:right="-143"/>
        <w:rPr>
          <w:rFonts w:cstheme="minorHAnsi"/>
          <w:szCs w:val="20"/>
        </w:rPr>
      </w:pPr>
    </w:p>
    <w:p w14:paraId="69531B17" w14:textId="77777777" w:rsidR="00AB33EC" w:rsidRPr="003E75E2" w:rsidRDefault="00AB33EC" w:rsidP="0037124B">
      <w:pPr>
        <w:pStyle w:val="Normalindent1stpara"/>
        <w:spacing w:line="240" w:lineRule="auto"/>
        <w:ind w:right="-143"/>
        <w:rPr>
          <w:rFonts w:cstheme="minorHAnsi"/>
          <w:szCs w:val="20"/>
        </w:rPr>
      </w:pPr>
      <w:r w:rsidRPr="003E75E2">
        <w:rPr>
          <w:rFonts w:cstheme="minorHAnsi"/>
          <w:szCs w:val="20"/>
        </w:rPr>
        <w:t xml:space="preserve">The details for non-ministerial KMP reflect those CCC positions that had authority and responsibility for planning, directing and controlling activities of the CCC during 2023-24 and 2022-23. Further information about these positions can be found in the body of the Annual Report under the section relating to Governance and people.  </w:t>
      </w:r>
    </w:p>
    <w:p w14:paraId="3443387E" w14:textId="77777777" w:rsidR="00AB33EC" w:rsidRPr="003E75E2" w:rsidRDefault="00AB33EC" w:rsidP="0037124B">
      <w:pPr>
        <w:pStyle w:val="Normalindent1stpara"/>
        <w:spacing w:line="240" w:lineRule="auto"/>
        <w:ind w:right="-143"/>
        <w:rPr>
          <w:rFonts w:cstheme="minorHAnsi"/>
          <w:szCs w:val="20"/>
        </w:rPr>
      </w:pPr>
      <w:bookmarkStart w:id="1543" w:name="_Hlk104363583"/>
    </w:p>
    <w:p w14:paraId="11DB0C46" w14:textId="77777777" w:rsidR="00AB33EC" w:rsidRPr="003E75E2" w:rsidRDefault="00AB33EC" w:rsidP="0037124B">
      <w:pPr>
        <w:pStyle w:val="Normalhanginglist105pt"/>
        <w:spacing w:line="240" w:lineRule="auto"/>
        <w:rPr>
          <w:rFonts w:cstheme="minorHAnsi"/>
          <w:szCs w:val="21"/>
        </w:rPr>
      </w:pPr>
      <w:r w:rsidRPr="003E75E2">
        <w:rPr>
          <w:rFonts w:cstheme="minorHAnsi"/>
          <w:szCs w:val="21"/>
        </w:rPr>
        <w:t xml:space="preserve"> (d)</w:t>
      </w:r>
      <w:r w:rsidRPr="003E75E2">
        <w:rPr>
          <w:rFonts w:cstheme="minorHAnsi"/>
          <w:szCs w:val="21"/>
        </w:rPr>
        <w:tab/>
        <w:t>Remuneration Expenses</w:t>
      </w:r>
    </w:p>
    <w:p w14:paraId="1B728C62" w14:textId="77777777" w:rsidR="00AB33EC" w:rsidRPr="003E75E2" w:rsidRDefault="00AB33EC" w:rsidP="0037124B">
      <w:pPr>
        <w:pStyle w:val="NormalhangingllistL2"/>
        <w:spacing w:line="240" w:lineRule="auto"/>
        <w:rPr>
          <w:rFonts w:cstheme="minorHAnsi"/>
          <w:szCs w:val="20"/>
        </w:rPr>
      </w:pPr>
      <w:r w:rsidRPr="003E75E2">
        <w:rPr>
          <w:rFonts w:cstheme="minorHAnsi"/>
          <w:szCs w:val="20"/>
        </w:rPr>
        <w:t>Chairperson Remuneration</w:t>
      </w:r>
    </w:p>
    <w:p w14:paraId="148052DD" w14:textId="77777777" w:rsidR="00AB33EC" w:rsidRPr="003E75E2" w:rsidRDefault="00AB33EC" w:rsidP="0037124B">
      <w:pPr>
        <w:pStyle w:val="Normalindent1stpara"/>
        <w:spacing w:line="240" w:lineRule="auto"/>
        <w:rPr>
          <w:rFonts w:cstheme="minorHAnsi"/>
          <w:szCs w:val="20"/>
        </w:rPr>
      </w:pPr>
      <w:r w:rsidRPr="003E75E2">
        <w:rPr>
          <w:rFonts w:cstheme="minorHAnsi"/>
          <w:szCs w:val="20"/>
        </w:rPr>
        <w:t xml:space="preserve">The remuneration paid to the Chairperson is </w:t>
      </w:r>
      <w:bookmarkStart w:id="1544" w:name="_Hlk102478361"/>
      <w:r w:rsidRPr="003E75E2">
        <w:rPr>
          <w:rFonts w:cstheme="minorHAnsi"/>
          <w:szCs w:val="20"/>
        </w:rPr>
        <w:t xml:space="preserve">determined by the Governor-in-Council and is equivalent to the superannuable salary of a Supreme Court judge, other than the Chief Justice or the President of the Court of Appeal, as provided for under the </w:t>
      </w:r>
      <w:r w:rsidRPr="003E75E2">
        <w:rPr>
          <w:rFonts w:cstheme="minorHAnsi"/>
          <w:i/>
          <w:szCs w:val="20"/>
        </w:rPr>
        <w:t>Judicial Remuneration Act 2007</w:t>
      </w:r>
      <w:r w:rsidRPr="003E75E2">
        <w:rPr>
          <w:rFonts w:cstheme="minorHAnsi"/>
          <w:szCs w:val="20"/>
        </w:rPr>
        <w:t xml:space="preserve">. </w:t>
      </w:r>
    </w:p>
    <w:p w14:paraId="19F791CC" w14:textId="77777777" w:rsidR="00AB33EC" w:rsidRPr="003E75E2" w:rsidRDefault="00AB33EC" w:rsidP="0037124B">
      <w:pPr>
        <w:pStyle w:val="NormalIndent1"/>
        <w:spacing w:line="240" w:lineRule="auto"/>
        <w:rPr>
          <w:rFonts w:cstheme="minorHAnsi"/>
          <w:szCs w:val="20"/>
        </w:rPr>
      </w:pPr>
      <w:r w:rsidRPr="003E75E2">
        <w:rPr>
          <w:rFonts w:cstheme="minorHAnsi"/>
          <w:szCs w:val="20"/>
        </w:rPr>
        <w:t xml:space="preserve">The Chairperson’s conditions of employment includes a jurisprudential allowance, an expense of office allowance, vehicle allowance, leave equivalent to the public service and a pension in accordance with the provisions of the </w:t>
      </w:r>
      <w:r w:rsidRPr="003E75E2">
        <w:rPr>
          <w:rFonts w:cstheme="minorHAnsi"/>
          <w:i/>
          <w:szCs w:val="20"/>
        </w:rPr>
        <w:t>Crime and Corruption Act 2001</w:t>
      </w:r>
      <w:r w:rsidRPr="003E75E2">
        <w:rPr>
          <w:rFonts w:cstheme="minorHAnsi"/>
          <w:szCs w:val="20"/>
        </w:rPr>
        <w:t>. The Chairperson is not eligible for a performance bonus.</w:t>
      </w:r>
    </w:p>
    <w:p w14:paraId="4224CC85" w14:textId="77777777" w:rsidR="00AB33EC" w:rsidRPr="003E75E2" w:rsidRDefault="00AB33EC" w:rsidP="0037124B">
      <w:pPr>
        <w:pStyle w:val="NormalhangingllistL2"/>
        <w:spacing w:line="240" w:lineRule="auto"/>
        <w:rPr>
          <w:rFonts w:cstheme="minorHAnsi"/>
          <w:szCs w:val="20"/>
        </w:rPr>
      </w:pPr>
      <w:r w:rsidRPr="003E75E2">
        <w:rPr>
          <w:rFonts w:cstheme="minorHAnsi"/>
          <w:szCs w:val="20"/>
        </w:rPr>
        <w:t>Acting Chairperson Remuneration</w:t>
      </w:r>
    </w:p>
    <w:p w14:paraId="18C6F372" w14:textId="77777777" w:rsidR="00AB33EC" w:rsidRPr="003E75E2" w:rsidRDefault="00AB33EC" w:rsidP="0037124B">
      <w:pPr>
        <w:pStyle w:val="Normalindent1stpara"/>
        <w:spacing w:line="240" w:lineRule="auto"/>
        <w:rPr>
          <w:rFonts w:cstheme="minorHAnsi"/>
          <w:szCs w:val="20"/>
        </w:rPr>
      </w:pPr>
      <w:r w:rsidRPr="003E75E2">
        <w:rPr>
          <w:rFonts w:cstheme="minorHAnsi"/>
          <w:szCs w:val="20"/>
        </w:rPr>
        <w:t xml:space="preserve">The remuneration paid to the acting Chairperson is determined by the Governor-in-Council. When acting as the Chairperson, the appointees will continue to receive their substantive superannuable salary, plus will receive the pro-rata difference between their substantive superannuable salary and the salary paid to the Chairperson which is equivalent to the salary paid to a Supreme Court Judge. </w:t>
      </w:r>
    </w:p>
    <w:p w14:paraId="237609D3" w14:textId="77777777" w:rsidR="00AB33EC" w:rsidRPr="003E75E2" w:rsidRDefault="00AB33EC" w:rsidP="00AB33EC">
      <w:pPr>
        <w:pStyle w:val="NormalIndent1"/>
        <w:spacing w:line="240" w:lineRule="auto"/>
        <w:jc w:val="both"/>
        <w:rPr>
          <w:rFonts w:cstheme="minorHAnsi"/>
          <w:szCs w:val="20"/>
        </w:rPr>
      </w:pPr>
    </w:p>
    <w:p w14:paraId="026399FB" w14:textId="10E91AF3" w:rsidR="00D73AE5" w:rsidRDefault="00D73AE5">
      <w:pPr>
        <w:spacing w:before="120" w:after="0" w:line="260" w:lineRule="exact"/>
        <w:rPr>
          <w:rFonts w:asciiTheme="minorHAnsi" w:eastAsia="Times New Roman" w:hAnsiTheme="minorHAnsi" w:cstheme="minorHAnsi"/>
          <w:szCs w:val="20"/>
          <w:lang w:eastAsia="en-AU"/>
        </w:rPr>
      </w:pPr>
      <w:r>
        <w:rPr>
          <w:rFonts w:cstheme="minorHAnsi"/>
          <w:szCs w:val="20"/>
        </w:rPr>
        <w:br w:type="page"/>
      </w:r>
    </w:p>
    <w:bookmarkEnd w:id="1543"/>
    <w:bookmarkEnd w:id="1544"/>
    <w:p w14:paraId="4216D9BF" w14:textId="77777777" w:rsidR="00AB33EC" w:rsidRPr="003E75E2" w:rsidRDefault="00AB33EC" w:rsidP="0037124B">
      <w:pPr>
        <w:pStyle w:val="Normal115pttext"/>
        <w:spacing w:line="240" w:lineRule="auto"/>
        <w:rPr>
          <w:rFonts w:cstheme="minorHAnsi"/>
          <w:color w:val="414042" w:themeColor="text1"/>
        </w:rPr>
      </w:pPr>
      <w:r w:rsidRPr="003E75E2">
        <w:rPr>
          <w:rFonts w:cstheme="minorHAnsi"/>
          <w:color w:val="414042" w:themeColor="text1"/>
        </w:rPr>
        <w:t>Note 4:  The Commission, Senior Executive Personnel, Remuneration Expenses and Related Party Transactions (cont’d)</w:t>
      </w:r>
    </w:p>
    <w:p w14:paraId="01AC4AA3" w14:textId="77777777" w:rsidR="00AB33EC" w:rsidRPr="003E75E2" w:rsidRDefault="00AB33EC" w:rsidP="0037124B">
      <w:pPr>
        <w:pStyle w:val="Normalhanginglist105pt"/>
        <w:spacing w:line="240" w:lineRule="auto"/>
        <w:rPr>
          <w:rFonts w:cstheme="minorHAnsi"/>
          <w:color w:val="414042" w:themeColor="text1"/>
          <w:szCs w:val="21"/>
        </w:rPr>
      </w:pPr>
      <w:r w:rsidRPr="003E75E2">
        <w:rPr>
          <w:rFonts w:cstheme="minorHAnsi"/>
          <w:color w:val="414042" w:themeColor="text1"/>
          <w:szCs w:val="21"/>
        </w:rPr>
        <w:t>(d)</w:t>
      </w:r>
      <w:r w:rsidRPr="003E75E2">
        <w:rPr>
          <w:rFonts w:cstheme="minorHAnsi"/>
          <w:color w:val="414042" w:themeColor="text1"/>
          <w:szCs w:val="21"/>
        </w:rPr>
        <w:tab/>
        <w:t>Remuneration Expenses (cont’d)</w:t>
      </w:r>
    </w:p>
    <w:p w14:paraId="49B7F5F4" w14:textId="77777777" w:rsidR="00AB33EC" w:rsidRPr="003E75E2" w:rsidRDefault="00AB33EC" w:rsidP="0037124B">
      <w:pPr>
        <w:pStyle w:val="NormalhangingllistL2"/>
        <w:spacing w:line="240" w:lineRule="auto"/>
        <w:rPr>
          <w:rFonts w:cstheme="minorHAnsi"/>
          <w:color w:val="414042" w:themeColor="text1"/>
          <w:szCs w:val="20"/>
        </w:rPr>
      </w:pPr>
      <w:r w:rsidRPr="003E75E2">
        <w:rPr>
          <w:rFonts w:cstheme="minorHAnsi"/>
          <w:color w:val="414042" w:themeColor="text1"/>
          <w:szCs w:val="20"/>
        </w:rPr>
        <w:t>Chief Executive Officer (CEO) and Senior Executive Remuneration (Cont’d)</w:t>
      </w:r>
    </w:p>
    <w:p w14:paraId="316367F6" w14:textId="77777777" w:rsidR="00AB33EC" w:rsidRPr="003E75E2" w:rsidRDefault="00AB33EC" w:rsidP="0037124B">
      <w:pPr>
        <w:pStyle w:val="Normalindent1stpara"/>
        <w:spacing w:line="240" w:lineRule="auto"/>
        <w:rPr>
          <w:rFonts w:cstheme="minorHAnsi"/>
          <w:color w:val="414042" w:themeColor="text1"/>
          <w:szCs w:val="20"/>
        </w:rPr>
      </w:pPr>
      <w:r w:rsidRPr="003E75E2">
        <w:rPr>
          <w:rFonts w:cstheme="minorHAnsi"/>
          <w:color w:val="414042" w:themeColor="text1"/>
          <w:szCs w:val="20"/>
        </w:rPr>
        <w:t xml:space="preserve">The remuneration paid to the CEO is determined by the Governor-in-Council; however, remuneration policy for both the CCC’s CEO and senior executive personnel is based on rates set by the Queensland Public Sector Commission as provided for under the </w:t>
      </w:r>
      <w:r w:rsidRPr="003E75E2">
        <w:rPr>
          <w:rFonts w:cstheme="minorHAnsi"/>
          <w:i/>
          <w:color w:val="414042" w:themeColor="text1"/>
          <w:szCs w:val="20"/>
        </w:rPr>
        <w:t>Public Sector Act 2022</w:t>
      </w:r>
      <w:r w:rsidRPr="003E75E2">
        <w:rPr>
          <w:rFonts w:cstheme="minorHAnsi"/>
          <w:color w:val="414042" w:themeColor="text1"/>
          <w:szCs w:val="20"/>
        </w:rPr>
        <w:t xml:space="preserve">, and approved by the Minister. </w:t>
      </w:r>
    </w:p>
    <w:p w14:paraId="4CC681AB" w14:textId="77777777" w:rsidR="00FD41AD" w:rsidRPr="00E92B65" w:rsidRDefault="00FD41AD" w:rsidP="00FD41AD">
      <w:pPr>
        <w:pStyle w:val="NormalIndent1"/>
        <w:spacing w:line="240" w:lineRule="auto"/>
        <w:rPr>
          <w:rFonts w:cstheme="minorHAnsi"/>
          <w:color w:val="414042" w:themeColor="text1"/>
          <w:szCs w:val="20"/>
        </w:rPr>
      </w:pPr>
      <w:r w:rsidRPr="00E92B65">
        <w:rPr>
          <w:rFonts w:cstheme="minorHAnsi"/>
          <w:color w:val="414042" w:themeColor="text1"/>
          <w:szCs w:val="20"/>
        </w:rPr>
        <w:t xml:space="preserve">For the 2023-24 year, the remuneration for the CEO increased by 9.3% on 24 August 2023. Senior executive personnel remuneration increased by 4% on 1 July 2023 in accordance with government policy. </w:t>
      </w:r>
    </w:p>
    <w:p w14:paraId="766961E6" w14:textId="77777777" w:rsidR="00FD41AD" w:rsidRPr="003E75E2" w:rsidRDefault="00FD41AD" w:rsidP="00FD41AD">
      <w:pPr>
        <w:pStyle w:val="NormalIndent1"/>
        <w:spacing w:line="240" w:lineRule="auto"/>
        <w:rPr>
          <w:rFonts w:cstheme="minorHAnsi"/>
          <w:color w:val="414042" w:themeColor="text1"/>
          <w:szCs w:val="20"/>
        </w:rPr>
      </w:pPr>
      <w:r w:rsidRPr="00E92B65">
        <w:rPr>
          <w:rFonts w:cstheme="minorHAnsi"/>
          <w:color w:val="414042" w:themeColor="text1"/>
          <w:szCs w:val="20"/>
        </w:rPr>
        <w:t>For the 2022-23 year, in accordance with government policy, the remuneration for the CEO increased by 2.5% on 1 July 2022 and a further 2.5% on 1 September 2022. Senior executive personnel remuneration increased by 2.5% on 1 September 2022.</w:t>
      </w:r>
      <w:r w:rsidRPr="003E75E2">
        <w:rPr>
          <w:rFonts w:cstheme="minorHAnsi"/>
          <w:color w:val="414042" w:themeColor="text1"/>
          <w:szCs w:val="20"/>
        </w:rPr>
        <w:t xml:space="preserve"> </w:t>
      </w:r>
    </w:p>
    <w:p w14:paraId="5F87C6E2" w14:textId="77777777" w:rsidR="00AB33EC" w:rsidRPr="003E75E2" w:rsidRDefault="00AB33EC" w:rsidP="0037124B">
      <w:pPr>
        <w:pStyle w:val="NormalIndent1"/>
        <w:spacing w:line="240" w:lineRule="auto"/>
        <w:rPr>
          <w:rFonts w:cstheme="minorHAnsi"/>
          <w:color w:val="414042" w:themeColor="text1"/>
          <w:szCs w:val="20"/>
        </w:rPr>
      </w:pPr>
      <w:r w:rsidRPr="003E75E2">
        <w:rPr>
          <w:rFonts w:cstheme="minorHAnsi"/>
          <w:color w:val="414042" w:themeColor="text1"/>
          <w:szCs w:val="20"/>
        </w:rPr>
        <w:t>Remuneration expenses for key management personnel comprise the following components:</w:t>
      </w:r>
    </w:p>
    <w:p w14:paraId="76E5AFE7" w14:textId="77777777" w:rsidR="00AB33EC" w:rsidRPr="003E75E2" w:rsidRDefault="00AB33EC" w:rsidP="0037124B">
      <w:pPr>
        <w:pStyle w:val="NormalindentbulletsL1"/>
        <w:ind w:left="1040"/>
        <w:rPr>
          <w:rFonts w:cstheme="minorHAnsi"/>
          <w:color w:val="414042" w:themeColor="text1"/>
        </w:rPr>
      </w:pPr>
      <w:r w:rsidRPr="003E75E2">
        <w:rPr>
          <w:rFonts w:cstheme="minorHAnsi"/>
          <w:color w:val="414042" w:themeColor="text1"/>
        </w:rPr>
        <w:t>Short-term employee expenses which include:</w:t>
      </w:r>
    </w:p>
    <w:p w14:paraId="649A2F05" w14:textId="77777777" w:rsidR="00AB33EC" w:rsidRPr="003E75E2" w:rsidRDefault="00AB33EC" w:rsidP="002F23D4">
      <w:pPr>
        <w:pStyle w:val="NormalindentbulletsL2"/>
        <w:numPr>
          <w:ilvl w:val="1"/>
          <w:numId w:val="52"/>
        </w:numPr>
        <w:spacing w:line="240" w:lineRule="auto"/>
        <w:rPr>
          <w:rFonts w:cstheme="minorHAnsi"/>
          <w:color w:val="414042" w:themeColor="text1"/>
          <w:szCs w:val="20"/>
        </w:rPr>
      </w:pPr>
      <w:r w:rsidRPr="003E75E2">
        <w:rPr>
          <w:rFonts w:cstheme="minorHAnsi"/>
          <w:color w:val="414042" w:themeColor="text1"/>
          <w:szCs w:val="20"/>
        </w:rPr>
        <w:t>salaries, allowances and leave entitlements earned and expensed for the entire year or for that part of the year during which the employee occupied the senior executive position</w:t>
      </w:r>
    </w:p>
    <w:p w14:paraId="0A0AC7A2" w14:textId="07F31F68" w:rsidR="00AB33EC" w:rsidRPr="003E75E2" w:rsidRDefault="00AB33EC" w:rsidP="002F23D4">
      <w:pPr>
        <w:pStyle w:val="NormalindentbulletsL2"/>
        <w:numPr>
          <w:ilvl w:val="1"/>
          <w:numId w:val="52"/>
        </w:numPr>
        <w:spacing w:line="240" w:lineRule="auto"/>
        <w:rPr>
          <w:rFonts w:cstheme="minorHAnsi"/>
          <w:color w:val="414042" w:themeColor="text1"/>
          <w:szCs w:val="20"/>
        </w:rPr>
      </w:pPr>
      <w:r w:rsidRPr="003E75E2">
        <w:rPr>
          <w:rFonts w:cstheme="minorHAnsi"/>
          <w:color w:val="414042" w:themeColor="text1"/>
          <w:szCs w:val="20"/>
        </w:rPr>
        <w:t>non-monetary benefits — consisting of car parking benefits</w:t>
      </w:r>
      <w:r w:rsidR="00D73AE5">
        <w:rPr>
          <w:rFonts w:cstheme="minorHAnsi"/>
          <w:color w:val="414042" w:themeColor="text1"/>
          <w:szCs w:val="20"/>
        </w:rPr>
        <w:t>.</w:t>
      </w:r>
    </w:p>
    <w:p w14:paraId="5A994C25" w14:textId="15088C69" w:rsidR="00AB33EC" w:rsidRPr="003E75E2" w:rsidRDefault="00AB33EC" w:rsidP="0037124B">
      <w:pPr>
        <w:pStyle w:val="NormalindentbulletsL1"/>
        <w:ind w:left="1040"/>
        <w:rPr>
          <w:rFonts w:cstheme="minorHAnsi"/>
          <w:color w:val="414042" w:themeColor="text1"/>
        </w:rPr>
      </w:pPr>
      <w:r w:rsidRPr="003E75E2">
        <w:rPr>
          <w:rFonts w:cstheme="minorHAnsi"/>
          <w:color w:val="414042" w:themeColor="text1"/>
        </w:rPr>
        <w:t>Long-term employee expenses include amounts expensed in respect of long service leave entitlements earned</w:t>
      </w:r>
      <w:r w:rsidR="00D73AE5">
        <w:rPr>
          <w:rFonts w:cstheme="minorHAnsi"/>
          <w:color w:val="414042" w:themeColor="text1"/>
        </w:rPr>
        <w:t>.</w:t>
      </w:r>
    </w:p>
    <w:p w14:paraId="460B0D6B" w14:textId="03FF5165" w:rsidR="00AB33EC" w:rsidRPr="003E75E2" w:rsidRDefault="00AB33EC" w:rsidP="0037124B">
      <w:pPr>
        <w:pStyle w:val="NormalindentbulletsL1"/>
        <w:ind w:left="1040"/>
        <w:rPr>
          <w:rFonts w:cstheme="minorHAnsi"/>
          <w:color w:val="414042" w:themeColor="text1"/>
        </w:rPr>
      </w:pPr>
      <w:r w:rsidRPr="003E75E2">
        <w:rPr>
          <w:rFonts w:cstheme="minorHAnsi"/>
          <w:color w:val="414042" w:themeColor="text1"/>
        </w:rPr>
        <w:t>Post-employment expenses include amounts expensed in respect of employer superannuation obligations</w:t>
      </w:r>
      <w:r w:rsidR="00D73AE5">
        <w:rPr>
          <w:rFonts w:cstheme="minorHAnsi"/>
          <w:color w:val="414042" w:themeColor="text1"/>
        </w:rPr>
        <w:t>.</w:t>
      </w:r>
    </w:p>
    <w:p w14:paraId="310EA3E1" w14:textId="74E23A79" w:rsidR="00AB33EC" w:rsidRPr="003E75E2" w:rsidRDefault="00AB33EC" w:rsidP="0037124B">
      <w:pPr>
        <w:pStyle w:val="NormalindentbulletsL1"/>
        <w:ind w:left="1040"/>
        <w:rPr>
          <w:rFonts w:cstheme="minorHAnsi"/>
          <w:color w:val="414042" w:themeColor="text1"/>
        </w:rPr>
      </w:pPr>
      <w:r w:rsidRPr="003E75E2">
        <w:rPr>
          <w:rFonts w:cstheme="minorHAnsi"/>
          <w:color w:val="414042" w:themeColor="text1"/>
        </w:rPr>
        <w:t>Termination benefits are provided for within individual contracts of employment for senior executive personnel only. Contracts of employment provide only for notice periods or payment in lieu of notice on termination, regardless of the reason for the termination</w:t>
      </w:r>
      <w:r w:rsidR="00D73AE5">
        <w:rPr>
          <w:rFonts w:cstheme="minorHAnsi"/>
          <w:color w:val="414042" w:themeColor="text1"/>
        </w:rPr>
        <w:t>.</w:t>
      </w:r>
    </w:p>
    <w:p w14:paraId="19B1B8B2" w14:textId="77777777" w:rsidR="00AB33EC" w:rsidRPr="003E75E2" w:rsidRDefault="00AB33EC" w:rsidP="0037124B">
      <w:pPr>
        <w:pStyle w:val="NormalindentbulletsL1"/>
        <w:ind w:left="1040"/>
        <w:rPr>
          <w:rFonts w:cstheme="minorHAnsi"/>
          <w:color w:val="414042" w:themeColor="text1"/>
        </w:rPr>
      </w:pPr>
      <w:r w:rsidRPr="003E75E2">
        <w:rPr>
          <w:rFonts w:cstheme="minorHAnsi"/>
          <w:color w:val="414042" w:themeColor="text1"/>
        </w:rPr>
        <w:t>The CEO and senior executive personnel contracts do not provide for performance bonuses.</w:t>
      </w:r>
    </w:p>
    <w:p w14:paraId="520742DB" w14:textId="77777777" w:rsidR="00AB33EC" w:rsidRPr="003E75E2" w:rsidRDefault="00AB33EC" w:rsidP="0037124B">
      <w:pPr>
        <w:pStyle w:val="NormalIndent1"/>
        <w:spacing w:line="240" w:lineRule="auto"/>
        <w:rPr>
          <w:rFonts w:cstheme="minorHAnsi"/>
          <w:color w:val="414042" w:themeColor="text1"/>
          <w:szCs w:val="20"/>
        </w:rPr>
      </w:pPr>
      <w:r w:rsidRPr="003E75E2">
        <w:rPr>
          <w:rFonts w:cstheme="minorHAnsi"/>
          <w:color w:val="414042" w:themeColor="text1"/>
          <w:szCs w:val="20"/>
        </w:rPr>
        <w:t xml:space="preserve">The remuneration and other terms of employment for the senior executive personnel are specified </w:t>
      </w:r>
      <w:r w:rsidRPr="003E75E2">
        <w:rPr>
          <w:rFonts w:cstheme="minorHAnsi"/>
          <w:color w:val="414042" w:themeColor="text1"/>
          <w:szCs w:val="20"/>
        </w:rPr>
        <w:br/>
        <w:t>in employment contracts.</w:t>
      </w:r>
    </w:p>
    <w:p w14:paraId="7B9C9C41" w14:textId="77777777" w:rsidR="00AB33EC" w:rsidRPr="003E75E2" w:rsidRDefault="00AB33EC" w:rsidP="0037124B">
      <w:pPr>
        <w:pStyle w:val="NormalhangingllistL2"/>
        <w:spacing w:line="240" w:lineRule="auto"/>
        <w:rPr>
          <w:rFonts w:cstheme="minorHAnsi"/>
          <w:color w:val="414042" w:themeColor="text1"/>
          <w:szCs w:val="20"/>
        </w:rPr>
      </w:pPr>
      <w:r w:rsidRPr="003E75E2">
        <w:rPr>
          <w:rFonts w:cstheme="minorHAnsi"/>
          <w:color w:val="414042" w:themeColor="text1"/>
          <w:szCs w:val="20"/>
        </w:rPr>
        <w:t>Part-time Ordinary Commissioners’ Remuneration</w:t>
      </w:r>
    </w:p>
    <w:p w14:paraId="42235B81" w14:textId="77777777" w:rsidR="00AB33EC" w:rsidRPr="003E75E2" w:rsidRDefault="00AB33EC" w:rsidP="0037124B">
      <w:pPr>
        <w:pStyle w:val="Normalindent1stpara"/>
        <w:spacing w:line="240" w:lineRule="auto"/>
        <w:rPr>
          <w:rFonts w:cstheme="minorHAnsi"/>
          <w:color w:val="414042" w:themeColor="text1"/>
          <w:szCs w:val="20"/>
        </w:rPr>
      </w:pPr>
      <w:r w:rsidRPr="003E75E2">
        <w:rPr>
          <w:rFonts w:cstheme="minorHAnsi"/>
          <w:color w:val="414042" w:themeColor="text1"/>
          <w:szCs w:val="20"/>
        </w:rPr>
        <w:t xml:space="preserve">The remuneration paid to part-time Commissioners is determined by the Governor-in-Council and based on rates specified in the guidelines for </w:t>
      </w:r>
      <w:r w:rsidRPr="00D73AE5">
        <w:rPr>
          <w:rFonts w:cstheme="minorHAnsi"/>
          <w:i/>
          <w:iCs/>
          <w:color w:val="414042" w:themeColor="text1"/>
          <w:szCs w:val="20"/>
        </w:rPr>
        <w:t>Remuneration of Part-time Chairs and Members of Government Boards, Committees and Statutory Authorities: Remuneration Procedures</w:t>
      </w:r>
      <w:r w:rsidRPr="003E75E2">
        <w:rPr>
          <w:rFonts w:cstheme="minorHAnsi"/>
          <w:color w:val="414042" w:themeColor="text1"/>
          <w:szCs w:val="20"/>
        </w:rPr>
        <w:t>. The remuneration amounts shown include superannuation.</w:t>
      </w:r>
    </w:p>
    <w:p w14:paraId="617A414C" w14:textId="77777777" w:rsidR="00AB33EC" w:rsidRPr="003E75E2" w:rsidRDefault="00AB33EC" w:rsidP="00AB33EC">
      <w:pPr>
        <w:rPr>
          <w:rFonts w:asciiTheme="minorHAnsi" w:hAnsiTheme="minorHAnsi" w:cstheme="minorHAnsi"/>
          <w:color w:val="414042" w:themeColor="text1"/>
        </w:rPr>
      </w:pPr>
    </w:p>
    <w:tbl>
      <w:tblPr>
        <w:tblStyle w:val="TableGrid"/>
        <w:tblW w:w="921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11" w:type="dxa"/>
          <w:right w:w="0" w:type="dxa"/>
        </w:tblCellMar>
        <w:tblLook w:val="04A0" w:firstRow="1" w:lastRow="0" w:firstColumn="1" w:lastColumn="0" w:noHBand="0" w:noVBand="1"/>
      </w:tblPr>
      <w:tblGrid>
        <w:gridCol w:w="1842"/>
        <w:gridCol w:w="2127"/>
        <w:gridCol w:w="3260"/>
        <w:gridCol w:w="992"/>
        <w:gridCol w:w="992"/>
      </w:tblGrid>
      <w:tr w:rsidR="00AB33EC" w:rsidRPr="003E75E2" w14:paraId="52F2357B" w14:textId="77777777" w:rsidTr="00B721B7">
        <w:tc>
          <w:tcPr>
            <w:tcW w:w="1842" w:type="dxa"/>
            <w:vMerge w:val="restart"/>
            <w:tcBorders>
              <w:top w:val="single" w:sz="4" w:space="0" w:color="auto"/>
              <w:bottom w:val="single" w:sz="4" w:space="0" w:color="auto"/>
              <w:right w:val="single" w:sz="4" w:space="0" w:color="auto"/>
            </w:tcBorders>
            <w:shd w:val="clear" w:color="auto" w:fill="auto"/>
            <w:vAlign w:val="center"/>
          </w:tcPr>
          <w:p w14:paraId="2A27EDDB" w14:textId="77777777" w:rsidR="00AB33EC" w:rsidRPr="003E75E2" w:rsidRDefault="00AB33EC" w:rsidP="00B721B7">
            <w:pPr>
              <w:pStyle w:val="Normaltabletextcentred"/>
              <w:spacing w:line="240" w:lineRule="auto"/>
              <w:jc w:val="left"/>
              <w:rPr>
                <w:rFonts w:cstheme="minorHAnsi"/>
                <w:b/>
                <w:color w:val="414042" w:themeColor="text1"/>
                <w:sz w:val="18"/>
              </w:rPr>
            </w:pPr>
            <w:r w:rsidRPr="003E75E2">
              <w:rPr>
                <w:rFonts w:cstheme="minorHAnsi"/>
                <w:b/>
                <w:color w:val="414042" w:themeColor="text1"/>
                <w:sz w:val="18"/>
              </w:rPr>
              <w:t xml:space="preserve">Name of </w:t>
            </w:r>
            <w:r w:rsidRPr="003E75E2">
              <w:rPr>
                <w:rFonts w:cstheme="minorHAnsi"/>
                <w:b/>
                <w:color w:val="414042" w:themeColor="text1"/>
                <w:sz w:val="18"/>
              </w:rPr>
              <w:br/>
              <w:t>Commissioner</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58DCBDF4" w14:textId="77777777" w:rsidR="00AB33EC" w:rsidRPr="003E75E2" w:rsidRDefault="00AB33EC" w:rsidP="00B721B7">
            <w:pPr>
              <w:pStyle w:val="Normaltabletextcentred"/>
              <w:spacing w:line="240" w:lineRule="auto"/>
              <w:jc w:val="left"/>
              <w:rPr>
                <w:rFonts w:cstheme="minorHAnsi"/>
                <w:b/>
                <w:color w:val="414042" w:themeColor="text1"/>
                <w:sz w:val="18"/>
              </w:rPr>
            </w:pPr>
            <w:r w:rsidRPr="003E75E2">
              <w:rPr>
                <w:rFonts w:cstheme="minorHAnsi"/>
                <w:b/>
                <w:color w:val="414042" w:themeColor="text1"/>
                <w:sz w:val="18"/>
              </w:rPr>
              <w:t>Position</w:t>
            </w:r>
          </w:p>
          <w:p w14:paraId="277019DA" w14:textId="77777777" w:rsidR="00AB33EC" w:rsidRPr="003E75E2" w:rsidRDefault="00AB33EC" w:rsidP="00B721B7">
            <w:pPr>
              <w:pStyle w:val="Normaltabletextcentred"/>
              <w:spacing w:line="240" w:lineRule="auto"/>
              <w:jc w:val="left"/>
              <w:rPr>
                <w:rFonts w:cstheme="minorHAnsi"/>
                <w:b/>
                <w:color w:val="414042" w:themeColor="text1"/>
                <w:sz w:val="18"/>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129C7C5E" w14:textId="77777777" w:rsidR="00AB33EC" w:rsidRPr="003E75E2" w:rsidRDefault="00AB33EC" w:rsidP="00B721B7">
            <w:pPr>
              <w:pStyle w:val="Normaltabletextcentred"/>
              <w:spacing w:line="240" w:lineRule="auto"/>
              <w:jc w:val="left"/>
              <w:rPr>
                <w:rFonts w:cstheme="minorHAnsi"/>
                <w:b/>
                <w:color w:val="414042" w:themeColor="text1"/>
                <w:sz w:val="18"/>
              </w:rPr>
            </w:pPr>
            <w:r w:rsidRPr="003E75E2">
              <w:rPr>
                <w:rFonts w:cstheme="minorHAnsi"/>
                <w:b/>
                <w:color w:val="414042" w:themeColor="text1"/>
                <w:sz w:val="18"/>
              </w:rPr>
              <w:t>Date of term commencement</w:t>
            </w:r>
            <w:r w:rsidRPr="003E75E2">
              <w:rPr>
                <w:rFonts w:cstheme="minorHAnsi"/>
                <w:b/>
                <w:color w:val="414042" w:themeColor="text1"/>
                <w:sz w:val="18"/>
              </w:rPr>
              <w:br/>
            </w:r>
          </w:p>
        </w:tc>
        <w:tc>
          <w:tcPr>
            <w:tcW w:w="992" w:type="dxa"/>
            <w:tcBorders>
              <w:top w:val="single" w:sz="4" w:space="0" w:color="auto"/>
              <w:left w:val="single" w:sz="4" w:space="0" w:color="auto"/>
              <w:right w:val="single" w:sz="4" w:space="0" w:color="auto"/>
            </w:tcBorders>
            <w:shd w:val="clear" w:color="auto" w:fill="F1F1F2" w:themeFill="accent5" w:themeFillTint="33"/>
            <w:tcMar>
              <w:right w:w="113" w:type="dxa"/>
            </w:tcMar>
            <w:vAlign w:val="center"/>
          </w:tcPr>
          <w:p w14:paraId="185BD028" w14:textId="77777777" w:rsidR="00AB33EC" w:rsidRPr="003E75E2" w:rsidRDefault="00AB33EC" w:rsidP="00B721B7">
            <w:pPr>
              <w:pStyle w:val="Normaltabletext1stpararight"/>
              <w:spacing w:line="240" w:lineRule="auto"/>
              <w:rPr>
                <w:rFonts w:cstheme="minorHAnsi"/>
                <w:b/>
                <w:color w:val="414042" w:themeColor="text1"/>
                <w:sz w:val="18"/>
              </w:rPr>
            </w:pPr>
            <w:r w:rsidRPr="003E75E2">
              <w:rPr>
                <w:rFonts w:cstheme="minorHAnsi"/>
                <w:b/>
                <w:color w:val="414042" w:themeColor="text1"/>
                <w:sz w:val="18"/>
              </w:rPr>
              <w:t>2024</w:t>
            </w:r>
          </w:p>
        </w:tc>
        <w:tc>
          <w:tcPr>
            <w:tcW w:w="992" w:type="dxa"/>
            <w:tcBorders>
              <w:top w:val="single" w:sz="4" w:space="0" w:color="auto"/>
              <w:left w:val="single" w:sz="4" w:space="0" w:color="auto"/>
            </w:tcBorders>
            <w:shd w:val="clear" w:color="auto" w:fill="FFFFFF" w:themeFill="background1"/>
            <w:tcMar>
              <w:right w:w="113" w:type="dxa"/>
            </w:tcMar>
            <w:vAlign w:val="center"/>
          </w:tcPr>
          <w:p w14:paraId="154D563E" w14:textId="77777777" w:rsidR="00AB33EC" w:rsidRPr="003E75E2" w:rsidRDefault="00AB33EC" w:rsidP="00B721B7">
            <w:pPr>
              <w:pStyle w:val="Normaltabletext1stpararight"/>
              <w:spacing w:line="240" w:lineRule="auto"/>
              <w:rPr>
                <w:rFonts w:cstheme="minorHAnsi"/>
                <w:b/>
                <w:color w:val="414042" w:themeColor="text1"/>
                <w:sz w:val="18"/>
              </w:rPr>
            </w:pPr>
            <w:r w:rsidRPr="003E75E2">
              <w:rPr>
                <w:rFonts w:cstheme="minorHAnsi"/>
                <w:b/>
                <w:color w:val="414042" w:themeColor="text1"/>
                <w:sz w:val="18"/>
              </w:rPr>
              <w:t>2023</w:t>
            </w:r>
          </w:p>
        </w:tc>
      </w:tr>
      <w:tr w:rsidR="00AB33EC" w:rsidRPr="003E75E2" w14:paraId="6E2D96CE" w14:textId="77777777" w:rsidTr="00B721B7">
        <w:tc>
          <w:tcPr>
            <w:tcW w:w="1842" w:type="dxa"/>
            <w:vMerge/>
            <w:tcBorders>
              <w:top w:val="single" w:sz="4" w:space="0" w:color="auto"/>
              <w:bottom w:val="single" w:sz="4" w:space="0" w:color="auto"/>
              <w:right w:val="single" w:sz="4" w:space="0" w:color="auto"/>
            </w:tcBorders>
            <w:shd w:val="clear" w:color="auto" w:fill="auto"/>
            <w:vAlign w:val="center"/>
          </w:tcPr>
          <w:p w14:paraId="30FA88ED" w14:textId="77777777" w:rsidR="00AB33EC" w:rsidRPr="003E75E2" w:rsidRDefault="00AB33EC" w:rsidP="00B721B7">
            <w:pPr>
              <w:pStyle w:val="Normaltabletextleft"/>
              <w:spacing w:line="240" w:lineRule="auto"/>
              <w:rPr>
                <w:rFonts w:cstheme="minorHAnsi"/>
                <w:color w:val="414042" w:themeColor="text1"/>
                <w:sz w:val="18"/>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1663AC64" w14:textId="77777777" w:rsidR="00AB33EC" w:rsidRPr="003E75E2" w:rsidRDefault="00AB33EC" w:rsidP="00B721B7">
            <w:pPr>
              <w:pStyle w:val="Normaltabletextleft"/>
              <w:spacing w:line="240" w:lineRule="auto"/>
              <w:rPr>
                <w:rFonts w:cstheme="minorHAnsi"/>
                <w:color w:val="414042" w:themeColor="text1"/>
                <w:sz w:val="18"/>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08D925F7" w14:textId="77777777" w:rsidR="00AB33EC" w:rsidRPr="003E75E2" w:rsidRDefault="00AB33EC" w:rsidP="00B721B7">
            <w:pPr>
              <w:pStyle w:val="Normaltabletextleft"/>
              <w:spacing w:line="240" w:lineRule="auto"/>
              <w:rPr>
                <w:rFonts w:cstheme="minorHAnsi"/>
                <w:color w:val="414042" w:themeColor="text1"/>
                <w:sz w:val="18"/>
              </w:rPr>
            </w:pPr>
          </w:p>
        </w:tc>
        <w:tc>
          <w:tcPr>
            <w:tcW w:w="992" w:type="dxa"/>
            <w:tcBorders>
              <w:left w:val="single" w:sz="4" w:space="0" w:color="auto"/>
              <w:bottom w:val="single" w:sz="4" w:space="0" w:color="auto"/>
              <w:right w:val="single" w:sz="4" w:space="0" w:color="auto"/>
            </w:tcBorders>
            <w:shd w:val="clear" w:color="auto" w:fill="F1F1F2" w:themeFill="accent5" w:themeFillTint="33"/>
            <w:tcMar>
              <w:right w:w="113" w:type="dxa"/>
            </w:tcMar>
            <w:vAlign w:val="center"/>
          </w:tcPr>
          <w:p w14:paraId="0D921999" w14:textId="77777777" w:rsidR="00AB33EC" w:rsidRPr="003E75E2" w:rsidRDefault="00AB33EC" w:rsidP="00B721B7">
            <w:pPr>
              <w:pStyle w:val="Normaltabletext1stpararight"/>
              <w:spacing w:line="240" w:lineRule="auto"/>
              <w:rPr>
                <w:rFonts w:cstheme="minorHAnsi"/>
                <w:b/>
                <w:color w:val="414042" w:themeColor="text1"/>
                <w:sz w:val="18"/>
              </w:rPr>
            </w:pPr>
            <w:r w:rsidRPr="003E75E2">
              <w:rPr>
                <w:rFonts w:cstheme="minorHAnsi"/>
                <w:b/>
                <w:color w:val="414042" w:themeColor="text1"/>
                <w:sz w:val="18"/>
              </w:rPr>
              <w:t>$’000</w:t>
            </w:r>
          </w:p>
        </w:tc>
        <w:tc>
          <w:tcPr>
            <w:tcW w:w="992" w:type="dxa"/>
            <w:tcBorders>
              <w:left w:val="single" w:sz="4" w:space="0" w:color="auto"/>
              <w:bottom w:val="single" w:sz="4" w:space="0" w:color="auto"/>
            </w:tcBorders>
            <w:shd w:val="clear" w:color="auto" w:fill="FFFFFF" w:themeFill="background1"/>
            <w:tcMar>
              <w:right w:w="113" w:type="dxa"/>
            </w:tcMar>
            <w:vAlign w:val="center"/>
          </w:tcPr>
          <w:p w14:paraId="38ECC425" w14:textId="77777777" w:rsidR="00AB33EC" w:rsidRPr="003E75E2" w:rsidRDefault="00AB33EC" w:rsidP="00B721B7">
            <w:pPr>
              <w:pStyle w:val="Normaltabletext1stpararight"/>
              <w:spacing w:line="240" w:lineRule="auto"/>
              <w:rPr>
                <w:rFonts w:cstheme="minorHAnsi"/>
                <w:b/>
                <w:color w:val="414042" w:themeColor="text1"/>
                <w:sz w:val="18"/>
              </w:rPr>
            </w:pPr>
            <w:r w:rsidRPr="003E75E2">
              <w:rPr>
                <w:rFonts w:cstheme="minorHAnsi"/>
                <w:b/>
                <w:color w:val="414042" w:themeColor="text1"/>
                <w:sz w:val="18"/>
              </w:rPr>
              <w:t>$’000</w:t>
            </w:r>
          </w:p>
        </w:tc>
      </w:tr>
      <w:tr w:rsidR="00AB33EC" w:rsidRPr="003E75E2" w14:paraId="262D928D" w14:textId="77777777" w:rsidTr="00B721B7">
        <w:trPr>
          <w:trHeight w:hRule="exact" w:val="419"/>
        </w:trPr>
        <w:tc>
          <w:tcPr>
            <w:tcW w:w="1842" w:type="dxa"/>
            <w:tcBorders>
              <w:top w:val="single" w:sz="4" w:space="0" w:color="auto"/>
              <w:bottom w:val="single" w:sz="4" w:space="0" w:color="auto"/>
              <w:right w:val="single" w:sz="4" w:space="0" w:color="auto"/>
            </w:tcBorders>
            <w:shd w:val="clear" w:color="auto" w:fill="auto"/>
            <w:vAlign w:val="center"/>
          </w:tcPr>
          <w:p w14:paraId="65FF5518"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Kathryn McMillan</w:t>
            </w:r>
          </w:p>
        </w:tc>
        <w:tc>
          <w:tcPr>
            <w:tcW w:w="2127" w:type="dxa"/>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0F706817"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Deputy Chairperson</w:t>
            </w:r>
          </w:p>
        </w:tc>
        <w:tc>
          <w:tcPr>
            <w:tcW w:w="3260" w:type="dxa"/>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6656032F"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20 December 2022 to current</w:t>
            </w:r>
          </w:p>
        </w:tc>
        <w:tc>
          <w:tcPr>
            <w:tcW w:w="992" w:type="dxa"/>
            <w:tcBorders>
              <w:top w:val="single" w:sz="4" w:space="0" w:color="auto"/>
              <w:left w:val="single" w:sz="4" w:space="0" w:color="auto"/>
              <w:bottom w:val="single" w:sz="4" w:space="0" w:color="auto"/>
              <w:right w:val="single" w:sz="4" w:space="0" w:color="auto"/>
            </w:tcBorders>
            <w:shd w:val="clear" w:color="auto" w:fill="F1F1F2" w:themeFill="accent5" w:themeFillTint="33"/>
            <w:tcMar>
              <w:right w:w="113" w:type="dxa"/>
            </w:tcMar>
            <w:vAlign w:val="center"/>
          </w:tcPr>
          <w:p w14:paraId="0CC51132"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color w:val="414042" w:themeColor="text1"/>
                <w:sz w:val="18"/>
              </w:rPr>
              <w:t>47</w:t>
            </w:r>
          </w:p>
        </w:tc>
        <w:tc>
          <w:tcPr>
            <w:tcW w:w="992" w:type="dxa"/>
            <w:tcBorders>
              <w:top w:val="single" w:sz="4" w:space="0" w:color="auto"/>
              <w:left w:val="single" w:sz="4" w:space="0" w:color="auto"/>
              <w:bottom w:val="single" w:sz="4" w:space="0" w:color="auto"/>
            </w:tcBorders>
            <w:shd w:val="clear" w:color="auto" w:fill="auto"/>
            <w:tcMar>
              <w:right w:w="113" w:type="dxa"/>
            </w:tcMar>
            <w:vAlign w:val="center"/>
          </w:tcPr>
          <w:p w14:paraId="7F316CF3"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25</w:t>
            </w:r>
          </w:p>
        </w:tc>
      </w:tr>
      <w:tr w:rsidR="00AB33EC" w:rsidRPr="003E75E2" w14:paraId="6449D414" w14:textId="77777777" w:rsidTr="00B721B7">
        <w:trPr>
          <w:trHeight w:val="300"/>
        </w:trPr>
        <w:tc>
          <w:tcPr>
            <w:tcW w:w="1842" w:type="dxa"/>
            <w:tcBorders>
              <w:top w:val="single" w:sz="4" w:space="0" w:color="auto"/>
              <w:bottom w:val="single" w:sz="4" w:space="0" w:color="auto"/>
              <w:right w:val="single" w:sz="4" w:space="0" w:color="auto"/>
            </w:tcBorders>
            <w:shd w:val="clear" w:color="auto" w:fill="auto"/>
            <w:vAlign w:val="center"/>
          </w:tcPr>
          <w:p w14:paraId="3D5BF0D5"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Helen Darch</w:t>
            </w:r>
          </w:p>
        </w:tc>
        <w:tc>
          <w:tcPr>
            <w:tcW w:w="2127" w:type="dxa"/>
            <w:tcBorders>
              <w:top w:val="single" w:sz="4" w:space="0" w:color="auto"/>
              <w:bottom w:val="single" w:sz="4" w:space="0" w:color="auto"/>
              <w:right w:val="single" w:sz="4" w:space="0" w:color="auto"/>
            </w:tcBorders>
            <w:shd w:val="clear" w:color="auto" w:fill="auto"/>
            <w:tcMar>
              <w:left w:w="113" w:type="dxa"/>
            </w:tcMar>
            <w:vAlign w:val="center"/>
          </w:tcPr>
          <w:p w14:paraId="0B32EB68"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Ordinary Commissioner</w:t>
            </w:r>
          </w:p>
        </w:tc>
        <w:tc>
          <w:tcPr>
            <w:tcW w:w="3260" w:type="dxa"/>
            <w:tcBorders>
              <w:top w:val="single" w:sz="4" w:space="0" w:color="auto"/>
              <w:bottom w:val="single" w:sz="4" w:space="0" w:color="auto"/>
              <w:right w:val="single" w:sz="4" w:space="0" w:color="auto"/>
            </w:tcBorders>
            <w:shd w:val="clear" w:color="auto" w:fill="auto"/>
            <w:tcMar>
              <w:left w:w="113" w:type="dxa"/>
            </w:tcMar>
            <w:vAlign w:val="center"/>
          </w:tcPr>
          <w:p w14:paraId="3B7DA7F5"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14 May 2021 to current</w:t>
            </w:r>
          </w:p>
        </w:tc>
        <w:tc>
          <w:tcPr>
            <w:tcW w:w="992" w:type="dxa"/>
            <w:tcBorders>
              <w:top w:val="single" w:sz="4" w:space="0" w:color="auto"/>
              <w:left w:val="single" w:sz="4" w:space="0" w:color="auto"/>
              <w:bottom w:val="single" w:sz="4" w:space="0" w:color="auto"/>
              <w:right w:val="single" w:sz="4" w:space="0" w:color="auto"/>
            </w:tcBorders>
            <w:shd w:val="clear" w:color="auto" w:fill="F1F1F2" w:themeFill="accent5" w:themeFillTint="33"/>
            <w:tcMar>
              <w:right w:w="113" w:type="dxa"/>
            </w:tcMar>
            <w:vAlign w:val="center"/>
          </w:tcPr>
          <w:p w14:paraId="5EA13E2A"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color w:val="414042" w:themeColor="text1"/>
                <w:sz w:val="18"/>
              </w:rPr>
              <w:t>47</w:t>
            </w:r>
          </w:p>
        </w:tc>
        <w:tc>
          <w:tcPr>
            <w:tcW w:w="992" w:type="dxa"/>
            <w:tcBorders>
              <w:top w:val="single" w:sz="4" w:space="0" w:color="auto"/>
              <w:left w:val="single" w:sz="4" w:space="0" w:color="auto"/>
              <w:bottom w:val="single" w:sz="4" w:space="0" w:color="auto"/>
            </w:tcBorders>
            <w:shd w:val="clear" w:color="auto" w:fill="auto"/>
            <w:tcMar>
              <w:right w:w="113" w:type="dxa"/>
            </w:tcMar>
            <w:vAlign w:val="center"/>
          </w:tcPr>
          <w:p w14:paraId="6ADABB21"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46</w:t>
            </w:r>
          </w:p>
        </w:tc>
      </w:tr>
      <w:tr w:rsidR="00AB33EC" w:rsidRPr="003E75E2" w14:paraId="6BE01B67" w14:textId="77777777" w:rsidTr="00B721B7">
        <w:trPr>
          <w:trHeight w:val="300"/>
        </w:trPr>
        <w:tc>
          <w:tcPr>
            <w:tcW w:w="1842" w:type="dxa"/>
            <w:tcBorders>
              <w:top w:val="single" w:sz="4" w:space="0" w:color="auto"/>
              <w:bottom w:val="single" w:sz="4" w:space="0" w:color="auto"/>
              <w:right w:val="single" w:sz="4" w:space="0" w:color="auto"/>
            </w:tcBorders>
            <w:shd w:val="clear" w:color="auto" w:fill="auto"/>
            <w:vAlign w:val="center"/>
          </w:tcPr>
          <w:p w14:paraId="7F59DD1A"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Peter Dowling</w:t>
            </w:r>
          </w:p>
        </w:tc>
        <w:tc>
          <w:tcPr>
            <w:tcW w:w="2127" w:type="dxa"/>
            <w:tcBorders>
              <w:top w:val="single" w:sz="4" w:space="0" w:color="auto"/>
              <w:bottom w:val="single" w:sz="4" w:space="0" w:color="auto"/>
              <w:right w:val="single" w:sz="4" w:space="0" w:color="auto"/>
            </w:tcBorders>
            <w:shd w:val="clear" w:color="auto" w:fill="auto"/>
            <w:tcMar>
              <w:left w:w="113" w:type="dxa"/>
            </w:tcMar>
            <w:vAlign w:val="center"/>
          </w:tcPr>
          <w:p w14:paraId="3584267B"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Ordinary Commissioner</w:t>
            </w:r>
          </w:p>
        </w:tc>
        <w:tc>
          <w:tcPr>
            <w:tcW w:w="3260" w:type="dxa"/>
            <w:tcBorders>
              <w:top w:val="single" w:sz="4" w:space="0" w:color="auto"/>
              <w:bottom w:val="single" w:sz="4" w:space="0" w:color="auto"/>
              <w:right w:val="single" w:sz="4" w:space="0" w:color="auto"/>
            </w:tcBorders>
            <w:shd w:val="clear" w:color="auto" w:fill="auto"/>
            <w:tcMar>
              <w:left w:w="113" w:type="dxa"/>
            </w:tcMar>
            <w:vAlign w:val="center"/>
          </w:tcPr>
          <w:p w14:paraId="29C51639"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3 November 2022 to current</w:t>
            </w:r>
          </w:p>
        </w:tc>
        <w:tc>
          <w:tcPr>
            <w:tcW w:w="992" w:type="dxa"/>
            <w:tcBorders>
              <w:top w:val="single" w:sz="4" w:space="0" w:color="auto"/>
              <w:left w:val="single" w:sz="4" w:space="0" w:color="auto"/>
              <w:bottom w:val="single" w:sz="4" w:space="0" w:color="auto"/>
              <w:right w:val="single" w:sz="4" w:space="0" w:color="auto"/>
            </w:tcBorders>
            <w:shd w:val="clear" w:color="auto" w:fill="F1F1F2" w:themeFill="accent5" w:themeFillTint="33"/>
            <w:tcMar>
              <w:right w:w="113" w:type="dxa"/>
            </w:tcMar>
            <w:vAlign w:val="center"/>
          </w:tcPr>
          <w:p w14:paraId="08F264DF"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color w:val="414042" w:themeColor="text1"/>
                <w:sz w:val="18"/>
              </w:rPr>
              <w:t>47</w:t>
            </w:r>
          </w:p>
        </w:tc>
        <w:tc>
          <w:tcPr>
            <w:tcW w:w="992" w:type="dxa"/>
            <w:tcBorders>
              <w:top w:val="single" w:sz="4" w:space="0" w:color="auto"/>
              <w:left w:val="single" w:sz="4" w:space="0" w:color="auto"/>
              <w:bottom w:val="single" w:sz="4" w:space="0" w:color="auto"/>
            </w:tcBorders>
            <w:shd w:val="clear" w:color="auto" w:fill="auto"/>
            <w:tcMar>
              <w:right w:w="113" w:type="dxa"/>
            </w:tcMar>
            <w:vAlign w:val="center"/>
          </w:tcPr>
          <w:p w14:paraId="56148285"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31</w:t>
            </w:r>
          </w:p>
        </w:tc>
      </w:tr>
      <w:tr w:rsidR="00AB33EC" w:rsidRPr="003E75E2" w14:paraId="1EBD3D3A" w14:textId="77777777" w:rsidTr="000E6ED6">
        <w:trPr>
          <w:trHeight w:val="300"/>
        </w:trPr>
        <w:tc>
          <w:tcPr>
            <w:tcW w:w="1842" w:type="dxa"/>
            <w:tcBorders>
              <w:top w:val="single" w:sz="4" w:space="0" w:color="auto"/>
              <w:bottom w:val="single" w:sz="4" w:space="0" w:color="auto"/>
              <w:right w:val="single" w:sz="4" w:space="0" w:color="auto"/>
            </w:tcBorders>
            <w:shd w:val="clear" w:color="auto" w:fill="auto"/>
            <w:vAlign w:val="center"/>
          </w:tcPr>
          <w:p w14:paraId="0F883EA0" w14:textId="77777777" w:rsidR="00AB33EC" w:rsidRPr="002A0B22" w:rsidRDefault="00AB33EC" w:rsidP="00B721B7">
            <w:pPr>
              <w:pStyle w:val="Normaltabletextleft"/>
              <w:spacing w:line="240" w:lineRule="auto"/>
              <w:rPr>
                <w:rFonts w:cstheme="minorHAnsi"/>
                <w:color w:val="414042" w:themeColor="text1"/>
                <w:sz w:val="18"/>
              </w:rPr>
            </w:pPr>
            <w:r w:rsidRPr="002A0B22">
              <w:rPr>
                <w:rFonts w:cstheme="minorHAnsi"/>
                <w:color w:val="414042" w:themeColor="text1"/>
                <w:sz w:val="18"/>
              </w:rPr>
              <w:t>Simone Webb</w:t>
            </w:r>
          </w:p>
        </w:tc>
        <w:tc>
          <w:tcPr>
            <w:tcW w:w="2127" w:type="dxa"/>
            <w:tcBorders>
              <w:top w:val="single" w:sz="4" w:space="0" w:color="auto"/>
              <w:bottom w:val="single" w:sz="4" w:space="0" w:color="auto"/>
              <w:right w:val="single" w:sz="4" w:space="0" w:color="auto"/>
            </w:tcBorders>
            <w:shd w:val="clear" w:color="auto" w:fill="auto"/>
            <w:tcMar>
              <w:left w:w="113" w:type="dxa"/>
            </w:tcMar>
            <w:vAlign w:val="center"/>
          </w:tcPr>
          <w:p w14:paraId="78D72B81" w14:textId="77777777" w:rsidR="00AB33EC" w:rsidRPr="002A0B22" w:rsidRDefault="00AB33EC" w:rsidP="00B721B7">
            <w:pPr>
              <w:pStyle w:val="Normaltabletextleft"/>
              <w:spacing w:line="240" w:lineRule="auto"/>
              <w:rPr>
                <w:rFonts w:cstheme="minorHAnsi"/>
                <w:color w:val="414042" w:themeColor="text1"/>
                <w:sz w:val="18"/>
              </w:rPr>
            </w:pPr>
            <w:r w:rsidRPr="002A0B22">
              <w:rPr>
                <w:rFonts w:cstheme="minorHAnsi"/>
                <w:color w:val="414042" w:themeColor="text1"/>
                <w:sz w:val="18"/>
              </w:rPr>
              <w:t>Ordinary Commissioner</w:t>
            </w:r>
          </w:p>
        </w:tc>
        <w:tc>
          <w:tcPr>
            <w:tcW w:w="3260" w:type="dxa"/>
            <w:tcBorders>
              <w:top w:val="single" w:sz="4" w:space="0" w:color="auto"/>
              <w:bottom w:val="single" w:sz="4" w:space="0" w:color="auto"/>
              <w:right w:val="single" w:sz="4" w:space="0" w:color="auto"/>
            </w:tcBorders>
            <w:shd w:val="clear" w:color="auto" w:fill="auto"/>
            <w:tcMar>
              <w:left w:w="113" w:type="dxa"/>
            </w:tcMar>
            <w:vAlign w:val="center"/>
          </w:tcPr>
          <w:p w14:paraId="71ACFA95" w14:textId="77777777" w:rsidR="00AB33EC" w:rsidRPr="002A0B22" w:rsidRDefault="00AB33EC" w:rsidP="00B721B7">
            <w:pPr>
              <w:pStyle w:val="Normaltabletextleft"/>
              <w:spacing w:line="240" w:lineRule="auto"/>
              <w:rPr>
                <w:rFonts w:cstheme="minorHAnsi"/>
                <w:color w:val="414042" w:themeColor="text1"/>
                <w:sz w:val="18"/>
              </w:rPr>
            </w:pPr>
            <w:r w:rsidRPr="002A0B22">
              <w:rPr>
                <w:rFonts w:cstheme="minorHAnsi"/>
                <w:color w:val="414042" w:themeColor="text1"/>
                <w:sz w:val="18"/>
              </w:rPr>
              <w:t>25 August 2023 to current</w:t>
            </w:r>
          </w:p>
        </w:tc>
        <w:tc>
          <w:tcPr>
            <w:tcW w:w="992" w:type="dxa"/>
            <w:tcBorders>
              <w:top w:val="single" w:sz="4" w:space="0" w:color="auto"/>
              <w:left w:val="single" w:sz="4" w:space="0" w:color="auto"/>
              <w:bottom w:val="single" w:sz="4" w:space="0" w:color="auto"/>
              <w:right w:val="single" w:sz="4" w:space="0" w:color="auto"/>
            </w:tcBorders>
            <w:shd w:val="clear" w:color="auto" w:fill="F1F1F2" w:themeFill="accent5" w:themeFillTint="33"/>
            <w:tcMar>
              <w:right w:w="113" w:type="dxa"/>
            </w:tcMar>
            <w:vAlign w:val="center"/>
          </w:tcPr>
          <w:p w14:paraId="141616C0"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color w:val="414042" w:themeColor="text1"/>
                <w:sz w:val="18"/>
              </w:rPr>
              <w:t>39</w:t>
            </w:r>
          </w:p>
        </w:tc>
        <w:tc>
          <w:tcPr>
            <w:tcW w:w="992" w:type="dxa"/>
            <w:tcBorders>
              <w:top w:val="single" w:sz="4" w:space="0" w:color="auto"/>
              <w:left w:val="single" w:sz="4" w:space="0" w:color="auto"/>
              <w:bottom w:val="single" w:sz="4" w:space="0" w:color="auto"/>
            </w:tcBorders>
            <w:shd w:val="clear" w:color="auto" w:fill="auto"/>
            <w:tcMar>
              <w:right w:w="113" w:type="dxa"/>
            </w:tcMar>
            <w:vAlign w:val="center"/>
          </w:tcPr>
          <w:p w14:paraId="2E737787"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color w:val="414042" w:themeColor="text1"/>
                <w:sz w:val="18"/>
              </w:rPr>
              <w:t>-</w:t>
            </w:r>
          </w:p>
        </w:tc>
      </w:tr>
      <w:tr w:rsidR="00AB33EC" w:rsidRPr="003E75E2" w14:paraId="4CB8F8BF" w14:textId="77777777" w:rsidTr="00B721B7">
        <w:trPr>
          <w:trHeight w:val="300"/>
        </w:trPr>
        <w:tc>
          <w:tcPr>
            <w:tcW w:w="1842" w:type="dxa"/>
            <w:tcBorders>
              <w:top w:val="single" w:sz="4" w:space="0" w:color="auto"/>
              <w:bottom w:val="double" w:sz="4" w:space="0" w:color="auto"/>
              <w:right w:val="single" w:sz="4" w:space="0" w:color="auto"/>
            </w:tcBorders>
            <w:vAlign w:val="center"/>
          </w:tcPr>
          <w:p w14:paraId="5CE2A2F9" w14:textId="77777777" w:rsidR="00AB33EC" w:rsidRPr="003E75E2" w:rsidRDefault="00AB33EC" w:rsidP="00B721B7">
            <w:pPr>
              <w:pStyle w:val="Normaltabletextleft"/>
              <w:spacing w:line="240" w:lineRule="auto"/>
              <w:rPr>
                <w:rFonts w:cstheme="minorHAnsi"/>
                <w:b/>
                <w:color w:val="414042" w:themeColor="text1"/>
                <w:sz w:val="18"/>
              </w:rPr>
            </w:pPr>
            <w:r w:rsidRPr="003E75E2">
              <w:rPr>
                <w:rFonts w:cstheme="minorHAnsi"/>
                <w:b/>
                <w:color w:val="414042" w:themeColor="text1"/>
                <w:sz w:val="18"/>
              </w:rPr>
              <w:t>Total</w:t>
            </w:r>
          </w:p>
        </w:tc>
        <w:tc>
          <w:tcPr>
            <w:tcW w:w="2127" w:type="dxa"/>
            <w:tcBorders>
              <w:top w:val="single" w:sz="4" w:space="0" w:color="auto"/>
              <w:bottom w:val="double" w:sz="4" w:space="0" w:color="auto"/>
              <w:right w:val="single" w:sz="4" w:space="0" w:color="auto"/>
            </w:tcBorders>
            <w:vAlign w:val="center"/>
          </w:tcPr>
          <w:p w14:paraId="7D93208A" w14:textId="77777777" w:rsidR="00AB33EC" w:rsidRPr="003E75E2" w:rsidRDefault="00AB33EC" w:rsidP="00B721B7">
            <w:pPr>
              <w:pStyle w:val="Normaltabletextleft"/>
              <w:spacing w:line="240" w:lineRule="auto"/>
              <w:rPr>
                <w:rFonts w:cstheme="minorHAnsi"/>
                <w:b/>
                <w:color w:val="414042" w:themeColor="text1"/>
                <w:sz w:val="18"/>
              </w:rPr>
            </w:pPr>
          </w:p>
        </w:tc>
        <w:tc>
          <w:tcPr>
            <w:tcW w:w="3260" w:type="dxa"/>
            <w:tcBorders>
              <w:top w:val="single" w:sz="4" w:space="0" w:color="auto"/>
              <w:bottom w:val="double" w:sz="4" w:space="0" w:color="auto"/>
              <w:right w:val="single" w:sz="4" w:space="0" w:color="auto"/>
            </w:tcBorders>
            <w:vAlign w:val="center"/>
          </w:tcPr>
          <w:p w14:paraId="10545887" w14:textId="77777777" w:rsidR="00AB33EC" w:rsidRPr="003E75E2" w:rsidRDefault="00AB33EC" w:rsidP="00B721B7">
            <w:pPr>
              <w:pStyle w:val="Normaltabletextleft"/>
              <w:spacing w:line="240" w:lineRule="auto"/>
              <w:rPr>
                <w:rFonts w:cstheme="minorHAnsi"/>
                <w:b/>
                <w:color w:val="414042" w:themeColor="text1"/>
                <w:sz w:val="18"/>
              </w:rPr>
            </w:pPr>
          </w:p>
        </w:tc>
        <w:tc>
          <w:tcPr>
            <w:tcW w:w="992" w:type="dxa"/>
            <w:tcBorders>
              <w:top w:val="single" w:sz="4" w:space="0" w:color="auto"/>
              <w:left w:val="single" w:sz="4" w:space="0" w:color="auto"/>
              <w:bottom w:val="double" w:sz="4" w:space="0" w:color="auto"/>
              <w:right w:val="single" w:sz="4" w:space="0" w:color="auto"/>
            </w:tcBorders>
            <w:shd w:val="clear" w:color="auto" w:fill="F1F1F2" w:themeFill="accent5" w:themeFillTint="33"/>
            <w:tcMar>
              <w:right w:w="113" w:type="dxa"/>
            </w:tcMar>
            <w:vAlign w:val="center"/>
          </w:tcPr>
          <w:p w14:paraId="0ED4F967" w14:textId="77777777" w:rsidR="00AB33EC" w:rsidRPr="003E75E2" w:rsidRDefault="00AB33EC" w:rsidP="00B721B7">
            <w:pPr>
              <w:pStyle w:val="Normaltabletext1stpararight"/>
              <w:spacing w:line="240" w:lineRule="auto"/>
              <w:rPr>
                <w:rFonts w:cstheme="minorHAnsi"/>
                <w:b/>
                <w:color w:val="414042" w:themeColor="text1"/>
                <w:sz w:val="18"/>
              </w:rPr>
            </w:pPr>
            <w:r>
              <w:rPr>
                <w:rFonts w:cstheme="minorHAnsi"/>
                <w:b/>
                <w:color w:val="414042" w:themeColor="text1"/>
                <w:sz w:val="18"/>
              </w:rPr>
              <w:t>180</w:t>
            </w:r>
          </w:p>
        </w:tc>
        <w:tc>
          <w:tcPr>
            <w:tcW w:w="992" w:type="dxa"/>
            <w:tcBorders>
              <w:top w:val="single" w:sz="4" w:space="0" w:color="auto"/>
              <w:left w:val="single" w:sz="4" w:space="0" w:color="auto"/>
              <w:bottom w:val="double" w:sz="4" w:space="0" w:color="auto"/>
            </w:tcBorders>
            <w:shd w:val="clear" w:color="auto" w:fill="auto"/>
            <w:tcMar>
              <w:right w:w="113" w:type="dxa"/>
            </w:tcMar>
            <w:vAlign w:val="center"/>
          </w:tcPr>
          <w:p w14:paraId="1B70AD67" w14:textId="77777777" w:rsidR="00AB33EC" w:rsidRPr="003E75E2" w:rsidRDefault="00AB33EC" w:rsidP="00B721B7">
            <w:pPr>
              <w:pStyle w:val="Normaltabletext1stpararight"/>
              <w:spacing w:line="240" w:lineRule="auto"/>
              <w:rPr>
                <w:rFonts w:cstheme="minorHAnsi"/>
                <w:b/>
                <w:color w:val="414042" w:themeColor="text1"/>
                <w:sz w:val="18"/>
              </w:rPr>
            </w:pPr>
            <w:r w:rsidRPr="003E75E2">
              <w:rPr>
                <w:rFonts w:cstheme="minorHAnsi"/>
                <w:b/>
                <w:color w:val="414042" w:themeColor="text1"/>
                <w:sz w:val="18"/>
              </w:rPr>
              <w:t>116</w:t>
            </w:r>
          </w:p>
        </w:tc>
      </w:tr>
    </w:tbl>
    <w:p w14:paraId="6F2B974B" w14:textId="77777777" w:rsidR="00AB33EC" w:rsidRPr="003E75E2" w:rsidRDefault="00AB33EC" w:rsidP="00AB33EC">
      <w:pPr>
        <w:pStyle w:val="Normalindent1stpara"/>
        <w:spacing w:line="240" w:lineRule="auto"/>
        <w:jc w:val="both"/>
        <w:rPr>
          <w:rFonts w:cstheme="minorHAnsi"/>
          <w:color w:val="414042" w:themeColor="text1"/>
          <w:szCs w:val="20"/>
        </w:rPr>
      </w:pPr>
    </w:p>
    <w:p w14:paraId="76580544" w14:textId="77777777" w:rsidR="00AB33EC" w:rsidRPr="003E75E2" w:rsidRDefault="00AB33EC" w:rsidP="00AB33EC">
      <w:pPr>
        <w:spacing w:line="260" w:lineRule="exact"/>
        <w:rPr>
          <w:rFonts w:asciiTheme="minorHAnsi" w:eastAsia="Times New Roman" w:hAnsiTheme="minorHAnsi" w:cstheme="minorHAnsi"/>
          <w:color w:val="414042" w:themeColor="text1"/>
          <w:sz w:val="17"/>
          <w:szCs w:val="16"/>
          <w:lang w:eastAsia="en-AU"/>
        </w:rPr>
      </w:pPr>
      <w:r w:rsidRPr="003E75E2">
        <w:rPr>
          <w:rFonts w:asciiTheme="minorHAnsi" w:hAnsiTheme="minorHAnsi" w:cstheme="minorHAnsi"/>
          <w:color w:val="414042" w:themeColor="text1"/>
        </w:rPr>
        <w:br w:type="page"/>
      </w:r>
    </w:p>
    <w:p w14:paraId="29CEE6A2" w14:textId="77777777" w:rsidR="00AB33EC" w:rsidRPr="003E75E2" w:rsidRDefault="00AB33EC" w:rsidP="00AB33EC">
      <w:pPr>
        <w:pStyle w:val="Normal115pttext"/>
        <w:spacing w:line="240" w:lineRule="auto"/>
        <w:jc w:val="both"/>
        <w:rPr>
          <w:rFonts w:cstheme="minorHAnsi"/>
          <w:color w:val="414042" w:themeColor="text1"/>
        </w:rPr>
      </w:pPr>
      <w:r w:rsidRPr="003E75E2">
        <w:rPr>
          <w:rFonts w:cstheme="minorHAnsi"/>
          <w:color w:val="414042" w:themeColor="text1"/>
        </w:rPr>
        <w:t>Note 4:  The Commission, Senior Executive Personnel, Remuneration Expenses and Related Party Transactions (cont’d)</w:t>
      </w:r>
    </w:p>
    <w:p w14:paraId="0172A21B" w14:textId="77777777" w:rsidR="00AB33EC" w:rsidRPr="003E75E2" w:rsidRDefault="00AB33EC" w:rsidP="00AB33EC">
      <w:pPr>
        <w:pStyle w:val="Normalhanginglist105pt"/>
        <w:spacing w:line="240" w:lineRule="auto"/>
        <w:rPr>
          <w:rFonts w:cstheme="minorHAnsi"/>
          <w:color w:val="414042" w:themeColor="text1"/>
          <w:szCs w:val="21"/>
        </w:rPr>
      </w:pPr>
      <w:r w:rsidRPr="003E75E2">
        <w:rPr>
          <w:rFonts w:cstheme="minorHAnsi"/>
          <w:color w:val="414042" w:themeColor="text1"/>
          <w:szCs w:val="21"/>
        </w:rPr>
        <w:t>(d)</w:t>
      </w:r>
      <w:r w:rsidRPr="003E75E2">
        <w:rPr>
          <w:rFonts w:cstheme="minorHAnsi"/>
          <w:color w:val="414042" w:themeColor="text1"/>
          <w:szCs w:val="21"/>
        </w:rPr>
        <w:tab/>
        <w:t>Remuneration Expenses (cont’d)</w:t>
      </w:r>
    </w:p>
    <w:p w14:paraId="25C1A3B4" w14:textId="77777777" w:rsidR="00AB33EC" w:rsidRPr="003E75E2" w:rsidRDefault="00AB33EC" w:rsidP="00AB33EC">
      <w:pPr>
        <w:rPr>
          <w:rFonts w:asciiTheme="minorHAnsi" w:hAnsiTheme="minorHAnsi" w:cstheme="minorHAnsi"/>
          <w:color w:val="414042" w:themeColor="text1"/>
          <w:sz w:val="21"/>
          <w:szCs w:val="21"/>
        </w:rPr>
      </w:pPr>
      <w:r w:rsidRPr="003E75E2">
        <w:rPr>
          <w:rFonts w:asciiTheme="minorHAnsi" w:hAnsiTheme="minorHAnsi" w:cstheme="minorHAnsi"/>
          <w:b/>
          <w:color w:val="414042" w:themeColor="text1"/>
          <w:sz w:val="21"/>
          <w:szCs w:val="21"/>
        </w:rPr>
        <w:t>1 July 2023 – 30 June 2024</w:t>
      </w:r>
    </w:p>
    <w:tbl>
      <w:tblPr>
        <w:tblW w:w="8931" w:type="dxa"/>
        <w:tblLayout w:type="fixed"/>
        <w:tblCellMar>
          <w:left w:w="0" w:type="dxa"/>
          <w:bottom w:w="11" w:type="dxa"/>
          <w:right w:w="0" w:type="dxa"/>
        </w:tblCellMar>
        <w:tblLook w:val="04A0" w:firstRow="1" w:lastRow="0" w:firstColumn="1" w:lastColumn="0" w:noHBand="0" w:noVBand="1"/>
      </w:tblPr>
      <w:tblGrid>
        <w:gridCol w:w="2835"/>
        <w:gridCol w:w="1701"/>
        <w:gridCol w:w="1134"/>
        <w:gridCol w:w="1134"/>
        <w:gridCol w:w="1134"/>
        <w:gridCol w:w="993"/>
      </w:tblGrid>
      <w:tr w:rsidR="00AB33EC" w:rsidRPr="003E75E2" w14:paraId="78215638" w14:textId="77777777" w:rsidTr="00B721B7">
        <w:trPr>
          <w:trHeight w:hRule="exact" w:val="907"/>
        </w:trPr>
        <w:tc>
          <w:tcPr>
            <w:tcW w:w="2835" w:type="dxa"/>
            <w:tcBorders>
              <w:top w:val="single" w:sz="4" w:space="0" w:color="auto"/>
              <w:right w:val="single" w:sz="4" w:space="0" w:color="auto"/>
            </w:tcBorders>
            <w:shd w:val="clear" w:color="auto" w:fill="auto"/>
            <w:tcMar>
              <w:top w:w="0" w:type="dxa"/>
            </w:tcMar>
            <w:vAlign w:val="center"/>
          </w:tcPr>
          <w:p w14:paraId="10B1E538" w14:textId="77777777" w:rsidR="00AB33EC" w:rsidRPr="003E75E2" w:rsidRDefault="00AB33EC" w:rsidP="00B721B7">
            <w:pPr>
              <w:pStyle w:val="Normaltabletextleft"/>
              <w:spacing w:line="240" w:lineRule="auto"/>
              <w:rPr>
                <w:rFonts w:cstheme="minorHAnsi"/>
                <w:b/>
                <w:color w:val="414042" w:themeColor="text1"/>
                <w:sz w:val="18"/>
              </w:rPr>
            </w:pPr>
            <w:r w:rsidRPr="003E75E2">
              <w:rPr>
                <w:rFonts w:cstheme="minorHAnsi"/>
                <w:b/>
                <w:color w:val="414042" w:themeColor="text1"/>
                <w:sz w:val="18"/>
              </w:rPr>
              <w:t>Position</w:t>
            </w:r>
          </w:p>
        </w:tc>
        <w:tc>
          <w:tcPr>
            <w:tcW w:w="1701" w:type="dxa"/>
            <w:tcBorders>
              <w:top w:val="single" w:sz="4" w:space="0" w:color="auto"/>
              <w:left w:val="single" w:sz="4" w:space="0" w:color="auto"/>
              <w:right w:val="single" w:sz="4" w:space="0" w:color="auto"/>
            </w:tcBorders>
            <w:vAlign w:val="center"/>
          </w:tcPr>
          <w:p w14:paraId="13B3567F" w14:textId="77777777" w:rsidR="00AB33EC" w:rsidRPr="003E75E2" w:rsidRDefault="00AB33EC" w:rsidP="00B721B7">
            <w:pPr>
              <w:pStyle w:val="Normaltabletextleft"/>
              <w:tabs>
                <w:tab w:val="left" w:pos="371"/>
              </w:tabs>
              <w:spacing w:line="240" w:lineRule="auto"/>
              <w:jc w:val="center"/>
              <w:rPr>
                <w:rFonts w:cstheme="minorHAnsi"/>
                <w:b/>
                <w:color w:val="414042" w:themeColor="text1"/>
                <w:sz w:val="18"/>
              </w:rPr>
            </w:pPr>
            <w:r w:rsidRPr="003E75E2">
              <w:rPr>
                <w:rFonts w:cstheme="minorHAnsi"/>
                <w:b/>
                <w:color w:val="414042" w:themeColor="text1"/>
                <w:sz w:val="18"/>
              </w:rPr>
              <w:t>Contract classification and appointment authority</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center"/>
          </w:tcPr>
          <w:p w14:paraId="620A0A5B" w14:textId="77777777" w:rsidR="00AB33EC" w:rsidRPr="003E75E2" w:rsidRDefault="00AB33EC" w:rsidP="00B721B7">
            <w:pPr>
              <w:pStyle w:val="Normaltabletext1stpararight"/>
              <w:spacing w:line="240" w:lineRule="auto"/>
              <w:jc w:val="center"/>
              <w:rPr>
                <w:rFonts w:cstheme="minorHAnsi"/>
                <w:b/>
                <w:color w:val="414042" w:themeColor="text1"/>
                <w:sz w:val="18"/>
              </w:rPr>
            </w:pPr>
          </w:p>
          <w:p w14:paraId="363C40CE" w14:textId="77777777" w:rsidR="00AB33EC" w:rsidRPr="003E75E2" w:rsidRDefault="00AB33EC" w:rsidP="00B721B7">
            <w:pPr>
              <w:pStyle w:val="Normaltabletext1stpararight"/>
              <w:spacing w:line="240" w:lineRule="auto"/>
              <w:jc w:val="center"/>
              <w:rPr>
                <w:rFonts w:cstheme="minorHAnsi"/>
                <w:b/>
                <w:color w:val="414042" w:themeColor="text1"/>
                <w:sz w:val="18"/>
              </w:rPr>
            </w:pPr>
            <w:r w:rsidRPr="003E75E2">
              <w:rPr>
                <w:rFonts w:cstheme="minorHAnsi"/>
                <w:b/>
                <w:color w:val="414042" w:themeColor="text1"/>
                <w:sz w:val="18"/>
              </w:rPr>
              <w:t>Monetary Expenses</w:t>
            </w:r>
          </w:p>
          <w:p w14:paraId="408EE4AB" w14:textId="77777777" w:rsidR="00AB33EC" w:rsidRPr="003E75E2" w:rsidRDefault="00AB33EC" w:rsidP="00B721B7">
            <w:pPr>
              <w:pStyle w:val="Normaltabletext1stpararight"/>
              <w:spacing w:line="240" w:lineRule="auto"/>
              <w:jc w:val="center"/>
              <w:rPr>
                <w:rFonts w:cstheme="minorHAnsi"/>
                <w:b/>
                <w:color w:val="414042" w:themeColor="text1"/>
                <w:sz w:val="18"/>
              </w:rPr>
            </w:pPr>
            <w:r w:rsidRPr="003E75E2">
              <w:rPr>
                <w:rFonts w:cstheme="minorHAnsi"/>
                <w:b/>
                <w:color w:val="414042" w:themeColor="text1"/>
                <w:sz w:val="18"/>
              </w:rPr>
              <w:t>$’000</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44E7590D" w14:textId="77777777" w:rsidR="00AB33EC" w:rsidRPr="003E75E2" w:rsidRDefault="00AB33EC" w:rsidP="00B721B7">
            <w:pPr>
              <w:pStyle w:val="Normaltabletext1stpararight"/>
              <w:spacing w:line="240" w:lineRule="auto"/>
              <w:jc w:val="center"/>
              <w:rPr>
                <w:rFonts w:cstheme="minorHAnsi"/>
                <w:b/>
                <w:color w:val="414042" w:themeColor="text1"/>
                <w:sz w:val="18"/>
              </w:rPr>
            </w:pPr>
            <w:r w:rsidRPr="003E75E2">
              <w:rPr>
                <w:rFonts w:cstheme="minorHAnsi"/>
                <w:b/>
                <w:color w:val="414042" w:themeColor="text1"/>
                <w:sz w:val="18"/>
              </w:rPr>
              <w:t>Long-Term Employee Expenses</w:t>
            </w:r>
          </w:p>
          <w:p w14:paraId="7A5014E5" w14:textId="77777777" w:rsidR="00AB33EC" w:rsidRPr="003E75E2" w:rsidRDefault="00AB33EC" w:rsidP="00B721B7">
            <w:pPr>
              <w:pStyle w:val="Normaltabletext1stpararight"/>
              <w:spacing w:line="240" w:lineRule="auto"/>
              <w:ind w:right="113"/>
              <w:jc w:val="center"/>
              <w:rPr>
                <w:rFonts w:cstheme="minorHAnsi"/>
                <w:b/>
                <w:color w:val="414042" w:themeColor="text1"/>
                <w:sz w:val="18"/>
              </w:rPr>
            </w:pPr>
            <w:r w:rsidRPr="003E75E2">
              <w:rPr>
                <w:rFonts w:cstheme="minorHAnsi"/>
                <w:b/>
                <w:color w:val="414042" w:themeColor="text1"/>
                <w:sz w:val="18"/>
              </w:rPr>
              <w:t>$’000</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6D3E98D7" w14:textId="77777777" w:rsidR="00AB33EC" w:rsidRPr="003E75E2" w:rsidRDefault="00AB33EC" w:rsidP="00B721B7">
            <w:pPr>
              <w:pStyle w:val="Normaltabletext1stpararight"/>
              <w:spacing w:line="240" w:lineRule="auto"/>
              <w:jc w:val="center"/>
              <w:rPr>
                <w:rFonts w:cstheme="minorHAnsi"/>
                <w:b/>
                <w:color w:val="414042" w:themeColor="text1"/>
                <w:sz w:val="18"/>
              </w:rPr>
            </w:pPr>
            <w:r w:rsidRPr="003E75E2">
              <w:rPr>
                <w:rFonts w:cstheme="minorHAnsi"/>
                <w:b/>
                <w:color w:val="414042" w:themeColor="text1"/>
                <w:sz w:val="18"/>
              </w:rPr>
              <w:t>Post-Employment Expenses</w:t>
            </w:r>
          </w:p>
          <w:p w14:paraId="157A4F7E" w14:textId="77777777" w:rsidR="00AB33EC" w:rsidRPr="003E75E2" w:rsidRDefault="00AB33EC" w:rsidP="00B721B7">
            <w:pPr>
              <w:pStyle w:val="Normaltabletext1stpararight"/>
              <w:spacing w:line="240" w:lineRule="auto"/>
              <w:ind w:right="113"/>
              <w:jc w:val="center"/>
              <w:rPr>
                <w:rFonts w:cstheme="minorHAnsi"/>
                <w:b/>
                <w:color w:val="414042" w:themeColor="text1"/>
                <w:sz w:val="18"/>
              </w:rPr>
            </w:pPr>
            <w:r w:rsidRPr="003E75E2">
              <w:rPr>
                <w:rFonts w:cstheme="minorHAnsi"/>
                <w:b/>
                <w:color w:val="414042" w:themeColor="text1"/>
                <w:sz w:val="18"/>
              </w:rPr>
              <w:t>$’000</w:t>
            </w:r>
          </w:p>
        </w:tc>
        <w:tc>
          <w:tcPr>
            <w:tcW w:w="993" w:type="dxa"/>
            <w:tcBorders>
              <w:top w:val="single" w:sz="4" w:space="0" w:color="auto"/>
              <w:left w:val="single" w:sz="4" w:space="0" w:color="auto"/>
            </w:tcBorders>
            <w:shd w:val="clear" w:color="auto" w:fill="auto"/>
            <w:tcMar>
              <w:top w:w="28" w:type="dxa"/>
              <w:left w:w="0" w:type="dxa"/>
              <w:bottom w:w="57" w:type="dxa"/>
              <w:right w:w="0" w:type="dxa"/>
            </w:tcMar>
            <w:vAlign w:val="bottom"/>
          </w:tcPr>
          <w:p w14:paraId="10485118" w14:textId="77777777" w:rsidR="00AB33EC" w:rsidRPr="003E75E2" w:rsidRDefault="00AB33EC" w:rsidP="00B721B7">
            <w:pPr>
              <w:pStyle w:val="Normaltabletext1stpararight"/>
              <w:spacing w:line="240" w:lineRule="auto"/>
              <w:jc w:val="center"/>
              <w:rPr>
                <w:rFonts w:cstheme="minorHAnsi"/>
                <w:b/>
                <w:color w:val="414042" w:themeColor="text1"/>
                <w:sz w:val="18"/>
              </w:rPr>
            </w:pPr>
            <w:r w:rsidRPr="003E75E2">
              <w:rPr>
                <w:rFonts w:cstheme="minorHAnsi"/>
                <w:b/>
                <w:color w:val="414042" w:themeColor="text1"/>
                <w:sz w:val="18"/>
              </w:rPr>
              <w:t>Total</w:t>
            </w:r>
            <w:r w:rsidRPr="003E75E2">
              <w:rPr>
                <w:rFonts w:cstheme="minorHAnsi"/>
                <w:b/>
                <w:color w:val="414042" w:themeColor="text1"/>
                <w:sz w:val="18"/>
              </w:rPr>
              <w:br/>
              <w:t>Expenses</w:t>
            </w:r>
          </w:p>
          <w:p w14:paraId="415BC1A9" w14:textId="77777777" w:rsidR="00AB33EC" w:rsidRPr="003E75E2" w:rsidRDefault="00AB33EC" w:rsidP="00B721B7">
            <w:pPr>
              <w:pStyle w:val="Normaltabletext1stpararight"/>
              <w:spacing w:line="240" w:lineRule="auto"/>
              <w:ind w:right="113"/>
              <w:jc w:val="center"/>
              <w:rPr>
                <w:rFonts w:cstheme="minorHAnsi"/>
                <w:b/>
                <w:color w:val="414042" w:themeColor="text1"/>
                <w:sz w:val="18"/>
              </w:rPr>
            </w:pPr>
            <w:r w:rsidRPr="003E75E2">
              <w:rPr>
                <w:rFonts w:cstheme="minorHAnsi"/>
                <w:b/>
                <w:color w:val="414042" w:themeColor="text1"/>
                <w:sz w:val="18"/>
              </w:rPr>
              <w:t>$’000</w:t>
            </w:r>
          </w:p>
        </w:tc>
      </w:tr>
      <w:tr w:rsidR="00AB33EC" w:rsidRPr="003E75E2" w14:paraId="677F6E3A" w14:textId="77777777" w:rsidTr="00B721B7">
        <w:trPr>
          <w:trHeight w:val="265"/>
        </w:trPr>
        <w:tc>
          <w:tcPr>
            <w:tcW w:w="2835" w:type="dxa"/>
            <w:tcBorders>
              <w:top w:val="single" w:sz="4" w:space="0" w:color="auto"/>
              <w:bottom w:val="single" w:sz="4" w:space="0" w:color="auto"/>
              <w:right w:val="single" w:sz="4" w:space="0" w:color="auto"/>
            </w:tcBorders>
            <w:tcMar>
              <w:top w:w="28" w:type="dxa"/>
              <w:bottom w:w="57" w:type="dxa"/>
            </w:tcMar>
            <w:vAlign w:val="center"/>
          </w:tcPr>
          <w:p w14:paraId="31F59CC7"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 xml:space="preserve">Chairperson </w:t>
            </w:r>
          </w:p>
          <w:p w14:paraId="368C50A4" w14:textId="4F3BCC3C" w:rsidR="00AB33EC" w:rsidRPr="003E75E2" w:rsidRDefault="00AB33EC" w:rsidP="00B721B7">
            <w:pPr>
              <w:pStyle w:val="Normaltabletextleft"/>
              <w:spacing w:line="240" w:lineRule="auto"/>
              <w:rPr>
                <w:rFonts w:cstheme="minorHAnsi"/>
                <w:color w:val="414042" w:themeColor="text1"/>
                <w:sz w:val="18"/>
              </w:rPr>
            </w:pPr>
          </w:p>
        </w:tc>
        <w:tc>
          <w:tcPr>
            <w:tcW w:w="1701" w:type="dxa"/>
            <w:tcBorders>
              <w:top w:val="single" w:sz="4" w:space="0" w:color="auto"/>
              <w:left w:val="single" w:sz="4" w:space="0" w:color="auto"/>
              <w:bottom w:val="single" w:sz="4" w:space="0" w:color="auto"/>
              <w:right w:val="single" w:sz="4" w:space="0" w:color="auto"/>
            </w:tcBorders>
            <w:tcMar>
              <w:left w:w="57" w:type="dxa"/>
            </w:tcMar>
            <w:vAlign w:val="center"/>
          </w:tcPr>
          <w:p w14:paraId="3FFE6EF5" w14:textId="77777777" w:rsidR="00AB33EC" w:rsidRPr="003E75E2" w:rsidRDefault="00AB33EC" w:rsidP="00B721B7">
            <w:pPr>
              <w:pStyle w:val="Normaltabletextleft"/>
              <w:spacing w:line="240" w:lineRule="auto"/>
              <w:rPr>
                <w:rFonts w:cstheme="minorHAnsi"/>
                <w:color w:val="414042" w:themeColor="text1"/>
                <w:spacing w:val="-2"/>
                <w:sz w:val="18"/>
              </w:rPr>
            </w:pPr>
          </w:p>
          <w:p w14:paraId="1EF37C81" w14:textId="77777777" w:rsidR="00AB33EC" w:rsidRPr="003E75E2" w:rsidRDefault="00AB33EC" w:rsidP="00B721B7">
            <w:pPr>
              <w:pStyle w:val="Normaltabletextleft"/>
              <w:spacing w:line="240" w:lineRule="auto"/>
              <w:rPr>
                <w:rFonts w:cstheme="minorHAnsi"/>
                <w:i/>
                <w:color w:val="414042" w:themeColor="text1"/>
                <w:spacing w:val="-2"/>
                <w:sz w:val="18"/>
              </w:rPr>
            </w:pPr>
            <w:r w:rsidRPr="003E75E2">
              <w:rPr>
                <w:rFonts w:cstheme="minorHAnsi"/>
                <w:color w:val="414042" w:themeColor="text1"/>
                <w:spacing w:val="-2"/>
                <w:sz w:val="18"/>
              </w:rPr>
              <w:t xml:space="preserve">Crime </w:t>
            </w:r>
            <w:r w:rsidRPr="003E75E2">
              <w:rPr>
                <w:rFonts w:cstheme="minorHAnsi"/>
                <w:i/>
                <w:color w:val="414042" w:themeColor="text1"/>
                <w:spacing w:val="-2"/>
                <w:sz w:val="18"/>
              </w:rPr>
              <w:t>and Corruption Act 2001</w:t>
            </w:r>
          </w:p>
          <w:p w14:paraId="7DFC2FFC" w14:textId="77777777" w:rsidR="00AB33EC" w:rsidRPr="003E75E2" w:rsidRDefault="00AB33EC" w:rsidP="00B721B7">
            <w:pPr>
              <w:pStyle w:val="Normaltabletextleft"/>
              <w:spacing w:line="240" w:lineRule="auto"/>
              <w:rPr>
                <w:rFonts w:cstheme="minorHAnsi"/>
                <w:color w:val="414042" w:themeColor="text1"/>
                <w:spacing w:val="-2"/>
                <w:sz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57" w:type="dxa"/>
              <w:right w:w="113" w:type="dxa"/>
            </w:tcMar>
            <w:vAlign w:val="center"/>
          </w:tcPr>
          <w:p w14:paraId="4EC9CF8E" w14:textId="77777777" w:rsidR="00AB33EC" w:rsidRPr="003E75E2" w:rsidRDefault="00AB33EC" w:rsidP="00B721B7">
            <w:pPr>
              <w:pStyle w:val="Normaltabletext1stpararight"/>
              <w:spacing w:line="240" w:lineRule="auto"/>
              <w:rPr>
                <w:rFonts w:cstheme="minorHAnsi"/>
                <w:color w:val="414042" w:themeColor="text1"/>
                <w:sz w:val="18"/>
              </w:rPr>
            </w:pPr>
            <w:r w:rsidRPr="003203B0">
              <w:rPr>
                <w:rFonts w:cstheme="minorHAnsi"/>
                <w:b/>
                <w:sz w:val="18"/>
              </w:rPr>
              <w:t>560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57" w:type="dxa"/>
              <w:right w:w="113" w:type="dxa"/>
            </w:tcMar>
            <w:vAlign w:val="center"/>
          </w:tcPr>
          <w:p w14:paraId="2F2C61EA" w14:textId="77777777" w:rsidR="00AB33EC" w:rsidRPr="003E75E2" w:rsidRDefault="00AB33EC" w:rsidP="00B721B7">
            <w:pPr>
              <w:pStyle w:val="Normaltabletext1stpararight"/>
              <w:spacing w:line="240" w:lineRule="auto"/>
              <w:rPr>
                <w:rFonts w:cstheme="minorHAnsi"/>
                <w:color w:val="414042" w:themeColor="text1"/>
                <w:sz w:val="18"/>
              </w:rPr>
            </w:pPr>
            <w:r w:rsidRPr="003203B0">
              <w:rPr>
                <w:rFonts w:cstheme="minorHAnsi"/>
                <w:b/>
                <w:sz w:val="18"/>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57" w:type="dxa"/>
              <w:right w:w="113" w:type="dxa"/>
            </w:tcMar>
            <w:vAlign w:val="center"/>
          </w:tcPr>
          <w:p w14:paraId="54B513FD" w14:textId="77777777" w:rsidR="00AB33EC" w:rsidRPr="003E75E2" w:rsidRDefault="00AB33EC" w:rsidP="00B721B7">
            <w:pPr>
              <w:pStyle w:val="Normaltabletext1stpararight"/>
              <w:spacing w:line="240" w:lineRule="auto"/>
              <w:rPr>
                <w:rFonts w:cstheme="minorHAnsi"/>
                <w:color w:val="414042" w:themeColor="text1"/>
                <w:szCs w:val="20"/>
                <w:lang w:eastAsia="en-AU"/>
              </w:rPr>
            </w:pPr>
            <w:r w:rsidRPr="003203B0">
              <w:rPr>
                <w:rFonts w:cstheme="minorHAnsi"/>
                <w:b/>
                <w:szCs w:val="20"/>
                <w:lang w:eastAsia="en-AU"/>
              </w:rPr>
              <w:t>56</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41CCC3C7" w14:textId="77777777" w:rsidR="00AB33EC" w:rsidRPr="003E75E2" w:rsidRDefault="00AB33EC" w:rsidP="00B721B7">
            <w:pPr>
              <w:pStyle w:val="Normaltabletext1stpararight"/>
              <w:spacing w:line="240" w:lineRule="auto"/>
              <w:rPr>
                <w:rFonts w:cstheme="minorHAnsi"/>
                <w:color w:val="414042" w:themeColor="text1"/>
                <w:sz w:val="18"/>
              </w:rPr>
            </w:pPr>
            <w:r w:rsidRPr="003203B0">
              <w:rPr>
                <w:rFonts w:cstheme="minorHAnsi"/>
                <w:b/>
                <w:sz w:val="18"/>
              </w:rPr>
              <w:t>631</w:t>
            </w:r>
          </w:p>
        </w:tc>
      </w:tr>
      <w:tr w:rsidR="00AB33EC" w:rsidRPr="003E75E2" w14:paraId="38E9C2F6" w14:textId="77777777" w:rsidTr="00B721B7">
        <w:trPr>
          <w:trHeight w:val="265"/>
        </w:trPr>
        <w:tc>
          <w:tcPr>
            <w:tcW w:w="2835" w:type="dxa"/>
            <w:tcBorders>
              <w:top w:val="single" w:sz="4" w:space="0" w:color="auto"/>
              <w:bottom w:val="single" w:sz="4" w:space="0" w:color="auto"/>
              <w:right w:val="single" w:sz="4" w:space="0" w:color="auto"/>
            </w:tcBorders>
            <w:tcMar>
              <w:top w:w="28" w:type="dxa"/>
              <w:bottom w:w="57" w:type="dxa"/>
            </w:tcMar>
            <w:vAlign w:val="center"/>
          </w:tcPr>
          <w:p w14:paraId="1EB4851C"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 xml:space="preserve">Chief Executive Officer </w:t>
            </w:r>
          </w:p>
          <w:p w14:paraId="0E633514" w14:textId="544B7FC7" w:rsidR="00AB33EC" w:rsidRPr="003E75E2" w:rsidRDefault="00AB33EC" w:rsidP="00B721B7">
            <w:pPr>
              <w:pStyle w:val="Normaltabletextleft"/>
              <w:spacing w:line="240" w:lineRule="auto"/>
              <w:rPr>
                <w:rFonts w:cstheme="minorHAnsi"/>
                <w:color w:val="414042" w:themeColor="text1"/>
                <w:sz w:val="18"/>
              </w:rPr>
            </w:pPr>
          </w:p>
        </w:tc>
        <w:tc>
          <w:tcPr>
            <w:tcW w:w="1701" w:type="dxa"/>
            <w:tcBorders>
              <w:top w:val="single" w:sz="4" w:space="0" w:color="auto"/>
              <w:left w:val="single" w:sz="4" w:space="0" w:color="auto"/>
              <w:bottom w:val="single" w:sz="4" w:space="0" w:color="auto"/>
              <w:right w:val="single" w:sz="4" w:space="0" w:color="auto"/>
            </w:tcBorders>
            <w:tcMar>
              <w:left w:w="57" w:type="dxa"/>
            </w:tcMar>
            <w:vAlign w:val="center"/>
          </w:tcPr>
          <w:p w14:paraId="0EF7F2B2" w14:textId="77777777" w:rsidR="00AB33EC" w:rsidRPr="003E75E2" w:rsidRDefault="00AB33EC" w:rsidP="00B721B7">
            <w:pPr>
              <w:pStyle w:val="Normaltabletextleft"/>
              <w:spacing w:line="240" w:lineRule="auto"/>
              <w:rPr>
                <w:rFonts w:cstheme="minorHAnsi"/>
                <w:color w:val="414042" w:themeColor="text1"/>
                <w:spacing w:val="-2"/>
                <w:sz w:val="18"/>
              </w:rPr>
            </w:pPr>
          </w:p>
          <w:p w14:paraId="59265381" w14:textId="77777777" w:rsidR="00AB33EC" w:rsidRPr="003E75E2" w:rsidRDefault="00AB33EC" w:rsidP="00B721B7">
            <w:pPr>
              <w:pStyle w:val="Normaltabletextleft"/>
              <w:spacing w:line="240" w:lineRule="auto"/>
              <w:rPr>
                <w:rFonts w:cstheme="minorHAnsi"/>
                <w:i/>
                <w:color w:val="414042" w:themeColor="text1"/>
                <w:spacing w:val="-2"/>
                <w:sz w:val="18"/>
              </w:rPr>
            </w:pPr>
            <w:r w:rsidRPr="003E75E2">
              <w:rPr>
                <w:rFonts w:cstheme="minorHAnsi"/>
                <w:color w:val="414042" w:themeColor="text1"/>
                <w:spacing w:val="-2"/>
                <w:sz w:val="18"/>
              </w:rPr>
              <w:t>CEO, Crime</w:t>
            </w:r>
            <w:r w:rsidRPr="003E75E2">
              <w:rPr>
                <w:rFonts w:cstheme="minorHAnsi"/>
                <w:i/>
                <w:color w:val="414042" w:themeColor="text1"/>
                <w:spacing w:val="-2"/>
                <w:sz w:val="18"/>
              </w:rPr>
              <w:t xml:space="preserve"> and Corruption Act 2001</w:t>
            </w:r>
          </w:p>
          <w:p w14:paraId="2E5E6896" w14:textId="77777777" w:rsidR="00AB33EC" w:rsidRPr="003E75E2" w:rsidRDefault="00AB33EC" w:rsidP="00B721B7">
            <w:pPr>
              <w:pStyle w:val="Normaltabletextleft"/>
              <w:spacing w:line="240" w:lineRule="auto"/>
              <w:rPr>
                <w:rFonts w:cstheme="minorHAnsi"/>
                <w:i/>
                <w:color w:val="414042" w:themeColor="text1"/>
                <w:spacing w:val="-2"/>
                <w:sz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57" w:type="dxa"/>
              <w:right w:w="113" w:type="dxa"/>
            </w:tcMar>
            <w:vAlign w:val="center"/>
          </w:tcPr>
          <w:p w14:paraId="76DF0B78"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369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57" w:type="dxa"/>
              <w:right w:w="113" w:type="dxa"/>
            </w:tcMar>
            <w:vAlign w:val="center"/>
          </w:tcPr>
          <w:p w14:paraId="65C7F7A6"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57" w:type="dxa"/>
              <w:right w:w="113" w:type="dxa"/>
            </w:tcMar>
            <w:vAlign w:val="center"/>
          </w:tcPr>
          <w:p w14:paraId="43747B4A"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48</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66AA9382"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426</w:t>
            </w:r>
          </w:p>
        </w:tc>
      </w:tr>
      <w:tr w:rsidR="00AB33EC" w:rsidRPr="003E75E2" w14:paraId="08767CDF" w14:textId="77777777" w:rsidTr="00B721B7">
        <w:tc>
          <w:tcPr>
            <w:tcW w:w="2835" w:type="dxa"/>
            <w:tcBorders>
              <w:top w:val="single" w:sz="4" w:space="0" w:color="auto"/>
              <w:bottom w:val="single" w:sz="4" w:space="0" w:color="auto"/>
              <w:right w:val="single" w:sz="4" w:space="0" w:color="auto"/>
            </w:tcBorders>
            <w:tcMar>
              <w:top w:w="28" w:type="dxa"/>
              <w:bottom w:w="57" w:type="dxa"/>
            </w:tcMar>
            <w:vAlign w:val="center"/>
          </w:tcPr>
          <w:p w14:paraId="7AE91DF2" w14:textId="1AF89F99"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 xml:space="preserve">Senior Executive Officer, Corruption </w:t>
            </w:r>
          </w:p>
        </w:tc>
        <w:tc>
          <w:tcPr>
            <w:tcW w:w="1701" w:type="dxa"/>
            <w:tcBorders>
              <w:top w:val="single" w:sz="4" w:space="0" w:color="auto"/>
              <w:left w:val="single" w:sz="4" w:space="0" w:color="auto"/>
              <w:bottom w:val="single" w:sz="4" w:space="0" w:color="auto"/>
              <w:right w:val="single" w:sz="4" w:space="0" w:color="auto"/>
            </w:tcBorders>
            <w:tcMar>
              <w:left w:w="57" w:type="dxa"/>
            </w:tcMar>
            <w:vAlign w:val="center"/>
          </w:tcPr>
          <w:p w14:paraId="5C2ED129" w14:textId="77777777" w:rsidR="00AB33EC" w:rsidRPr="003E75E2" w:rsidRDefault="00AB33EC" w:rsidP="00B721B7">
            <w:pPr>
              <w:pStyle w:val="Normaltabletextleft"/>
              <w:spacing w:line="240" w:lineRule="auto"/>
              <w:rPr>
                <w:rFonts w:cstheme="minorHAnsi"/>
                <w:color w:val="414042" w:themeColor="text1"/>
                <w:spacing w:val="-2"/>
                <w:sz w:val="18"/>
              </w:rPr>
            </w:pPr>
          </w:p>
          <w:p w14:paraId="0B1B02AA" w14:textId="77777777" w:rsidR="00AB33EC" w:rsidRPr="003E75E2" w:rsidRDefault="00AB33EC" w:rsidP="00B721B7">
            <w:pPr>
              <w:pStyle w:val="Normaltabletextleft"/>
              <w:spacing w:line="240" w:lineRule="auto"/>
              <w:rPr>
                <w:rFonts w:cstheme="minorHAnsi"/>
                <w:i/>
                <w:color w:val="414042" w:themeColor="text1"/>
                <w:spacing w:val="-2"/>
                <w:sz w:val="18"/>
              </w:rPr>
            </w:pPr>
            <w:r w:rsidRPr="003E75E2">
              <w:rPr>
                <w:rFonts w:cstheme="minorHAnsi"/>
                <w:color w:val="414042" w:themeColor="text1"/>
                <w:spacing w:val="-2"/>
                <w:sz w:val="18"/>
              </w:rPr>
              <w:t xml:space="preserve">SES4, </w:t>
            </w:r>
            <w:r w:rsidRPr="003E75E2">
              <w:rPr>
                <w:rFonts w:cstheme="minorHAnsi"/>
                <w:i/>
                <w:color w:val="414042" w:themeColor="text1"/>
                <w:spacing w:val="-2"/>
                <w:sz w:val="18"/>
              </w:rPr>
              <w:t>Crime and Corruption Act 2001</w:t>
            </w:r>
          </w:p>
          <w:p w14:paraId="2641F566" w14:textId="77777777" w:rsidR="00AB33EC" w:rsidRPr="003E75E2" w:rsidRDefault="00AB33EC" w:rsidP="00B721B7">
            <w:pPr>
              <w:pStyle w:val="Normaltabletextleft"/>
              <w:spacing w:line="240" w:lineRule="auto"/>
              <w:rPr>
                <w:rFonts w:cstheme="minorHAnsi"/>
                <w:color w:val="414042" w:themeColor="text1"/>
                <w:spacing w:val="-2"/>
                <w:sz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57" w:type="dxa"/>
              <w:right w:w="113" w:type="dxa"/>
            </w:tcMar>
            <w:vAlign w:val="center"/>
          </w:tcPr>
          <w:p w14:paraId="4B700207"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270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57" w:type="dxa"/>
              <w:right w:w="113" w:type="dxa"/>
            </w:tcMar>
            <w:vAlign w:val="center"/>
          </w:tcPr>
          <w:p w14:paraId="230A9452"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57" w:type="dxa"/>
              <w:right w:w="113" w:type="dxa"/>
            </w:tcMar>
            <w:vAlign w:val="center"/>
          </w:tcPr>
          <w:p w14:paraId="67E8D618"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39</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6A6A3B6C"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316</w:t>
            </w:r>
          </w:p>
        </w:tc>
      </w:tr>
      <w:tr w:rsidR="00AB33EC" w:rsidRPr="003E75E2" w14:paraId="7655B3E4" w14:textId="77777777" w:rsidTr="00B721B7">
        <w:tc>
          <w:tcPr>
            <w:tcW w:w="2835" w:type="dxa"/>
            <w:tcBorders>
              <w:top w:val="single" w:sz="4" w:space="0" w:color="auto"/>
              <w:bottom w:val="single" w:sz="4" w:space="0" w:color="auto"/>
              <w:right w:val="single" w:sz="4" w:space="0" w:color="auto"/>
            </w:tcBorders>
            <w:tcMar>
              <w:top w:w="28" w:type="dxa"/>
              <w:bottom w:w="57" w:type="dxa"/>
            </w:tcMar>
            <w:vAlign w:val="center"/>
          </w:tcPr>
          <w:p w14:paraId="44A13A4C"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 xml:space="preserve">Senior Executive Officer, Crime </w:t>
            </w:r>
          </w:p>
          <w:p w14:paraId="784653CB" w14:textId="6D0FD1CC" w:rsidR="00AB33EC" w:rsidRPr="003E75E2" w:rsidRDefault="00AB33EC" w:rsidP="00B721B7">
            <w:pPr>
              <w:pStyle w:val="Normaltabletextleft"/>
              <w:spacing w:line="240" w:lineRule="auto"/>
              <w:rPr>
                <w:rFonts w:cstheme="minorHAnsi"/>
                <w:color w:val="414042" w:themeColor="text1"/>
                <w:sz w:val="18"/>
              </w:rPr>
            </w:pPr>
          </w:p>
        </w:tc>
        <w:tc>
          <w:tcPr>
            <w:tcW w:w="1701" w:type="dxa"/>
            <w:tcBorders>
              <w:top w:val="single" w:sz="4" w:space="0" w:color="auto"/>
              <w:left w:val="single" w:sz="4" w:space="0" w:color="auto"/>
              <w:bottom w:val="single" w:sz="4" w:space="0" w:color="auto"/>
              <w:right w:val="single" w:sz="4" w:space="0" w:color="auto"/>
            </w:tcBorders>
            <w:tcMar>
              <w:left w:w="57" w:type="dxa"/>
            </w:tcMar>
            <w:vAlign w:val="center"/>
          </w:tcPr>
          <w:p w14:paraId="3D0978F3" w14:textId="77777777" w:rsidR="00AB33EC" w:rsidRPr="003E75E2" w:rsidRDefault="00AB33EC" w:rsidP="00B721B7">
            <w:pPr>
              <w:pStyle w:val="Normaltabletextleft"/>
              <w:spacing w:line="240" w:lineRule="auto"/>
              <w:rPr>
                <w:rFonts w:cstheme="minorHAnsi"/>
                <w:color w:val="414042" w:themeColor="text1"/>
                <w:spacing w:val="-2"/>
                <w:sz w:val="18"/>
              </w:rPr>
            </w:pPr>
          </w:p>
          <w:p w14:paraId="2F71D2D4" w14:textId="77777777" w:rsidR="00AB33EC" w:rsidRPr="003E75E2" w:rsidRDefault="00AB33EC" w:rsidP="00B721B7">
            <w:pPr>
              <w:pStyle w:val="Normaltabletextleft"/>
              <w:spacing w:line="240" w:lineRule="auto"/>
              <w:rPr>
                <w:rFonts w:cstheme="minorHAnsi"/>
                <w:i/>
                <w:color w:val="414042" w:themeColor="text1"/>
                <w:spacing w:val="-2"/>
                <w:sz w:val="18"/>
              </w:rPr>
            </w:pPr>
            <w:r w:rsidRPr="003E75E2">
              <w:rPr>
                <w:rFonts w:cstheme="minorHAnsi"/>
                <w:color w:val="414042" w:themeColor="text1"/>
                <w:spacing w:val="-2"/>
                <w:sz w:val="18"/>
              </w:rPr>
              <w:t xml:space="preserve">SES4, </w:t>
            </w:r>
            <w:r w:rsidRPr="003E75E2">
              <w:rPr>
                <w:rFonts w:cstheme="minorHAnsi"/>
                <w:i/>
                <w:color w:val="414042" w:themeColor="text1"/>
                <w:spacing w:val="-2"/>
                <w:sz w:val="18"/>
              </w:rPr>
              <w:t>Crime and Corruption Act 2001</w:t>
            </w:r>
          </w:p>
          <w:p w14:paraId="3CB1CC9B" w14:textId="77777777" w:rsidR="00AB33EC" w:rsidRPr="003E75E2" w:rsidRDefault="00AB33EC" w:rsidP="00B721B7">
            <w:pPr>
              <w:pStyle w:val="Normaltabletextleft"/>
              <w:spacing w:line="240" w:lineRule="auto"/>
              <w:rPr>
                <w:rFonts w:cstheme="minorHAnsi"/>
                <w:color w:val="414042" w:themeColor="text1"/>
                <w:spacing w:val="-2"/>
                <w:sz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57" w:type="dxa"/>
              <w:right w:w="113" w:type="dxa"/>
            </w:tcMar>
            <w:vAlign w:val="center"/>
          </w:tcPr>
          <w:p w14:paraId="0C033BFD"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279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57" w:type="dxa"/>
              <w:right w:w="113" w:type="dxa"/>
            </w:tcMar>
            <w:vAlign w:val="center"/>
          </w:tcPr>
          <w:p w14:paraId="73211F0A"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57" w:type="dxa"/>
              <w:right w:w="113" w:type="dxa"/>
            </w:tcMar>
            <w:vAlign w:val="center"/>
          </w:tcPr>
          <w:p w14:paraId="58B0C36F"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39</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10465C75"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325</w:t>
            </w:r>
          </w:p>
        </w:tc>
      </w:tr>
      <w:tr w:rsidR="00AB33EC" w:rsidRPr="003E75E2" w14:paraId="794B0EBF" w14:textId="77777777" w:rsidTr="00B721B7">
        <w:trPr>
          <w:trHeight w:val="430"/>
        </w:trPr>
        <w:tc>
          <w:tcPr>
            <w:tcW w:w="2835" w:type="dxa"/>
            <w:tcBorders>
              <w:top w:val="single" w:sz="4" w:space="0" w:color="auto"/>
              <w:bottom w:val="single" w:sz="4" w:space="0" w:color="auto"/>
              <w:right w:val="single" w:sz="4" w:space="0" w:color="auto"/>
            </w:tcBorders>
            <w:tcMar>
              <w:top w:w="28" w:type="dxa"/>
              <w:bottom w:w="57" w:type="dxa"/>
            </w:tcMar>
            <w:vAlign w:val="center"/>
          </w:tcPr>
          <w:p w14:paraId="50E3254B" w14:textId="70A5A290"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 xml:space="preserve">General Manager, Strategy &amp; Renewal                                               </w:t>
            </w:r>
          </w:p>
        </w:tc>
        <w:tc>
          <w:tcPr>
            <w:tcW w:w="1701" w:type="dxa"/>
            <w:tcBorders>
              <w:top w:val="single" w:sz="4" w:space="0" w:color="auto"/>
              <w:left w:val="single" w:sz="4" w:space="0" w:color="auto"/>
              <w:bottom w:val="single" w:sz="4" w:space="0" w:color="auto"/>
              <w:right w:val="single" w:sz="4" w:space="0" w:color="auto"/>
            </w:tcBorders>
            <w:tcMar>
              <w:left w:w="57" w:type="dxa"/>
            </w:tcMar>
            <w:vAlign w:val="center"/>
          </w:tcPr>
          <w:p w14:paraId="351A84A4" w14:textId="77777777" w:rsidR="00AB33EC" w:rsidRPr="003E75E2" w:rsidRDefault="00AB33EC" w:rsidP="00B721B7">
            <w:pPr>
              <w:pStyle w:val="Normaltabletextleft"/>
              <w:spacing w:line="240" w:lineRule="auto"/>
              <w:rPr>
                <w:rFonts w:cstheme="minorHAnsi"/>
                <w:color w:val="414042" w:themeColor="text1"/>
                <w:spacing w:val="-2"/>
                <w:sz w:val="18"/>
              </w:rPr>
            </w:pPr>
          </w:p>
          <w:p w14:paraId="555F4B9D" w14:textId="77777777" w:rsidR="00AB33EC" w:rsidRPr="003E75E2" w:rsidRDefault="00AB33EC" w:rsidP="00B721B7">
            <w:pPr>
              <w:pStyle w:val="Normaltabletextleft"/>
              <w:spacing w:line="240" w:lineRule="auto"/>
              <w:rPr>
                <w:rFonts w:cstheme="minorHAnsi"/>
                <w:i/>
                <w:color w:val="414042" w:themeColor="text1"/>
                <w:spacing w:val="-2"/>
                <w:sz w:val="18"/>
              </w:rPr>
            </w:pPr>
            <w:r w:rsidRPr="003E75E2">
              <w:rPr>
                <w:rFonts w:cstheme="minorHAnsi"/>
                <w:color w:val="414042" w:themeColor="text1"/>
                <w:spacing w:val="-2"/>
                <w:sz w:val="18"/>
              </w:rPr>
              <w:t>SES3,</w:t>
            </w:r>
            <w:r w:rsidRPr="003E75E2">
              <w:rPr>
                <w:rFonts w:cstheme="minorHAnsi"/>
                <w:i/>
                <w:color w:val="414042" w:themeColor="text1"/>
                <w:spacing w:val="-2"/>
                <w:sz w:val="18"/>
              </w:rPr>
              <w:t xml:space="preserve"> Crime and Corruption Act 2001</w:t>
            </w:r>
          </w:p>
          <w:p w14:paraId="43E49D2D" w14:textId="77777777" w:rsidR="00AB33EC" w:rsidRPr="003E75E2" w:rsidRDefault="00AB33EC" w:rsidP="00B721B7">
            <w:pPr>
              <w:pStyle w:val="Normaltabletextleft"/>
              <w:spacing w:line="240" w:lineRule="auto"/>
              <w:rPr>
                <w:rFonts w:cstheme="minorHAnsi"/>
                <w:i/>
                <w:color w:val="414042" w:themeColor="text1"/>
                <w:spacing w:val="-2"/>
                <w:sz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57" w:type="dxa"/>
              <w:right w:w="113" w:type="dxa"/>
            </w:tcMar>
            <w:vAlign w:val="center"/>
          </w:tcPr>
          <w:p w14:paraId="346EAAB4"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220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57" w:type="dxa"/>
              <w:right w:w="113" w:type="dxa"/>
            </w:tcMar>
            <w:vAlign w:val="center"/>
          </w:tcPr>
          <w:p w14:paraId="14978FB0"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57" w:type="dxa"/>
              <w:right w:w="113" w:type="dxa"/>
            </w:tcMar>
            <w:vAlign w:val="center"/>
          </w:tcPr>
          <w:p w14:paraId="157013AE"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32</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07AFAB4B"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257</w:t>
            </w:r>
          </w:p>
        </w:tc>
      </w:tr>
      <w:tr w:rsidR="00AB33EC" w:rsidRPr="003E75E2" w14:paraId="1AB424D4" w14:textId="77777777" w:rsidTr="00B721B7">
        <w:tc>
          <w:tcPr>
            <w:tcW w:w="2835" w:type="dxa"/>
            <w:tcBorders>
              <w:top w:val="single" w:sz="4" w:space="0" w:color="auto"/>
              <w:bottom w:val="single" w:sz="4" w:space="0" w:color="auto"/>
              <w:right w:val="single" w:sz="4" w:space="0" w:color="auto"/>
            </w:tcBorders>
            <w:tcMar>
              <w:top w:w="28" w:type="dxa"/>
              <w:bottom w:w="57" w:type="dxa"/>
            </w:tcMar>
            <w:vAlign w:val="bottom"/>
          </w:tcPr>
          <w:p w14:paraId="4F819F8F" w14:textId="77777777" w:rsidR="00AB33EC" w:rsidRPr="003E75E2" w:rsidRDefault="00AB33EC" w:rsidP="00B721B7">
            <w:pPr>
              <w:pStyle w:val="Normaltabletextleft"/>
              <w:spacing w:line="240" w:lineRule="auto"/>
              <w:rPr>
                <w:rFonts w:cstheme="minorHAnsi"/>
                <w:color w:val="414042" w:themeColor="text1"/>
                <w:sz w:val="18"/>
              </w:rPr>
            </w:pPr>
          </w:p>
          <w:p w14:paraId="3AD319A0" w14:textId="387556C9"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 xml:space="preserve">General Manager, Operations Support </w:t>
            </w:r>
            <w:r w:rsidR="00C420FC">
              <w:rPr>
                <w:rFonts w:cstheme="minorHAnsi"/>
                <w:color w:val="414042" w:themeColor="text1"/>
                <w:sz w:val="18"/>
              </w:rPr>
              <w:t>10 July 2023</w:t>
            </w:r>
            <w:r w:rsidRPr="003E75E2">
              <w:rPr>
                <w:rFonts w:cstheme="minorHAnsi"/>
                <w:color w:val="414042" w:themeColor="text1"/>
                <w:sz w:val="18"/>
              </w:rPr>
              <w:t xml:space="preserve"> to current</w:t>
            </w:r>
          </w:p>
          <w:p w14:paraId="4F8ADF73" w14:textId="77777777" w:rsidR="00AB33EC" w:rsidRPr="003E75E2" w:rsidRDefault="00AB33EC" w:rsidP="00B721B7">
            <w:pPr>
              <w:pStyle w:val="Normaltabletextleft"/>
              <w:spacing w:line="240" w:lineRule="auto"/>
              <w:rPr>
                <w:rFonts w:cstheme="minorHAnsi"/>
                <w:color w:val="414042" w:themeColor="text1"/>
                <w:sz w:val="18"/>
              </w:rPr>
            </w:pPr>
          </w:p>
        </w:tc>
        <w:tc>
          <w:tcPr>
            <w:tcW w:w="1701" w:type="dxa"/>
            <w:tcBorders>
              <w:top w:val="single" w:sz="4" w:space="0" w:color="auto"/>
              <w:left w:val="single" w:sz="4" w:space="0" w:color="auto"/>
              <w:right w:val="single" w:sz="4" w:space="0" w:color="auto"/>
            </w:tcBorders>
            <w:tcMar>
              <w:left w:w="57" w:type="dxa"/>
            </w:tcMar>
            <w:vAlign w:val="center"/>
          </w:tcPr>
          <w:p w14:paraId="1DAB0DD4" w14:textId="77777777" w:rsidR="00AB33EC" w:rsidRPr="003E75E2" w:rsidRDefault="00AB33EC" w:rsidP="00B721B7">
            <w:pPr>
              <w:pStyle w:val="Normaltabletextleft"/>
              <w:spacing w:line="240" w:lineRule="auto"/>
              <w:rPr>
                <w:rFonts w:cstheme="minorHAnsi"/>
                <w:color w:val="414042" w:themeColor="text1"/>
                <w:spacing w:val="-2"/>
                <w:sz w:val="18"/>
              </w:rPr>
            </w:pPr>
            <w:r w:rsidRPr="003E75E2">
              <w:rPr>
                <w:rFonts w:cstheme="minorHAnsi"/>
                <w:color w:val="414042" w:themeColor="text1"/>
                <w:spacing w:val="-2"/>
                <w:sz w:val="18"/>
              </w:rPr>
              <w:t xml:space="preserve">Chief Superintendent, </w:t>
            </w:r>
            <w:r w:rsidRPr="003E75E2">
              <w:rPr>
                <w:rFonts w:cstheme="minorHAnsi"/>
                <w:i/>
                <w:color w:val="414042" w:themeColor="text1"/>
                <w:spacing w:val="-2"/>
                <w:sz w:val="18"/>
              </w:rPr>
              <w:t>Crime and Corruption Act 2001</w:t>
            </w:r>
          </w:p>
        </w:tc>
        <w:tc>
          <w:tcPr>
            <w:tcW w:w="1134" w:type="dxa"/>
            <w:tcBorders>
              <w:top w:val="single" w:sz="4" w:space="0" w:color="auto"/>
              <w:left w:val="single" w:sz="4" w:space="0" w:color="auto"/>
              <w:right w:val="single" w:sz="4" w:space="0" w:color="auto"/>
            </w:tcBorders>
            <w:shd w:val="clear" w:color="auto" w:fill="auto"/>
            <w:tcMar>
              <w:top w:w="28" w:type="dxa"/>
              <w:left w:w="113" w:type="dxa"/>
              <w:bottom w:w="57" w:type="dxa"/>
              <w:right w:w="113" w:type="dxa"/>
            </w:tcMar>
            <w:vAlign w:val="center"/>
          </w:tcPr>
          <w:p w14:paraId="463E49B1"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239</w:t>
            </w:r>
          </w:p>
        </w:tc>
        <w:tc>
          <w:tcPr>
            <w:tcW w:w="1134" w:type="dxa"/>
            <w:tcBorders>
              <w:top w:val="single" w:sz="4" w:space="0" w:color="auto"/>
              <w:left w:val="single" w:sz="4" w:space="0" w:color="auto"/>
              <w:right w:val="single" w:sz="4" w:space="0" w:color="auto"/>
            </w:tcBorders>
            <w:shd w:val="clear" w:color="auto" w:fill="auto"/>
            <w:tcMar>
              <w:top w:w="28" w:type="dxa"/>
              <w:left w:w="113" w:type="dxa"/>
              <w:bottom w:w="57" w:type="dxa"/>
              <w:right w:w="113" w:type="dxa"/>
            </w:tcMar>
            <w:vAlign w:val="center"/>
          </w:tcPr>
          <w:p w14:paraId="5E9DF6AC"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6</w:t>
            </w:r>
          </w:p>
        </w:tc>
        <w:tc>
          <w:tcPr>
            <w:tcW w:w="1134" w:type="dxa"/>
            <w:tcBorders>
              <w:top w:val="single" w:sz="4" w:space="0" w:color="auto"/>
              <w:left w:val="single" w:sz="4" w:space="0" w:color="auto"/>
              <w:right w:val="single" w:sz="4" w:space="0" w:color="auto"/>
            </w:tcBorders>
            <w:shd w:val="clear" w:color="auto" w:fill="auto"/>
            <w:tcMar>
              <w:top w:w="28" w:type="dxa"/>
              <w:left w:w="113" w:type="dxa"/>
              <w:bottom w:w="57" w:type="dxa"/>
              <w:right w:w="113" w:type="dxa"/>
            </w:tcMar>
            <w:vAlign w:val="center"/>
          </w:tcPr>
          <w:p w14:paraId="6D0D097C"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40</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2831D48E" w14:textId="77777777" w:rsidR="00AB33EC" w:rsidRPr="003E75E2" w:rsidRDefault="00AB33EC" w:rsidP="00B721B7">
            <w:pPr>
              <w:pStyle w:val="Normaltabletext1stpararight"/>
              <w:spacing w:line="240" w:lineRule="auto"/>
              <w:rPr>
                <w:rFonts w:cstheme="minorHAnsi"/>
                <w:color w:val="414042" w:themeColor="text1"/>
                <w:sz w:val="18"/>
              </w:rPr>
            </w:pPr>
            <w:r>
              <w:rPr>
                <w:rFonts w:cstheme="minorHAnsi"/>
                <w:b/>
                <w:sz w:val="18"/>
              </w:rPr>
              <w:t>286</w:t>
            </w:r>
          </w:p>
        </w:tc>
      </w:tr>
      <w:tr w:rsidR="00AB33EC" w:rsidRPr="0013176B" w14:paraId="638CE4DA" w14:textId="77777777" w:rsidTr="00B721B7">
        <w:trPr>
          <w:trHeight w:val="501"/>
        </w:trPr>
        <w:tc>
          <w:tcPr>
            <w:tcW w:w="2835" w:type="dxa"/>
            <w:tcBorders>
              <w:top w:val="single" w:sz="4" w:space="0" w:color="auto"/>
              <w:bottom w:val="double" w:sz="4" w:space="0" w:color="auto"/>
              <w:right w:val="single" w:sz="4" w:space="0" w:color="auto"/>
            </w:tcBorders>
            <w:tcMar>
              <w:top w:w="28" w:type="dxa"/>
              <w:bottom w:w="57" w:type="dxa"/>
            </w:tcMar>
            <w:vAlign w:val="center"/>
          </w:tcPr>
          <w:p w14:paraId="0BF5994F" w14:textId="77777777" w:rsidR="00AB33EC" w:rsidRPr="003E75E2" w:rsidRDefault="00AB33EC" w:rsidP="00B721B7">
            <w:pPr>
              <w:pStyle w:val="Normaltabletextleft"/>
              <w:spacing w:line="240" w:lineRule="auto"/>
              <w:rPr>
                <w:rFonts w:cstheme="minorHAnsi"/>
                <w:b/>
                <w:color w:val="414042" w:themeColor="text1"/>
                <w:sz w:val="18"/>
              </w:rPr>
            </w:pPr>
            <w:r w:rsidRPr="003E75E2">
              <w:rPr>
                <w:rFonts w:cstheme="minorHAnsi"/>
                <w:b/>
                <w:color w:val="414042" w:themeColor="text1"/>
                <w:sz w:val="18"/>
              </w:rPr>
              <w:t>Total Remuneration</w:t>
            </w:r>
          </w:p>
        </w:tc>
        <w:tc>
          <w:tcPr>
            <w:tcW w:w="1701" w:type="dxa"/>
            <w:tcBorders>
              <w:top w:val="single" w:sz="4" w:space="0" w:color="auto"/>
              <w:left w:val="single" w:sz="4" w:space="0" w:color="auto"/>
              <w:bottom w:val="double" w:sz="4" w:space="0" w:color="auto"/>
              <w:right w:val="single" w:sz="4" w:space="0" w:color="auto"/>
            </w:tcBorders>
            <w:vAlign w:val="center"/>
          </w:tcPr>
          <w:p w14:paraId="68071954" w14:textId="77777777" w:rsidR="00AB33EC" w:rsidRPr="003E75E2" w:rsidRDefault="00AB33EC" w:rsidP="00B721B7">
            <w:pPr>
              <w:pStyle w:val="Normaltabletext1stpararight"/>
              <w:spacing w:line="240" w:lineRule="auto"/>
              <w:rPr>
                <w:rFonts w:cstheme="minorHAnsi"/>
                <w:b/>
                <w:color w:val="414042" w:themeColor="text1"/>
                <w:sz w:val="18"/>
              </w:rPr>
            </w:pPr>
          </w:p>
        </w:tc>
        <w:tc>
          <w:tcPr>
            <w:tcW w:w="1134" w:type="dxa"/>
            <w:tcBorders>
              <w:top w:val="single" w:sz="4" w:space="0" w:color="auto"/>
              <w:left w:val="single" w:sz="4" w:space="0" w:color="auto"/>
              <w:bottom w:val="double" w:sz="4" w:space="0" w:color="auto"/>
              <w:right w:val="single" w:sz="4" w:space="0" w:color="auto"/>
            </w:tcBorders>
            <w:shd w:val="clear" w:color="auto" w:fill="auto"/>
            <w:tcMar>
              <w:top w:w="28" w:type="dxa"/>
              <w:left w:w="113" w:type="dxa"/>
              <w:bottom w:w="57" w:type="dxa"/>
              <w:right w:w="113" w:type="dxa"/>
            </w:tcMar>
            <w:vAlign w:val="center"/>
          </w:tcPr>
          <w:p w14:paraId="73639D1B" w14:textId="77777777" w:rsidR="00AB33EC" w:rsidRPr="003E75E2" w:rsidRDefault="00AB33EC" w:rsidP="00B721B7">
            <w:pPr>
              <w:pStyle w:val="Normaltabletext1stpararight"/>
              <w:spacing w:line="240" w:lineRule="auto"/>
              <w:rPr>
                <w:rFonts w:cstheme="minorHAnsi"/>
                <w:b/>
                <w:color w:val="414042" w:themeColor="text1"/>
                <w:sz w:val="18"/>
              </w:rPr>
            </w:pPr>
            <w:r w:rsidRPr="0013176B">
              <w:rPr>
                <w:rFonts w:cstheme="minorHAnsi"/>
                <w:b/>
                <w:color w:val="414042" w:themeColor="text1"/>
                <w:sz w:val="18"/>
              </w:rPr>
              <w:t>1,937</w:t>
            </w:r>
          </w:p>
        </w:tc>
        <w:tc>
          <w:tcPr>
            <w:tcW w:w="1134" w:type="dxa"/>
            <w:tcBorders>
              <w:top w:val="single" w:sz="4" w:space="0" w:color="auto"/>
              <w:left w:val="single" w:sz="4" w:space="0" w:color="auto"/>
              <w:bottom w:val="double" w:sz="4" w:space="0" w:color="auto"/>
              <w:right w:val="single" w:sz="4" w:space="0" w:color="auto"/>
            </w:tcBorders>
            <w:shd w:val="clear" w:color="auto" w:fill="auto"/>
            <w:tcMar>
              <w:top w:w="28" w:type="dxa"/>
              <w:left w:w="113" w:type="dxa"/>
              <w:bottom w:w="57" w:type="dxa"/>
              <w:right w:w="113" w:type="dxa"/>
            </w:tcMar>
            <w:vAlign w:val="center"/>
          </w:tcPr>
          <w:p w14:paraId="4F8EFCBC" w14:textId="77777777" w:rsidR="00AB33EC" w:rsidRPr="003E75E2" w:rsidRDefault="00AB33EC" w:rsidP="00B721B7">
            <w:pPr>
              <w:pStyle w:val="Normaltabletext1stpararight"/>
              <w:spacing w:line="240" w:lineRule="auto"/>
              <w:rPr>
                <w:rFonts w:cstheme="minorHAnsi"/>
                <w:b/>
                <w:color w:val="414042" w:themeColor="text1"/>
                <w:sz w:val="18"/>
              </w:rPr>
            </w:pPr>
            <w:r w:rsidRPr="0013176B">
              <w:rPr>
                <w:rFonts w:cstheme="minorHAnsi"/>
                <w:b/>
                <w:color w:val="414042" w:themeColor="text1"/>
                <w:sz w:val="18"/>
              </w:rPr>
              <w:t>50</w:t>
            </w:r>
          </w:p>
        </w:tc>
        <w:tc>
          <w:tcPr>
            <w:tcW w:w="1134" w:type="dxa"/>
            <w:tcBorders>
              <w:top w:val="single" w:sz="4" w:space="0" w:color="auto"/>
              <w:left w:val="single" w:sz="4" w:space="0" w:color="auto"/>
              <w:bottom w:val="double" w:sz="4" w:space="0" w:color="auto"/>
              <w:right w:val="single" w:sz="4" w:space="0" w:color="auto"/>
            </w:tcBorders>
            <w:shd w:val="clear" w:color="auto" w:fill="auto"/>
            <w:tcMar>
              <w:top w:w="28" w:type="dxa"/>
              <w:left w:w="113" w:type="dxa"/>
              <w:bottom w:w="57" w:type="dxa"/>
              <w:right w:w="113" w:type="dxa"/>
            </w:tcMar>
            <w:vAlign w:val="center"/>
          </w:tcPr>
          <w:p w14:paraId="3B828FBD" w14:textId="77777777" w:rsidR="00AB33EC" w:rsidRPr="003E75E2" w:rsidRDefault="00AB33EC" w:rsidP="00B721B7">
            <w:pPr>
              <w:pStyle w:val="Normaltabletext1stpararight"/>
              <w:spacing w:line="240" w:lineRule="auto"/>
              <w:rPr>
                <w:rFonts w:cstheme="minorHAnsi"/>
                <w:b/>
                <w:color w:val="414042" w:themeColor="text1"/>
                <w:sz w:val="18"/>
              </w:rPr>
            </w:pPr>
            <w:r w:rsidRPr="0013176B">
              <w:rPr>
                <w:rFonts w:cstheme="minorHAnsi"/>
                <w:b/>
                <w:color w:val="414042" w:themeColor="text1"/>
                <w:sz w:val="18"/>
              </w:rPr>
              <w:t>254</w:t>
            </w:r>
          </w:p>
        </w:tc>
        <w:tc>
          <w:tcPr>
            <w:tcW w:w="993" w:type="dxa"/>
            <w:tcBorders>
              <w:top w:val="single" w:sz="4" w:space="0" w:color="auto"/>
              <w:left w:val="single" w:sz="4" w:space="0" w:color="auto"/>
              <w:bottom w:val="double" w:sz="4" w:space="0" w:color="auto"/>
            </w:tcBorders>
            <w:shd w:val="clear" w:color="auto" w:fill="auto"/>
            <w:tcMar>
              <w:top w:w="28" w:type="dxa"/>
              <w:left w:w="113" w:type="dxa"/>
              <w:bottom w:w="57" w:type="dxa"/>
              <w:right w:w="113" w:type="dxa"/>
            </w:tcMar>
            <w:vAlign w:val="center"/>
          </w:tcPr>
          <w:p w14:paraId="1AD11E87" w14:textId="77777777" w:rsidR="00AB33EC" w:rsidRPr="003E75E2" w:rsidRDefault="00AB33EC" w:rsidP="00B721B7">
            <w:pPr>
              <w:pStyle w:val="Normaltabletext1stpararight"/>
              <w:spacing w:line="240" w:lineRule="auto"/>
              <w:rPr>
                <w:rFonts w:cstheme="minorHAnsi"/>
                <w:b/>
                <w:color w:val="414042" w:themeColor="text1"/>
                <w:sz w:val="18"/>
              </w:rPr>
            </w:pPr>
            <w:r w:rsidRPr="0013176B">
              <w:rPr>
                <w:rFonts w:cstheme="minorHAnsi"/>
                <w:b/>
                <w:color w:val="414042" w:themeColor="text1"/>
                <w:sz w:val="18"/>
              </w:rPr>
              <w:t>2,242</w:t>
            </w:r>
          </w:p>
        </w:tc>
      </w:tr>
    </w:tbl>
    <w:p w14:paraId="2F3467CC" w14:textId="77777777" w:rsidR="00AB33EC" w:rsidRPr="003E75E2" w:rsidRDefault="00AB33EC" w:rsidP="00AB33EC">
      <w:pPr>
        <w:rPr>
          <w:rFonts w:asciiTheme="minorHAnsi" w:hAnsiTheme="minorHAnsi" w:cstheme="minorHAnsi"/>
          <w:color w:val="414042" w:themeColor="text1"/>
        </w:rPr>
      </w:pPr>
    </w:p>
    <w:p w14:paraId="087EC678" w14:textId="77777777" w:rsidR="00AB33EC" w:rsidRPr="003E75E2" w:rsidRDefault="00AB33EC" w:rsidP="00AB33EC">
      <w:pPr>
        <w:spacing w:line="259" w:lineRule="auto"/>
        <w:rPr>
          <w:rFonts w:asciiTheme="minorHAnsi" w:eastAsia="Times New Roman" w:hAnsiTheme="minorHAnsi" w:cstheme="minorHAnsi"/>
          <w:b/>
          <w:color w:val="414042" w:themeColor="text1"/>
          <w:sz w:val="23"/>
          <w:szCs w:val="20"/>
        </w:rPr>
      </w:pPr>
      <w:r w:rsidRPr="003E75E2">
        <w:rPr>
          <w:rFonts w:asciiTheme="minorHAnsi" w:hAnsiTheme="minorHAnsi" w:cstheme="minorHAnsi"/>
          <w:color w:val="414042" w:themeColor="text1"/>
        </w:rPr>
        <w:br w:type="page"/>
      </w:r>
    </w:p>
    <w:p w14:paraId="02909668" w14:textId="77777777" w:rsidR="00AB33EC" w:rsidRPr="003E75E2" w:rsidRDefault="00AB33EC" w:rsidP="00AB33EC">
      <w:pPr>
        <w:pStyle w:val="Normal115pttext"/>
        <w:spacing w:line="240" w:lineRule="auto"/>
        <w:jc w:val="both"/>
        <w:rPr>
          <w:rFonts w:cstheme="minorHAnsi"/>
          <w:color w:val="414042" w:themeColor="text1"/>
        </w:rPr>
      </w:pPr>
      <w:r w:rsidRPr="003E75E2">
        <w:rPr>
          <w:rFonts w:cstheme="minorHAnsi"/>
          <w:color w:val="414042" w:themeColor="text1"/>
        </w:rPr>
        <w:t>Note 4:  The Commission, Senior Executive Personnel, Remuneration Expenses and Related Party Transactions (cont’d)</w:t>
      </w:r>
    </w:p>
    <w:p w14:paraId="7FE6B8B8" w14:textId="77777777" w:rsidR="00AB33EC" w:rsidRPr="003E75E2" w:rsidRDefault="00AB33EC" w:rsidP="00AB33EC">
      <w:pPr>
        <w:pStyle w:val="Normalhanginglist105pt"/>
        <w:spacing w:line="240" w:lineRule="auto"/>
        <w:jc w:val="both"/>
        <w:rPr>
          <w:rFonts w:cstheme="minorHAnsi"/>
          <w:color w:val="414042" w:themeColor="text1"/>
          <w:szCs w:val="21"/>
        </w:rPr>
      </w:pPr>
      <w:r w:rsidRPr="003E75E2">
        <w:rPr>
          <w:rFonts w:cstheme="minorHAnsi"/>
          <w:color w:val="414042" w:themeColor="text1"/>
          <w:szCs w:val="21"/>
        </w:rPr>
        <w:t>(d)</w:t>
      </w:r>
      <w:r w:rsidRPr="003E75E2">
        <w:rPr>
          <w:rFonts w:cstheme="minorHAnsi"/>
          <w:color w:val="414042" w:themeColor="text1"/>
          <w:szCs w:val="21"/>
        </w:rPr>
        <w:tab/>
        <w:t>Remuneration Expenses (cont’d)</w:t>
      </w:r>
    </w:p>
    <w:p w14:paraId="514959BD" w14:textId="77777777" w:rsidR="00AB33EC" w:rsidRPr="003E75E2" w:rsidRDefault="00AB33EC" w:rsidP="00AB33EC">
      <w:pPr>
        <w:jc w:val="both"/>
        <w:rPr>
          <w:rFonts w:asciiTheme="minorHAnsi" w:hAnsiTheme="minorHAnsi" w:cstheme="minorHAnsi"/>
          <w:b/>
          <w:color w:val="414042" w:themeColor="text1"/>
          <w:sz w:val="21"/>
          <w:szCs w:val="21"/>
        </w:rPr>
      </w:pPr>
      <w:r w:rsidRPr="003E75E2">
        <w:rPr>
          <w:rFonts w:asciiTheme="minorHAnsi" w:hAnsiTheme="minorHAnsi" w:cstheme="minorHAnsi"/>
          <w:b/>
          <w:color w:val="414042" w:themeColor="text1"/>
          <w:sz w:val="21"/>
          <w:szCs w:val="21"/>
        </w:rPr>
        <w:t>1 July 202</w:t>
      </w:r>
      <w:r>
        <w:rPr>
          <w:rFonts w:asciiTheme="minorHAnsi" w:hAnsiTheme="minorHAnsi" w:cstheme="minorHAnsi"/>
          <w:b/>
          <w:color w:val="414042" w:themeColor="text1"/>
          <w:sz w:val="21"/>
          <w:szCs w:val="21"/>
        </w:rPr>
        <w:t>2</w:t>
      </w:r>
      <w:r w:rsidRPr="003E75E2">
        <w:rPr>
          <w:rFonts w:asciiTheme="minorHAnsi" w:hAnsiTheme="minorHAnsi" w:cstheme="minorHAnsi"/>
          <w:b/>
          <w:color w:val="414042" w:themeColor="text1"/>
          <w:sz w:val="21"/>
          <w:szCs w:val="21"/>
        </w:rPr>
        <w:t xml:space="preserve"> – 30 June 202</w:t>
      </w:r>
      <w:r>
        <w:rPr>
          <w:rFonts w:asciiTheme="minorHAnsi" w:hAnsiTheme="minorHAnsi" w:cstheme="minorHAnsi"/>
          <w:b/>
          <w:color w:val="414042" w:themeColor="text1"/>
          <w:sz w:val="21"/>
          <w:szCs w:val="21"/>
        </w:rPr>
        <w:t>3</w:t>
      </w:r>
    </w:p>
    <w:tbl>
      <w:tblPr>
        <w:tblW w:w="8931" w:type="dxa"/>
        <w:tblLayout w:type="fixed"/>
        <w:tblCellMar>
          <w:left w:w="0" w:type="dxa"/>
          <w:bottom w:w="11" w:type="dxa"/>
          <w:right w:w="0" w:type="dxa"/>
        </w:tblCellMar>
        <w:tblLook w:val="04A0" w:firstRow="1" w:lastRow="0" w:firstColumn="1" w:lastColumn="0" w:noHBand="0" w:noVBand="1"/>
      </w:tblPr>
      <w:tblGrid>
        <w:gridCol w:w="2694"/>
        <w:gridCol w:w="1842"/>
        <w:gridCol w:w="1134"/>
        <w:gridCol w:w="1134"/>
        <w:gridCol w:w="1134"/>
        <w:gridCol w:w="993"/>
      </w:tblGrid>
      <w:tr w:rsidR="00AB33EC" w:rsidRPr="003E75E2" w14:paraId="2C6AB5C3" w14:textId="77777777" w:rsidTr="00B721B7">
        <w:trPr>
          <w:trHeight w:hRule="exact" w:val="907"/>
        </w:trPr>
        <w:tc>
          <w:tcPr>
            <w:tcW w:w="2694" w:type="dxa"/>
            <w:tcBorders>
              <w:top w:val="single" w:sz="4" w:space="0" w:color="auto"/>
              <w:right w:val="single" w:sz="4" w:space="0" w:color="auto"/>
            </w:tcBorders>
            <w:shd w:val="clear" w:color="auto" w:fill="auto"/>
            <w:tcMar>
              <w:top w:w="0" w:type="dxa"/>
            </w:tcMar>
            <w:vAlign w:val="center"/>
          </w:tcPr>
          <w:p w14:paraId="060491FD" w14:textId="77777777" w:rsidR="00AB33EC" w:rsidRPr="003E75E2" w:rsidRDefault="00AB33EC" w:rsidP="00B721B7">
            <w:pPr>
              <w:pStyle w:val="Normaltabletextleft"/>
              <w:spacing w:line="240" w:lineRule="auto"/>
              <w:rPr>
                <w:rFonts w:cstheme="minorHAnsi"/>
                <w:b/>
                <w:color w:val="414042" w:themeColor="text1"/>
                <w:sz w:val="18"/>
              </w:rPr>
            </w:pPr>
            <w:r w:rsidRPr="003E75E2">
              <w:rPr>
                <w:rFonts w:cstheme="minorHAnsi"/>
                <w:b/>
                <w:color w:val="414042" w:themeColor="text1"/>
                <w:sz w:val="18"/>
              </w:rPr>
              <w:t>Position</w:t>
            </w:r>
          </w:p>
        </w:tc>
        <w:tc>
          <w:tcPr>
            <w:tcW w:w="1842" w:type="dxa"/>
            <w:tcBorders>
              <w:top w:val="single" w:sz="4" w:space="0" w:color="auto"/>
              <w:left w:val="single" w:sz="4" w:space="0" w:color="auto"/>
              <w:right w:val="single" w:sz="4" w:space="0" w:color="auto"/>
            </w:tcBorders>
            <w:vAlign w:val="center"/>
          </w:tcPr>
          <w:p w14:paraId="786140B8" w14:textId="77777777" w:rsidR="00AB33EC" w:rsidRPr="003E75E2" w:rsidRDefault="00AB33EC" w:rsidP="00B721B7">
            <w:pPr>
              <w:pStyle w:val="Normaltabletextleft"/>
              <w:tabs>
                <w:tab w:val="left" w:pos="371"/>
              </w:tabs>
              <w:spacing w:line="240" w:lineRule="auto"/>
              <w:jc w:val="center"/>
              <w:rPr>
                <w:rFonts w:cstheme="minorHAnsi"/>
                <w:b/>
                <w:color w:val="414042" w:themeColor="text1"/>
                <w:sz w:val="18"/>
              </w:rPr>
            </w:pPr>
            <w:r w:rsidRPr="003E75E2">
              <w:rPr>
                <w:rFonts w:cstheme="minorHAnsi"/>
                <w:b/>
                <w:color w:val="414042" w:themeColor="text1"/>
                <w:sz w:val="18"/>
              </w:rPr>
              <w:t>Contract classification and appointment authority</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center"/>
          </w:tcPr>
          <w:p w14:paraId="45FCBA52" w14:textId="77777777" w:rsidR="00AB33EC" w:rsidRPr="003E75E2" w:rsidRDefault="00AB33EC" w:rsidP="00B721B7">
            <w:pPr>
              <w:pStyle w:val="Normaltabletext1stpararight"/>
              <w:spacing w:line="240" w:lineRule="auto"/>
              <w:jc w:val="center"/>
              <w:rPr>
                <w:rFonts w:cstheme="minorHAnsi"/>
                <w:b/>
                <w:color w:val="414042" w:themeColor="text1"/>
                <w:sz w:val="18"/>
              </w:rPr>
            </w:pPr>
          </w:p>
          <w:p w14:paraId="0B84AFCA" w14:textId="77777777" w:rsidR="00AB33EC" w:rsidRPr="003E75E2" w:rsidRDefault="00AB33EC" w:rsidP="00B721B7">
            <w:pPr>
              <w:pStyle w:val="Normaltabletext1stpararight"/>
              <w:spacing w:line="240" w:lineRule="auto"/>
              <w:jc w:val="center"/>
              <w:rPr>
                <w:rFonts w:cstheme="minorHAnsi"/>
                <w:b/>
                <w:color w:val="414042" w:themeColor="text1"/>
                <w:sz w:val="18"/>
              </w:rPr>
            </w:pPr>
            <w:r w:rsidRPr="003E75E2">
              <w:rPr>
                <w:rFonts w:cstheme="minorHAnsi"/>
                <w:b/>
                <w:color w:val="414042" w:themeColor="text1"/>
                <w:sz w:val="18"/>
              </w:rPr>
              <w:t>Monetary Expenses</w:t>
            </w:r>
          </w:p>
          <w:p w14:paraId="7C587D3F" w14:textId="77777777" w:rsidR="00AB33EC" w:rsidRPr="003E75E2" w:rsidRDefault="00AB33EC" w:rsidP="00B721B7">
            <w:pPr>
              <w:pStyle w:val="Normaltabletext1stpararight"/>
              <w:spacing w:line="240" w:lineRule="auto"/>
              <w:jc w:val="center"/>
              <w:rPr>
                <w:rFonts w:cstheme="minorHAnsi"/>
                <w:b/>
                <w:color w:val="414042" w:themeColor="text1"/>
                <w:sz w:val="18"/>
              </w:rPr>
            </w:pPr>
            <w:r w:rsidRPr="003E75E2">
              <w:rPr>
                <w:rFonts w:cstheme="minorHAnsi"/>
                <w:b/>
                <w:color w:val="414042" w:themeColor="text1"/>
                <w:sz w:val="18"/>
              </w:rPr>
              <w:t>$’000</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69C9C1CF" w14:textId="77777777" w:rsidR="00AB33EC" w:rsidRPr="003E75E2" w:rsidRDefault="00AB33EC" w:rsidP="00B721B7">
            <w:pPr>
              <w:pStyle w:val="Normaltabletext1stpararight"/>
              <w:spacing w:line="240" w:lineRule="auto"/>
              <w:jc w:val="center"/>
              <w:rPr>
                <w:rFonts w:cstheme="minorHAnsi"/>
                <w:b/>
                <w:color w:val="414042" w:themeColor="text1"/>
                <w:sz w:val="18"/>
              </w:rPr>
            </w:pPr>
            <w:r w:rsidRPr="003E75E2">
              <w:rPr>
                <w:rFonts w:cstheme="minorHAnsi"/>
                <w:b/>
                <w:color w:val="414042" w:themeColor="text1"/>
                <w:sz w:val="18"/>
              </w:rPr>
              <w:t>Long-Term Employee Expenses</w:t>
            </w:r>
          </w:p>
          <w:p w14:paraId="7C1D2000" w14:textId="77777777" w:rsidR="00AB33EC" w:rsidRPr="003E75E2" w:rsidRDefault="00AB33EC" w:rsidP="00B721B7">
            <w:pPr>
              <w:pStyle w:val="Normaltabletext1stpararight"/>
              <w:spacing w:line="240" w:lineRule="auto"/>
              <w:ind w:right="113"/>
              <w:jc w:val="center"/>
              <w:rPr>
                <w:rFonts w:cstheme="minorHAnsi"/>
                <w:b/>
                <w:color w:val="414042" w:themeColor="text1"/>
                <w:sz w:val="18"/>
              </w:rPr>
            </w:pPr>
            <w:r w:rsidRPr="003E75E2">
              <w:rPr>
                <w:rFonts w:cstheme="minorHAnsi"/>
                <w:b/>
                <w:color w:val="414042" w:themeColor="text1"/>
                <w:sz w:val="18"/>
              </w:rPr>
              <w:t>$’000</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04619F3B" w14:textId="77777777" w:rsidR="00AB33EC" w:rsidRPr="003E75E2" w:rsidRDefault="00AB33EC" w:rsidP="00B721B7">
            <w:pPr>
              <w:pStyle w:val="Normaltabletext1stpararight"/>
              <w:spacing w:line="240" w:lineRule="auto"/>
              <w:jc w:val="center"/>
              <w:rPr>
                <w:rFonts w:cstheme="minorHAnsi"/>
                <w:b/>
                <w:color w:val="414042" w:themeColor="text1"/>
                <w:sz w:val="18"/>
              </w:rPr>
            </w:pPr>
            <w:r w:rsidRPr="003E75E2">
              <w:rPr>
                <w:rFonts w:cstheme="minorHAnsi"/>
                <w:b/>
                <w:color w:val="414042" w:themeColor="text1"/>
                <w:sz w:val="18"/>
              </w:rPr>
              <w:t>Post-Employment Expenses</w:t>
            </w:r>
          </w:p>
          <w:p w14:paraId="30265E65" w14:textId="77777777" w:rsidR="00AB33EC" w:rsidRPr="003E75E2" w:rsidRDefault="00AB33EC" w:rsidP="00B721B7">
            <w:pPr>
              <w:pStyle w:val="Normaltabletext1stpararight"/>
              <w:spacing w:line="240" w:lineRule="auto"/>
              <w:ind w:right="113"/>
              <w:jc w:val="center"/>
              <w:rPr>
                <w:rFonts w:cstheme="minorHAnsi"/>
                <w:b/>
                <w:color w:val="414042" w:themeColor="text1"/>
                <w:sz w:val="18"/>
              </w:rPr>
            </w:pPr>
            <w:r w:rsidRPr="003E75E2">
              <w:rPr>
                <w:rFonts w:cstheme="minorHAnsi"/>
                <w:b/>
                <w:color w:val="414042" w:themeColor="text1"/>
                <w:sz w:val="18"/>
              </w:rPr>
              <w:t>$’000</w:t>
            </w:r>
          </w:p>
        </w:tc>
        <w:tc>
          <w:tcPr>
            <w:tcW w:w="993" w:type="dxa"/>
            <w:tcBorders>
              <w:top w:val="single" w:sz="4" w:space="0" w:color="auto"/>
              <w:left w:val="single" w:sz="4" w:space="0" w:color="auto"/>
            </w:tcBorders>
            <w:shd w:val="clear" w:color="auto" w:fill="auto"/>
            <w:tcMar>
              <w:top w:w="28" w:type="dxa"/>
              <w:left w:w="0" w:type="dxa"/>
              <w:bottom w:w="57" w:type="dxa"/>
              <w:right w:w="0" w:type="dxa"/>
            </w:tcMar>
            <w:vAlign w:val="bottom"/>
          </w:tcPr>
          <w:p w14:paraId="4B0018DD" w14:textId="77777777" w:rsidR="00AB33EC" w:rsidRPr="003E75E2" w:rsidRDefault="00AB33EC" w:rsidP="00B721B7">
            <w:pPr>
              <w:pStyle w:val="Normaltabletext1stpararight"/>
              <w:spacing w:line="240" w:lineRule="auto"/>
              <w:jc w:val="center"/>
              <w:rPr>
                <w:rFonts w:cstheme="minorHAnsi"/>
                <w:b/>
                <w:color w:val="414042" w:themeColor="text1"/>
                <w:sz w:val="18"/>
              </w:rPr>
            </w:pPr>
            <w:r w:rsidRPr="003E75E2">
              <w:rPr>
                <w:rFonts w:cstheme="minorHAnsi"/>
                <w:b/>
                <w:color w:val="414042" w:themeColor="text1"/>
                <w:sz w:val="18"/>
              </w:rPr>
              <w:t>Total</w:t>
            </w:r>
            <w:r w:rsidRPr="003E75E2">
              <w:rPr>
                <w:rFonts w:cstheme="minorHAnsi"/>
                <w:b/>
                <w:color w:val="414042" w:themeColor="text1"/>
                <w:sz w:val="18"/>
              </w:rPr>
              <w:br/>
              <w:t>Expenses</w:t>
            </w:r>
          </w:p>
          <w:p w14:paraId="5DC6BDC2" w14:textId="77777777" w:rsidR="00AB33EC" w:rsidRPr="003E75E2" w:rsidRDefault="00AB33EC" w:rsidP="00B721B7">
            <w:pPr>
              <w:pStyle w:val="Normaltabletext1stpararight"/>
              <w:spacing w:line="240" w:lineRule="auto"/>
              <w:ind w:right="113"/>
              <w:jc w:val="center"/>
              <w:rPr>
                <w:rFonts w:cstheme="minorHAnsi"/>
                <w:b/>
                <w:color w:val="414042" w:themeColor="text1"/>
                <w:sz w:val="18"/>
              </w:rPr>
            </w:pPr>
            <w:r w:rsidRPr="003E75E2">
              <w:rPr>
                <w:rFonts w:cstheme="minorHAnsi"/>
                <w:b/>
                <w:color w:val="414042" w:themeColor="text1"/>
                <w:sz w:val="18"/>
              </w:rPr>
              <w:t>$’000</w:t>
            </w:r>
          </w:p>
        </w:tc>
      </w:tr>
      <w:tr w:rsidR="00AB33EC" w:rsidRPr="003E75E2" w14:paraId="1D07F7B9" w14:textId="77777777" w:rsidTr="00B721B7">
        <w:trPr>
          <w:trHeight w:val="265"/>
        </w:trPr>
        <w:tc>
          <w:tcPr>
            <w:tcW w:w="2694" w:type="dxa"/>
            <w:tcBorders>
              <w:top w:val="single" w:sz="4" w:space="0" w:color="auto"/>
              <w:bottom w:val="single" w:sz="4" w:space="0" w:color="auto"/>
              <w:right w:val="single" w:sz="4" w:space="0" w:color="auto"/>
            </w:tcBorders>
            <w:tcMar>
              <w:top w:w="28" w:type="dxa"/>
              <w:bottom w:w="57" w:type="dxa"/>
            </w:tcMar>
            <w:vAlign w:val="center"/>
          </w:tcPr>
          <w:p w14:paraId="14CBBE1A"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 xml:space="preserve">Chairperson </w:t>
            </w:r>
          </w:p>
          <w:p w14:paraId="6748B120"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2 July 2022 to current</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6AC015FA" w14:textId="77777777" w:rsidR="00AB33EC" w:rsidRPr="003E75E2" w:rsidRDefault="00AB33EC" w:rsidP="00B721B7">
            <w:pPr>
              <w:pStyle w:val="Normaltabletextleft"/>
              <w:spacing w:line="240" w:lineRule="auto"/>
              <w:rPr>
                <w:rFonts w:cstheme="minorHAnsi"/>
                <w:color w:val="414042" w:themeColor="text1"/>
                <w:spacing w:val="-2"/>
                <w:sz w:val="18"/>
              </w:rPr>
            </w:pPr>
          </w:p>
          <w:p w14:paraId="6618139A" w14:textId="77777777" w:rsidR="00AB33EC" w:rsidRPr="003E75E2" w:rsidRDefault="00AB33EC" w:rsidP="00B721B7">
            <w:pPr>
              <w:pStyle w:val="Normaltabletextleft"/>
              <w:spacing w:line="240" w:lineRule="auto"/>
              <w:rPr>
                <w:rFonts w:cstheme="minorHAnsi"/>
                <w:i/>
                <w:color w:val="414042" w:themeColor="text1"/>
                <w:spacing w:val="-2"/>
                <w:sz w:val="18"/>
              </w:rPr>
            </w:pPr>
            <w:r w:rsidRPr="003E75E2">
              <w:rPr>
                <w:rFonts w:cstheme="minorHAnsi"/>
                <w:color w:val="414042" w:themeColor="text1"/>
                <w:spacing w:val="-2"/>
                <w:sz w:val="18"/>
              </w:rPr>
              <w:t xml:space="preserve">Crime </w:t>
            </w:r>
            <w:r w:rsidRPr="003E75E2">
              <w:rPr>
                <w:rFonts w:cstheme="minorHAnsi"/>
                <w:i/>
                <w:color w:val="414042" w:themeColor="text1"/>
                <w:spacing w:val="-2"/>
                <w:sz w:val="18"/>
              </w:rPr>
              <w:t>and Corruption Act 2001</w:t>
            </w:r>
          </w:p>
          <w:p w14:paraId="44B4D77B" w14:textId="77777777" w:rsidR="00AB33EC" w:rsidRPr="003E75E2" w:rsidRDefault="00AB33EC" w:rsidP="00B721B7">
            <w:pPr>
              <w:pStyle w:val="Normaltabletextleft"/>
              <w:spacing w:line="240" w:lineRule="auto"/>
              <w:rPr>
                <w:rFonts w:cstheme="minorHAnsi"/>
                <w:color w:val="414042" w:themeColor="text1"/>
                <w:spacing w:val="-2"/>
                <w:sz w:val="18"/>
              </w:rPr>
            </w:pP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68BB7009"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552</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9C5E7C0"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14</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858B2D4" w14:textId="77777777" w:rsidR="00AB33EC" w:rsidRPr="003E75E2" w:rsidRDefault="00AB33EC" w:rsidP="00B721B7">
            <w:pPr>
              <w:pStyle w:val="Normaltabletext1stpararight"/>
              <w:spacing w:line="240" w:lineRule="auto"/>
              <w:rPr>
                <w:rFonts w:cstheme="minorHAnsi"/>
                <w:color w:val="414042" w:themeColor="text1"/>
                <w:szCs w:val="20"/>
                <w:lang w:eastAsia="en-AU"/>
              </w:rPr>
            </w:pPr>
            <w:r w:rsidRPr="003E75E2">
              <w:rPr>
                <w:rFonts w:cstheme="minorHAnsi"/>
                <w:color w:val="414042" w:themeColor="text1"/>
                <w:szCs w:val="20"/>
                <w:lang w:eastAsia="en-AU"/>
              </w:rPr>
              <w:t>53</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3DD12F14"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619</w:t>
            </w:r>
          </w:p>
        </w:tc>
      </w:tr>
      <w:tr w:rsidR="00AB33EC" w:rsidRPr="003E75E2" w14:paraId="469AA9EC" w14:textId="77777777" w:rsidTr="00B721B7">
        <w:trPr>
          <w:trHeight w:val="265"/>
        </w:trPr>
        <w:tc>
          <w:tcPr>
            <w:tcW w:w="2694" w:type="dxa"/>
            <w:tcBorders>
              <w:top w:val="single" w:sz="4" w:space="0" w:color="auto"/>
              <w:bottom w:val="single" w:sz="4" w:space="0" w:color="auto"/>
              <w:right w:val="single" w:sz="4" w:space="0" w:color="auto"/>
            </w:tcBorders>
            <w:tcMar>
              <w:top w:w="28" w:type="dxa"/>
              <w:bottom w:w="57" w:type="dxa"/>
            </w:tcMar>
            <w:vAlign w:val="center"/>
          </w:tcPr>
          <w:p w14:paraId="55B7256F"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 xml:space="preserve">Chief Executive Officer </w:t>
            </w:r>
          </w:p>
          <w:p w14:paraId="6E23FA20" w14:textId="00C2531A" w:rsidR="00AB33EC" w:rsidRPr="003E75E2" w:rsidRDefault="00AB33EC" w:rsidP="00B721B7">
            <w:pPr>
              <w:pStyle w:val="Normaltabletextleft"/>
              <w:spacing w:line="240" w:lineRule="auto"/>
              <w:rPr>
                <w:rFonts w:cstheme="minorHAnsi"/>
                <w:color w:val="414042" w:themeColor="text1"/>
                <w:sz w:val="18"/>
              </w:rPr>
            </w:pP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753F7F8E" w14:textId="77777777" w:rsidR="00AB33EC" w:rsidRPr="003E75E2" w:rsidRDefault="00AB33EC" w:rsidP="00B721B7">
            <w:pPr>
              <w:pStyle w:val="Normaltabletextleft"/>
              <w:spacing w:line="240" w:lineRule="auto"/>
              <w:rPr>
                <w:rFonts w:cstheme="minorHAnsi"/>
                <w:color w:val="414042" w:themeColor="text1"/>
                <w:spacing w:val="-2"/>
                <w:sz w:val="18"/>
              </w:rPr>
            </w:pPr>
          </w:p>
          <w:p w14:paraId="200D5403" w14:textId="77777777" w:rsidR="00AB33EC" w:rsidRPr="003E75E2" w:rsidRDefault="00AB33EC" w:rsidP="00B721B7">
            <w:pPr>
              <w:pStyle w:val="Normaltabletextleft"/>
              <w:spacing w:line="240" w:lineRule="auto"/>
              <w:rPr>
                <w:rFonts w:cstheme="minorHAnsi"/>
                <w:i/>
                <w:color w:val="414042" w:themeColor="text1"/>
                <w:spacing w:val="-2"/>
                <w:sz w:val="18"/>
              </w:rPr>
            </w:pPr>
            <w:r w:rsidRPr="003E75E2">
              <w:rPr>
                <w:rFonts w:cstheme="minorHAnsi"/>
                <w:color w:val="414042" w:themeColor="text1"/>
                <w:spacing w:val="-2"/>
                <w:sz w:val="18"/>
              </w:rPr>
              <w:t>CEO, Crime</w:t>
            </w:r>
            <w:r w:rsidRPr="003E75E2">
              <w:rPr>
                <w:rFonts w:cstheme="minorHAnsi"/>
                <w:i/>
                <w:color w:val="414042" w:themeColor="text1"/>
                <w:spacing w:val="-2"/>
                <w:sz w:val="18"/>
              </w:rPr>
              <w:t xml:space="preserve"> and Corruption Act 2001</w:t>
            </w:r>
          </w:p>
          <w:p w14:paraId="3A5CC072" w14:textId="77777777" w:rsidR="00AB33EC" w:rsidRPr="003E75E2" w:rsidRDefault="00AB33EC" w:rsidP="00B721B7">
            <w:pPr>
              <w:pStyle w:val="Normaltabletextleft"/>
              <w:spacing w:line="240" w:lineRule="auto"/>
              <w:rPr>
                <w:rFonts w:cstheme="minorHAnsi"/>
                <w:i/>
                <w:color w:val="414042" w:themeColor="text1"/>
                <w:spacing w:val="-2"/>
                <w:sz w:val="18"/>
              </w:rPr>
            </w:pP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134FA896"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314</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2034DCB"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8</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3CC53A5"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39</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50B18DD3"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361</w:t>
            </w:r>
          </w:p>
        </w:tc>
      </w:tr>
      <w:tr w:rsidR="00AB33EC" w:rsidRPr="003E75E2" w14:paraId="357DD1EC" w14:textId="77777777" w:rsidTr="00B721B7">
        <w:tc>
          <w:tcPr>
            <w:tcW w:w="2694" w:type="dxa"/>
            <w:tcBorders>
              <w:top w:val="single" w:sz="4" w:space="0" w:color="auto"/>
              <w:bottom w:val="single" w:sz="4" w:space="0" w:color="auto"/>
              <w:right w:val="single" w:sz="4" w:space="0" w:color="auto"/>
            </w:tcBorders>
            <w:tcMar>
              <w:top w:w="28" w:type="dxa"/>
              <w:bottom w:w="57" w:type="dxa"/>
            </w:tcMar>
            <w:vAlign w:val="center"/>
          </w:tcPr>
          <w:p w14:paraId="3675AD82"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Senior Executive Officer, Corruption 11 July 2022 to current</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5B8E27D8" w14:textId="77777777" w:rsidR="00AB33EC" w:rsidRPr="003E75E2" w:rsidRDefault="00AB33EC" w:rsidP="00B721B7">
            <w:pPr>
              <w:pStyle w:val="Normaltabletextleft"/>
              <w:spacing w:line="240" w:lineRule="auto"/>
              <w:rPr>
                <w:rFonts w:cstheme="minorHAnsi"/>
                <w:color w:val="414042" w:themeColor="text1"/>
                <w:spacing w:val="-2"/>
                <w:sz w:val="18"/>
              </w:rPr>
            </w:pPr>
          </w:p>
          <w:p w14:paraId="779B7E94" w14:textId="77777777" w:rsidR="00AB33EC" w:rsidRPr="003E75E2" w:rsidRDefault="00AB33EC" w:rsidP="00B721B7">
            <w:pPr>
              <w:pStyle w:val="Normaltabletextleft"/>
              <w:spacing w:line="240" w:lineRule="auto"/>
              <w:rPr>
                <w:rFonts w:cstheme="minorHAnsi"/>
                <w:i/>
                <w:color w:val="414042" w:themeColor="text1"/>
                <w:spacing w:val="-2"/>
                <w:sz w:val="18"/>
              </w:rPr>
            </w:pPr>
            <w:r w:rsidRPr="003E75E2">
              <w:rPr>
                <w:rFonts w:cstheme="minorHAnsi"/>
                <w:color w:val="414042" w:themeColor="text1"/>
                <w:spacing w:val="-2"/>
                <w:sz w:val="18"/>
              </w:rPr>
              <w:t xml:space="preserve">SES4, </w:t>
            </w:r>
            <w:r w:rsidRPr="003E75E2">
              <w:rPr>
                <w:rFonts w:cstheme="minorHAnsi"/>
                <w:i/>
                <w:color w:val="414042" w:themeColor="text1"/>
                <w:spacing w:val="-2"/>
                <w:sz w:val="18"/>
              </w:rPr>
              <w:t>Crime and Corruption Act 2001</w:t>
            </w:r>
          </w:p>
          <w:p w14:paraId="2353F04C" w14:textId="77777777" w:rsidR="00AB33EC" w:rsidRPr="003E75E2" w:rsidRDefault="00AB33EC" w:rsidP="00B721B7">
            <w:pPr>
              <w:pStyle w:val="Normaltabletextleft"/>
              <w:spacing w:line="240" w:lineRule="auto"/>
              <w:rPr>
                <w:rFonts w:cstheme="minorHAnsi"/>
                <w:color w:val="414042" w:themeColor="text1"/>
                <w:spacing w:val="-2"/>
                <w:sz w:val="18"/>
              </w:rPr>
            </w:pP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66366940"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263</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070ADB1"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7</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DC4394B"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30</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3BD6AB7E"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300</w:t>
            </w:r>
          </w:p>
        </w:tc>
      </w:tr>
      <w:tr w:rsidR="00AB33EC" w:rsidRPr="003E75E2" w14:paraId="0C04F7BA" w14:textId="77777777" w:rsidTr="00B721B7">
        <w:tc>
          <w:tcPr>
            <w:tcW w:w="2694" w:type="dxa"/>
            <w:tcBorders>
              <w:top w:val="single" w:sz="4" w:space="0" w:color="auto"/>
              <w:bottom w:val="single" w:sz="4" w:space="0" w:color="auto"/>
              <w:right w:val="single" w:sz="4" w:space="0" w:color="auto"/>
            </w:tcBorders>
            <w:tcMar>
              <w:top w:w="28" w:type="dxa"/>
              <w:bottom w:w="57" w:type="dxa"/>
            </w:tcMar>
            <w:vAlign w:val="center"/>
          </w:tcPr>
          <w:p w14:paraId="36EB19B6"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 xml:space="preserve">Senior Executive Officer, Crime </w:t>
            </w:r>
          </w:p>
          <w:p w14:paraId="74461FD3" w14:textId="75D87CFC" w:rsidR="00AB33EC" w:rsidRPr="003E75E2" w:rsidRDefault="00AB33EC" w:rsidP="00B721B7">
            <w:pPr>
              <w:pStyle w:val="Normaltabletextleft"/>
              <w:spacing w:line="240" w:lineRule="auto"/>
              <w:rPr>
                <w:rFonts w:cstheme="minorHAnsi"/>
                <w:color w:val="414042" w:themeColor="text1"/>
                <w:sz w:val="18"/>
              </w:rPr>
            </w:pP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413FD125" w14:textId="77777777" w:rsidR="00AB33EC" w:rsidRPr="003E75E2" w:rsidRDefault="00AB33EC" w:rsidP="00B721B7">
            <w:pPr>
              <w:pStyle w:val="Normaltabletextleft"/>
              <w:spacing w:line="240" w:lineRule="auto"/>
              <w:rPr>
                <w:rFonts w:cstheme="minorHAnsi"/>
                <w:color w:val="414042" w:themeColor="text1"/>
                <w:spacing w:val="-2"/>
                <w:sz w:val="18"/>
              </w:rPr>
            </w:pPr>
          </w:p>
          <w:p w14:paraId="48475D12" w14:textId="77777777" w:rsidR="00AB33EC" w:rsidRPr="003E75E2" w:rsidRDefault="00AB33EC" w:rsidP="00B721B7">
            <w:pPr>
              <w:pStyle w:val="Normaltabletextleft"/>
              <w:spacing w:line="240" w:lineRule="auto"/>
              <w:rPr>
                <w:rFonts w:cstheme="minorHAnsi"/>
                <w:i/>
                <w:color w:val="414042" w:themeColor="text1"/>
                <w:spacing w:val="-2"/>
                <w:sz w:val="18"/>
              </w:rPr>
            </w:pPr>
            <w:r w:rsidRPr="003E75E2">
              <w:rPr>
                <w:rFonts w:cstheme="minorHAnsi"/>
                <w:color w:val="414042" w:themeColor="text1"/>
                <w:spacing w:val="-2"/>
                <w:sz w:val="18"/>
              </w:rPr>
              <w:t xml:space="preserve">SES4, </w:t>
            </w:r>
            <w:r w:rsidRPr="003E75E2">
              <w:rPr>
                <w:rFonts w:cstheme="minorHAnsi"/>
                <w:i/>
                <w:color w:val="414042" w:themeColor="text1"/>
                <w:spacing w:val="-2"/>
                <w:sz w:val="18"/>
              </w:rPr>
              <w:t>Crime and Corruption Act 2001</w:t>
            </w:r>
          </w:p>
          <w:p w14:paraId="74CA5334" w14:textId="77777777" w:rsidR="00AB33EC" w:rsidRPr="003E75E2" w:rsidRDefault="00AB33EC" w:rsidP="00B721B7">
            <w:pPr>
              <w:pStyle w:val="Normaltabletextleft"/>
              <w:spacing w:line="240" w:lineRule="auto"/>
              <w:rPr>
                <w:rFonts w:cstheme="minorHAnsi"/>
                <w:color w:val="414042" w:themeColor="text1"/>
                <w:spacing w:val="-2"/>
                <w:sz w:val="18"/>
              </w:rPr>
            </w:pP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10E6DFAA"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257</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41F3449"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7</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C25787C"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29</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048C0E15"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293</w:t>
            </w:r>
          </w:p>
        </w:tc>
      </w:tr>
      <w:tr w:rsidR="00AB33EC" w:rsidRPr="003E75E2" w14:paraId="37176FE8" w14:textId="77777777" w:rsidTr="00B721B7">
        <w:tc>
          <w:tcPr>
            <w:tcW w:w="2694" w:type="dxa"/>
            <w:tcBorders>
              <w:top w:val="single" w:sz="4" w:space="0" w:color="auto"/>
              <w:bottom w:val="single" w:sz="4" w:space="0" w:color="auto"/>
              <w:right w:val="single" w:sz="4" w:space="0" w:color="auto"/>
            </w:tcBorders>
            <w:tcMar>
              <w:top w:w="28" w:type="dxa"/>
              <w:bottom w:w="57" w:type="dxa"/>
            </w:tcMar>
            <w:vAlign w:val="center"/>
          </w:tcPr>
          <w:p w14:paraId="35A0419C"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General Manager, Strategy &amp; Renewal                                               15 August 2022 to current¹</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6001C97F" w14:textId="77777777" w:rsidR="00AB33EC" w:rsidRPr="003E75E2" w:rsidRDefault="00AB33EC" w:rsidP="00B721B7">
            <w:pPr>
              <w:pStyle w:val="Normaltabletextleft"/>
              <w:spacing w:line="240" w:lineRule="auto"/>
              <w:rPr>
                <w:rFonts w:cstheme="minorHAnsi"/>
                <w:color w:val="414042" w:themeColor="text1"/>
                <w:spacing w:val="-2"/>
                <w:sz w:val="18"/>
              </w:rPr>
            </w:pPr>
          </w:p>
          <w:p w14:paraId="3F9C0672" w14:textId="77777777" w:rsidR="00AB33EC" w:rsidRPr="003E75E2" w:rsidRDefault="00AB33EC" w:rsidP="00B721B7">
            <w:pPr>
              <w:pStyle w:val="Normaltabletextleft"/>
              <w:spacing w:line="240" w:lineRule="auto"/>
              <w:rPr>
                <w:rFonts w:cstheme="minorHAnsi"/>
                <w:i/>
                <w:color w:val="414042" w:themeColor="text1"/>
                <w:spacing w:val="-2"/>
                <w:sz w:val="18"/>
              </w:rPr>
            </w:pPr>
            <w:r w:rsidRPr="003E75E2">
              <w:rPr>
                <w:rFonts w:cstheme="minorHAnsi"/>
                <w:color w:val="414042" w:themeColor="text1"/>
                <w:spacing w:val="-2"/>
                <w:sz w:val="18"/>
              </w:rPr>
              <w:t>SES3,</w:t>
            </w:r>
            <w:r w:rsidRPr="003E75E2">
              <w:rPr>
                <w:rFonts w:cstheme="minorHAnsi"/>
                <w:i/>
                <w:color w:val="414042" w:themeColor="text1"/>
                <w:spacing w:val="-2"/>
                <w:sz w:val="18"/>
              </w:rPr>
              <w:t xml:space="preserve"> Crime and Corruption Act 2001</w:t>
            </w:r>
          </w:p>
          <w:p w14:paraId="5FB0202C" w14:textId="77777777" w:rsidR="00AB33EC" w:rsidRPr="003E75E2" w:rsidRDefault="00AB33EC" w:rsidP="00B721B7">
            <w:pPr>
              <w:pStyle w:val="Normaltabletextleft"/>
              <w:spacing w:line="240" w:lineRule="auto"/>
              <w:rPr>
                <w:rFonts w:cstheme="minorHAnsi"/>
                <w:color w:val="414042" w:themeColor="text1"/>
                <w:spacing w:val="-2"/>
                <w:sz w:val="18"/>
              </w:rPr>
            </w:pP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2CF333F"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193</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61EDA3A5"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5</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4ABCDC7"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21</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7E023E28"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219</w:t>
            </w:r>
          </w:p>
        </w:tc>
      </w:tr>
      <w:tr w:rsidR="00AB33EC" w:rsidRPr="003E75E2" w14:paraId="41BD5833" w14:textId="77777777" w:rsidTr="00B721B7">
        <w:trPr>
          <w:trHeight w:val="430"/>
        </w:trPr>
        <w:tc>
          <w:tcPr>
            <w:tcW w:w="2694" w:type="dxa"/>
            <w:tcBorders>
              <w:top w:val="single" w:sz="4" w:space="0" w:color="auto"/>
              <w:bottom w:val="single" w:sz="4" w:space="0" w:color="auto"/>
              <w:right w:val="single" w:sz="4" w:space="0" w:color="auto"/>
            </w:tcBorders>
            <w:tcMar>
              <w:top w:w="28" w:type="dxa"/>
              <w:bottom w:w="57" w:type="dxa"/>
            </w:tcMar>
            <w:vAlign w:val="center"/>
          </w:tcPr>
          <w:p w14:paraId="192CD600"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General Manager, Corporate Services 1 April 2019 to 14 August 2022¹</w:t>
            </w:r>
          </w:p>
        </w:tc>
        <w:tc>
          <w:tcPr>
            <w:tcW w:w="1842" w:type="dxa"/>
            <w:tcBorders>
              <w:top w:val="single" w:sz="4" w:space="0" w:color="auto"/>
              <w:left w:val="single" w:sz="4" w:space="0" w:color="auto"/>
              <w:right w:val="single" w:sz="4" w:space="0" w:color="auto"/>
            </w:tcBorders>
            <w:tcMar>
              <w:left w:w="57" w:type="dxa"/>
            </w:tcMar>
            <w:vAlign w:val="center"/>
          </w:tcPr>
          <w:p w14:paraId="681A72BF" w14:textId="77777777" w:rsidR="00AB33EC" w:rsidRPr="003E75E2" w:rsidRDefault="00AB33EC" w:rsidP="00B721B7">
            <w:pPr>
              <w:pStyle w:val="Normaltabletextleft"/>
              <w:spacing w:line="240" w:lineRule="auto"/>
              <w:rPr>
                <w:rFonts w:cstheme="minorHAnsi"/>
                <w:color w:val="414042" w:themeColor="text1"/>
                <w:spacing w:val="-2"/>
                <w:sz w:val="18"/>
              </w:rPr>
            </w:pPr>
          </w:p>
          <w:p w14:paraId="59B104CB" w14:textId="77777777" w:rsidR="00AB33EC" w:rsidRPr="003E75E2" w:rsidRDefault="00AB33EC" w:rsidP="00B721B7">
            <w:pPr>
              <w:pStyle w:val="Normaltabletextleft"/>
              <w:spacing w:line="240" w:lineRule="auto"/>
              <w:rPr>
                <w:rFonts w:cstheme="minorHAnsi"/>
                <w:i/>
                <w:color w:val="414042" w:themeColor="text1"/>
                <w:spacing w:val="-2"/>
                <w:sz w:val="18"/>
              </w:rPr>
            </w:pPr>
            <w:r w:rsidRPr="003E75E2">
              <w:rPr>
                <w:rFonts w:cstheme="minorHAnsi"/>
                <w:color w:val="414042" w:themeColor="text1"/>
                <w:spacing w:val="-2"/>
                <w:sz w:val="18"/>
              </w:rPr>
              <w:t>SES3,</w:t>
            </w:r>
            <w:r w:rsidRPr="003E75E2">
              <w:rPr>
                <w:rFonts w:cstheme="minorHAnsi"/>
                <w:i/>
                <w:color w:val="414042" w:themeColor="text1"/>
                <w:spacing w:val="-2"/>
                <w:sz w:val="18"/>
              </w:rPr>
              <w:t xml:space="preserve"> Crime and Corruption Act 2001</w:t>
            </w:r>
          </w:p>
          <w:p w14:paraId="7711BFCD" w14:textId="77777777" w:rsidR="00AB33EC" w:rsidRPr="003E75E2" w:rsidRDefault="00AB33EC" w:rsidP="00B721B7">
            <w:pPr>
              <w:pStyle w:val="Normaltabletextleft"/>
              <w:spacing w:line="240" w:lineRule="auto"/>
              <w:rPr>
                <w:rFonts w:cstheme="minorHAnsi"/>
                <w:i/>
                <w:color w:val="414042" w:themeColor="text1"/>
                <w:spacing w:val="-2"/>
                <w:sz w:val="18"/>
              </w:rPr>
            </w:pP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7EF8166D"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25</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0E8156A7"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2E5EC4F"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3</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19A7498D"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29</w:t>
            </w:r>
          </w:p>
        </w:tc>
      </w:tr>
      <w:tr w:rsidR="00AB33EC" w:rsidRPr="003E75E2" w14:paraId="639A6F91" w14:textId="77777777" w:rsidTr="00B721B7">
        <w:tc>
          <w:tcPr>
            <w:tcW w:w="2694" w:type="dxa"/>
            <w:tcBorders>
              <w:top w:val="single" w:sz="4" w:space="0" w:color="auto"/>
              <w:bottom w:val="single" w:sz="4" w:space="0" w:color="auto"/>
              <w:right w:val="single" w:sz="4" w:space="0" w:color="auto"/>
            </w:tcBorders>
            <w:tcMar>
              <w:top w:w="28" w:type="dxa"/>
              <w:bottom w:w="57" w:type="dxa"/>
            </w:tcMar>
            <w:vAlign w:val="bottom"/>
          </w:tcPr>
          <w:p w14:paraId="17ED7C4A" w14:textId="77777777" w:rsidR="00AB33EC" w:rsidRPr="003E75E2" w:rsidRDefault="00AB33EC" w:rsidP="00B721B7">
            <w:pPr>
              <w:pStyle w:val="Normaltabletextleft"/>
              <w:spacing w:line="240" w:lineRule="auto"/>
              <w:rPr>
                <w:rFonts w:cstheme="minorHAnsi"/>
                <w:color w:val="414042" w:themeColor="text1"/>
                <w:sz w:val="18"/>
              </w:rPr>
            </w:pPr>
          </w:p>
          <w:p w14:paraId="0CC5DB9B" w14:textId="77777777" w:rsidR="00AB33EC" w:rsidRPr="003E75E2" w:rsidRDefault="00AB33EC" w:rsidP="00B721B7">
            <w:pPr>
              <w:pStyle w:val="Normaltabletextleft"/>
              <w:spacing w:line="240" w:lineRule="auto"/>
              <w:rPr>
                <w:rFonts w:cstheme="minorHAnsi"/>
                <w:color w:val="414042" w:themeColor="text1"/>
                <w:sz w:val="18"/>
              </w:rPr>
            </w:pPr>
            <w:r w:rsidRPr="003E75E2">
              <w:rPr>
                <w:rFonts w:cstheme="minorHAnsi"/>
                <w:color w:val="414042" w:themeColor="text1"/>
                <w:sz w:val="18"/>
              </w:rPr>
              <w:t>General Manager, Operations Support 12 April 2022 to current</w:t>
            </w:r>
          </w:p>
          <w:p w14:paraId="1D86900B" w14:textId="77777777" w:rsidR="00AB33EC" w:rsidRPr="003E75E2" w:rsidRDefault="00AB33EC" w:rsidP="00B721B7">
            <w:pPr>
              <w:pStyle w:val="Normaltabletextleft"/>
              <w:spacing w:line="240" w:lineRule="auto"/>
              <w:rPr>
                <w:rFonts w:cstheme="minorHAnsi"/>
                <w:color w:val="414042" w:themeColor="text1"/>
                <w:sz w:val="18"/>
              </w:rPr>
            </w:pPr>
          </w:p>
        </w:tc>
        <w:tc>
          <w:tcPr>
            <w:tcW w:w="1842" w:type="dxa"/>
            <w:tcBorders>
              <w:top w:val="single" w:sz="4" w:space="0" w:color="auto"/>
              <w:left w:val="single" w:sz="4" w:space="0" w:color="auto"/>
              <w:right w:val="single" w:sz="4" w:space="0" w:color="auto"/>
            </w:tcBorders>
            <w:tcMar>
              <w:left w:w="57" w:type="dxa"/>
            </w:tcMar>
            <w:vAlign w:val="center"/>
          </w:tcPr>
          <w:p w14:paraId="4E50BB74" w14:textId="77777777" w:rsidR="00AB33EC" w:rsidRPr="003E75E2" w:rsidRDefault="00AB33EC" w:rsidP="00B721B7">
            <w:pPr>
              <w:pStyle w:val="Normaltabletextleft"/>
              <w:spacing w:line="240" w:lineRule="auto"/>
              <w:rPr>
                <w:rFonts w:cstheme="minorHAnsi"/>
                <w:color w:val="414042" w:themeColor="text1"/>
                <w:spacing w:val="-2"/>
                <w:sz w:val="18"/>
              </w:rPr>
            </w:pPr>
            <w:r w:rsidRPr="003E75E2">
              <w:rPr>
                <w:rFonts w:cstheme="minorHAnsi"/>
                <w:color w:val="414042" w:themeColor="text1"/>
                <w:spacing w:val="-2"/>
                <w:sz w:val="18"/>
              </w:rPr>
              <w:t xml:space="preserve">Chief Superintendent, </w:t>
            </w:r>
            <w:r w:rsidRPr="003E75E2">
              <w:rPr>
                <w:rFonts w:cstheme="minorHAnsi"/>
                <w:i/>
                <w:color w:val="414042" w:themeColor="text1"/>
                <w:spacing w:val="-2"/>
                <w:sz w:val="18"/>
              </w:rPr>
              <w:t>Crime and Corruption Act 2001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0A343998"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213</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09237A4"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6</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46D43A0"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34</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7EC8420A" w14:textId="77777777" w:rsidR="00AB33EC" w:rsidRPr="003E75E2" w:rsidRDefault="00AB33EC" w:rsidP="00B721B7">
            <w:pPr>
              <w:pStyle w:val="Normaltabletext1stpararight"/>
              <w:spacing w:line="240" w:lineRule="auto"/>
              <w:rPr>
                <w:rFonts w:cstheme="minorHAnsi"/>
                <w:color w:val="414042" w:themeColor="text1"/>
                <w:sz w:val="18"/>
              </w:rPr>
            </w:pPr>
            <w:r w:rsidRPr="003E75E2">
              <w:rPr>
                <w:rFonts w:cstheme="minorHAnsi"/>
                <w:color w:val="414042" w:themeColor="text1"/>
                <w:sz w:val="18"/>
              </w:rPr>
              <w:t>253</w:t>
            </w:r>
          </w:p>
        </w:tc>
      </w:tr>
      <w:tr w:rsidR="00AB33EC" w:rsidRPr="003E75E2" w14:paraId="2CFB2BF5" w14:textId="77777777" w:rsidTr="00B721B7">
        <w:trPr>
          <w:trHeight w:val="426"/>
        </w:trPr>
        <w:tc>
          <w:tcPr>
            <w:tcW w:w="2694" w:type="dxa"/>
            <w:tcBorders>
              <w:top w:val="single" w:sz="4" w:space="0" w:color="auto"/>
              <w:bottom w:val="double" w:sz="4" w:space="0" w:color="auto"/>
              <w:right w:val="single" w:sz="4" w:space="0" w:color="auto"/>
            </w:tcBorders>
            <w:tcMar>
              <w:top w:w="28" w:type="dxa"/>
              <w:bottom w:w="57" w:type="dxa"/>
            </w:tcMar>
            <w:vAlign w:val="center"/>
          </w:tcPr>
          <w:p w14:paraId="36B70A48" w14:textId="77777777" w:rsidR="00AB33EC" w:rsidRPr="003E75E2" w:rsidRDefault="00AB33EC" w:rsidP="00B721B7">
            <w:pPr>
              <w:pStyle w:val="Normaltabletextleft"/>
              <w:spacing w:line="240" w:lineRule="auto"/>
              <w:rPr>
                <w:rFonts w:cstheme="minorHAnsi"/>
                <w:b/>
                <w:color w:val="414042" w:themeColor="text1"/>
                <w:sz w:val="18"/>
              </w:rPr>
            </w:pPr>
            <w:r w:rsidRPr="003E75E2">
              <w:rPr>
                <w:rFonts w:cstheme="minorHAnsi"/>
                <w:b/>
                <w:color w:val="414042" w:themeColor="text1"/>
                <w:sz w:val="18"/>
              </w:rPr>
              <w:t>Total Remuneration</w:t>
            </w:r>
          </w:p>
        </w:tc>
        <w:tc>
          <w:tcPr>
            <w:tcW w:w="1842" w:type="dxa"/>
            <w:tcBorders>
              <w:top w:val="single" w:sz="4" w:space="0" w:color="auto"/>
              <w:left w:val="single" w:sz="4" w:space="0" w:color="auto"/>
              <w:bottom w:val="double" w:sz="4" w:space="0" w:color="auto"/>
              <w:right w:val="single" w:sz="4" w:space="0" w:color="auto"/>
            </w:tcBorders>
            <w:vAlign w:val="center"/>
          </w:tcPr>
          <w:p w14:paraId="2712489F" w14:textId="77777777" w:rsidR="00AB33EC" w:rsidRPr="003E75E2" w:rsidRDefault="00AB33EC" w:rsidP="00B721B7">
            <w:pPr>
              <w:pStyle w:val="Normaltabletext1stpararight"/>
              <w:spacing w:line="240" w:lineRule="auto"/>
              <w:rPr>
                <w:rFonts w:cstheme="minorHAnsi"/>
                <w:b/>
                <w:color w:val="414042" w:themeColor="text1"/>
                <w:sz w:val="18"/>
              </w:rPr>
            </w:pPr>
          </w:p>
        </w:tc>
        <w:tc>
          <w:tcPr>
            <w:tcW w:w="1134"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0378B4C9" w14:textId="77777777" w:rsidR="00AB33EC" w:rsidRPr="003E75E2" w:rsidRDefault="00AB33EC" w:rsidP="00B721B7">
            <w:pPr>
              <w:pStyle w:val="Normaltabletext1stpararight"/>
              <w:spacing w:line="240" w:lineRule="auto"/>
              <w:rPr>
                <w:rFonts w:cstheme="minorHAnsi"/>
                <w:b/>
                <w:color w:val="414042" w:themeColor="text1"/>
                <w:sz w:val="18"/>
              </w:rPr>
            </w:pPr>
            <w:r w:rsidRPr="003E75E2">
              <w:rPr>
                <w:rFonts w:cstheme="minorHAnsi"/>
                <w:b/>
                <w:color w:val="414042" w:themeColor="text1"/>
                <w:sz w:val="18"/>
              </w:rPr>
              <w:t>1,817</w:t>
            </w:r>
          </w:p>
        </w:tc>
        <w:tc>
          <w:tcPr>
            <w:tcW w:w="1134"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48BC3F43" w14:textId="77777777" w:rsidR="00AB33EC" w:rsidRPr="003E75E2" w:rsidRDefault="00AB33EC" w:rsidP="00B721B7">
            <w:pPr>
              <w:pStyle w:val="Normaltabletext1stpararight"/>
              <w:spacing w:line="240" w:lineRule="auto"/>
              <w:rPr>
                <w:rFonts w:cstheme="minorHAnsi"/>
                <w:b/>
                <w:color w:val="414042" w:themeColor="text1"/>
                <w:sz w:val="18"/>
              </w:rPr>
            </w:pPr>
            <w:r w:rsidRPr="003E75E2">
              <w:rPr>
                <w:rFonts w:cstheme="minorHAnsi"/>
                <w:b/>
                <w:color w:val="414042" w:themeColor="text1"/>
                <w:sz w:val="18"/>
              </w:rPr>
              <w:t>48</w:t>
            </w:r>
          </w:p>
        </w:tc>
        <w:tc>
          <w:tcPr>
            <w:tcW w:w="1134"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78D3C8AD" w14:textId="77777777" w:rsidR="00AB33EC" w:rsidRPr="003E75E2" w:rsidRDefault="00AB33EC" w:rsidP="00B721B7">
            <w:pPr>
              <w:pStyle w:val="Normaltabletext1stpararight"/>
              <w:spacing w:line="240" w:lineRule="auto"/>
              <w:rPr>
                <w:rFonts w:cstheme="minorHAnsi"/>
                <w:b/>
                <w:color w:val="414042" w:themeColor="text1"/>
                <w:sz w:val="18"/>
              </w:rPr>
            </w:pPr>
            <w:r w:rsidRPr="003E75E2">
              <w:rPr>
                <w:rFonts w:cstheme="minorHAnsi"/>
                <w:b/>
                <w:color w:val="414042" w:themeColor="text1"/>
                <w:sz w:val="18"/>
              </w:rPr>
              <w:t>209</w:t>
            </w:r>
          </w:p>
        </w:tc>
        <w:tc>
          <w:tcPr>
            <w:tcW w:w="993" w:type="dxa"/>
            <w:tcBorders>
              <w:top w:val="single" w:sz="4" w:space="0" w:color="auto"/>
              <w:left w:val="single" w:sz="4" w:space="0" w:color="auto"/>
              <w:bottom w:val="double" w:sz="4" w:space="0" w:color="auto"/>
            </w:tcBorders>
            <w:shd w:val="clear" w:color="auto" w:fill="auto"/>
            <w:tcMar>
              <w:top w:w="28" w:type="dxa"/>
              <w:left w:w="113" w:type="dxa"/>
              <w:bottom w:w="57" w:type="dxa"/>
              <w:right w:w="113" w:type="dxa"/>
            </w:tcMar>
            <w:vAlign w:val="center"/>
          </w:tcPr>
          <w:p w14:paraId="6FC67ECB" w14:textId="77777777" w:rsidR="00AB33EC" w:rsidRPr="003E75E2" w:rsidRDefault="00AB33EC" w:rsidP="00B721B7">
            <w:pPr>
              <w:pStyle w:val="Normaltabletext1stpararight"/>
              <w:spacing w:line="240" w:lineRule="auto"/>
              <w:rPr>
                <w:rFonts w:cstheme="minorHAnsi"/>
                <w:b/>
                <w:color w:val="414042" w:themeColor="text1"/>
                <w:sz w:val="18"/>
              </w:rPr>
            </w:pPr>
            <w:r w:rsidRPr="003E75E2">
              <w:rPr>
                <w:rFonts w:cstheme="minorHAnsi"/>
                <w:b/>
                <w:color w:val="414042" w:themeColor="text1"/>
                <w:sz w:val="18"/>
              </w:rPr>
              <w:t>2,074</w:t>
            </w:r>
          </w:p>
        </w:tc>
      </w:tr>
    </w:tbl>
    <w:p w14:paraId="3AD2135F" w14:textId="77777777" w:rsidR="00AB33EC" w:rsidRPr="003E75E2" w:rsidRDefault="00AB33EC" w:rsidP="00AB33EC">
      <w:pPr>
        <w:pStyle w:val="Noteswithhangingindent"/>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right" w:pos="10205"/>
        </w:tabs>
        <w:spacing w:line="240" w:lineRule="auto"/>
        <w:jc w:val="both"/>
        <w:rPr>
          <w:rFonts w:cstheme="minorHAnsi"/>
          <w:sz w:val="18"/>
          <w:szCs w:val="18"/>
        </w:rPr>
      </w:pPr>
      <w:r w:rsidRPr="003E75E2">
        <w:rPr>
          <w:rFonts w:cstheme="minorHAnsi"/>
          <w:szCs w:val="17"/>
        </w:rPr>
        <w:t>¹    General Manager, Corporate Services was appointed to the General Manager, Strategy &amp; Renewal role in an organisation restructure. The General Manager, Corporate Services position was abolished from 14 August 2022.</w:t>
      </w:r>
    </w:p>
    <w:p w14:paraId="283DF449" w14:textId="77777777" w:rsidR="00AB33EC" w:rsidRPr="003E75E2" w:rsidRDefault="00AB33EC" w:rsidP="00AB33EC">
      <w:pPr>
        <w:spacing w:line="259" w:lineRule="auto"/>
        <w:rPr>
          <w:rFonts w:asciiTheme="minorHAnsi" w:eastAsia="Times New Roman" w:hAnsiTheme="minorHAnsi" w:cstheme="minorHAnsi"/>
          <w:b/>
          <w:sz w:val="23"/>
          <w:szCs w:val="20"/>
        </w:rPr>
      </w:pPr>
      <w:r w:rsidRPr="003E75E2">
        <w:rPr>
          <w:rFonts w:asciiTheme="minorHAnsi" w:hAnsiTheme="minorHAnsi" w:cstheme="minorHAnsi"/>
        </w:rPr>
        <w:br w:type="page"/>
      </w:r>
    </w:p>
    <w:p w14:paraId="5B69DDC4" w14:textId="77777777" w:rsidR="00AB33EC" w:rsidRPr="00BA482A" w:rsidRDefault="00AB33EC" w:rsidP="0037124B">
      <w:pPr>
        <w:outlineLvl w:val="0"/>
        <w:rPr>
          <w:rFonts w:asciiTheme="minorHAnsi" w:eastAsia="Times New Roman" w:hAnsiTheme="minorHAnsi" w:cstheme="minorHAnsi"/>
          <w:b/>
          <w:color w:val="000000"/>
          <w:sz w:val="23"/>
          <w:szCs w:val="20"/>
        </w:rPr>
      </w:pPr>
      <w:r w:rsidRPr="00BA482A">
        <w:rPr>
          <w:rFonts w:asciiTheme="minorHAnsi" w:eastAsia="Times New Roman" w:hAnsiTheme="minorHAnsi" w:cstheme="minorHAnsi"/>
          <w:b/>
          <w:color w:val="000000"/>
          <w:sz w:val="23"/>
          <w:szCs w:val="20"/>
        </w:rPr>
        <w:t>Note 4:  The Commission, Senior Executive Personnel, Remuneration Expenses and Related Party Transactions (cont’d)</w:t>
      </w:r>
    </w:p>
    <w:p w14:paraId="076D95D4" w14:textId="77777777" w:rsidR="00AB33EC" w:rsidRPr="00BA482A" w:rsidRDefault="00AB33EC" w:rsidP="0037124B">
      <w:pPr>
        <w:ind w:left="454" w:hanging="454"/>
        <w:rPr>
          <w:rFonts w:asciiTheme="minorHAnsi" w:eastAsia="Times New Roman" w:hAnsiTheme="minorHAnsi" w:cstheme="minorHAnsi"/>
          <w:b/>
          <w:bCs/>
          <w:color w:val="000000"/>
          <w:sz w:val="16"/>
          <w:szCs w:val="16"/>
          <w:lang w:eastAsia="en-AU"/>
        </w:rPr>
      </w:pPr>
    </w:p>
    <w:p w14:paraId="12198F87" w14:textId="77777777" w:rsidR="00AB33EC" w:rsidRPr="00BA482A" w:rsidRDefault="00AB33EC" w:rsidP="0037124B">
      <w:pPr>
        <w:ind w:left="454" w:hanging="454"/>
        <w:rPr>
          <w:rFonts w:asciiTheme="minorHAnsi" w:eastAsia="Times New Roman" w:hAnsiTheme="minorHAnsi" w:cstheme="minorHAnsi"/>
          <w:b/>
          <w:bCs/>
          <w:color w:val="000000"/>
          <w:sz w:val="21"/>
          <w:szCs w:val="18"/>
          <w:lang w:eastAsia="en-AU"/>
        </w:rPr>
      </w:pPr>
      <w:r w:rsidRPr="00BA482A">
        <w:rPr>
          <w:rFonts w:asciiTheme="minorHAnsi" w:eastAsia="Times New Roman" w:hAnsiTheme="minorHAnsi" w:cstheme="minorHAnsi"/>
          <w:b/>
          <w:bCs/>
          <w:color w:val="000000"/>
          <w:sz w:val="21"/>
          <w:szCs w:val="18"/>
          <w:lang w:eastAsia="en-AU"/>
        </w:rPr>
        <w:t>(e)</w:t>
      </w:r>
      <w:r w:rsidRPr="00BA482A">
        <w:rPr>
          <w:rFonts w:asciiTheme="minorHAnsi" w:eastAsia="Times New Roman" w:hAnsiTheme="minorHAnsi" w:cstheme="minorHAnsi"/>
          <w:b/>
          <w:bCs/>
          <w:color w:val="000000"/>
          <w:sz w:val="21"/>
          <w:szCs w:val="18"/>
          <w:lang w:eastAsia="en-AU"/>
        </w:rPr>
        <w:tab/>
        <w:t>Related Party Transactions</w:t>
      </w:r>
    </w:p>
    <w:p w14:paraId="79A3F9A4" w14:textId="77777777" w:rsidR="00AB33EC" w:rsidRPr="00BA482A" w:rsidRDefault="00AB33EC" w:rsidP="0037124B">
      <w:pPr>
        <w:rPr>
          <w:rFonts w:asciiTheme="minorHAnsi" w:eastAsia="Times New Roman" w:hAnsiTheme="minorHAnsi" w:cstheme="minorHAnsi"/>
          <w:b/>
          <w:i/>
          <w:color w:val="000000"/>
          <w:szCs w:val="18"/>
          <w:lang w:eastAsia="en-AU"/>
        </w:rPr>
      </w:pPr>
      <w:r w:rsidRPr="00BA482A">
        <w:rPr>
          <w:rFonts w:asciiTheme="minorHAnsi" w:eastAsia="Times New Roman" w:hAnsiTheme="minorHAnsi" w:cstheme="minorHAnsi"/>
          <w:b/>
          <w:i/>
          <w:color w:val="000000"/>
          <w:szCs w:val="18"/>
          <w:lang w:eastAsia="en-AU"/>
        </w:rPr>
        <w:t>Transactions with people/entities related to KMP</w:t>
      </w:r>
    </w:p>
    <w:p w14:paraId="22AD1359" w14:textId="77777777" w:rsidR="00AB33EC" w:rsidRPr="00BA482A" w:rsidRDefault="00AB33EC" w:rsidP="0037124B">
      <w:pPr>
        <w:rPr>
          <w:rFonts w:asciiTheme="minorHAnsi" w:eastAsia="Times New Roman" w:hAnsiTheme="minorHAnsi" w:cstheme="minorHAnsi"/>
          <w:color w:val="000000"/>
          <w:szCs w:val="18"/>
          <w:lang w:eastAsia="en-AU"/>
        </w:rPr>
      </w:pPr>
      <w:r w:rsidRPr="00BA482A">
        <w:rPr>
          <w:rFonts w:asciiTheme="minorHAnsi" w:eastAsia="Times New Roman" w:hAnsiTheme="minorHAnsi" w:cstheme="minorHAnsi"/>
          <w:color w:val="000000"/>
          <w:szCs w:val="18"/>
          <w:lang w:eastAsia="en-AU"/>
        </w:rPr>
        <w:t xml:space="preserve">The CCC obtained related party declarations from each member of the Commission and key executive management personnel for the period 1 July 2023 to 30 June 2024.  No related party transactions have been identified as per AASB 124 </w:t>
      </w:r>
      <w:r w:rsidRPr="00BA482A">
        <w:rPr>
          <w:rFonts w:asciiTheme="minorHAnsi" w:eastAsia="Times New Roman" w:hAnsiTheme="minorHAnsi" w:cstheme="minorHAnsi"/>
          <w:i/>
          <w:color w:val="000000"/>
          <w:szCs w:val="20"/>
          <w:lang w:eastAsia="en-AU"/>
        </w:rPr>
        <w:t>Related Party Disclosures</w:t>
      </w:r>
      <w:r w:rsidRPr="00BA482A">
        <w:rPr>
          <w:rFonts w:asciiTheme="minorHAnsi" w:eastAsia="Times New Roman" w:hAnsiTheme="minorHAnsi" w:cstheme="minorHAnsi"/>
          <w:color w:val="000000"/>
          <w:szCs w:val="18"/>
          <w:lang w:eastAsia="en-AU"/>
        </w:rPr>
        <w:t xml:space="preserve"> from the declarations completed and searches performed.</w:t>
      </w:r>
    </w:p>
    <w:p w14:paraId="64CC0017" w14:textId="77777777" w:rsidR="00AB33EC" w:rsidRPr="00BA482A" w:rsidRDefault="00AB33EC" w:rsidP="0037124B">
      <w:pPr>
        <w:rPr>
          <w:rFonts w:asciiTheme="minorHAnsi" w:eastAsia="Times New Roman" w:hAnsiTheme="minorHAnsi" w:cstheme="minorHAnsi"/>
          <w:b/>
          <w:i/>
          <w:color w:val="000000"/>
          <w:szCs w:val="18"/>
          <w:lang w:eastAsia="en-AU"/>
        </w:rPr>
      </w:pPr>
      <w:r w:rsidRPr="00BA482A">
        <w:rPr>
          <w:rFonts w:asciiTheme="minorHAnsi" w:eastAsia="Times New Roman" w:hAnsiTheme="minorHAnsi" w:cstheme="minorHAnsi"/>
          <w:b/>
          <w:i/>
          <w:color w:val="000000"/>
          <w:szCs w:val="18"/>
          <w:lang w:eastAsia="en-AU"/>
        </w:rPr>
        <w:t>Transactions with other Queensland Government-controlled entities</w:t>
      </w:r>
    </w:p>
    <w:p w14:paraId="012C6C7E" w14:textId="77777777" w:rsidR="00AB33EC" w:rsidRPr="00BA482A" w:rsidRDefault="00AB33EC" w:rsidP="0037124B">
      <w:pPr>
        <w:spacing w:before="60" w:line="230" w:lineRule="exact"/>
        <w:rPr>
          <w:rFonts w:asciiTheme="minorHAnsi" w:eastAsia="Times New Roman" w:hAnsiTheme="minorHAnsi" w:cstheme="minorHAnsi"/>
          <w:color w:val="000000"/>
          <w:szCs w:val="20"/>
          <w:lang w:eastAsia="en-AU"/>
        </w:rPr>
      </w:pPr>
      <w:r w:rsidRPr="00BA482A">
        <w:rPr>
          <w:rFonts w:asciiTheme="minorHAnsi" w:eastAsia="Times New Roman" w:hAnsiTheme="minorHAnsi" w:cstheme="minorHAnsi"/>
          <w:color w:val="000000"/>
          <w:szCs w:val="20"/>
          <w:lang w:eastAsia="en-AU"/>
        </w:rPr>
        <w:t xml:space="preserve">The CCC’s primary ongoing sources of funding are from the Department of Justice and Attorney-General and are provided in cash by way of revenue (Note 2). The CCC has material transactions with other Queensland Government-controlled entities consistent with normal day-to-day business operations provided under standard terms and conditions, including the payment of worker's compensation and insurance premiums: </w:t>
      </w:r>
    </w:p>
    <w:p w14:paraId="204AD419" w14:textId="709EC67A" w:rsidR="00AB33EC" w:rsidRPr="00FE4C98" w:rsidRDefault="00AB33EC" w:rsidP="002F23D4">
      <w:pPr>
        <w:pStyle w:val="ListParagraph"/>
        <w:numPr>
          <w:ilvl w:val="0"/>
          <w:numId w:val="55"/>
        </w:numPr>
        <w:spacing w:before="60" w:after="0" w:line="250" w:lineRule="exact"/>
        <w:ind w:left="993" w:hanging="426"/>
        <w:rPr>
          <w:rFonts w:asciiTheme="minorHAnsi" w:hAnsiTheme="minorHAnsi" w:cstheme="minorHAnsi"/>
          <w:color w:val="000000"/>
          <w:szCs w:val="18"/>
          <w:lang w:eastAsia="en-AU"/>
        </w:rPr>
      </w:pPr>
      <w:r w:rsidRPr="00FE4C98">
        <w:rPr>
          <w:rFonts w:asciiTheme="minorHAnsi" w:hAnsiTheme="minorHAnsi" w:cstheme="minorHAnsi"/>
          <w:color w:val="000000"/>
          <w:szCs w:val="18"/>
          <w:lang w:eastAsia="en-AU"/>
        </w:rPr>
        <w:t>Queensland Treasury Corporation – term deposit investments (Note 7)</w:t>
      </w:r>
      <w:r w:rsidR="00D02D66">
        <w:rPr>
          <w:rFonts w:asciiTheme="minorHAnsi" w:hAnsiTheme="minorHAnsi" w:cstheme="minorHAnsi"/>
          <w:color w:val="000000"/>
          <w:szCs w:val="18"/>
          <w:lang w:eastAsia="en-AU"/>
        </w:rPr>
        <w:t>.</w:t>
      </w:r>
    </w:p>
    <w:p w14:paraId="71B79102" w14:textId="16313314" w:rsidR="00AB33EC" w:rsidRPr="00FE4C98" w:rsidRDefault="00AB33EC" w:rsidP="002F23D4">
      <w:pPr>
        <w:pStyle w:val="ListParagraph"/>
        <w:numPr>
          <w:ilvl w:val="0"/>
          <w:numId w:val="55"/>
        </w:numPr>
        <w:spacing w:before="60" w:after="0" w:line="250" w:lineRule="exact"/>
        <w:ind w:left="993" w:hanging="426"/>
        <w:rPr>
          <w:rFonts w:asciiTheme="minorHAnsi" w:hAnsiTheme="minorHAnsi" w:cstheme="minorHAnsi"/>
          <w:color w:val="000000"/>
          <w:szCs w:val="18"/>
          <w:lang w:eastAsia="en-AU"/>
        </w:rPr>
      </w:pPr>
      <w:r w:rsidRPr="00FE4C98">
        <w:rPr>
          <w:rFonts w:asciiTheme="minorHAnsi" w:hAnsiTheme="minorHAnsi" w:cstheme="minorHAnsi"/>
          <w:color w:val="000000"/>
          <w:szCs w:val="18"/>
          <w:lang w:eastAsia="en-AU"/>
        </w:rPr>
        <w:t>Queensland Police Service – employee secondments (Note 2, Note 3 and Note 6)</w:t>
      </w:r>
      <w:r w:rsidR="00D02D66">
        <w:rPr>
          <w:rFonts w:asciiTheme="minorHAnsi" w:hAnsiTheme="minorHAnsi" w:cstheme="minorHAnsi"/>
          <w:color w:val="000000"/>
          <w:szCs w:val="18"/>
          <w:lang w:eastAsia="en-AU"/>
        </w:rPr>
        <w:t>.</w:t>
      </w:r>
    </w:p>
    <w:p w14:paraId="2A42DB79" w14:textId="78814A5F" w:rsidR="00AB33EC" w:rsidRPr="00FE4C98" w:rsidRDefault="00AB33EC" w:rsidP="002F23D4">
      <w:pPr>
        <w:pStyle w:val="ListParagraph"/>
        <w:numPr>
          <w:ilvl w:val="0"/>
          <w:numId w:val="55"/>
        </w:numPr>
        <w:spacing w:before="60" w:after="0" w:line="250" w:lineRule="exact"/>
        <w:ind w:left="993" w:hanging="426"/>
        <w:rPr>
          <w:rFonts w:asciiTheme="minorHAnsi" w:hAnsiTheme="minorHAnsi" w:cstheme="minorHAnsi"/>
          <w:color w:val="000000"/>
          <w:szCs w:val="18"/>
          <w:lang w:eastAsia="en-AU"/>
        </w:rPr>
      </w:pPr>
      <w:r w:rsidRPr="00FE4C98">
        <w:rPr>
          <w:rFonts w:asciiTheme="minorHAnsi" w:hAnsiTheme="minorHAnsi" w:cstheme="minorHAnsi"/>
          <w:color w:val="000000"/>
          <w:szCs w:val="18"/>
          <w:lang w:eastAsia="en-AU"/>
        </w:rPr>
        <w:t>Department of the Premier and Cabinet – employee secondments (Note 3)</w:t>
      </w:r>
      <w:r w:rsidR="00D02D66">
        <w:rPr>
          <w:rFonts w:asciiTheme="minorHAnsi" w:hAnsiTheme="minorHAnsi" w:cstheme="minorHAnsi"/>
          <w:color w:val="000000"/>
          <w:szCs w:val="18"/>
          <w:lang w:eastAsia="en-AU"/>
        </w:rPr>
        <w:t>.</w:t>
      </w:r>
    </w:p>
    <w:p w14:paraId="61EA75D0" w14:textId="130F22FD" w:rsidR="00AB33EC" w:rsidRPr="00FE4C98" w:rsidRDefault="00AB33EC" w:rsidP="002F23D4">
      <w:pPr>
        <w:pStyle w:val="ListParagraph"/>
        <w:numPr>
          <w:ilvl w:val="0"/>
          <w:numId w:val="55"/>
        </w:numPr>
        <w:spacing w:before="60" w:after="0" w:line="250" w:lineRule="exact"/>
        <w:ind w:left="993" w:hanging="426"/>
        <w:rPr>
          <w:rFonts w:asciiTheme="minorHAnsi" w:hAnsiTheme="minorHAnsi" w:cstheme="minorHAnsi"/>
          <w:color w:val="000000"/>
          <w:szCs w:val="18"/>
          <w:lang w:eastAsia="en-AU"/>
        </w:rPr>
      </w:pPr>
      <w:r w:rsidRPr="00FE4C98">
        <w:rPr>
          <w:rFonts w:asciiTheme="minorHAnsi" w:hAnsiTheme="minorHAnsi" w:cstheme="minorHAnsi"/>
          <w:color w:val="000000"/>
          <w:szCs w:val="18"/>
          <w:lang w:eastAsia="en-AU"/>
        </w:rPr>
        <w:t>WorkCover Queensland – obligations for employee compensation insurance (Note 3)</w:t>
      </w:r>
      <w:r w:rsidR="00D02D66">
        <w:rPr>
          <w:rFonts w:asciiTheme="minorHAnsi" w:hAnsiTheme="minorHAnsi" w:cstheme="minorHAnsi"/>
          <w:color w:val="000000"/>
          <w:szCs w:val="18"/>
          <w:lang w:eastAsia="en-AU"/>
        </w:rPr>
        <w:t>.</w:t>
      </w:r>
    </w:p>
    <w:p w14:paraId="7AB6A9FD" w14:textId="46BDFCC8" w:rsidR="00AB33EC" w:rsidRPr="00FE4C98" w:rsidRDefault="00AB33EC" w:rsidP="002F23D4">
      <w:pPr>
        <w:pStyle w:val="ListParagraph"/>
        <w:numPr>
          <w:ilvl w:val="0"/>
          <w:numId w:val="55"/>
        </w:numPr>
        <w:spacing w:before="60" w:after="0" w:line="250" w:lineRule="exact"/>
        <w:ind w:left="993" w:hanging="426"/>
        <w:rPr>
          <w:rFonts w:asciiTheme="minorHAnsi" w:hAnsiTheme="minorHAnsi" w:cstheme="minorHAnsi"/>
          <w:color w:val="000000"/>
          <w:szCs w:val="18"/>
          <w:lang w:eastAsia="en-AU"/>
        </w:rPr>
      </w:pPr>
      <w:r w:rsidRPr="00FE4C98">
        <w:rPr>
          <w:rFonts w:asciiTheme="minorHAnsi" w:hAnsiTheme="minorHAnsi" w:cstheme="minorHAnsi"/>
          <w:color w:val="000000"/>
          <w:szCs w:val="18"/>
          <w:lang w:eastAsia="en-AU"/>
        </w:rPr>
        <w:t>Department of Energy and Climate – motor vehicles lease, property rentals and building maintenance (Note 5)</w:t>
      </w:r>
      <w:r w:rsidR="00D02D66">
        <w:rPr>
          <w:rFonts w:asciiTheme="minorHAnsi" w:hAnsiTheme="minorHAnsi" w:cstheme="minorHAnsi"/>
          <w:color w:val="000000"/>
          <w:szCs w:val="18"/>
          <w:lang w:eastAsia="en-AU"/>
        </w:rPr>
        <w:t>.</w:t>
      </w:r>
    </w:p>
    <w:p w14:paraId="4CA451A9" w14:textId="01975954" w:rsidR="00AB33EC" w:rsidRPr="00FE4C98" w:rsidRDefault="00AB33EC" w:rsidP="002F23D4">
      <w:pPr>
        <w:pStyle w:val="ListParagraph"/>
        <w:numPr>
          <w:ilvl w:val="0"/>
          <w:numId w:val="55"/>
        </w:numPr>
        <w:spacing w:before="60" w:after="0" w:line="250" w:lineRule="exact"/>
        <w:ind w:left="993" w:hanging="426"/>
        <w:rPr>
          <w:rFonts w:asciiTheme="minorHAnsi" w:hAnsiTheme="minorHAnsi" w:cstheme="minorHAnsi"/>
          <w:color w:val="000000"/>
          <w:szCs w:val="18"/>
          <w:lang w:eastAsia="en-AU"/>
        </w:rPr>
      </w:pPr>
      <w:r w:rsidRPr="00FE4C98">
        <w:rPr>
          <w:rFonts w:asciiTheme="minorHAnsi" w:hAnsiTheme="minorHAnsi" w:cstheme="minorHAnsi"/>
          <w:color w:val="000000"/>
          <w:szCs w:val="18"/>
          <w:lang w:eastAsia="en-AU"/>
        </w:rPr>
        <w:t>Queensland State Archives – archival storage services (Note 2 and Note 6)</w:t>
      </w:r>
      <w:r w:rsidR="00D02D66">
        <w:rPr>
          <w:rFonts w:asciiTheme="minorHAnsi" w:hAnsiTheme="minorHAnsi" w:cstheme="minorHAnsi"/>
          <w:color w:val="000000"/>
          <w:szCs w:val="18"/>
          <w:lang w:eastAsia="en-AU"/>
        </w:rPr>
        <w:t>.</w:t>
      </w:r>
    </w:p>
    <w:p w14:paraId="56DD98E2" w14:textId="264AA8BC" w:rsidR="00AB33EC" w:rsidRPr="00FE4C98" w:rsidRDefault="00AB33EC" w:rsidP="002F23D4">
      <w:pPr>
        <w:pStyle w:val="ListParagraph"/>
        <w:numPr>
          <w:ilvl w:val="0"/>
          <w:numId w:val="55"/>
        </w:numPr>
        <w:spacing w:before="60" w:after="0" w:line="250" w:lineRule="exact"/>
        <w:ind w:left="993" w:hanging="426"/>
        <w:rPr>
          <w:rFonts w:asciiTheme="minorHAnsi" w:hAnsiTheme="minorHAnsi" w:cstheme="minorHAnsi"/>
          <w:color w:val="000000"/>
          <w:szCs w:val="18"/>
          <w:lang w:eastAsia="en-AU"/>
        </w:rPr>
      </w:pPr>
      <w:r w:rsidRPr="00FE4C98">
        <w:rPr>
          <w:rFonts w:asciiTheme="minorHAnsi" w:hAnsiTheme="minorHAnsi" w:cstheme="minorHAnsi"/>
          <w:color w:val="000000"/>
          <w:szCs w:val="18"/>
          <w:lang w:eastAsia="en-AU"/>
        </w:rPr>
        <w:t>Corporate Administration Agency – financial and payroll systems and processing services under the ‘Shared Services Provider’ model (Note 5)</w:t>
      </w:r>
      <w:r w:rsidR="00D02D66">
        <w:rPr>
          <w:rFonts w:asciiTheme="minorHAnsi" w:hAnsiTheme="minorHAnsi" w:cstheme="minorHAnsi"/>
          <w:color w:val="000000"/>
          <w:szCs w:val="18"/>
          <w:lang w:eastAsia="en-AU"/>
        </w:rPr>
        <w:t>.</w:t>
      </w:r>
    </w:p>
    <w:p w14:paraId="0E3F03CD" w14:textId="1937F723" w:rsidR="00AB33EC" w:rsidRPr="00FE4C98" w:rsidRDefault="00AB33EC" w:rsidP="002F23D4">
      <w:pPr>
        <w:pStyle w:val="ListParagraph"/>
        <w:numPr>
          <w:ilvl w:val="0"/>
          <w:numId w:val="55"/>
        </w:numPr>
        <w:spacing w:before="60" w:after="0" w:line="250" w:lineRule="exact"/>
        <w:ind w:left="993" w:hanging="426"/>
        <w:rPr>
          <w:rFonts w:asciiTheme="minorHAnsi" w:hAnsiTheme="minorHAnsi" w:cstheme="minorHAnsi"/>
          <w:color w:val="000000"/>
          <w:szCs w:val="18"/>
          <w:lang w:eastAsia="en-AU"/>
        </w:rPr>
      </w:pPr>
      <w:r w:rsidRPr="00FE4C98">
        <w:rPr>
          <w:rFonts w:asciiTheme="minorHAnsi" w:hAnsiTheme="minorHAnsi" w:cstheme="minorHAnsi"/>
          <w:color w:val="000000"/>
          <w:szCs w:val="18"/>
          <w:lang w:eastAsia="en-AU"/>
        </w:rPr>
        <w:t>Department Of Justice and Attorney-General – legal services through the Director of Public Prosecutions (Note 5)</w:t>
      </w:r>
      <w:r w:rsidR="00D02D66">
        <w:rPr>
          <w:rFonts w:asciiTheme="minorHAnsi" w:hAnsiTheme="minorHAnsi" w:cstheme="minorHAnsi"/>
          <w:color w:val="000000"/>
          <w:szCs w:val="18"/>
          <w:lang w:eastAsia="en-AU"/>
        </w:rPr>
        <w:t>.</w:t>
      </w:r>
    </w:p>
    <w:p w14:paraId="22817FF4" w14:textId="1310B998" w:rsidR="00AB33EC" w:rsidRPr="00FE4C98" w:rsidRDefault="00AB33EC" w:rsidP="002F23D4">
      <w:pPr>
        <w:pStyle w:val="ListParagraph"/>
        <w:numPr>
          <w:ilvl w:val="0"/>
          <w:numId w:val="55"/>
        </w:numPr>
        <w:spacing w:before="60" w:after="0" w:line="250" w:lineRule="exact"/>
        <w:ind w:left="993" w:hanging="426"/>
        <w:rPr>
          <w:rFonts w:asciiTheme="minorHAnsi" w:hAnsiTheme="minorHAnsi" w:cstheme="minorHAnsi"/>
          <w:color w:val="000000"/>
          <w:szCs w:val="18"/>
          <w:lang w:eastAsia="en-AU"/>
        </w:rPr>
      </w:pPr>
      <w:r w:rsidRPr="00FE4C98">
        <w:rPr>
          <w:rFonts w:asciiTheme="minorHAnsi" w:hAnsiTheme="minorHAnsi" w:cstheme="minorHAnsi"/>
          <w:color w:val="000000"/>
          <w:szCs w:val="18"/>
          <w:lang w:eastAsia="en-AU"/>
        </w:rPr>
        <w:t>Department Of Communities Housing and Digital Economy – Information technology systems and services (Note 5)</w:t>
      </w:r>
      <w:r w:rsidR="00D02D66">
        <w:rPr>
          <w:rFonts w:asciiTheme="minorHAnsi" w:hAnsiTheme="minorHAnsi" w:cstheme="minorHAnsi"/>
          <w:color w:val="000000"/>
          <w:szCs w:val="18"/>
          <w:lang w:eastAsia="en-AU"/>
        </w:rPr>
        <w:t>.</w:t>
      </w:r>
    </w:p>
    <w:p w14:paraId="5D167B1F" w14:textId="03ACBD13" w:rsidR="00AB33EC" w:rsidRPr="00FE4C98" w:rsidRDefault="00AB33EC" w:rsidP="002F23D4">
      <w:pPr>
        <w:pStyle w:val="ListParagraph"/>
        <w:numPr>
          <w:ilvl w:val="0"/>
          <w:numId w:val="55"/>
        </w:numPr>
        <w:spacing w:before="60" w:after="0" w:line="250" w:lineRule="exact"/>
        <w:ind w:left="993" w:hanging="426"/>
        <w:rPr>
          <w:rFonts w:asciiTheme="minorHAnsi" w:hAnsiTheme="minorHAnsi" w:cstheme="minorHAnsi"/>
          <w:color w:val="000000"/>
          <w:szCs w:val="18"/>
          <w:lang w:eastAsia="en-AU"/>
        </w:rPr>
      </w:pPr>
      <w:r w:rsidRPr="00FE4C98">
        <w:rPr>
          <w:rFonts w:asciiTheme="minorHAnsi" w:hAnsiTheme="minorHAnsi" w:cstheme="minorHAnsi"/>
          <w:color w:val="000000"/>
          <w:szCs w:val="18"/>
          <w:lang w:eastAsia="en-AU"/>
        </w:rPr>
        <w:t>Queensland Government Insurance Fund – general liability insurance including public and products liability (Note 6)</w:t>
      </w:r>
      <w:r w:rsidR="00D02D66">
        <w:rPr>
          <w:rFonts w:asciiTheme="minorHAnsi" w:hAnsiTheme="minorHAnsi" w:cstheme="minorHAnsi"/>
          <w:color w:val="000000"/>
          <w:szCs w:val="18"/>
          <w:lang w:eastAsia="en-AU"/>
        </w:rPr>
        <w:t>.</w:t>
      </w:r>
    </w:p>
    <w:p w14:paraId="427E390A" w14:textId="14DE2A41" w:rsidR="00AB33EC" w:rsidRPr="00FE4C98" w:rsidRDefault="00AB33EC" w:rsidP="002F23D4">
      <w:pPr>
        <w:pStyle w:val="ListParagraph"/>
        <w:numPr>
          <w:ilvl w:val="0"/>
          <w:numId w:val="55"/>
        </w:numPr>
        <w:spacing w:before="60" w:after="0" w:line="250" w:lineRule="exact"/>
        <w:ind w:left="993" w:hanging="426"/>
        <w:rPr>
          <w:rFonts w:asciiTheme="minorHAnsi" w:hAnsiTheme="minorHAnsi" w:cstheme="minorHAnsi"/>
          <w:color w:val="000000"/>
          <w:szCs w:val="18"/>
          <w:lang w:eastAsia="en-AU"/>
        </w:rPr>
      </w:pPr>
      <w:r w:rsidRPr="00FE4C98">
        <w:rPr>
          <w:rFonts w:asciiTheme="minorHAnsi" w:hAnsiTheme="minorHAnsi" w:cstheme="minorHAnsi"/>
          <w:color w:val="000000"/>
          <w:szCs w:val="18"/>
          <w:lang w:eastAsia="en-AU"/>
        </w:rPr>
        <w:t>Queensland Audit Office – financial statement audit services (Note 6)</w:t>
      </w:r>
      <w:r w:rsidR="00D02D66">
        <w:rPr>
          <w:rFonts w:asciiTheme="minorHAnsi" w:hAnsiTheme="minorHAnsi" w:cstheme="minorHAnsi"/>
          <w:color w:val="000000"/>
          <w:szCs w:val="18"/>
          <w:lang w:eastAsia="en-AU"/>
        </w:rPr>
        <w:t>.</w:t>
      </w:r>
    </w:p>
    <w:p w14:paraId="7F5F1A3B" w14:textId="77777777" w:rsidR="00AB33EC" w:rsidRPr="003E75E2" w:rsidRDefault="00AB33EC" w:rsidP="00AB33EC">
      <w:pPr>
        <w:spacing w:line="259" w:lineRule="auto"/>
        <w:rPr>
          <w:rFonts w:asciiTheme="minorHAnsi" w:eastAsia="Calibri" w:hAnsiTheme="minorHAnsi" w:cstheme="minorHAnsi"/>
          <w:color w:val="000000"/>
        </w:rPr>
      </w:pPr>
      <w:r w:rsidRPr="003E75E2">
        <w:rPr>
          <w:rFonts w:asciiTheme="minorHAnsi" w:eastAsia="Calibri" w:hAnsiTheme="minorHAnsi" w:cstheme="minorHAnsi"/>
          <w:color w:val="000000"/>
        </w:rPr>
        <w:br w:type="page"/>
      </w:r>
    </w:p>
    <w:p w14:paraId="7E7E5552" w14:textId="77777777" w:rsidR="00AB33EC" w:rsidRPr="003E75E2" w:rsidRDefault="00AB33EC" w:rsidP="00AB33EC">
      <w:pPr>
        <w:pStyle w:val="Normal115pttext"/>
        <w:spacing w:line="240" w:lineRule="auto"/>
        <w:jc w:val="both"/>
        <w:rPr>
          <w:rFonts w:cstheme="minorHAnsi"/>
          <w:color w:val="414042" w:themeColor="text1"/>
        </w:rPr>
      </w:pPr>
      <w:r w:rsidRPr="003E75E2">
        <w:rPr>
          <w:rFonts w:cstheme="minorHAnsi"/>
          <w:color w:val="414042" w:themeColor="text1"/>
        </w:rPr>
        <w:t>Note 5:  Supplies and Services</w:t>
      </w: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AB33EC" w:rsidRPr="003E75E2" w14:paraId="208DE7D8" w14:textId="77777777" w:rsidTr="00B721B7">
        <w:trPr>
          <w:trHeight w:val="20"/>
        </w:trPr>
        <w:tc>
          <w:tcPr>
            <w:tcW w:w="5529" w:type="dxa"/>
            <w:tcBorders>
              <w:top w:val="nil"/>
              <w:left w:val="nil"/>
              <w:bottom w:val="nil"/>
            </w:tcBorders>
            <w:noWrap/>
            <w:tcMar>
              <w:left w:w="0" w:type="dxa"/>
              <w:right w:w="0" w:type="dxa"/>
            </w:tcMar>
            <w:vAlign w:val="bottom"/>
          </w:tcPr>
          <w:p w14:paraId="4F9C2FC9" w14:textId="77777777" w:rsidR="00AB33EC" w:rsidRPr="003E75E2" w:rsidRDefault="00AB33EC" w:rsidP="00B721B7">
            <w:pPr>
              <w:pStyle w:val="Normaltabletextleft"/>
              <w:tabs>
                <w:tab w:val="left" w:pos="0"/>
              </w:tabs>
              <w:spacing w:line="240" w:lineRule="auto"/>
              <w:jc w:val="both"/>
              <w:rPr>
                <w:rFonts w:cstheme="minorHAnsi"/>
                <w:color w:val="414042" w:themeColor="text1"/>
                <w:lang w:eastAsia="en-AU"/>
              </w:rPr>
            </w:pPr>
          </w:p>
          <w:p w14:paraId="35E21BBF" w14:textId="77777777" w:rsidR="00AB33EC" w:rsidRPr="003E75E2" w:rsidRDefault="00AB33EC" w:rsidP="00B721B7">
            <w:pPr>
              <w:pStyle w:val="Normaltabletextleft"/>
              <w:tabs>
                <w:tab w:val="left" w:pos="0"/>
              </w:tabs>
              <w:spacing w:line="240" w:lineRule="auto"/>
              <w:jc w:val="both"/>
              <w:rPr>
                <w:rFonts w:cstheme="minorHAnsi"/>
                <w:color w:val="414042" w:themeColor="text1"/>
                <w:lang w:eastAsia="en-AU"/>
              </w:rPr>
            </w:pPr>
          </w:p>
        </w:tc>
        <w:tc>
          <w:tcPr>
            <w:tcW w:w="567" w:type="dxa"/>
            <w:tcBorders>
              <w:top w:val="nil"/>
              <w:bottom w:val="nil"/>
            </w:tcBorders>
            <w:noWrap/>
            <w:tcMar>
              <w:left w:w="0" w:type="dxa"/>
              <w:right w:w="0" w:type="dxa"/>
            </w:tcMar>
            <w:vAlign w:val="bottom"/>
          </w:tcPr>
          <w:p w14:paraId="3E4F2D2D" w14:textId="77777777" w:rsidR="00AB33EC" w:rsidRPr="003E75E2" w:rsidRDefault="00AB33EC" w:rsidP="00B721B7">
            <w:pPr>
              <w:pStyle w:val="Normaltabletextcentred"/>
              <w:spacing w:line="240" w:lineRule="auto"/>
              <w:jc w:val="both"/>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7E84F96D"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2024</w:t>
            </w:r>
          </w:p>
        </w:tc>
        <w:tc>
          <w:tcPr>
            <w:tcW w:w="283" w:type="dxa"/>
            <w:tcBorders>
              <w:top w:val="nil"/>
              <w:bottom w:val="nil"/>
            </w:tcBorders>
            <w:noWrap/>
          </w:tcPr>
          <w:p w14:paraId="4E61C1E2" w14:textId="77777777" w:rsidR="00AB33EC" w:rsidRPr="003E75E2" w:rsidRDefault="00AB33EC" w:rsidP="00B721B7">
            <w:pPr>
              <w:pStyle w:val="Normaltabletextleft"/>
              <w:spacing w:line="240" w:lineRule="auto"/>
              <w:jc w:val="both"/>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1757DB89"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2023</w:t>
            </w:r>
          </w:p>
        </w:tc>
      </w:tr>
      <w:tr w:rsidR="00AB33EC" w:rsidRPr="003E75E2" w14:paraId="3DC43526" w14:textId="77777777" w:rsidTr="00B721B7">
        <w:trPr>
          <w:trHeight w:val="20"/>
        </w:trPr>
        <w:tc>
          <w:tcPr>
            <w:tcW w:w="5529" w:type="dxa"/>
            <w:tcBorders>
              <w:top w:val="nil"/>
              <w:left w:val="nil"/>
              <w:bottom w:val="nil"/>
            </w:tcBorders>
            <w:noWrap/>
            <w:tcMar>
              <w:left w:w="0" w:type="dxa"/>
              <w:right w:w="0" w:type="dxa"/>
            </w:tcMar>
            <w:vAlign w:val="bottom"/>
          </w:tcPr>
          <w:p w14:paraId="7F041179"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p>
        </w:tc>
        <w:tc>
          <w:tcPr>
            <w:tcW w:w="567" w:type="dxa"/>
            <w:tcBorders>
              <w:top w:val="nil"/>
              <w:bottom w:val="nil"/>
            </w:tcBorders>
            <w:noWrap/>
            <w:tcMar>
              <w:left w:w="0" w:type="dxa"/>
              <w:right w:w="0" w:type="dxa"/>
            </w:tcMar>
            <w:vAlign w:val="bottom"/>
          </w:tcPr>
          <w:p w14:paraId="5A1F3E26"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7BA026EC"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$’000</w:t>
            </w:r>
          </w:p>
        </w:tc>
        <w:tc>
          <w:tcPr>
            <w:tcW w:w="283" w:type="dxa"/>
            <w:tcBorders>
              <w:top w:val="nil"/>
              <w:bottom w:val="nil"/>
            </w:tcBorders>
            <w:noWrap/>
          </w:tcPr>
          <w:p w14:paraId="4A0213E2"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4CC1B186"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$’000</w:t>
            </w:r>
          </w:p>
        </w:tc>
      </w:tr>
      <w:tr w:rsidR="00AB33EC" w:rsidRPr="003E75E2" w14:paraId="2E8E1B2E" w14:textId="77777777" w:rsidTr="00B721B7">
        <w:trPr>
          <w:trHeight w:val="20"/>
        </w:trPr>
        <w:tc>
          <w:tcPr>
            <w:tcW w:w="5529" w:type="dxa"/>
            <w:tcBorders>
              <w:top w:val="nil"/>
              <w:left w:val="nil"/>
              <w:bottom w:val="nil"/>
            </w:tcBorders>
            <w:noWrap/>
            <w:tcMar>
              <w:left w:w="0" w:type="dxa"/>
              <w:right w:w="0" w:type="dxa"/>
            </w:tcMar>
            <w:vAlign w:val="bottom"/>
          </w:tcPr>
          <w:p w14:paraId="2B37D9FC" w14:textId="77777777" w:rsidR="00AB33EC" w:rsidRPr="003E75E2" w:rsidRDefault="00AB33EC" w:rsidP="00B721B7">
            <w:pPr>
              <w:pStyle w:val="Normaltabletextleft"/>
              <w:spacing w:line="240" w:lineRule="auto"/>
              <w:rPr>
                <w:rFonts w:cstheme="minorHAnsi"/>
                <w:color w:val="414042" w:themeColor="text1"/>
                <w:lang w:eastAsia="en-AU"/>
              </w:rPr>
            </w:pPr>
          </w:p>
        </w:tc>
        <w:tc>
          <w:tcPr>
            <w:tcW w:w="567" w:type="dxa"/>
            <w:tcBorders>
              <w:top w:val="nil"/>
              <w:bottom w:val="nil"/>
            </w:tcBorders>
            <w:noWrap/>
            <w:tcMar>
              <w:left w:w="0" w:type="dxa"/>
              <w:right w:w="0" w:type="dxa"/>
            </w:tcMar>
            <w:vAlign w:val="bottom"/>
          </w:tcPr>
          <w:p w14:paraId="18B25099" w14:textId="77777777" w:rsidR="00AB33EC" w:rsidRPr="003E75E2" w:rsidRDefault="00AB33EC" w:rsidP="00B721B7">
            <w:pPr>
              <w:pStyle w:val="Normaltabletextleft"/>
              <w:spacing w:line="240" w:lineRule="auto"/>
              <w:jc w:val="center"/>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0BCAABF7" w14:textId="77777777" w:rsidR="00AB33EC" w:rsidRPr="003E75E2" w:rsidRDefault="00AB33EC" w:rsidP="00B721B7">
            <w:pPr>
              <w:pStyle w:val="Normaltabletextleft"/>
              <w:spacing w:line="240" w:lineRule="auto"/>
              <w:jc w:val="right"/>
              <w:rPr>
                <w:rFonts w:cstheme="minorHAnsi"/>
                <w:color w:val="414042" w:themeColor="text1"/>
                <w:lang w:eastAsia="en-AU"/>
              </w:rPr>
            </w:pPr>
          </w:p>
        </w:tc>
        <w:tc>
          <w:tcPr>
            <w:tcW w:w="283" w:type="dxa"/>
            <w:tcBorders>
              <w:top w:val="nil"/>
              <w:bottom w:val="nil"/>
            </w:tcBorders>
            <w:noWrap/>
          </w:tcPr>
          <w:p w14:paraId="7933E6E9"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572E8416" w14:textId="77777777" w:rsidR="00AB33EC" w:rsidRPr="003E75E2" w:rsidRDefault="00AB33EC" w:rsidP="00B721B7">
            <w:pPr>
              <w:pStyle w:val="Normaltabletextleft"/>
              <w:spacing w:line="240" w:lineRule="auto"/>
              <w:jc w:val="right"/>
              <w:rPr>
                <w:rFonts w:cstheme="minorHAnsi"/>
                <w:color w:val="414042" w:themeColor="text1"/>
                <w:lang w:eastAsia="en-AU"/>
              </w:rPr>
            </w:pPr>
          </w:p>
        </w:tc>
      </w:tr>
      <w:tr w:rsidR="00AB33EC" w:rsidRPr="003E75E2" w14:paraId="585BF49B" w14:textId="77777777" w:rsidTr="00B721B7">
        <w:trPr>
          <w:trHeight w:val="20"/>
        </w:trPr>
        <w:tc>
          <w:tcPr>
            <w:tcW w:w="5529" w:type="dxa"/>
            <w:tcBorders>
              <w:top w:val="nil"/>
              <w:left w:val="nil"/>
              <w:bottom w:val="nil"/>
            </w:tcBorders>
            <w:noWrap/>
            <w:tcMar>
              <w:left w:w="0" w:type="dxa"/>
              <w:right w:w="0" w:type="dxa"/>
            </w:tcMar>
            <w:vAlign w:val="bottom"/>
          </w:tcPr>
          <w:p w14:paraId="1CB58FBA"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Property rentals</w:t>
            </w:r>
            <w:r w:rsidRPr="003E75E2">
              <w:rPr>
                <w:rFonts w:cstheme="minorHAnsi"/>
                <w:color w:val="414042" w:themeColor="text1"/>
                <w:vertAlign w:val="superscript"/>
                <w:lang w:eastAsia="en-AU"/>
              </w:rPr>
              <w:t>1</w:t>
            </w:r>
          </w:p>
        </w:tc>
        <w:tc>
          <w:tcPr>
            <w:tcW w:w="567" w:type="dxa"/>
            <w:tcBorders>
              <w:top w:val="nil"/>
              <w:bottom w:val="nil"/>
            </w:tcBorders>
            <w:noWrap/>
            <w:tcMar>
              <w:left w:w="0" w:type="dxa"/>
              <w:right w:w="0" w:type="dxa"/>
            </w:tcMar>
            <w:vAlign w:val="bottom"/>
          </w:tcPr>
          <w:p w14:paraId="7C578824"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450EC869"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3,850</w:t>
            </w:r>
          </w:p>
        </w:tc>
        <w:tc>
          <w:tcPr>
            <w:tcW w:w="283" w:type="dxa"/>
            <w:tcBorders>
              <w:top w:val="nil"/>
              <w:bottom w:val="nil"/>
            </w:tcBorders>
            <w:noWrap/>
          </w:tcPr>
          <w:p w14:paraId="632B3D62"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0CDEBF42"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3,517</w:t>
            </w:r>
          </w:p>
        </w:tc>
      </w:tr>
      <w:tr w:rsidR="00AB33EC" w:rsidRPr="003E75E2" w14:paraId="163E3187" w14:textId="77777777" w:rsidTr="00B721B7">
        <w:trPr>
          <w:trHeight w:val="20"/>
        </w:trPr>
        <w:tc>
          <w:tcPr>
            <w:tcW w:w="5529" w:type="dxa"/>
            <w:tcBorders>
              <w:top w:val="nil"/>
              <w:left w:val="nil"/>
              <w:bottom w:val="nil"/>
            </w:tcBorders>
            <w:noWrap/>
            <w:tcMar>
              <w:left w:w="0" w:type="dxa"/>
              <w:right w:w="0" w:type="dxa"/>
            </w:tcMar>
            <w:vAlign w:val="bottom"/>
          </w:tcPr>
          <w:p w14:paraId="5AC3CFE6"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Information technology (IT) hardware and software maintenance</w:t>
            </w:r>
          </w:p>
        </w:tc>
        <w:tc>
          <w:tcPr>
            <w:tcW w:w="567" w:type="dxa"/>
            <w:tcBorders>
              <w:top w:val="nil"/>
              <w:bottom w:val="nil"/>
            </w:tcBorders>
            <w:noWrap/>
            <w:tcMar>
              <w:left w:w="0" w:type="dxa"/>
              <w:right w:w="0" w:type="dxa"/>
            </w:tcMar>
            <w:vAlign w:val="bottom"/>
          </w:tcPr>
          <w:p w14:paraId="250B927B"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47FF500D" w14:textId="77777777" w:rsidR="00AB33EC"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2,433</w:t>
            </w:r>
          </w:p>
        </w:tc>
        <w:tc>
          <w:tcPr>
            <w:tcW w:w="283" w:type="dxa"/>
            <w:tcBorders>
              <w:top w:val="nil"/>
              <w:bottom w:val="nil"/>
            </w:tcBorders>
            <w:noWrap/>
          </w:tcPr>
          <w:p w14:paraId="28AED49F"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561F9FB1"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1,964</w:t>
            </w:r>
          </w:p>
        </w:tc>
      </w:tr>
      <w:tr w:rsidR="00AB33EC" w:rsidRPr="003E75E2" w14:paraId="1902249F" w14:textId="77777777" w:rsidTr="00B721B7">
        <w:trPr>
          <w:trHeight w:val="20"/>
        </w:trPr>
        <w:tc>
          <w:tcPr>
            <w:tcW w:w="5529" w:type="dxa"/>
            <w:tcBorders>
              <w:top w:val="nil"/>
              <w:left w:val="nil"/>
              <w:bottom w:val="nil"/>
            </w:tcBorders>
            <w:noWrap/>
            <w:tcMar>
              <w:left w:w="0" w:type="dxa"/>
              <w:right w:w="0" w:type="dxa"/>
            </w:tcMar>
            <w:vAlign w:val="bottom"/>
          </w:tcPr>
          <w:p w14:paraId="6AFED4EB"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Consultants and contractors</w:t>
            </w:r>
          </w:p>
        </w:tc>
        <w:tc>
          <w:tcPr>
            <w:tcW w:w="567" w:type="dxa"/>
            <w:tcBorders>
              <w:top w:val="nil"/>
              <w:bottom w:val="nil"/>
            </w:tcBorders>
            <w:noWrap/>
            <w:tcMar>
              <w:left w:w="0" w:type="dxa"/>
              <w:right w:w="0" w:type="dxa"/>
            </w:tcMar>
            <w:vAlign w:val="bottom"/>
          </w:tcPr>
          <w:p w14:paraId="4D3B2325"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70C0324F"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2,265</w:t>
            </w:r>
          </w:p>
        </w:tc>
        <w:tc>
          <w:tcPr>
            <w:tcW w:w="283" w:type="dxa"/>
            <w:tcBorders>
              <w:top w:val="nil"/>
              <w:bottom w:val="nil"/>
            </w:tcBorders>
            <w:noWrap/>
          </w:tcPr>
          <w:p w14:paraId="1856E1CF"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58218542"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2,212</w:t>
            </w:r>
          </w:p>
        </w:tc>
      </w:tr>
      <w:tr w:rsidR="00AB33EC" w:rsidRPr="003E75E2" w14:paraId="2EACB40A" w14:textId="77777777" w:rsidTr="00B721B7">
        <w:trPr>
          <w:trHeight w:val="20"/>
        </w:trPr>
        <w:tc>
          <w:tcPr>
            <w:tcW w:w="5529" w:type="dxa"/>
            <w:tcBorders>
              <w:top w:val="nil"/>
              <w:left w:val="nil"/>
              <w:bottom w:val="nil"/>
            </w:tcBorders>
            <w:noWrap/>
            <w:tcMar>
              <w:left w:w="0" w:type="dxa"/>
              <w:right w:w="0" w:type="dxa"/>
            </w:tcMar>
            <w:vAlign w:val="bottom"/>
          </w:tcPr>
          <w:p w14:paraId="0243B3F8"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Telecommunications and access costs</w:t>
            </w:r>
          </w:p>
        </w:tc>
        <w:tc>
          <w:tcPr>
            <w:tcW w:w="567" w:type="dxa"/>
            <w:tcBorders>
              <w:top w:val="nil"/>
              <w:bottom w:val="nil"/>
            </w:tcBorders>
            <w:noWrap/>
            <w:tcMar>
              <w:left w:w="0" w:type="dxa"/>
              <w:right w:w="0" w:type="dxa"/>
            </w:tcMar>
            <w:vAlign w:val="bottom"/>
          </w:tcPr>
          <w:p w14:paraId="7A5BDA27"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30CCF8B1"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1,969</w:t>
            </w:r>
          </w:p>
        </w:tc>
        <w:tc>
          <w:tcPr>
            <w:tcW w:w="283" w:type="dxa"/>
            <w:tcBorders>
              <w:top w:val="nil"/>
              <w:bottom w:val="nil"/>
            </w:tcBorders>
            <w:noWrap/>
          </w:tcPr>
          <w:p w14:paraId="426D65B5"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79E3AE90"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1,668</w:t>
            </w:r>
          </w:p>
        </w:tc>
      </w:tr>
      <w:tr w:rsidR="00AB33EC" w:rsidRPr="003E75E2" w14:paraId="002D8D9A" w14:textId="77777777" w:rsidTr="00B721B7">
        <w:trPr>
          <w:trHeight w:val="20"/>
        </w:trPr>
        <w:tc>
          <w:tcPr>
            <w:tcW w:w="5529" w:type="dxa"/>
            <w:tcBorders>
              <w:top w:val="nil"/>
              <w:left w:val="nil"/>
              <w:bottom w:val="nil"/>
            </w:tcBorders>
            <w:noWrap/>
            <w:tcMar>
              <w:left w:w="0" w:type="dxa"/>
              <w:right w:w="0" w:type="dxa"/>
            </w:tcMar>
            <w:vAlign w:val="bottom"/>
          </w:tcPr>
          <w:p w14:paraId="3283A280"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Legal costs</w:t>
            </w:r>
          </w:p>
        </w:tc>
        <w:tc>
          <w:tcPr>
            <w:tcW w:w="567" w:type="dxa"/>
            <w:tcBorders>
              <w:top w:val="nil"/>
              <w:bottom w:val="nil"/>
            </w:tcBorders>
            <w:noWrap/>
            <w:tcMar>
              <w:left w:w="0" w:type="dxa"/>
              <w:right w:w="0" w:type="dxa"/>
            </w:tcMar>
            <w:vAlign w:val="bottom"/>
          </w:tcPr>
          <w:p w14:paraId="7EFDCB2F"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6968BD3D"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740</w:t>
            </w:r>
          </w:p>
        </w:tc>
        <w:tc>
          <w:tcPr>
            <w:tcW w:w="283" w:type="dxa"/>
            <w:tcBorders>
              <w:top w:val="nil"/>
              <w:bottom w:val="nil"/>
            </w:tcBorders>
            <w:noWrap/>
          </w:tcPr>
          <w:p w14:paraId="7230AE0A"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5091B084"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819</w:t>
            </w:r>
          </w:p>
        </w:tc>
      </w:tr>
      <w:tr w:rsidR="00AB33EC" w:rsidRPr="003E75E2" w14:paraId="4930A38E" w14:textId="77777777" w:rsidTr="00B721B7">
        <w:trPr>
          <w:trHeight w:val="20"/>
        </w:trPr>
        <w:tc>
          <w:tcPr>
            <w:tcW w:w="5529" w:type="dxa"/>
            <w:tcBorders>
              <w:top w:val="nil"/>
              <w:left w:val="nil"/>
              <w:bottom w:val="nil"/>
            </w:tcBorders>
            <w:noWrap/>
            <w:tcMar>
              <w:left w:w="0" w:type="dxa"/>
              <w:right w:w="0" w:type="dxa"/>
            </w:tcMar>
            <w:vAlign w:val="bottom"/>
          </w:tcPr>
          <w:p w14:paraId="6E9DF1A8"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Furniture and equipment (non-asset)</w:t>
            </w:r>
          </w:p>
        </w:tc>
        <w:tc>
          <w:tcPr>
            <w:tcW w:w="567" w:type="dxa"/>
            <w:tcBorders>
              <w:top w:val="nil"/>
              <w:bottom w:val="nil"/>
            </w:tcBorders>
            <w:noWrap/>
            <w:tcMar>
              <w:left w:w="0" w:type="dxa"/>
              <w:right w:w="0" w:type="dxa"/>
            </w:tcMar>
            <w:vAlign w:val="bottom"/>
          </w:tcPr>
          <w:p w14:paraId="3C4CBA63"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66972FAB"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614</w:t>
            </w:r>
          </w:p>
        </w:tc>
        <w:tc>
          <w:tcPr>
            <w:tcW w:w="283" w:type="dxa"/>
            <w:tcBorders>
              <w:top w:val="nil"/>
              <w:bottom w:val="nil"/>
            </w:tcBorders>
            <w:noWrap/>
          </w:tcPr>
          <w:p w14:paraId="510CACCE"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6E4E3413"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498</w:t>
            </w:r>
          </w:p>
        </w:tc>
      </w:tr>
      <w:tr w:rsidR="00AB33EC" w:rsidRPr="003E75E2" w14:paraId="4FE05931" w14:textId="77777777" w:rsidTr="00B721B7">
        <w:trPr>
          <w:trHeight w:val="20"/>
        </w:trPr>
        <w:tc>
          <w:tcPr>
            <w:tcW w:w="5529" w:type="dxa"/>
            <w:tcBorders>
              <w:top w:val="nil"/>
              <w:left w:val="nil"/>
              <w:bottom w:val="nil"/>
            </w:tcBorders>
            <w:noWrap/>
            <w:tcMar>
              <w:left w:w="0" w:type="dxa"/>
              <w:right w:w="0" w:type="dxa"/>
            </w:tcMar>
            <w:vAlign w:val="bottom"/>
          </w:tcPr>
          <w:p w14:paraId="69FF52BA"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Motor vehicle running costs</w:t>
            </w:r>
          </w:p>
        </w:tc>
        <w:tc>
          <w:tcPr>
            <w:tcW w:w="567" w:type="dxa"/>
            <w:tcBorders>
              <w:top w:val="nil"/>
              <w:bottom w:val="nil"/>
            </w:tcBorders>
            <w:noWrap/>
            <w:tcMar>
              <w:left w:w="0" w:type="dxa"/>
              <w:right w:w="0" w:type="dxa"/>
            </w:tcMar>
            <w:vAlign w:val="bottom"/>
          </w:tcPr>
          <w:p w14:paraId="0315A91A"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710503C3"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568</w:t>
            </w:r>
          </w:p>
        </w:tc>
        <w:tc>
          <w:tcPr>
            <w:tcW w:w="283" w:type="dxa"/>
            <w:tcBorders>
              <w:top w:val="nil"/>
              <w:bottom w:val="nil"/>
            </w:tcBorders>
            <w:noWrap/>
          </w:tcPr>
          <w:p w14:paraId="686E4E52"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6ABF81B8"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511</w:t>
            </w:r>
          </w:p>
        </w:tc>
      </w:tr>
      <w:tr w:rsidR="00AB33EC" w:rsidRPr="003E75E2" w14:paraId="764ACA4E" w14:textId="77777777" w:rsidTr="00B721B7">
        <w:trPr>
          <w:trHeight w:val="20"/>
        </w:trPr>
        <w:tc>
          <w:tcPr>
            <w:tcW w:w="5529" w:type="dxa"/>
            <w:tcBorders>
              <w:top w:val="nil"/>
              <w:left w:val="nil"/>
              <w:bottom w:val="nil"/>
            </w:tcBorders>
            <w:noWrap/>
            <w:tcMar>
              <w:left w:w="0" w:type="dxa"/>
              <w:right w:w="0" w:type="dxa"/>
            </w:tcMar>
            <w:vAlign w:val="bottom"/>
          </w:tcPr>
          <w:p w14:paraId="6CCA9579"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 xml:space="preserve">Security </w:t>
            </w:r>
          </w:p>
        </w:tc>
        <w:tc>
          <w:tcPr>
            <w:tcW w:w="567" w:type="dxa"/>
            <w:tcBorders>
              <w:top w:val="nil"/>
              <w:bottom w:val="nil"/>
            </w:tcBorders>
            <w:noWrap/>
            <w:tcMar>
              <w:left w:w="0" w:type="dxa"/>
              <w:right w:w="0" w:type="dxa"/>
            </w:tcMar>
            <w:vAlign w:val="bottom"/>
          </w:tcPr>
          <w:p w14:paraId="32D539A5"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39113DFE"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555</w:t>
            </w:r>
          </w:p>
        </w:tc>
        <w:tc>
          <w:tcPr>
            <w:tcW w:w="283" w:type="dxa"/>
            <w:tcBorders>
              <w:top w:val="nil"/>
              <w:bottom w:val="nil"/>
            </w:tcBorders>
            <w:noWrap/>
          </w:tcPr>
          <w:p w14:paraId="658404F3"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14BEC9A7"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511</w:t>
            </w:r>
          </w:p>
        </w:tc>
      </w:tr>
      <w:tr w:rsidR="00AB33EC" w:rsidRPr="003E75E2" w14:paraId="685B713D" w14:textId="77777777" w:rsidTr="00B721B7">
        <w:trPr>
          <w:trHeight w:val="20"/>
        </w:trPr>
        <w:tc>
          <w:tcPr>
            <w:tcW w:w="5529" w:type="dxa"/>
            <w:tcBorders>
              <w:top w:val="nil"/>
              <w:left w:val="nil"/>
              <w:bottom w:val="nil"/>
            </w:tcBorders>
            <w:noWrap/>
            <w:tcMar>
              <w:left w:w="0" w:type="dxa"/>
              <w:right w:w="0" w:type="dxa"/>
            </w:tcMar>
            <w:vAlign w:val="bottom"/>
          </w:tcPr>
          <w:p w14:paraId="2E400CD8"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Travel</w:t>
            </w:r>
          </w:p>
        </w:tc>
        <w:tc>
          <w:tcPr>
            <w:tcW w:w="567" w:type="dxa"/>
            <w:tcBorders>
              <w:top w:val="nil"/>
              <w:bottom w:val="nil"/>
            </w:tcBorders>
            <w:noWrap/>
            <w:tcMar>
              <w:left w:w="0" w:type="dxa"/>
              <w:right w:w="0" w:type="dxa"/>
            </w:tcMar>
            <w:vAlign w:val="bottom"/>
          </w:tcPr>
          <w:p w14:paraId="6A3993B5"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3DE46D68"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490</w:t>
            </w:r>
          </w:p>
        </w:tc>
        <w:tc>
          <w:tcPr>
            <w:tcW w:w="283" w:type="dxa"/>
            <w:tcBorders>
              <w:top w:val="nil"/>
              <w:bottom w:val="nil"/>
            </w:tcBorders>
            <w:noWrap/>
          </w:tcPr>
          <w:p w14:paraId="7F4602C6"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3BE55786"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516</w:t>
            </w:r>
          </w:p>
        </w:tc>
      </w:tr>
      <w:tr w:rsidR="00AB33EC" w:rsidRPr="003E75E2" w14:paraId="64555430" w14:textId="77777777" w:rsidTr="00B721B7">
        <w:trPr>
          <w:trHeight w:val="20"/>
        </w:trPr>
        <w:tc>
          <w:tcPr>
            <w:tcW w:w="5529" w:type="dxa"/>
            <w:tcBorders>
              <w:top w:val="nil"/>
              <w:left w:val="nil"/>
              <w:bottom w:val="nil"/>
            </w:tcBorders>
            <w:noWrap/>
            <w:tcMar>
              <w:left w:w="0" w:type="dxa"/>
              <w:right w:w="0" w:type="dxa"/>
            </w:tcMar>
            <w:vAlign w:val="bottom"/>
          </w:tcPr>
          <w:p w14:paraId="17142EE5"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Corporate service providers</w:t>
            </w:r>
          </w:p>
        </w:tc>
        <w:tc>
          <w:tcPr>
            <w:tcW w:w="567" w:type="dxa"/>
            <w:tcBorders>
              <w:top w:val="nil"/>
              <w:bottom w:val="nil"/>
            </w:tcBorders>
            <w:noWrap/>
            <w:tcMar>
              <w:left w:w="0" w:type="dxa"/>
              <w:right w:w="0" w:type="dxa"/>
            </w:tcMar>
            <w:vAlign w:val="bottom"/>
          </w:tcPr>
          <w:p w14:paraId="7C57B2B9"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4B705180"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435</w:t>
            </w:r>
          </w:p>
        </w:tc>
        <w:tc>
          <w:tcPr>
            <w:tcW w:w="283" w:type="dxa"/>
            <w:tcBorders>
              <w:top w:val="nil"/>
              <w:bottom w:val="nil"/>
            </w:tcBorders>
            <w:noWrap/>
          </w:tcPr>
          <w:p w14:paraId="2EF383BA"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4F114372"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409</w:t>
            </w:r>
          </w:p>
        </w:tc>
      </w:tr>
      <w:tr w:rsidR="00AB33EC" w:rsidRPr="003E75E2" w14:paraId="7A145152" w14:textId="77777777" w:rsidTr="00B721B7">
        <w:trPr>
          <w:trHeight w:val="20"/>
        </w:trPr>
        <w:tc>
          <w:tcPr>
            <w:tcW w:w="5529" w:type="dxa"/>
            <w:tcBorders>
              <w:top w:val="nil"/>
              <w:left w:val="nil"/>
              <w:bottom w:val="nil"/>
            </w:tcBorders>
            <w:noWrap/>
            <w:tcMar>
              <w:left w:w="0" w:type="dxa"/>
              <w:right w:w="0" w:type="dxa"/>
            </w:tcMar>
            <w:vAlign w:val="bottom"/>
          </w:tcPr>
          <w:p w14:paraId="388BA53B"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Building and equipment maintenance</w:t>
            </w:r>
          </w:p>
        </w:tc>
        <w:tc>
          <w:tcPr>
            <w:tcW w:w="567" w:type="dxa"/>
            <w:tcBorders>
              <w:top w:val="nil"/>
              <w:bottom w:val="nil"/>
            </w:tcBorders>
            <w:noWrap/>
            <w:tcMar>
              <w:left w:w="0" w:type="dxa"/>
              <w:right w:w="0" w:type="dxa"/>
            </w:tcMar>
            <w:vAlign w:val="bottom"/>
          </w:tcPr>
          <w:p w14:paraId="604EA292"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43BFA896"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389</w:t>
            </w:r>
          </w:p>
        </w:tc>
        <w:tc>
          <w:tcPr>
            <w:tcW w:w="283" w:type="dxa"/>
            <w:tcBorders>
              <w:top w:val="nil"/>
              <w:bottom w:val="nil"/>
            </w:tcBorders>
            <w:noWrap/>
          </w:tcPr>
          <w:p w14:paraId="2AB34B66"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3B6057C7"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461</w:t>
            </w:r>
          </w:p>
        </w:tc>
      </w:tr>
      <w:tr w:rsidR="00AB33EC" w:rsidRPr="003E75E2" w14:paraId="001E188F" w14:textId="77777777" w:rsidTr="00B721B7">
        <w:trPr>
          <w:trHeight w:val="20"/>
        </w:trPr>
        <w:tc>
          <w:tcPr>
            <w:tcW w:w="5529" w:type="dxa"/>
            <w:tcBorders>
              <w:top w:val="nil"/>
              <w:left w:val="nil"/>
              <w:bottom w:val="nil"/>
            </w:tcBorders>
            <w:noWrap/>
            <w:tcMar>
              <w:left w:w="0" w:type="dxa"/>
              <w:right w:w="0" w:type="dxa"/>
            </w:tcMar>
            <w:vAlign w:val="bottom"/>
          </w:tcPr>
          <w:p w14:paraId="7880A36F"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Operational expenses</w:t>
            </w:r>
          </w:p>
        </w:tc>
        <w:tc>
          <w:tcPr>
            <w:tcW w:w="567" w:type="dxa"/>
            <w:tcBorders>
              <w:top w:val="nil"/>
              <w:bottom w:val="nil"/>
            </w:tcBorders>
            <w:noWrap/>
            <w:tcMar>
              <w:left w:w="0" w:type="dxa"/>
              <w:right w:w="0" w:type="dxa"/>
            </w:tcMar>
            <w:vAlign w:val="bottom"/>
          </w:tcPr>
          <w:p w14:paraId="7A0AC1D9"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09BB8AA9"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329</w:t>
            </w:r>
          </w:p>
        </w:tc>
        <w:tc>
          <w:tcPr>
            <w:tcW w:w="283" w:type="dxa"/>
            <w:tcBorders>
              <w:top w:val="nil"/>
              <w:bottom w:val="nil"/>
            </w:tcBorders>
            <w:noWrap/>
          </w:tcPr>
          <w:p w14:paraId="7AC32D5D"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2CB03CED"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399</w:t>
            </w:r>
          </w:p>
        </w:tc>
      </w:tr>
      <w:tr w:rsidR="00AB33EC" w:rsidRPr="003E75E2" w14:paraId="28F623C8" w14:textId="77777777" w:rsidTr="00B721B7">
        <w:trPr>
          <w:trHeight w:val="20"/>
        </w:trPr>
        <w:tc>
          <w:tcPr>
            <w:tcW w:w="5529" w:type="dxa"/>
            <w:tcBorders>
              <w:top w:val="nil"/>
              <w:left w:val="nil"/>
              <w:bottom w:val="nil"/>
            </w:tcBorders>
            <w:noWrap/>
            <w:tcMar>
              <w:left w:w="0" w:type="dxa"/>
              <w:right w:w="0" w:type="dxa"/>
            </w:tcMar>
            <w:vAlign w:val="bottom"/>
          </w:tcPr>
          <w:p w14:paraId="1DA0CBDE"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Electricity</w:t>
            </w:r>
          </w:p>
        </w:tc>
        <w:tc>
          <w:tcPr>
            <w:tcW w:w="567" w:type="dxa"/>
            <w:tcBorders>
              <w:top w:val="nil"/>
              <w:bottom w:val="nil"/>
            </w:tcBorders>
            <w:noWrap/>
            <w:tcMar>
              <w:left w:w="0" w:type="dxa"/>
              <w:right w:w="0" w:type="dxa"/>
            </w:tcMar>
            <w:vAlign w:val="bottom"/>
          </w:tcPr>
          <w:p w14:paraId="3CB9B3AE"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3B2EECA2"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312</w:t>
            </w:r>
          </w:p>
        </w:tc>
        <w:tc>
          <w:tcPr>
            <w:tcW w:w="283" w:type="dxa"/>
            <w:tcBorders>
              <w:top w:val="nil"/>
              <w:bottom w:val="nil"/>
            </w:tcBorders>
            <w:noWrap/>
          </w:tcPr>
          <w:p w14:paraId="1238D533"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2957D0E8"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233</w:t>
            </w:r>
          </w:p>
        </w:tc>
      </w:tr>
      <w:tr w:rsidR="00AB33EC" w:rsidRPr="003E75E2" w14:paraId="024223F6" w14:textId="77777777" w:rsidTr="00B721B7">
        <w:trPr>
          <w:trHeight w:val="20"/>
        </w:trPr>
        <w:tc>
          <w:tcPr>
            <w:tcW w:w="5529" w:type="dxa"/>
            <w:tcBorders>
              <w:top w:val="nil"/>
              <w:left w:val="nil"/>
              <w:bottom w:val="nil"/>
            </w:tcBorders>
            <w:noWrap/>
            <w:tcMar>
              <w:left w:w="0" w:type="dxa"/>
              <w:right w:w="0" w:type="dxa"/>
            </w:tcMar>
            <w:vAlign w:val="bottom"/>
          </w:tcPr>
          <w:p w14:paraId="05C77EC9"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Software purchases</w:t>
            </w:r>
          </w:p>
        </w:tc>
        <w:tc>
          <w:tcPr>
            <w:tcW w:w="567" w:type="dxa"/>
            <w:tcBorders>
              <w:top w:val="nil"/>
              <w:bottom w:val="nil"/>
            </w:tcBorders>
            <w:noWrap/>
            <w:tcMar>
              <w:left w:w="0" w:type="dxa"/>
              <w:right w:w="0" w:type="dxa"/>
            </w:tcMar>
            <w:vAlign w:val="bottom"/>
          </w:tcPr>
          <w:p w14:paraId="5157914D"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276E1E3A"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53</w:t>
            </w:r>
          </w:p>
        </w:tc>
        <w:tc>
          <w:tcPr>
            <w:tcW w:w="283" w:type="dxa"/>
            <w:tcBorders>
              <w:top w:val="nil"/>
              <w:bottom w:val="nil"/>
            </w:tcBorders>
            <w:noWrap/>
          </w:tcPr>
          <w:p w14:paraId="468A5616"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44155A9D"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9</w:t>
            </w:r>
          </w:p>
        </w:tc>
      </w:tr>
      <w:tr w:rsidR="00AB33EC" w:rsidRPr="003E75E2" w14:paraId="7501F153" w14:textId="77777777" w:rsidTr="00B721B7">
        <w:trPr>
          <w:trHeight w:val="20"/>
        </w:trPr>
        <w:tc>
          <w:tcPr>
            <w:tcW w:w="5529" w:type="dxa"/>
            <w:tcBorders>
              <w:top w:val="nil"/>
              <w:left w:val="nil"/>
              <w:bottom w:val="nil"/>
            </w:tcBorders>
            <w:noWrap/>
            <w:tcMar>
              <w:left w:w="0" w:type="dxa"/>
              <w:right w:w="0" w:type="dxa"/>
            </w:tcMar>
            <w:vAlign w:val="bottom"/>
          </w:tcPr>
          <w:p w14:paraId="3E6A4F90"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Other</w:t>
            </w:r>
          </w:p>
        </w:tc>
        <w:tc>
          <w:tcPr>
            <w:tcW w:w="567" w:type="dxa"/>
            <w:tcBorders>
              <w:top w:val="nil"/>
              <w:bottom w:val="nil"/>
            </w:tcBorders>
            <w:noWrap/>
            <w:tcMar>
              <w:left w:w="0" w:type="dxa"/>
              <w:right w:w="0" w:type="dxa"/>
            </w:tcMar>
            <w:vAlign w:val="bottom"/>
          </w:tcPr>
          <w:p w14:paraId="0F7B0DD3"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7ECE1F35"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495</w:t>
            </w:r>
          </w:p>
        </w:tc>
        <w:tc>
          <w:tcPr>
            <w:tcW w:w="283" w:type="dxa"/>
            <w:tcBorders>
              <w:top w:val="nil"/>
              <w:bottom w:val="nil"/>
            </w:tcBorders>
            <w:noWrap/>
          </w:tcPr>
          <w:p w14:paraId="44902000"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682881A1"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482</w:t>
            </w:r>
          </w:p>
        </w:tc>
      </w:tr>
      <w:tr w:rsidR="00AB33EC" w:rsidRPr="003E75E2" w14:paraId="425D7C49" w14:textId="77777777" w:rsidTr="00B721B7">
        <w:trPr>
          <w:trHeight w:val="20"/>
        </w:trPr>
        <w:tc>
          <w:tcPr>
            <w:tcW w:w="5529" w:type="dxa"/>
            <w:tcBorders>
              <w:top w:val="nil"/>
              <w:left w:val="nil"/>
              <w:bottom w:val="nil"/>
            </w:tcBorders>
            <w:noWrap/>
            <w:tcMar>
              <w:left w:w="0" w:type="dxa"/>
              <w:right w:w="0" w:type="dxa"/>
            </w:tcMar>
            <w:vAlign w:val="bottom"/>
          </w:tcPr>
          <w:p w14:paraId="6693F64F" w14:textId="77777777" w:rsidR="00AB33EC" w:rsidRPr="003E75E2" w:rsidRDefault="00AB33EC" w:rsidP="00B721B7">
            <w:pPr>
              <w:pStyle w:val="Normaltabletextleft"/>
              <w:tabs>
                <w:tab w:val="left" w:pos="0"/>
              </w:tabs>
              <w:spacing w:line="240" w:lineRule="auto"/>
              <w:rPr>
                <w:rFonts w:cstheme="minorHAnsi"/>
                <w:b/>
                <w:color w:val="414042" w:themeColor="text1"/>
                <w:lang w:eastAsia="en-AU"/>
              </w:rPr>
            </w:pPr>
            <w:r w:rsidRPr="003E75E2">
              <w:rPr>
                <w:rFonts w:cstheme="minorHAnsi"/>
                <w:b/>
                <w:color w:val="414042" w:themeColor="text1"/>
                <w:lang w:eastAsia="en-AU"/>
              </w:rPr>
              <w:t>Total</w:t>
            </w:r>
          </w:p>
        </w:tc>
        <w:tc>
          <w:tcPr>
            <w:tcW w:w="567" w:type="dxa"/>
            <w:tcBorders>
              <w:top w:val="nil"/>
              <w:bottom w:val="nil"/>
            </w:tcBorders>
            <w:noWrap/>
            <w:tcMar>
              <w:left w:w="0" w:type="dxa"/>
              <w:right w:w="0" w:type="dxa"/>
            </w:tcMar>
            <w:vAlign w:val="bottom"/>
          </w:tcPr>
          <w:p w14:paraId="555D29F6"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417" w:type="dxa"/>
            <w:tcBorders>
              <w:top w:val="single" w:sz="4" w:space="0" w:color="auto"/>
              <w:bottom w:val="double" w:sz="4" w:space="0" w:color="auto"/>
            </w:tcBorders>
            <w:shd w:val="clear" w:color="auto" w:fill="F1F1F2" w:themeFill="accent5" w:themeFillTint="33"/>
            <w:noWrap/>
            <w:tcMar>
              <w:left w:w="0" w:type="dxa"/>
              <w:right w:w="113" w:type="dxa"/>
            </w:tcMar>
            <w:vAlign w:val="bottom"/>
          </w:tcPr>
          <w:p w14:paraId="721FA678" w14:textId="77777777" w:rsidR="00AB33EC" w:rsidRPr="003E75E2" w:rsidRDefault="00AB33EC" w:rsidP="00B721B7">
            <w:pPr>
              <w:pStyle w:val="Normaltabletext1stpararight"/>
              <w:spacing w:line="240" w:lineRule="auto"/>
              <w:rPr>
                <w:rFonts w:cstheme="minorHAnsi"/>
                <w:b/>
                <w:iCs/>
                <w:color w:val="414042" w:themeColor="text1"/>
                <w:lang w:eastAsia="en-AU"/>
              </w:rPr>
            </w:pPr>
            <w:r>
              <w:rPr>
                <w:rFonts w:cstheme="minorHAnsi"/>
                <w:b/>
                <w:iCs/>
                <w:color w:val="414042" w:themeColor="text1"/>
                <w:lang w:eastAsia="en-AU"/>
              </w:rPr>
              <w:t>15,497</w:t>
            </w:r>
          </w:p>
        </w:tc>
        <w:tc>
          <w:tcPr>
            <w:tcW w:w="283" w:type="dxa"/>
            <w:tcBorders>
              <w:top w:val="nil"/>
              <w:bottom w:val="nil"/>
            </w:tcBorders>
            <w:noWrap/>
          </w:tcPr>
          <w:p w14:paraId="43423D35" w14:textId="77777777" w:rsidR="00AB33EC" w:rsidRPr="003E75E2" w:rsidRDefault="00AB33EC" w:rsidP="00B721B7">
            <w:pPr>
              <w:pStyle w:val="Normaltabletextleft"/>
              <w:spacing w:line="240" w:lineRule="auto"/>
              <w:rPr>
                <w:rFonts w:cstheme="minorHAnsi"/>
                <w:b/>
                <w:color w:val="414042" w:themeColor="text1"/>
              </w:rPr>
            </w:pPr>
          </w:p>
        </w:tc>
        <w:tc>
          <w:tcPr>
            <w:tcW w:w="1276" w:type="dxa"/>
            <w:tcBorders>
              <w:top w:val="single" w:sz="4" w:space="0" w:color="auto"/>
              <w:bottom w:val="double" w:sz="4" w:space="0" w:color="auto"/>
              <w:right w:val="nil"/>
            </w:tcBorders>
            <w:shd w:val="clear" w:color="auto" w:fill="auto"/>
            <w:noWrap/>
            <w:tcMar>
              <w:left w:w="0" w:type="dxa"/>
              <w:right w:w="113" w:type="dxa"/>
            </w:tcMar>
            <w:vAlign w:val="bottom"/>
          </w:tcPr>
          <w:p w14:paraId="5F32FE95" w14:textId="77777777" w:rsidR="00AB33EC" w:rsidRPr="003E75E2" w:rsidRDefault="00AB33EC" w:rsidP="00B721B7">
            <w:pPr>
              <w:pStyle w:val="Normaltabletext1stpararight"/>
              <w:spacing w:line="240" w:lineRule="auto"/>
              <w:rPr>
                <w:rFonts w:cstheme="minorHAnsi"/>
                <w:b/>
                <w:iCs/>
                <w:color w:val="414042" w:themeColor="text1"/>
                <w:lang w:eastAsia="en-AU"/>
              </w:rPr>
            </w:pPr>
            <w:r w:rsidRPr="003E75E2">
              <w:rPr>
                <w:rFonts w:cstheme="minorHAnsi"/>
                <w:b/>
                <w:iCs/>
                <w:color w:val="414042" w:themeColor="text1"/>
                <w:lang w:eastAsia="en-AU"/>
              </w:rPr>
              <w:t>14,209</w:t>
            </w:r>
          </w:p>
        </w:tc>
      </w:tr>
    </w:tbl>
    <w:p w14:paraId="1775D46A" w14:textId="77777777" w:rsidR="00AB33EC" w:rsidRPr="003E75E2" w:rsidRDefault="00AB33EC" w:rsidP="00AB33EC">
      <w:pPr>
        <w:pStyle w:val="Noteswithhangingindent"/>
        <w:spacing w:line="240" w:lineRule="auto"/>
        <w:rPr>
          <w:rFonts w:cstheme="minorHAnsi"/>
        </w:rPr>
      </w:pPr>
      <w:r w:rsidRPr="003E75E2">
        <w:rPr>
          <w:rFonts w:cstheme="minorHAnsi"/>
          <w:vertAlign w:val="superscript"/>
        </w:rPr>
        <w:t>1</w:t>
      </w:r>
      <w:r w:rsidRPr="003E75E2">
        <w:rPr>
          <w:rFonts w:cstheme="minorHAnsi"/>
        </w:rPr>
        <w:tab/>
        <w:t xml:space="preserve">Property rentals include lease expenses for Green Square accommodation, which is exempted from AASB 16 </w:t>
      </w:r>
      <w:r w:rsidRPr="003E75E2">
        <w:rPr>
          <w:rFonts w:cstheme="minorHAnsi"/>
          <w:i/>
          <w:iCs/>
        </w:rPr>
        <w:t>Lease</w:t>
      </w:r>
      <w:r w:rsidRPr="003E75E2">
        <w:rPr>
          <w:rFonts w:cstheme="minorHAnsi"/>
        </w:rPr>
        <w:t xml:space="preserve"> as it is a non-specialised commercial office accommodation under the Queensland Government Accommodation Office (QGAO) framework. The Department of Energy and Climate has substantive substitution rights over the assets used.</w:t>
      </w:r>
    </w:p>
    <w:p w14:paraId="1E629C75" w14:textId="77777777" w:rsidR="00AB33EC" w:rsidRPr="003E75E2" w:rsidRDefault="00AB33EC" w:rsidP="00AB33EC">
      <w:pPr>
        <w:rPr>
          <w:rFonts w:asciiTheme="minorHAnsi" w:hAnsiTheme="minorHAnsi" w:cstheme="minorHAnsi"/>
          <w:color w:val="414042" w:themeColor="text1"/>
        </w:rPr>
      </w:pPr>
    </w:p>
    <w:p w14:paraId="481905F3" w14:textId="77777777" w:rsidR="00AB33EC" w:rsidRPr="003E75E2" w:rsidRDefault="00AB33EC" w:rsidP="00AB33EC">
      <w:pPr>
        <w:pStyle w:val="Normal115pttext"/>
        <w:spacing w:line="240" w:lineRule="auto"/>
        <w:rPr>
          <w:rFonts w:cstheme="minorHAnsi"/>
          <w:color w:val="414042" w:themeColor="text1"/>
        </w:rPr>
      </w:pPr>
      <w:r w:rsidRPr="003E75E2">
        <w:rPr>
          <w:rFonts w:cstheme="minorHAnsi"/>
          <w:color w:val="414042" w:themeColor="text1"/>
        </w:rPr>
        <w:t>Note 6:  Other Expenses</w:t>
      </w: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AB33EC" w:rsidRPr="003E75E2" w14:paraId="6114097C" w14:textId="77777777" w:rsidTr="00B721B7">
        <w:trPr>
          <w:trHeight w:val="20"/>
        </w:trPr>
        <w:tc>
          <w:tcPr>
            <w:tcW w:w="5529" w:type="dxa"/>
            <w:tcBorders>
              <w:top w:val="nil"/>
              <w:left w:val="nil"/>
              <w:bottom w:val="nil"/>
            </w:tcBorders>
            <w:noWrap/>
            <w:tcMar>
              <w:left w:w="0" w:type="dxa"/>
              <w:right w:w="0" w:type="dxa"/>
            </w:tcMar>
            <w:vAlign w:val="bottom"/>
          </w:tcPr>
          <w:p w14:paraId="03062621"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p>
          <w:p w14:paraId="1DF17437"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p>
        </w:tc>
        <w:tc>
          <w:tcPr>
            <w:tcW w:w="567" w:type="dxa"/>
            <w:tcBorders>
              <w:top w:val="nil"/>
              <w:bottom w:val="nil"/>
            </w:tcBorders>
            <w:noWrap/>
            <w:tcMar>
              <w:left w:w="0" w:type="dxa"/>
              <w:right w:w="0" w:type="dxa"/>
            </w:tcMar>
            <w:vAlign w:val="bottom"/>
          </w:tcPr>
          <w:p w14:paraId="53042C9C"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62304A37"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2024</w:t>
            </w:r>
          </w:p>
        </w:tc>
        <w:tc>
          <w:tcPr>
            <w:tcW w:w="283" w:type="dxa"/>
            <w:tcBorders>
              <w:top w:val="nil"/>
              <w:bottom w:val="nil"/>
            </w:tcBorders>
            <w:noWrap/>
          </w:tcPr>
          <w:p w14:paraId="719C0F3F"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0B01D9FA"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2023</w:t>
            </w:r>
          </w:p>
        </w:tc>
      </w:tr>
      <w:tr w:rsidR="00AB33EC" w:rsidRPr="003E75E2" w14:paraId="7BB6CBAC" w14:textId="77777777" w:rsidTr="00B721B7">
        <w:trPr>
          <w:trHeight w:val="20"/>
        </w:trPr>
        <w:tc>
          <w:tcPr>
            <w:tcW w:w="5529" w:type="dxa"/>
            <w:tcBorders>
              <w:top w:val="nil"/>
              <w:left w:val="nil"/>
              <w:bottom w:val="nil"/>
            </w:tcBorders>
            <w:noWrap/>
            <w:tcMar>
              <w:left w:w="0" w:type="dxa"/>
              <w:right w:w="0" w:type="dxa"/>
            </w:tcMar>
            <w:vAlign w:val="bottom"/>
          </w:tcPr>
          <w:p w14:paraId="58BCC6B1"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p>
        </w:tc>
        <w:tc>
          <w:tcPr>
            <w:tcW w:w="567" w:type="dxa"/>
            <w:tcBorders>
              <w:top w:val="nil"/>
              <w:bottom w:val="nil"/>
            </w:tcBorders>
            <w:noWrap/>
            <w:tcMar>
              <w:left w:w="0" w:type="dxa"/>
              <w:right w:w="0" w:type="dxa"/>
            </w:tcMar>
            <w:vAlign w:val="bottom"/>
          </w:tcPr>
          <w:p w14:paraId="5D1F5CAD"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173333AA"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$’000</w:t>
            </w:r>
          </w:p>
        </w:tc>
        <w:tc>
          <w:tcPr>
            <w:tcW w:w="283" w:type="dxa"/>
            <w:tcBorders>
              <w:top w:val="nil"/>
              <w:bottom w:val="nil"/>
            </w:tcBorders>
            <w:noWrap/>
          </w:tcPr>
          <w:p w14:paraId="2251B9EE"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3456A9A4"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$’000</w:t>
            </w:r>
          </w:p>
        </w:tc>
      </w:tr>
      <w:tr w:rsidR="00AB33EC" w:rsidRPr="003E75E2" w14:paraId="1BEFF6CC" w14:textId="77777777" w:rsidTr="00B721B7">
        <w:trPr>
          <w:trHeight w:val="20"/>
        </w:trPr>
        <w:tc>
          <w:tcPr>
            <w:tcW w:w="5529" w:type="dxa"/>
            <w:tcBorders>
              <w:top w:val="nil"/>
              <w:left w:val="nil"/>
              <w:bottom w:val="nil"/>
            </w:tcBorders>
            <w:noWrap/>
            <w:tcMar>
              <w:left w:w="0" w:type="dxa"/>
              <w:right w:w="0" w:type="dxa"/>
            </w:tcMar>
            <w:vAlign w:val="bottom"/>
          </w:tcPr>
          <w:p w14:paraId="2EB0702F" w14:textId="77777777" w:rsidR="00AB33EC" w:rsidRPr="003E75E2" w:rsidRDefault="00AB33EC" w:rsidP="00B721B7">
            <w:pPr>
              <w:pStyle w:val="Normaltabletextleft"/>
              <w:spacing w:line="240" w:lineRule="auto"/>
              <w:rPr>
                <w:rFonts w:cstheme="minorHAnsi"/>
                <w:color w:val="414042" w:themeColor="text1"/>
                <w:lang w:eastAsia="en-AU"/>
              </w:rPr>
            </w:pPr>
          </w:p>
        </w:tc>
        <w:tc>
          <w:tcPr>
            <w:tcW w:w="567" w:type="dxa"/>
            <w:tcBorders>
              <w:top w:val="nil"/>
              <w:bottom w:val="nil"/>
            </w:tcBorders>
            <w:noWrap/>
            <w:tcMar>
              <w:left w:w="0" w:type="dxa"/>
              <w:right w:w="0" w:type="dxa"/>
            </w:tcMar>
            <w:vAlign w:val="bottom"/>
          </w:tcPr>
          <w:p w14:paraId="41CC87BA" w14:textId="77777777" w:rsidR="00AB33EC" w:rsidRPr="003E75E2" w:rsidRDefault="00AB33EC" w:rsidP="00B721B7">
            <w:pPr>
              <w:pStyle w:val="Normaltabletextleft"/>
              <w:spacing w:line="240" w:lineRule="auto"/>
              <w:jc w:val="center"/>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5E7FBD71" w14:textId="77777777" w:rsidR="00AB33EC" w:rsidRPr="003E75E2" w:rsidRDefault="00AB33EC" w:rsidP="00B721B7">
            <w:pPr>
              <w:pStyle w:val="Normaltabletextleft"/>
              <w:spacing w:line="240" w:lineRule="auto"/>
              <w:jc w:val="right"/>
              <w:rPr>
                <w:rFonts w:cstheme="minorHAnsi"/>
                <w:color w:val="414042" w:themeColor="text1"/>
                <w:lang w:eastAsia="en-AU"/>
              </w:rPr>
            </w:pPr>
          </w:p>
        </w:tc>
        <w:tc>
          <w:tcPr>
            <w:tcW w:w="283" w:type="dxa"/>
            <w:tcBorders>
              <w:top w:val="nil"/>
              <w:bottom w:val="nil"/>
            </w:tcBorders>
            <w:noWrap/>
          </w:tcPr>
          <w:p w14:paraId="65936DD7"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63E9D07B" w14:textId="77777777" w:rsidR="00AB33EC" w:rsidRPr="003E75E2" w:rsidRDefault="00AB33EC" w:rsidP="00B721B7">
            <w:pPr>
              <w:pStyle w:val="Normaltabletextleft"/>
              <w:spacing w:line="240" w:lineRule="auto"/>
              <w:jc w:val="right"/>
              <w:rPr>
                <w:rFonts w:cstheme="minorHAnsi"/>
                <w:color w:val="414042" w:themeColor="text1"/>
                <w:lang w:eastAsia="en-AU"/>
              </w:rPr>
            </w:pPr>
          </w:p>
        </w:tc>
      </w:tr>
      <w:tr w:rsidR="00AB33EC" w:rsidRPr="003E75E2" w14:paraId="48894BBB" w14:textId="77777777" w:rsidTr="00B721B7">
        <w:trPr>
          <w:trHeight w:val="20"/>
        </w:trPr>
        <w:tc>
          <w:tcPr>
            <w:tcW w:w="5529" w:type="dxa"/>
            <w:tcBorders>
              <w:top w:val="nil"/>
              <w:left w:val="nil"/>
              <w:bottom w:val="nil"/>
            </w:tcBorders>
            <w:noWrap/>
            <w:tcMar>
              <w:left w:w="0" w:type="dxa"/>
              <w:right w:w="0" w:type="dxa"/>
            </w:tcMar>
            <w:vAlign w:val="bottom"/>
          </w:tcPr>
          <w:p w14:paraId="5FDBAA1A"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External audit fees¹</w:t>
            </w:r>
          </w:p>
        </w:tc>
        <w:tc>
          <w:tcPr>
            <w:tcW w:w="567" w:type="dxa"/>
            <w:tcBorders>
              <w:top w:val="nil"/>
              <w:bottom w:val="nil"/>
            </w:tcBorders>
            <w:noWrap/>
            <w:tcMar>
              <w:left w:w="0" w:type="dxa"/>
              <w:right w:w="0" w:type="dxa"/>
            </w:tcMar>
            <w:vAlign w:val="bottom"/>
          </w:tcPr>
          <w:p w14:paraId="091997EB"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tcPr>
          <w:p w14:paraId="35E5B823" w14:textId="77777777" w:rsidR="00AB33EC" w:rsidRPr="003E75E2" w:rsidRDefault="00AB33EC" w:rsidP="00B721B7">
            <w:pPr>
              <w:pStyle w:val="Normaltabletext1stpararight"/>
              <w:spacing w:line="240" w:lineRule="auto"/>
              <w:rPr>
                <w:rFonts w:cstheme="minorHAnsi"/>
                <w:color w:val="414042" w:themeColor="text1"/>
                <w:lang w:eastAsia="en-AU"/>
              </w:rPr>
            </w:pPr>
            <w:r w:rsidRPr="001F195F">
              <w:t xml:space="preserve">72 </w:t>
            </w:r>
          </w:p>
        </w:tc>
        <w:tc>
          <w:tcPr>
            <w:tcW w:w="283" w:type="dxa"/>
            <w:tcBorders>
              <w:top w:val="nil"/>
              <w:bottom w:val="nil"/>
            </w:tcBorders>
            <w:noWrap/>
          </w:tcPr>
          <w:p w14:paraId="48D5DF2C"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4FDF6743"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67</w:t>
            </w:r>
          </w:p>
        </w:tc>
      </w:tr>
      <w:tr w:rsidR="00AB33EC" w:rsidRPr="003E75E2" w14:paraId="7EBC9CA1" w14:textId="77777777" w:rsidTr="00B721B7">
        <w:trPr>
          <w:trHeight w:val="20"/>
        </w:trPr>
        <w:tc>
          <w:tcPr>
            <w:tcW w:w="5529" w:type="dxa"/>
            <w:tcBorders>
              <w:top w:val="nil"/>
              <w:left w:val="nil"/>
              <w:bottom w:val="nil"/>
            </w:tcBorders>
            <w:noWrap/>
            <w:tcMar>
              <w:left w:w="0" w:type="dxa"/>
              <w:right w:w="0" w:type="dxa"/>
            </w:tcMar>
            <w:vAlign w:val="bottom"/>
          </w:tcPr>
          <w:p w14:paraId="562B2F55"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Insurance Premiums²</w:t>
            </w:r>
          </w:p>
        </w:tc>
        <w:tc>
          <w:tcPr>
            <w:tcW w:w="567" w:type="dxa"/>
            <w:tcBorders>
              <w:top w:val="nil"/>
              <w:bottom w:val="nil"/>
            </w:tcBorders>
            <w:noWrap/>
            <w:tcMar>
              <w:left w:w="0" w:type="dxa"/>
              <w:right w:w="0" w:type="dxa"/>
            </w:tcMar>
            <w:vAlign w:val="bottom"/>
          </w:tcPr>
          <w:p w14:paraId="51C3A705"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tcPr>
          <w:p w14:paraId="59EB4E2C" w14:textId="77777777" w:rsidR="00AB33EC" w:rsidRPr="003E75E2" w:rsidRDefault="00AB33EC" w:rsidP="00B721B7">
            <w:pPr>
              <w:pStyle w:val="Normaltabletext1stpararight"/>
              <w:spacing w:line="240" w:lineRule="auto"/>
              <w:rPr>
                <w:rFonts w:cstheme="minorHAnsi"/>
                <w:color w:val="414042" w:themeColor="text1"/>
                <w:lang w:eastAsia="en-AU"/>
              </w:rPr>
            </w:pPr>
            <w:r w:rsidRPr="001F195F">
              <w:t xml:space="preserve">36 </w:t>
            </w:r>
          </w:p>
        </w:tc>
        <w:tc>
          <w:tcPr>
            <w:tcW w:w="283" w:type="dxa"/>
            <w:tcBorders>
              <w:top w:val="nil"/>
              <w:bottom w:val="nil"/>
            </w:tcBorders>
            <w:noWrap/>
          </w:tcPr>
          <w:p w14:paraId="3322C248"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578404E5"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33</w:t>
            </w:r>
          </w:p>
        </w:tc>
      </w:tr>
      <w:tr w:rsidR="00AB33EC" w:rsidRPr="003E75E2" w14:paraId="7746B9D2" w14:textId="77777777" w:rsidTr="00B721B7">
        <w:trPr>
          <w:trHeight w:val="20"/>
        </w:trPr>
        <w:tc>
          <w:tcPr>
            <w:tcW w:w="5529" w:type="dxa"/>
            <w:tcBorders>
              <w:top w:val="nil"/>
              <w:left w:val="nil"/>
              <w:bottom w:val="nil"/>
            </w:tcBorders>
            <w:noWrap/>
            <w:tcMar>
              <w:left w:w="0" w:type="dxa"/>
              <w:right w:w="0" w:type="dxa"/>
            </w:tcMar>
            <w:vAlign w:val="bottom"/>
          </w:tcPr>
          <w:p w14:paraId="24D1CBB8"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Services received below fair value (see Note 2)</w:t>
            </w:r>
          </w:p>
        </w:tc>
        <w:tc>
          <w:tcPr>
            <w:tcW w:w="567" w:type="dxa"/>
            <w:tcBorders>
              <w:top w:val="nil"/>
              <w:bottom w:val="nil"/>
            </w:tcBorders>
            <w:noWrap/>
            <w:tcMar>
              <w:left w:w="0" w:type="dxa"/>
              <w:right w:w="0" w:type="dxa"/>
            </w:tcMar>
            <w:vAlign w:val="bottom"/>
          </w:tcPr>
          <w:p w14:paraId="1F8115CE"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tcPr>
          <w:p w14:paraId="362E5003" w14:textId="77777777" w:rsidR="00AB33EC" w:rsidRPr="003E75E2" w:rsidRDefault="00AB33EC" w:rsidP="00B721B7">
            <w:pPr>
              <w:pStyle w:val="Normaltabletext1stpararight"/>
              <w:spacing w:line="240" w:lineRule="auto"/>
              <w:rPr>
                <w:rFonts w:cstheme="minorHAnsi"/>
                <w:color w:val="414042" w:themeColor="text1"/>
                <w:lang w:eastAsia="en-AU"/>
              </w:rPr>
            </w:pPr>
            <w:r w:rsidRPr="001F195F">
              <w:t>1,</w:t>
            </w:r>
            <w:r>
              <w:t>541</w:t>
            </w:r>
            <w:r w:rsidRPr="001F195F">
              <w:t xml:space="preserve"> </w:t>
            </w:r>
          </w:p>
        </w:tc>
        <w:tc>
          <w:tcPr>
            <w:tcW w:w="283" w:type="dxa"/>
            <w:tcBorders>
              <w:top w:val="nil"/>
              <w:bottom w:val="nil"/>
            </w:tcBorders>
            <w:noWrap/>
          </w:tcPr>
          <w:p w14:paraId="29C04434"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500552CF"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1,302</w:t>
            </w:r>
          </w:p>
        </w:tc>
      </w:tr>
      <w:tr w:rsidR="00AB33EC" w:rsidRPr="003E75E2" w14:paraId="364035A7" w14:textId="77777777" w:rsidTr="00B721B7">
        <w:trPr>
          <w:trHeight w:val="20"/>
        </w:trPr>
        <w:tc>
          <w:tcPr>
            <w:tcW w:w="5529" w:type="dxa"/>
            <w:tcBorders>
              <w:top w:val="nil"/>
              <w:left w:val="nil"/>
              <w:bottom w:val="nil"/>
            </w:tcBorders>
            <w:noWrap/>
            <w:tcMar>
              <w:left w:w="0" w:type="dxa"/>
              <w:right w:w="0" w:type="dxa"/>
            </w:tcMar>
            <w:vAlign w:val="bottom"/>
          </w:tcPr>
          <w:p w14:paraId="6F539955"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 xml:space="preserve">Losses – </w:t>
            </w:r>
            <w:r w:rsidRPr="003E75E2">
              <w:rPr>
                <w:rFonts w:cstheme="minorHAnsi"/>
                <w:color w:val="414042" w:themeColor="text1"/>
              </w:rPr>
              <w:t>On disposal of property, plant and equipment</w:t>
            </w:r>
          </w:p>
        </w:tc>
        <w:tc>
          <w:tcPr>
            <w:tcW w:w="567" w:type="dxa"/>
            <w:tcBorders>
              <w:top w:val="nil"/>
              <w:bottom w:val="nil"/>
            </w:tcBorders>
            <w:noWrap/>
            <w:tcMar>
              <w:left w:w="0" w:type="dxa"/>
              <w:right w:w="0" w:type="dxa"/>
            </w:tcMar>
            <w:vAlign w:val="bottom"/>
          </w:tcPr>
          <w:p w14:paraId="752E4F62"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tcPr>
          <w:p w14:paraId="0CA84609" w14:textId="77777777" w:rsidR="00AB33EC" w:rsidRPr="003E75E2" w:rsidRDefault="00AB33EC" w:rsidP="00B721B7">
            <w:pPr>
              <w:pStyle w:val="Normaltabletext1stpararight"/>
              <w:spacing w:line="240" w:lineRule="auto"/>
              <w:rPr>
                <w:rFonts w:cstheme="minorHAnsi"/>
                <w:color w:val="414042" w:themeColor="text1"/>
                <w:lang w:eastAsia="en-AU"/>
              </w:rPr>
            </w:pPr>
            <w:r w:rsidRPr="001F195F">
              <w:t xml:space="preserve">31 </w:t>
            </w:r>
          </w:p>
        </w:tc>
        <w:tc>
          <w:tcPr>
            <w:tcW w:w="283" w:type="dxa"/>
            <w:tcBorders>
              <w:top w:val="nil"/>
              <w:bottom w:val="nil"/>
            </w:tcBorders>
            <w:noWrap/>
          </w:tcPr>
          <w:p w14:paraId="2E937C3F"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6B124078"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27</w:t>
            </w:r>
          </w:p>
        </w:tc>
      </w:tr>
      <w:tr w:rsidR="00AB33EC" w:rsidRPr="003E75E2" w14:paraId="256B5569" w14:textId="77777777" w:rsidTr="00B721B7">
        <w:trPr>
          <w:trHeight w:val="20"/>
        </w:trPr>
        <w:tc>
          <w:tcPr>
            <w:tcW w:w="5529" w:type="dxa"/>
            <w:tcBorders>
              <w:top w:val="nil"/>
              <w:left w:val="nil"/>
              <w:bottom w:val="nil"/>
            </w:tcBorders>
            <w:noWrap/>
            <w:tcMar>
              <w:left w:w="0" w:type="dxa"/>
              <w:right w:w="0" w:type="dxa"/>
            </w:tcMar>
            <w:vAlign w:val="bottom"/>
          </w:tcPr>
          <w:p w14:paraId="58571D76"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Sundry expenses</w:t>
            </w:r>
          </w:p>
        </w:tc>
        <w:tc>
          <w:tcPr>
            <w:tcW w:w="567" w:type="dxa"/>
            <w:tcBorders>
              <w:top w:val="nil"/>
              <w:bottom w:val="nil"/>
            </w:tcBorders>
            <w:noWrap/>
            <w:tcMar>
              <w:left w:w="0" w:type="dxa"/>
              <w:right w:w="0" w:type="dxa"/>
            </w:tcMar>
            <w:vAlign w:val="bottom"/>
          </w:tcPr>
          <w:p w14:paraId="211210E2"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4D1E7FD9"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46</w:t>
            </w:r>
          </w:p>
        </w:tc>
        <w:tc>
          <w:tcPr>
            <w:tcW w:w="283" w:type="dxa"/>
            <w:tcBorders>
              <w:top w:val="nil"/>
              <w:bottom w:val="nil"/>
            </w:tcBorders>
            <w:noWrap/>
          </w:tcPr>
          <w:p w14:paraId="261B8831"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094489E9"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45</w:t>
            </w:r>
          </w:p>
        </w:tc>
      </w:tr>
      <w:tr w:rsidR="00AB33EC" w:rsidRPr="003E75E2" w14:paraId="4B1E8A02" w14:textId="77777777" w:rsidTr="00B721B7">
        <w:trPr>
          <w:trHeight w:val="20"/>
        </w:trPr>
        <w:tc>
          <w:tcPr>
            <w:tcW w:w="5529" w:type="dxa"/>
            <w:tcBorders>
              <w:top w:val="nil"/>
              <w:left w:val="nil"/>
              <w:bottom w:val="nil"/>
            </w:tcBorders>
            <w:noWrap/>
            <w:tcMar>
              <w:left w:w="0" w:type="dxa"/>
              <w:right w:w="0" w:type="dxa"/>
            </w:tcMar>
            <w:vAlign w:val="bottom"/>
          </w:tcPr>
          <w:p w14:paraId="21B8659A" w14:textId="77777777" w:rsidR="00AB33EC" w:rsidRPr="003E75E2" w:rsidRDefault="00AB33EC" w:rsidP="00B721B7">
            <w:pPr>
              <w:pStyle w:val="Normaltabletextleft"/>
              <w:tabs>
                <w:tab w:val="left" w:pos="0"/>
              </w:tabs>
              <w:spacing w:line="240" w:lineRule="auto"/>
              <w:rPr>
                <w:rFonts w:cstheme="minorHAnsi"/>
                <w:b/>
                <w:color w:val="414042" w:themeColor="text1"/>
                <w:lang w:eastAsia="en-AU"/>
              </w:rPr>
            </w:pPr>
            <w:r w:rsidRPr="003E75E2">
              <w:rPr>
                <w:rFonts w:cstheme="minorHAnsi"/>
                <w:b/>
                <w:color w:val="414042" w:themeColor="text1"/>
                <w:lang w:eastAsia="en-AU"/>
              </w:rPr>
              <w:t>Total</w:t>
            </w:r>
          </w:p>
        </w:tc>
        <w:tc>
          <w:tcPr>
            <w:tcW w:w="567" w:type="dxa"/>
            <w:tcBorders>
              <w:top w:val="nil"/>
              <w:bottom w:val="nil"/>
            </w:tcBorders>
            <w:noWrap/>
            <w:tcMar>
              <w:left w:w="0" w:type="dxa"/>
              <w:right w:w="0" w:type="dxa"/>
            </w:tcMar>
            <w:vAlign w:val="bottom"/>
          </w:tcPr>
          <w:p w14:paraId="3A1E9139"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417" w:type="dxa"/>
            <w:tcBorders>
              <w:top w:val="single" w:sz="4" w:space="0" w:color="auto"/>
              <w:bottom w:val="double" w:sz="4" w:space="0" w:color="auto"/>
            </w:tcBorders>
            <w:shd w:val="clear" w:color="auto" w:fill="F1F1F2" w:themeFill="accent5" w:themeFillTint="33"/>
            <w:noWrap/>
            <w:tcMar>
              <w:left w:w="0" w:type="dxa"/>
              <w:right w:w="113" w:type="dxa"/>
            </w:tcMar>
            <w:vAlign w:val="bottom"/>
          </w:tcPr>
          <w:p w14:paraId="41B60E19" w14:textId="77777777" w:rsidR="00AB33EC" w:rsidRPr="003E75E2" w:rsidRDefault="00AB33EC" w:rsidP="00B721B7">
            <w:pPr>
              <w:pStyle w:val="Normaltabletext1stpararight"/>
              <w:spacing w:line="240" w:lineRule="auto"/>
              <w:rPr>
                <w:rFonts w:cstheme="minorHAnsi"/>
                <w:b/>
                <w:iCs/>
                <w:color w:val="414042" w:themeColor="text1"/>
                <w:lang w:eastAsia="en-AU"/>
              </w:rPr>
            </w:pPr>
            <w:r>
              <w:rPr>
                <w:rFonts w:cstheme="minorHAnsi"/>
                <w:b/>
                <w:iCs/>
                <w:color w:val="414042" w:themeColor="text1"/>
                <w:lang w:eastAsia="en-AU"/>
              </w:rPr>
              <w:t>1,726</w:t>
            </w:r>
          </w:p>
        </w:tc>
        <w:tc>
          <w:tcPr>
            <w:tcW w:w="283" w:type="dxa"/>
            <w:tcBorders>
              <w:top w:val="nil"/>
              <w:bottom w:val="nil"/>
            </w:tcBorders>
            <w:noWrap/>
          </w:tcPr>
          <w:p w14:paraId="0047BF7C" w14:textId="77777777" w:rsidR="00AB33EC" w:rsidRPr="003E75E2" w:rsidRDefault="00AB33EC" w:rsidP="00B721B7">
            <w:pPr>
              <w:pStyle w:val="Normaltabletextleft"/>
              <w:spacing w:line="240" w:lineRule="auto"/>
              <w:rPr>
                <w:rFonts w:cstheme="minorHAnsi"/>
                <w:b/>
                <w:color w:val="414042" w:themeColor="text1"/>
              </w:rPr>
            </w:pPr>
          </w:p>
        </w:tc>
        <w:tc>
          <w:tcPr>
            <w:tcW w:w="1276" w:type="dxa"/>
            <w:tcBorders>
              <w:top w:val="single" w:sz="4" w:space="0" w:color="auto"/>
              <w:bottom w:val="double" w:sz="4" w:space="0" w:color="auto"/>
              <w:right w:val="nil"/>
            </w:tcBorders>
            <w:shd w:val="clear" w:color="auto" w:fill="auto"/>
            <w:noWrap/>
            <w:tcMar>
              <w:left w:w="0" w:type="dxa"/>
              <w:right w:w="113" w:type="dxa"/>
            </w:tcMar>
            <w:vAlign w:val="bottom"/>
          </w:tcPr>
          <w:p w14:paraId="5B89A8D3" w14:textId="77777777" w:rsidR="00AB33EC" w:rsidRPr="003E75E2" w:rsidRDefault="00AB33EC" w:rsidP="00B721B7">
            <w:pPr>
              <w:pStyle w:val="Normaltabletext1stpararight"/>
              <w:spacing w:line="240" w:lineRule="auto"/>
              <w:rPr>
                <w:rFonts w:cstheme="minorHAnsi"/>
                <w:b/>
                <w:iCs/>
                <w:color w:val="414042" w:themeColor="text1"/>
                <w:lang w:eastAsia="en-AU"/>
              </w:rPr>
            </w:pPr>
            <w:r w:rsidRPr="003E75E2">
              <w:rPr>
                <w:rFonts w:cstheme="minorHAnsi"/>
                <w:b/>
                <w:iCs/>
                <w:color w:val="414042" w:themeColor="text1"/>
                <w:lang w:eastAsia="en-AU"/>
              </w:rPr>
              <w:t>1,474</w:t>
            </w:r>
          </w:p>
        </w:tc>
      </w:tr>
    </w:tbl>
    <w:p w14:paraId="6DA15168" w14:textId="77777777" w:rsidR="00AB33EC" w:rsidRPr="003E75E2" w:rsidRDefault="00AB33EC" w:rsidP="00AB33EC">
      <w:pPr>
        <w:pStyle w:val="Noteswithhangingindent"/>
        <w:spacing w:line="240" w:lineRule="auto"/>
        <w:rPr>
          <w:rFonts w:cstheme="minorHAnsi"/>
          <w:vertAlign w:val="superscript"/>
        </w:rPr>
      </w:pPr>
    </w:p>
    <w:p w14:paraId="60BCE516" w14:textId="77777777" w:rsidR="00AB33EC" w:rsidRPr="003E75E2" w:rsidRDefault="00AB33EC" w:rsidP="000E6ED6">
      <w:pPr>
        <w:pStyle w:val="Noteswithhangingindent"/>
        <w:spacing w:before="0" w:line="240" w:lineRule="auto"/>
        <w:jc w:val="both"/>
        <w:rPr>
          <w:rFonts w:cstheme="minorHAnsi"/>
        </w:rPr>
      </w:pPr>
      <w:r w:rsidRPr="003E75E2">
        <w:rPr>
          <w:rFonts w:cstheme="minorHAnsi"/>
          <w:vertAlign w:val="superscript"/>
        </w:rPr>
        <w:t>1</w:t>
      </w:r>
      <w:r w:rsidRPr="003E75E2">
        <w:rPr>
          <w:rFonts w:cstheme="minorHAnsi"/>
        </w:rPr>
        <w:tab/>
        <w:t xml:space="preserve">Estimate of fees payable to Queensland Audit Office relating to the 2023–24 financial statements is $71,900 (2023 fee: $66,900). </w:t>
      </w:r>
    </w:p>
    <w:p w14:paraId="49AD62D2" w14:textId="77777777" w:rsidR="00AB33EC" w:rsidRPr="003E75E2" w:rsidRDefault="00AB33EC" w:rsidP="000E6ED6">
      <w:pPr>
        <w:pStyle w:val="Noteswithhangingindent"/>
        <w:spacing w:before="0" w:line="240" w:lineRule="auto"/>
        <w:jc w:val="both"/>
        <w:rPr>
          <w:rFonts w:cstheme="minorHAnsi"/>
        </w:rPr>
      </w:pPr>
      <w:r w:rsidRPr="003E75E2">
        <w:rPr>
          <w:rFonts w:cstheme="minorHAnsi"/>
          <w:vertAlign w:val="superscript"/>
        </w:rPr>
        <w:t>2</w:t>
      </w:r>
      <w:r w:rsidRPr="003E75E2">
        <w:rPr>
          <w:rFonts w:cstheme="minorHAnsi"/>
        </w:rPr>
        <w:tab/>
        <w:t>The CCC’s non–current physical assets and other risks are insured through the Queensland Government Insurance Fund, premiums being paid on a risk assessment basis. Insurance claims are subject to a $10,000 deductible per claim.</w:t>
      </w:r>
    </w:p>
    <w:p w14:paraId="1BB4E65C" w14:textId="77777777" w:rsidR="00AB33EC" w:rsidRPr="003E75E2" w:rsidRDefault="00AB33EC" w:rsidP="00AB33EC">
      <w:pPr>
        <w:spacing w:line="259" w:lineRule="auto"/>
        <w:rPr>
          <w:rFonts w:asciiTheme="minorHAnsi" w:eastAsia="Times New Roman" w:hAnsiTheme="minorHAnsi" w:cstheme="minorHAnsi"/>
          <w:b/>
          <w:sz w:val="23"/>
          <w:szCs w:val="20"/>
        </w:rPr>
      </w:pPr>
      <w:r w:rsidRPr="003E75E2">
        <w:rPr>
          <w:rFonts w:asciiTheme="minorHAnsi" w:eastAsia="Times New Roman" w:hAnsiTheme="minorHAnsi" w:cstheme="minorHAnsi"/>
          <w:b/>
          <w:sz w:val="23"/>
          <w:szCs w:val="20"/>
        </w:rPr>
        <w:br w:type="page"/>
      </w:r>
    </w:p>
    <w:p w14:paraId="05F6299F" w14:textId="77777777" w:rsidR="00AB33EC" w:rsidRPr="003E75E2" w:rsidRDefault="00AB33EC" w:rsidP="00A855A6">
      <w:pPr>
        <w:pStyle w:val="Normal115pttext"/>
        <w:spacing w:line="240" w:lineRule="auto"/>
        <w:rPr>
          <w:rFonts w:cstheme="minorHAnsi"/>
          <w:color w:val="414042" w:themeColor="text1"/>
        </w:rPr>
      </w:pPr>
      <w:r w:rsidRPr="003E75E2">
        <w:rPr>
          <w:rFonts w:cstheme="minorHAnsi"/>
          <w:color w:val="414042" w:themeColor="text1"/>
        </w:rPr>
        <w:t>Note 7:  Cash and Cash Equivalents</w:t>
      </w:r>
    </w:p>
    <w:p w14:paraId="4FA77634" w14:textId="77777777" w:rsidR="00AB33EC" w:rsidRPr="003E75E2" w:rsidRDefault="00AB33EC" w:rsidP="00AB33EC">
      <w:pPr>
        <w:rPr>
          <w:rFonts w:asciiTheme="minorHAnsi" w:hAnsiTheme="minorHAnsi" w:cstheme="minorHAnsi"/>
          <w:color w:val="414042" w:themeColor="text1"/>
        </w:rPr>
      </w:pPr>
    </w:p>
    <w:p w14:paraId="666E80A1" w14:textId="77777777" w:rsidR="00AB33EC" w:rsidRPr="003E75E2" w:rsidRDefault="00AB33EC" w:rsidP="0037124B">
      <w:pPr>
        <w:pStyle w:val="Policyheading"/>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color w:val="414042" w:themeColor="text1"/>
        </w:rPr>
      </w:pPr>
      <w:r w:rsidRPr="003E75E2">
        <w:rPr>
          <w:rFonts w:cstheme="minorHAnsi"/>
          <w:color w:val="414042" w:themeColor="text1"/>
        </w:rPr>
        <w:t>Accounting Policy:</w:t>
      </w:r>
    </w:p>
    <w:p w14:paraId="79EEABC2" w14:textId="110EE4F1" w:rsidR="00AB33EC" w:rsidRDefault="00AB33EC" w:rsidP="0037124B">
      <w:pPr>
        <w:pStyle w:val="Policy1stpara"/>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color w:val="414042" w:themeColor="text1"/>
        </w:rPr>
      </w:pPr>
      <w:r w:rsidRPr="003E75E2">
        <w:rPr>
          <w:rFonts w:cstheme="minorHAnsi"/>
          <w:b/>
          <w:i/>
          <w:color w:val="414042" w:themeColor="text1"/>
        </w:rPr>
        <w:t xml:space="preserve">Cash and Cash Equivalents – </w:t>
      </w:r>
      <w:r w:rsidRPr="003E75E2">
        <w:rPr>
          <w:rFonts w:cstheme="minorHAnsi"/>
          <w:color w:val="414042" w:themeColor="text1"/>
        </w:rPr>
        <w:t>Cash and cash equivalents include all cash and cheques receipted but not banked at 30 June. Term deposits are held with major banking institutions and/or Queensland Treasury Corporation and represent liquid investments with short periods to maturity that are readily convertible to cash on hand at the CCC’s option and that are subject to a low risk of changes in value.</w:t>
      </w:r>
    </w:p>
    <w:p w14:paraId="54401B93" w14:textId="77777777" w:rsidR="00AB33EC" w:rsidRPr="003E75E2" w:rsidRDefault="00AB33EC" w:rsidP="00AB33EC">
      <w:pPr>
        <w:pStyle w:val="Policy1stpara"/>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color w:val="414042" w:themeColor="text1"/>
        </w:rPr>
      </w:pPr>
    </w:p>
    <w:tbl>
      <w:tblPr>
        <w:tblpPr w:leftFromText="180" w:rightFromText="180" w:vertAnchor="text" w:horzAnchor="margin" w:tblpY="289"/>
        <w:tblW w:w="9072" w:type="dxa"/>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AB33EC" w:rsidRPr="003E75E2" w14:paraId="30F1D4C0" w14:textId="77777777" w:rsidTr="00B721B7">
        <w:trPr>
          <w:trHeight w:val="20"/>
        </w:trPr>
        <w:tc>
          <w:tcPr>
            <w:tcW w:w="5529" w:type="dxa"/>
            <w:noWrap/>
            <w:tcMar>
              <w:left w:w="0" w:type="dxa"/>
              <w:right w:w="0" w:type="dxa"/>
            </w:tcMar>
            <w:vAlign w:val="bottom"/>
          </w:tcPr>
          <w:p w14:paraId="3A6EB809"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p>
        </w:tc>
        <w:tc>
          <w:tcPr>
            <w:tcW w:w="567" w:type="dxa"/>
            <w:noWrap/>
            <w:tcMar>
              <w:left w:w="0" w:type="dxa"/>
              <w:right w:w="0" w:type="dxa"/>
            </w:tcMar>
            <w:vAlign w:val="bottom"/>
          </w:tcPr>
          <w:p w14:paraId="4496FEBF"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shd w:val="clear" w:color="auto" w:fill="F1F1F2" w:themeFill="accent5" w:themeFillTint="33"/>
            <w:noWrap/>
            <w:tcMar>
              <w:left w:w="0" w:type="dxa"/>
              <w:right w:w="113" w:type="dxa"/>
            </w:tcMar>
            <w:vAlign w:val="bottom"/>
          </w:tcPr>
          <w:p w14:paraId="6FB7B82E"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2024</w:t>
            </w:r>
          </w:p>
        </w:tc>
        <w:tc>
          <w:tcPr>
            <w:tcW w:w="283" w:type="dxa"/>
            <w:noWrap/>
          </w:tcPr>
          <w:p w14:paraId="7621B1E5" w14:textId="77777777" w:rsidR="00AB33EC" w:rsidRPr="003E75E2" w:rsidRDefault="00AB33EC" w:rsidP="00B721B7">
            <w:pPr>
              <w:pStyle w:val="Normaltabletextleft"/>
              <w:spacing w:line="240" w:lineRule="auto"/>
              <w:rPr>
                <w:rFonts w:cstheme="minorHAnsi"/>
                <w:color w:val="414042" w:themeColor="text1"/>
              </w:rPr>
            </w:pPr>
          </w:p>
        </w:tc>
        <w:tc>
          <w:tcPr>
            <w:tcW w:w="1276" w:type="dxa"/>
            <w:shd w:val="clear" w:color="auto" w:fill="FFFFFF" w:themeFill="background1"/>
            <w:noWrap/>
            <w:tcMar>
              <w:left w:w="0" w:type="dxa"/>
              <w:right w:w="113" w:type="dxa"/>
            </w:tcMar>
            <w:vAlign w:val="bottom"/>
          </w:tcPr>
          <w:p w14:paraId="05B2A1B2"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2023</w:t>
            </w:r>
          </w:p>
        </w:tc>
      </w:tr>
      <w:tr w:rsidR="00AB33EC" w:rsidRPr="003E75E2" w14:paraId="31BECF77" w14:textId="77777777" w:rsidTr="00B721B7">
        <w:trPr>
          <w:trHeight w:val="20"/>
        </w:trPr>
        <w:tc>
          <w:tcPr>
            <w:tcW w:w="5529" w:type="dxa"/>
            <w:noWrap/>
            <w:tcMar>
              <w:left w:w="0" w:type="dxa"/>
              <w:right w:w="0" w:type="dxa"/>
            </w:tcMar>
            <w:vAlign w:val="bottom"/>
          </w:tcPr>
          <w:p w14:paraId="487B8E3C"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p>
        </w:tc>
        <w:tc>
          <w:tcPr>
            <w:tcW w:w="567" w:type="dxa"/>
            <w:noWrap/>
            <w:tcMar>
              <w:left w:w="0" w:type="dxa"/>
              <w:right w:w="0" w:type="dxa"/>
            </w:tcMar>
            <w:vAlign w:val="bottom"/>
          </w:tcPr>
          <w:p w14:paraId="470C6E63"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shd w:val="clear" w:color="auto" w:fill="F1F1F2" w:themeFill="accent5" w:themeFillTint="33"/>
            <w:noWrap/>
            <w:tcMar>
              <w:left w:w="0" w:type="dxa"/>
              <w:right w:w="113" w:type="dxa"/>
            </w:tcMar>
            <w:vAlign w:val="bottom"/>
          </w:tcPr>
          <w:p w14:paraId="42F39698"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$’000</w:t>
            </w:r>
          </w:p>
        </w:tc>
        <w:tc>
          <w:tcPr>
            <w:tcW w:w="283" w:type="dxa"/>
            <w:noWrap/>
          </w:tcPr>
          <w:p w14:paraId="15E51BC4" w14:textId="77777777" w:rsidR="00AB33EC" w:rsidRPr="003E75E2" w:rsidRDefault="00AB33EC" w:rsidP="00B721B7">
            <w:pPr>
              <w:pStyle w:val="Normaltabletextleft"/>
              <w:spacing w:line="240" w:lineRule="auto"/>
              <w:rPr>
                <w:rFonts w:cstheme="minorHAnsi"/>
                <w:color w:val="414042" w:themeColor="text1"/>
              </w:rPr>
            </w:pPr>
          </w:p>
        </w:tc>
        <w:tc>
          <w:tcPr>
            <w:tcW w:w="1276" w:type="dxa"/>
            <w:shd w:val="clear" w:color="auto" w:fill="FFFFFF" w:themeFill="background1"/>
            <w:noWrap/>
            <w:tcMar>
              <w:left w:w="0" w:type="dxa"/>
              <w:right w:w="113" w:type="dxa"/>
            </w:tcMar>
            <w:vAlign w:val="bottom"/>
          </w:tcPr>
          <w:p w14:paraId="1166D9D1"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$’000</w:t>
            </w:r>
          </w:p>
        </w:tc>
      </w:tr>
      <w:tr w:rsidR="00AB33EC" w:rsidRPr="003E75E2" w14:paraId="2766E0C3" w14:textId="77777777" w:rsidTr="00B721B7">
        <w:trPr>
          <w:trHeight w:val="66"/>
        </w:trPr>
        <w:tc>
          <w:tcPr>
            <w:tcW w:w="5529" w:type="dxa"/>
            <w:noWrap/>
            <w:tcMar>
              <w:left w:w="0" w:type="dxa"/>
              <w:right w:w="0" w:type="dxa"/>
            </w:tcMar>
            <w:vAlign w:val="bottom"/>
          </w:tcPr>
          <w:p w14:paraId="0029C5FA" w14:textId="77777777" w:rsidR="00AB33EC" w:rsidRPr="003E75E2" w:rsidRDefault="00AB33EC" w:rsidP="00B721B7">
            <w:pPr>
              <w:pStyle w:val="Normaltabletextleft"/>
              <w:spacing w:line="240" w:lineRule="auto"/>
              <w:rPr>
                <w:rFonts w:cstheme="minorHAnsi"/>
                <w:color w:val="414042" w:themeColor="text1"/>
                <w:lang w:eastAsia="en-AU"/>
              </w:rPr>
            </w:pPr>
          </w:p>
        </w:tc>
        <w:tc>
          <w:tcPr>
            <w:tcW w:w="567" w:type="dxa"/>
            <w:noWrap/>
            <w:tcMar>
              <w:left w:w="0" w:type="dxa"/>
              <w:right w:w="0" w:type="dxa"/>
            </w:tcMar>
            <w:vAlign w:val="bottom"/>
          </w:tcPr>
          <w:p w14:paraId="5D9CAEB5" w14:textId="77777777" w:rsidR="00AB33EC" w:rsidRPr="003E75E2" w:rsidRDefault="00AB33EC" w:rsidP="00B721B7">
            <w:pPr>
              <w:pStyle w:val="Normaltabletextleft"/>
              <w:spacing w:line="240" w:lineRule="auto"/>
              <w:jc w:val="center"/>
              <w:rPr>
                <w:rFonts w:cstheme="minorHAnsi"/>
                <w:color w:val="414042" w:themeColor="text1"/>
                <w:lang w:eastAsia="en-AU"/>
              </w:rPr>
            </w:pPr>
          </w:p>
        </w:tc>
        <w:tc>
          <w:tcPr>
            <w:tcW w:w="1417" w:type="dxa"/>
            <w:shd w:val="clear" w:color="auto" w:fill="F1F1F2" w:themeFill="accent5" w:themeFillTint="33"/>
            <w:noWrap/>
            <w:tcMar>
              <w:left w:w="0" w:type="dxa"/>
              <w:right w:w="113" w:type="dxa"/>
            </w:tcMar>
            <w:vAlign w:val="bottom"/>
          </w:tcPr>
          <w:p w14:paraId="5EE73A02" w14:textId="77777777" w:rsidR="00AB33EC" w:rsidRPr="003E75E2" w:rsidRDefault="00AB33EC" w:rsidP="00B721B7">
            <w:pPr>
              <w:pStyle w:val="Normaltabletextleft"/>
              <w:spacing w:line="240" w:lineRule="auto"/>
              <w:jc w:val="right"/>
              <w:rPr>
                <w:rFonts w:cstheme="minorHAnsi"/>
                <w:color w:val="414042" w:themeColor="text1"/>
                <w:lang w:eastAsia="en-AU"/>
              </w:rPr>
            </w:pPr>
          </w:p>
        </w:tc>
        <w:tc>
          <w:tcPr>
            <w:tcW w:w="283" w:type="dxa"/>
            <w:noWrap/>
          </w:tcPr>
          <w:p w14:paraId="67A9484C" w14:textId="77777777" w:rsidR="00AB33EC" w:rsidRPr="003E75E2" w:rsidRDefault="00AB33EC" w:rsidP="00B721B7">
            <w:pPr>
              <w:pStyle w:val="Normaltabletextleft"/>
              <w:spacing w:line="240" w:lineRule="auto"/>
              <w:rPr>
                <w:rFonts w:cstheme="minorHAnsi"/>
                <w:color w:val="414042" w:themeColor="text1"/>
              </w:rPr>
            </w:pPr>
          </w:p>
        </w:tc>
        <w:tc>
          <w:tcPr>
            <w:tcW w:w="1276" w:type="dxa"/>
            <w:shd w:val="clear" w:color="auto" w:fill="FFFFFF" w:themeFill="background1"/>
            <w:noWrap/>
            <w:tcMar>
              <w:left w:w="0" w:type="dxa"/>
              <w:right w:w="113" w:type="dxa"/>
            </w:tcMar>
            <w:vAlign w:val="bottom"/>
          </w:tcPr>
          <w:p w14:paraId="64478930" w14:textId="77777777" w:rsidR="00AB33EC" w:rsidRPr="003E75E2" w:rsidRDefault="00AB33EC" w:rsidP="00B721B7">
            <w:pPr>
              <w:pStyle w:val="Normaltabletextleft"/>
              <w:spacing w:line="240" w:lineRule="auto"/>
              <w:jc w:val="right"/>
              <w:rPr>
                <w:rFonts w:cstheme="minorHAnsi"/>
                <w:color w:val="414042" w:themeColor="text1"/>
                <w:lang w:eastAsia="en-AU"/>
              </w:rPr>
            </w:pPr>
          </w:p>
        </w:tc>
      </w:tr>
      <w:tr w:rsidR="00AB33EC" w:rsidRPr="003E75E2" w14:paraId="1CCF312A" w14:textId="77777777" w:rsidTr="00B721B7">
        <w:trPr>
          <w:trHeight w:val="20"/>
        </w:trPr>
        <w:tc>
          <w:tcPr>
            <w:tcW w:w="5529" w:type="dxa"/>
            <w:noWrap/>
            <w:tcMar>
              <w:left w:w="0" w:type="dxa"/>
              <w:right w:w="0" w:type="dxa"/>
            </w:tcMar>
            <w:vAlign w:val="bottom"/>
          </w:tcPr>
          <w:p w14:paraId="30C96904"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Imprest accounts</w:t>
            </w:r>
          </w:p>
        </w:tc>
        <w:tc>
          <w:tcPr>
            <w:tcW w:w="567" w:type="dxa"/>
            <w:noWrap/>
            <w:tcMar>
              <w:left w:w="0" w:type="dxa"/>
              <w:right w:w="0" w:type="dxa"/>
            </w:tcMar>
            <w:vAlign w:val="bottom"/>
          </w:tcPr>
          <w:p w14:paraId="39CE7F91"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shd w:val="clear" w:color="auto" w:fill="F1F1F2" w:themeFill="accent5" w:themeFillTint="33"/>
            <w:noWrap/>
            <w:tcMar>
              <w:left w:w="0" w:type="dxa"/>
              <w:right w:w="113" w:type="dxa"/>
            </w:tcMar>
          </w:tcPr>
          <w:p w14:paraId="4200B198" w14:textId="77777777" w:rsidR="00AB33EC" w:rsidRPr="003E75E2" w:rsidRDefault="00AB33EC" w:rsidP="00B721B7">
            <w:pPr>
              <w:pStyle w:val="Normaltabletext1stpararight"/>
              <w:spacing w:line="240" w:lineRule="auto"/>
              <w:rPr>
                <w:rFonts w:cstheme="minorHAnsi"/>
                <w:color w:val="414042" w:themeColor="text1"/>
                <w:lang w:eastAsia="en-AU"/>
              </w:rPr>
            </w:pPr>
            <w:r w:rsidRPr="00851829">
              <w:t xml:space="preserve">4 </w:t>
            </w:r>
          </w:p>
        </w:tc>
        <w:tc>
          <w:tcPr>
            <w:tcW w:w="283" w:type="dxa"/>
            <w:noWrap/>
          </w:tcPr>
          <w:p w14:paraId="2FA9FED8" w14:textId="77777777" w:rsidR="00AB33EC" w:rsidRPr="003E75E2" w:rsidRDefault="00AB33EC" w:rsidP="00B721B7">
            <w:pPr>
              <w:pStyle w:val="Normaltabletextleft"/>
              <w:spacing w:line="240" w:lineRule="auto"/>
              <w:rPr>
                <w:rFonts w:cstheme="minorHAnsi"/>
                <w:color w:val="414042" w:themeColor="text1"/>
              </w:rPr>
            </w:pPr>
          </w:p>
        </w:tc>
        <w:tc>
          <w:tcPr>
            <w:tcW w:w="1276" w:type="dxa"/>
            <w:shd w:val="clear" w:color="auto" w:fill="auto"/>
            <w:noWrap/>
            <w:tcMar>
              <w:left w:w="0" w:type="dxa"/>
              <w:right w:w="113" w:type="dxa"/>
            </w:tcMar>
            <w:vAlign w:val="bottom"/>
          </w:tcPr>
          <w:p w14:paraId="27A26A27"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3</w:t>
            </w:r>
          </w:p>
        </w:tc>
      </w:tr>
      <w:tr w:rsidR="00AB33EC" w:rsidRPr="003E75E2" w14:paraId="2E463693" w14:textId="77777777" w:rsidTr="00B721B7">
        <w:trPr>
          <w:trHeight w:val="20"/>
        </w:trPr>
        <w:tc>
          <w:tcPr>
            <w:tcW w:w="5529" w:type="dxa"/>
            <w:noWrap/>
            <w:tcMar>
              <w:left w:w="0" w:type="dxa"/>
              <w:right w:w="0" w:type="dxa"/>
            </w:tcMar>
            <w:vAlign w:val="bottom"/>
          </w:tcPr>
          <w:p w14:paraId="539DC750"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 xml:space="preserve">Cash at bank </w:t>
            </w:r>
          </w:p>
        </w:tc>
        <w:tc>
          <w:tcPr>
            <w:tcW w:w="567" w:type="dxa"/>
            <w:noWrap/>
            <w:tcMar>
              <w:left w:w="0" w:type="dxa"/>
              <w:right w:w="0" w:type="dxa"/>
            </w:tcMar>
            <w:vAlign w:val="bottom"/>
          </w:tcPr>
          <w:p w14:paraId="66F42499"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shd w:val="clear" w:color="auto" w:fill="F1F1F2" w:themeFill="accent5" w:themeFillTint="33"/>
            <w:noWrap/>
            <w:tcMar>
              <w:left w:w="0" w:type="dxa"/>
              <w:right w:w="113" w:type="dxa"/>
            </w:tcMar>
          </w:tcPr>
          <w:p w14:paraId="3F2CE7EF" w14:textId="77777777" w:rsidR="00AB33EC" w:rsidRPr="003E75E2" w:rsidRDefault="00AB33EC" w:rsidP="00B721B7">
            <w:pPr>
              <w:pStyle w:val="Normaltabletext1stpararight"/>
              <w:spacing w:line="240" w:lineRule="auto"/>
              <w:rPr>
                <w:rFonts w:cstheme="minorHAnsi"/>
                <w:color w:val="414042" w:themeColor="text1"/>
                <w:lang w:eastAsia="en-AU"/>
              </w:rPr>
            </w:pPr>
            <w:r w:rsidRPr="00851829">
              <w:t xml:space="preserve">2,110 </w:t>
            </w:r>
          </w:p>
        </w:tc>
        <w:tc>
          <w:tcPr>
            <w:tcW w:w="283" w:type="dxa"/>
            <w:noWrap/>
          </w:tcPr>
          <w:p w14:paraId="38CA9A4F" w14:textId="77777777" w:rsidR="00AB33EC" w:rsidRPr="003E75E2" w:rsidRDefault="00AB33EC" w:rsidP="00B721B7">
            <w:pPr>
              <w:pStyle w:val="Normaltabletextleft"/>
              <w:spacing w:line="240" w:lineRule="auto"/>
              <w:rPr>
                <w:rFonts w:cstheme="minorHAnsi"/>
                <w:color w:val="414042" w:themeColor="text1"/>
              </w:rPr>
            </w:pPr>
          </w:p>
        </w:tc>
        <w:tc>
          <w:tcPr>
            <w:tcW w:w="1276" w:type="dxa"/>
            <w:shd w:val="clear" w:color="auto" w:fill="auto"/>
            <w:noWrap/>
            <w:tcMar>
              <w:left w:w="0" w:type="dxa"/>
              <w:right w:w="113" w:type="dxa"/>
            </w:tcMar>
            <w:vAlign w:val="bottom"/>
          </w:tcPr>
          <w:p w14:paraId="4F8EA469"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2,155</w:t>
            </w:r>
          </w:p>
        </w:tc>
      </w:tr>
      <w:tr w:rsidR="00AB33EC" w:rsidRPr="003E75E2" w14:paraId="1853FBCE" w14:textId="77777777" w:rsidTr="00B721B7">
        <w:trPr>
          <w:trHeight w:val="20"/>
        </w:trPr>
        <w:tc>
          <w:tcPr>
            <w:tcW w:w="5529" w:type="dxa"/>
            <w:noWrap/>
            <w:tcMar>
              <w:left w:w="0" w:type="dxa"/>
              <w:right w:w="0" w:type="dxa"/>
            </w:tcMar>
            <w:vAlign w:val="bottom"/>
          </w:tcPr>
          <w:p w14:paraId="56A8647E"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Term deposits</w:t>
            </w:r>
          </w:p>
        </w:tc>
        <w:tc>
          <w:tcPr>
            <w:tcW w:w="567" w:type="dxa"/>
            <w:noWrap/>
            <w:tcMar>
              <w:left w:w="0" w:type="dxa"/>
              <w:right w:w="0" w:type="dxa"/>
            </w:tcMar>
            <w:vAlign w:val="bottom"/>
          </w:tcPr>
          <w:p w14:paraId="15240D5E"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shd w:val="clear" w:color="auto" w:fill="F1F1F2" w:themeFill="accent5" w:themeFillTint="33"/>
            <w:noWrap/>
            <w:tcMar>
              <w:left w:w="0" w:type="dxa"/>
              <w:right w:w="113" w:type="dxa"/>
            </w:tcMar>
          </w:tcPr>
          <w:p w14:paraId="23218F97" w14:textId="77777777" w:rsidR="00AB33EC" w:rsidRPr="003E75E2" w:rsidRDefault="00AB33EC" w:rsidP="00B721B7">
            <w:pPr>
              <w:pStyle w:val="Normaltabletext1stpararight"/>
              <w:spacing w:line="240" w:lineRule="auto"/>
              <w:rPr>
                <w:rFonts w:cstheme="minorHAnsi"/>
                <w:color w:val="414042" w:themeColor="text1"/>
                <w:lang w:eastAsia="en-AU"/>
              </w:rPr>
            </w:pPr>
            <w:r w:rsidRPr="00851829">
              <w:t xml:space="preserve">23,817 </w:t>
            </w:r>
          </w:p>
        </w:tc>
        <w:tc>
          <w:tcPr>
            <w:tcW w:w="283" w:type="dxa"/>
            <w:noWrap/>
          </w:tcPr>
          <w:p w14:paraId="598E4F6C" w14:textId="77777777" w:rsidR="00AB33EC" w:rsidRPr="003E75E2" w:rsidRDefault="00AB33EC" w:rsidP="00B721B7">
            <w:pPr>
              <w:pStyle w:val="Normaltabletextleft"/>
              <w:spacing w:line="240" w:lineRule="auto"/>
              <w:rPr>
                <w:rFonts w:cstheme="minorHAnsi"/>
                <w:color w:val="414042" w:themeColor="text1"/>
              </w:rPr>
            </w:pPr>
          </w:p>
        </w:tc>
        <w:tc>
          <w:tcPr>
            <w:tcW w:w="1276" w:type="dxa"/>
            <w:shd w:val="clear" w:color="auto" w:fill="auto"/>
            <w:noWrap/>
            <w:tcMar>
              <w:left w:w="0" w:type="dxa"/>
              <w:right w:w="113" w:type="dxa"/>
            </w:tcMar>
            <w:vAlign w:val="bottom"/>
          </w:tcPr>
          <w:p w14:paraId="4389CB95"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23,057</w:t>
            </w:r>
          </w:p>
        </w:tc>
      </w:tr>
      <w:tr w:rsidR="00AB33EC" w:rsidRPr="003E75E2" w14:paraId="2B734B0C" w14:textId="77777777" w:rsidTr="00B721B7">
        <w:trPr>
          <w:trHeight w:val="20"/>
        </w:trPr>
        <w:tc>
          <w:tcPr>
            <w:tcW w:w="5529" w:type="dxa"/>
            <w:noWrap/>
            <w:tcMar>
              <w:left w:w="0" w:type="dxa"/>
              <w:right w:w="0" w:type="dxa"/>
            </w:tcMar>
            <w:vAlign w:val="bottom"/>
          </w:tcPr>
          <w:p w14:paraId="68EFDE28" w14:textId="77777777" w:rsidR="00AB33EC" w:rsidRPr="003E75E2" w:rsidRDefault="00AB33EC" w:rsidP="00B721B7">
            <w:pPr>
              <w:pStyle w:val="Normaltabletextleft"/>
              <w:tabs>
                <w:tab w:val="left" w:pos="0"/>
              </w:tabs>
              <w:spacing w:line="240" w:lineRule="auto"/>
              <w:rPr>
                <w:rFonts w:cstheme="minorHAnsi"/>
                <w:b/>
                <w:color w:val="414042" w:themeColor="text1"/>
                <w:lang w:eastAsia="en-AU"/>
              </w:rPr>
            </w:pPr>
            <w:r w:rsidRPr="003E75E2">
              <w:rPr>
                <w:rFonts w:cstheme="minorHAnsi"/>
                <w:b/>
                <w:color w:val="414042" w:themeColor="text1"/>
                <w:lang w:eastAsia="en-AU"/>
              </w:rPr>
              <w:t>Total</w:t>
            </w:r>
          </w:p>
        </w:tc>
        <w:tc>
          <w:tcPr>
            <w:tcW w:w="567" w:type="dxa"/>
            <w:noWrap/>
            <w:tcMar>
              <w:left w:w="0" w:type="dxa"/>
              <w:right w:w="0" w:type="dxa"/>
            </w:tcMar>
            <w:vAlign w:val="bottom"/>
          </w:tcPr>
          <w:p w14:paraId="552A99F1"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417" w:type="dxa"/>
            <w:shd w:val="clear" w:color="auto" w:fill="F1F1F2" w:themeFill="accent5" w:themeFillTint="33"/>
            <w:noWrap/>
            <w:tcMar>
              <w:left w:w="0" w:type="dxa"/>
              <w:right w:w="113" w:type="dxa"/>
            </w:tcMar>
          </w:tcPr>
          <w:p w14:paraId="5E60A497" w14:textId="77777777" w:rsidR="00AB33EC" w:rsidRPr="0087354F" w:rsidRDefault="00AB33EC" w:rsidP="00B721B7">
            <w:pPr>
              <w:pStyle w:val="Normaltabletext1stpararight"/>
              <w:spacing w:line="240" w:lineRule="auto"/>
              <w:rPr>
                <w:rFonts w:cstheme="minorHAnsi"/>
                <w:b/>
                <w:bCs w:val="0"/>
                <w:iCs/>
                <w:color w:val="414042" w:themeColor="text1"/>
                <w:lang w:eastAsia="en-AU"/>
              </w:rPr>
            </w:pPr>
            <w:r w:rsidRPr="0087354F">
              <w:rPr>
                <w:b/>
                <w:bCs w:val="0"/>
              </w:rPr>
              <w:t xml:space="preserve">25,931 </w:t>
            </w:r>
          </w:p>
        </w:tc>
        <w:tc>
          <w:tcPr>
            <w:tcW w:w="283" w:type="dxa"/>
            <w:noWrap/>
          </w:tcPr>
          <w:p w14:paraId="3C97203A" w14:textId="77777777" w:rsidR="00AB33EC" w:rsidRPr="003E75E2" w:rsidRDefault="00AB33EC" w:rsidP="00B721B7">
            <w:pPr>
              <w:pStyle w:val="Normaltabletextleft"/>
              <w:spacing w:line="240" w:lineRule="auto"/>
              <w:rPr>
                <w:rFonts w:cstheme="minorHAnsi"/>
                <w:b/>
                <w:color w:val="414042" w:themeColor="text1"/>
              </w:rPr>
            </w:pPr>
          </w:p>
        </w:tc>
        <w:tc>
          <w:tcPr>
            <w:tcW w:w="1276" w:type="dxa"/>
            <w:shd w:val="clear" w:color="auto" w:fill="auto"/>
            <w:noWrap/>
            <w:tcMar>
              <w:left w:w="0" w:type="dxa"/>
              <w:right w:w="113" w:type="dxa"/>
            </w:tcMar>
            <w:vAlign w:val="bottom"/>
          </w:tcPr>
          <w:p w14:paraId="0CBC3614" w14:textId="77777777" w:rsidR="00AB33EC" w:rsidRPr="003E75E2" w:rsidRDefault="00AB33EC" w:rsidP="00B721B7">
            <w:pPr>
              <w:pStyle w:val="Normaltabletext1stpararight"/>
              <w:spacing w:line="240" w:lineRule="auto"/>
              <w:rPr>
                <w:rFonts w:cstheme="minorHAnsi"/>
                <w:b/>
                <w:iCs/>
                <w:color w:val="414042" w:themeColor="text1"/>
                <w:lang w:eastAsia="en-AU"/>
              </w:rPr>
            </w:pPr>
            <w:r w:rsidRPr="003E75E2">
              <w:rPr>
                <w:rFonts w:cstheme="minorHAnsi"/>
                <w:b/>
                <w:iCs/>
                <w:color w:val="414042" w:themeColor="text1"/>
                <w:lang w:eastAsia="en-AU"/>
              </w:rPr>
              <w:t>25,215</w:t>
            </w:r>
          </w:p>
        </w:tc>
      </w:tr>
    </w:tbl>
    <w:p w14:paraId="0112E487" w14:textId="77777777" w:rsidR="00AB33EC" w:rsidRPr="003E75E2" w:rsidRDefault="00AB33EC" w:rsidP="00AB33EC">
      <w:pPr>
        <w:rPr>
          <w:rFonts w:asciiTheme="minorHAnsi" w:hAnsiTheme="minorHAnsi" w:cstheme="minorHAnsi"/>
          <w:color w:val="414042" w:themeColor="text1"/>
        </w:rPr>
      </w:pPr>
    </w:p>
    <w:p w14:paraId="4CD5C85D" w14:textId="5644503B" w:rsidR="00AB33EC" w:rsidRDefault="00A855A6" w:rsidP="00A855A6">
      <w:pPr>
        <w:pStyle w:val="Normal115pttext"/>
        <w:spacing w:line="240" w:lineRule="auto"/>
        <w:rPr>
          <w:rFonts w:cstheme="minorHAnsi"/>
          <w:color w:val="414042" w:themeColor="text1"/>
        </w:rPr>
      </w:pPr>
      <w:r>
        <w:rPr>
          <w:rFonts w:cstheme="minorHAnsi"/>
          <w:color w:val="414042" w:themeColor="text1"/>
        </w:rPr>
        <w:br/>
      </w:r>
      <w:r w:rsidR="00AB33EC" w:rsidRPr="003E75E2">
        <w:rPr>
          <w:rFonts w:cstheme="minorHAnsi"/>
          <w:color w:val="414042" w:themeColor="text1"/>
        </w:rPr>
        <w:t>Note 8:  Intangible Assets</w:t>
      </w:r>
      <w:r>
        <w:rPr>
          <w:rFonts w:cstheme="minorHAnsi"/>
          <w:color w:val="414042" w:themeColor="text1"/>
        </w:rPr>
        <w:br/>
      </w:r>
    </w:p>
    <w:p w14:paraId="4DF5C73C" w14:textId="77777777" w:rsidR="00AB33EC" w:rsidRPr="003E75E2" w:rsidRDefault="00AB33EC" w:rsidP="0037124B">
      <w:pPr>
        <w:pStyle w:val="Policyheading"/>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color w:val="414042" w:themeColor="text1"/>
        </w:rPr>
      </w:pPr>
      <w:r w:rsidRPr="003E75E2">
        <w:rPr>
          <w:rFonts w:cstheme="minorHAnsi"/>
          <w:color w:val="414042" w:themeColor="text1"/>
        </w:rPr>
        <w:t>Accounting Policy:</w:t>
      </w:r>
    </w:p>
    <w:p w14:paraId="68E92C39" w14:textId="77777777" w:rsidR="00AB33EC" w:rsidRPr="003E75E2"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bCs/>
          <w:iCs/>
          <w:color w:val="414042" w:themeColor="text1"/>
        </w:rPr>
      </w:pPr>
      <w:r w:rsidRPr="003E75E2">
        <w:rPr>
          <w:rFonts w:cstheme="minorHAnsi"/>
          <w:b/>
          <w:i/>
          <w:color w:val="414042" w:themeColor="text1"/>
        </w:rPr>
        <w:t xml:space="preserve">Recognition – </w:t>
      </w:r>
      <w:r w:rsidRPr="003E75E2">
        <w:rPr>
          <w:rFonts w:cstheme="minorHAnsi"/>
          <w:bCs/>
          <w:iCs/>
          <w:color w:val="414042" w:themeColor="text1"/>
        </w:rPr>
        <w:t xml:space="preserve">Intangible assets of the CCC comprise purchased software and internally developed software. Intangible assets with a historical cost or other value equal to or greater than $100,000 are recognised in the financial statements. Items with a lesser value are expensed. Any training costs are expensed as incurred. </w:t>
      </w:r>
    </w:p>
    <w:p w14:paraId="54528855" w14:textId="77777777" w:rsidR="00AB33EC" w:rsidRPr="003E75E2"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b/>
          <w:i/>
          <w:color w:val="414042" w:themeColor="text1"/>
        </w:rPr>
      </w:pPr>
    </w:p>
    <w:p w14:paraId="7D4507DB" w14:textId="77777777" w:rsidR="00AB33EC" w:rsidRPr="003E75E2"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bCs/>
          <w:iCs/>
          <w:color w:val="414042" w:themeColor="text1"/>
        </w:rPr>
      </w:pPr>
      <w:r w:rsidRPr="003E75E2">
        <w:rPr>
          <w:rFonts w:cstheme="minorHAnsi"/>
          <w:b/>
          <w:i/>
          <w:color w:val="414042" w:themeColor="text1"/>
        </w:rPr>
        <w:t xml:space="preserve">Measurement – </w:t>
      </w:r>
      <w:r w:rsidRPr="003E75E2">
        <w:rPr>
          <w:rFonts w:cstheme="minorHAnsi"/>
          <w:bCs/>
          <w:iCs/>
          <w:color w:val="414042" w:themeColor="text1"/>
        </w:rPr>
        <w:t xml:space="preserve">There is no active market for any of the CCC’s intangible assets. As such, the assets are recognised and carried at historical cost less accumulated amortisation and impairment losses (if any). </w:t>
      </w:r>
    </w:p>
    <w:p w14:paraId="5C4B5ABD" w14:textId="77777777" w:rsidR="00AB33EC" w:rsidRPr="003E75E2"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bCs/>
          <w:iCs/>
          <w:color w:val="414042" w:themeColor="text1"/>
        </w:rPr>
      </w:pPr>
      <w:r w:rsidRPr="003E75E2">
        <w:rPr>
          <w:rFonts w:cstheme="minorHAnsi"/>
          <w:bCs/>
          <w:iCs/>
          <w:color w:val="414042" w:themeColor="text1"/>
        </w:rPr>
        <w:t xml:space="preserve">Expenditure on research activities relating to internally generated intangible assets is recognised as an expense in the period in which it is incurred. </w:t>
      </w:r>
    </w:p>
    <w:p w14:paraId="51E4DA01" w14:textId="77777777" w:rsidR="00AB33EC" w:rsidRPr="003E75E2"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bCs/>
          <w:iCs/>
          <w:color w:val="414042" w:themeColor="text1"/>
        </w:rPr>
      </w:pPr>
      <w:r w:rsidRPr="003E75E2">
        <w:rPr>
          <w:rFonts w:cstheme="minorHAnsi"/>
          <w:bCs/>
          <w:iCs/>
          <w:color w:val="414042" w:themeColor="text1"/>
        </w:rPr>
        <w:t>Costs associated with the internal development of computer software are capitalised and amortised under the amortisation policy below.</w:t>
      </w:r>
    </w:p>
    <w:p w14:paraId="538C2DEE" w14:textId="77777777" w:rsidR="00AB33EC" w:rsidRPr="003E75E2"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b/>
          <w:i/>
          <w:color w:val="414042" w:themeColor="text1"/>
        </w:rPr>
      </w:pPr>
    </w:p>
    <w:p w14:paraId="43CAEDEF" w14:textId="77777777" w:rsidR="00AB33EC" w:rsidRPr="003E75E2"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bCs/>
          <w:iCs/>
          <w:color w:val="414042" w:themeColor="text1"/>
        </w:rPr>
      </w:pPr>
      <w:r w:rsidRPr="003E75E2">
        <w:rPr>
          <w:rFonts w:cstheme="minorHAnsi"/>
          <w:b/>
          <w:i/>
          <w:color w:val="414042" w:themeColor="text1"/>
        </w:rPr>
        <w:t xml:space="preserve">Amortisation Expense – </w:t>
      </w:r>
      <w:r w:rsidRPr="003E75E2">
        <w:rPr>
          <w:rFonts w:cstheme="minorHAnsi"/>
          <w:bCs/>
          <w:iCs/>
          <w:color w:val="414042" w:themeColor="text1"/>
        </w:rPr>
        <w:t xml:space="preserve">All intangible assets of the CCC have finite useful lives and are amortised on a straight-line basis over their estimated useful life. Straight line amortisation is used reflecting the expected consumption of economic benefits on a progressive basis over the intangible’s useful life. The residual value of all the CCC’s intangible assets is zero. Each class of intangible asset has the following useful lives: </w:t>
      </w:r>
    </w:p>
    <w:p w14:paraId="5B16C7EF" w14:textId="77777777" w:rsidR="00AB33EC" w:rsidRPr="003E75E2"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bCs/>
          <w:iCs/>
          <w:color w:val="414042" w:themeColor="text1"/>
        </w:rPr>
      </w:pPr>
    </w:p>
    <w:p w14:paraId="1400FB10" w14:textId="77777777" w:rsidR="00AB33EC" w:rsidRPr="00370029"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b/>
          <w:bCs/>
          <w:i/>
          <w:color w:val="414042" w:themeColor="text1"/>
        </w:rPr>
      </w:pPr>
      <w:r w:rsidRPr="00370029">
        <w:rPr>
          <w:rFonts w:cstheme="minorHAnsi"/>
          <w:b/>
          <w:bCs/>
          <w:i/>
          <w:color w:val="414042" w:themeColor="text1"/>
        </w:rPr>
        <w:t>Intangible Assets:</w:t>
      </w:r>
    </w:p>
    <w:p w14:paraId="04AC431F" w14:textId="77777777" w:rsidR="00AB33EC" w:rsidRPr="00370029"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tabs>
          <w:tab w:val="right" w:pos="6663"/>
        </w:tabs>
        <w:ind w:firstLine="720"/>
        <w:rPr>
          <w:rFonts w:cstheme="minorHAnsi"/>
          <w:iCs/>
          <w:color w:val="414042" w:themeColor="text1"/>
        </w:rPr>
      </w:pPr>
      <w:r w:rsidRPr="00370029">
        <w:rPr>
          <w:rFonts w:cstheme="minorHAnsi"/>
          <w:iCs/>
          <w:color w:val="414042" w:themeColor="text1"/>
        </w:rPr>
        <w:t>Software purchased – existing records management system</w:t>
      </w:r>
      <w:r>
        <w:rPr>
          <w:rFonts w:cstheme="minorHAnsi"/>
          <w:iCs/>
          <w:color w:val="414042" w:themeColor="text1"/>
        </w:rPr>
        <w:tab/>
      </w:r>
      <w:r w:rsidRPr="00370029">
        <w:rPr>
          <w:rFonts w:cstheme="minorHAnsi"/>
          <w:iCs/>
          <w:color w:val="414042" w:themeColor="text1"/>
        </w:rPr>
        <w:t>14 years</w:t>
      </w:r>
    </w:p>
    <w:p w14:paraId="5F97B97A" w14:textId="77777777" w:rsidR="00AB33EC"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tabs>
          <w:tab w:val="right" w:pos="6663"/>
        </w:tabs>
        <w:ind w:firstLine="720"/>
        <w:rPr>
          <w:rFonts w:cstheme="minorHAnsi"/>
          <w:iCs/>
          <w:color w:val="414042" w:themeColor="text1"/>
        </w:rPr>
      </w:pPr>
      <w:r w:rsidRPr="00370029">
        <w:rPr>
          <w:rFonts w:cstheme="minorHAnsi"/>
          <w:iCs/>
          <w:color w:val="414042" w:themeColor="text1"/>
        </w:rPr>
        <w:t xml:space="preserve">Software internally generated                                                         </w:t>
      </w:r>
      <w:r>
        <w:rPr>
          <w:rFonts w:cstheme="minorHAnsi"/>
          <w:iCs/>
          <w:color w:val="414042" w:themeColor="text1"/>
        </w:rPr>
        <w:tab/>
      </w:r>
      <w:r w:rsidRPr="00370029">
        <w:rPr>
          <w:rFonts w:cstheme="minorHAnsi"/>
          <w:iCs/>
          <w:color w:val="414042" w:themeColor="text1"/>
        </w:rPr>
        <w:t>5 years</w:t>
      </w:r>
    </w:p>
    <w:p w14:paraId="5AB36685" w14:textId="77777777" w:rsidR="00AB33EC" w:rsidRDefault="00AB33EC" w:rsidP="00AB33EC">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tabs>
          <w:tab w:val="right" w:pos="6663"/>
        </w:tabs>
        <w:ind w:firstLine="720"/>
        <w:rPr>
          <w:rFonts w:cstheme="minorHAnsi"/>
          <w:iCs/>
          <w:color w:val="414042" w:themeColor="text1"/>
        </w:rPr>
      </w:pPr>
    </w:p>
    <w:p w14:paraId="2F70D70E" w14:textId="77777777" w:rsidR="00AB33EC" w:rsidRPr="003E75E2" w:rsidRDefault="00AB33EC" w:rsidP="00AB33EC">
      <w:pPr>
        <w:pStyle w:val="Policyfollowingparas"/>
        <w:spacing w:line="240" w:lineRule="auto"/>
        <w:rPr>
          <w:rFonts w:cstheme="minorHAnsi"/>
          <w:bCs/>
          <w:iCs/>
          <w:color w:val="414042" w:themeColor="text1"/>
        </w:rPr>
      </w:pPr>
    </w:p>
    <w:p w14:paraId="16F70CA7" w14:textId="77777777" w:rsidR="00AB33EC" w:rsidRPr="003E75E2" w:rsidRDefault="00AB33EC" w:rsidP="00AB33EC">
      <w:pPr>
        <w:spacing w:line="259" w:lineRule="auto"/>
        <w:rPr>
          <w:rFonts w:asciiTheme="minorHAnsi" w:eastAsia="Times New Roman" w:hAnsiTheme="minorHAnsi" w:cstheme="minorHAnsi"/>
          <w:b/>
          <w:sz w:val="23"/>
          <w:szCs w:val="20"/>
        </w:rPr>
      </w:pPr>
      <w:r w:rsidRPr="003E75E2">
        <w:rPr>
          <w:rFonts w:asciiTheme="minorHAnsi" w:eastAsia="Times New Roman" w:hAnsiTheme="minorHAnsi" w:cstheme="minorHAnsi"/>
          <w:b/>
          <w:sz w:val="23"/>
          <w:szCs w:val="20"/>
        </w:rPr>
        <w:br w:type="page"/>
      </w:r>
    </w:p>
    <w:p w14:paraId="1EAD30F8" w14:textId="77777777" w:rsidR="00AB33EC" w:rsidRPr="003E75E2" w:rsidRDefault="00AB33EC" w:rsidP="00AB33EC">
      <w:pPr>
        <w:pStyle w:val="Normal115pttext"/>
        <w:spacing w:line="240" w:lineRule="auto"/>
        <w:jc w:val="both"/>
        <w:rPr>
          <w:rFonts w:cstheme="minorHAnsi"/>
          <w:color w:val="414042" w:themeColor="text1"/>
        </w:rPr>
      </w:pPr>
      <w:r w:rsidRPr="003E75E2">
        <w:rPr>
          <w:rFonts w:cstheme="minorHAnsi"/>
          <w:color w:val="414042" w:themeColor="text1"/>
        </w:rPr>
        <w:t>Note 8:  Intangible Assets (cont’d)</w:t>
      </w:r>
    </w:p>
    <w:p w14:paraId="753C6CD0" w14:textId="77777777" w:rsidR="00AB33EC" w:rsidRPr="003E75E2" w:rsidRDefault="00AB33EC" w:rsidP="00AB33EC">
      <w:pPr>
        <w:pStyle w:val="Normal1stpara"/>
        <w:spacing w:line="240" w:lineRule="auto"/>
        <w:rPr>
          <w:rFonts w:asciiTheme="minorHAnsi" w:hAnsiTheme="minorHAnsi" w:cstheme="minorHAnsi"/>
          <w:color w:val="414042" w:themeColor="text1"/>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AB33EC" w:rsidRPr="003E75E2" w14:paraId="4BC1884C" w14:textId="77777777" w:rsidTr="00B721B7">
        <w:trPr>
          <w:trHeight w:val="20"/>
        </w:trPr>
        <w:tc>
          <w:tcPr>
            <w:tcW w:w="5529" w:type="dxa"/>
            <w:tcBorders>
              <w:top w:val="nil"/>
              <w:left w:val="nil"/>
              <w:bottom w:val="nil"/>
            </w:tcBorders>
            <w:noWrap/>
            <w:tcMar>
              <w:left w:w="0" w:type="dxa"/>
              <w:right w:w="0" w:type="dxa"/>
            </w:tcMar>
            <w:vAlign w:val="bottom"/>
          </w:tcPr>
          <w:p w14:paraId="2A2755C9"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p>
          <w:p w14:paraId="4212BAFD"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p>
        </w:tc>
        <w:tc>
          <w:tcPr>
            <w:tcW w:w="567" w:type="dxa"/>
            <w:tcBorders>
              <w:top w:val="nil"/>
              <w:bottom w:val="nil"/>
            </w:tcBorders>
            <w:noWrap/>
            <w:tcMar>
              <w:left w:w="0" w:type="dxa"/>
              <w:right w:w="0" w:type="dxa"/>
            </w:tcMar>
            <w:vAlign w:val="bottom"/>
          </w:tcPr>
          <w:p w14:paraId="639C53E0"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7F4A9BA7"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2024</w:t>
            </w:r>
          </w:p>
        </w:tc>
        <w:tc>
          <w:tcPr>
            <w:tcW w:w="283" w:type="dxa"/>
            <w:tcBorders>
              <w:top w:val="nil"/>
              <w:bottom w:val="nil"/>
            </w:tcBorders>
            <w:noWrap/>
          </w:tcPr>
          <w:p w14:paraId="6C42495B"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46051348"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2023</w:t>
            </w:r>
          </w:p>
        </w:tc>
      </w:tr>
      <w:tr w:rsidR="00AB33EC" w:rsidRPr="003E75E2" w14:paraId="6E38C596" w14:textId="77777777" w:rsidTr="00B721B7">
        <w:trPr>
          <w:trHeight w:val="20"/>
        </w:trPr>
        <w:tc>
          <w:tcPr>
            <w:tcW w:w="5529" w:type="dxa"/>
            <w:tcBorders>
              <w:top w:val="nil"/>
              <w:left w:val="nil"/>
              <w:bottom w:val="nil"/>
            </w:tcBorders>
            <w:noWrap/>
            <w:tcMar>
              <w:left w:w="0" w:type="dxa"/>
              <w:right w:w="0" w:type="dxa"/>
            </w:tcMar>
            <w:vAlign w:val="bottom"/>
          </w:tcPr>
          <w:p w14:paraId="5A96AEF7"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p>
        </w:tc>
        <w:tc>
          <w:tcPr>
            <w:tcW w:w="567" w:type="dxa"/>
            <w:tcBorders>
              <w:top w:val="nil"/>
              <w:bottom w:val="nil"/>
            </w:tcBorders>
            <w:noWrap/>
            <w:tcMar>
              <w:left w:w="0" w:type="dxa"/>
              <w:right w:w="0" w:type="dxa"/>
            </w:tcMar>
            <w:vAlign w:val="bottom"/>
          </w:tcPr>
          <w:p w14:paraId="61C30E06"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12FDE349"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$’000</w:t>
            </w:r>
          </w:p>
        </w:tc>
        <w:tc>
          <w:tcPr>
            <w:tcW w:w="283" w:type="dxa"/>
            <w:tcBorders>
              <w:top w:val="nil"/>
              <w:bottom w:val="nil"/>
            </w:tcBorders>
            <w:noWrap/>
          </w:tcPr>
          <w:p w14:paraId="31051899"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2B8D7E73"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$’000</w:t>
            </w:r>
          </w:p>
        </w:tc>
      </w:tr>
      <w:tr w:rsidR="00AB33EC" w:rsidRPr="003E75E2" w14:paraId="49122D44" w14:textId="77777777" w:rsidTr="00B721B7">
        <w:trPr>
          <w:trHeight w:val="20"/>
        </w:trPr>
        <w:tc>
          <w:tcPr>
            <w:tcW w:w="5529" w:type="dxa"/>
            <w:tcBorders>
              <w:top w:val="nil"/>
              <w:left w:val="nil"/>
              <w:bottom w:val="nil"/>
            </w:tcBorders>
            <w:noWrap/>
            <w:tcMar>
              <w:left w:w="0" w:type="dxa"/>
              <w:right w:w="0" w:type="dxa"/>
            </w:tcMar>
            <w:vAlign w:val="bottom"/>
          </w:tcPr>
          <w:p w14:paraId="1300F418"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Software purchased</w:t>
            </w:r>
          </w:p>
        </w:tc>
        <w:tc>
          <w:tcPr>
            <w:tcW w:w="567" w:type="dxa"/>
            <w:tcBorders>
              <w:top w:val="nil"/>
              <w:bottom w:val="nil"/>
            </w:tcBorders>
            <w:noWrap/>
            <w:tcMar>
              <w:left w:w="0" w:type="dxa"/>
              <w:right w:w="0" w:type="dxa"/>
            </w:tcMar>
            <w:vAlign w:val="bottom"/>
          </w:tcPr>
          <w:p w14:paraId="26A10613"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0A72DA14" w14:textId="77777777" w:rsidR="00AB33EC" w:rsidRPr="003E75E2" w:rsidRDefault="00AB33EC" w:rsidP="00B721B7">
            <w:pPr>
              <w:pStyle w:val="Normaltabletextleft"/>
              <w:spacing w:line="240" w:lineRule="auto"/>
              <w:jc w:val="right"/>
              <w:rPr>
                <w:rFonts w:cstheme="minorHAnsi"/>
                <w:color w:val="414042" w:themeColor="text1"/>
                <w:lang w:eastAsia="en-AU"/>
              </w:rPr>
            </w:pPr>
          </w:p>
        </w:tc>
        <w:tc>
          <w:tcPr>
            <w:tcW w:w="283" w:type="dxa"/>
            <w:tcBorders>
              <w:top w:val="nil"/>
              <w:bottom w:val="nil"/>
            </w:tcBorders>
            <w:noWrap/>
          </w:tcPr>
          <w:p w14:paraId="7324D634"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673A77C8" w14:textId="77777777" w:rsidR="00AB33EC" w:rsidRPr="003E75E2" w:rsidRDefault="00AB33EC" w:rsidP="00B721B7">
            <w:pPr>
              <w:pStyle w:val="Normaltabletextleft"/>
              <w:spacing w:line="240" w:lineRule="auto"/>
              <w:jc w:val="right"/>
              <w:rPr>
                <w:rFonts w:cstheme="minorHAnsi"/>
                <w:color w:val="414042" w:themeColor="text1"/>
                <w:lang w:eastAsia="en-AU"/>
              </w:rPr>
            </w:pPr>
          </w:p>
        </w:tc>
      </w:tr>
      <w:tr w:rsidR="00AB33EC" w:rsidRPr="003E75E2" w14:paraId="0AE6CB24" w14:textId="77777777" w:rsidTr="00B721B7">
        <w:trPr>
          <w:trHeight w:val="20"/>
        </w:trPr>
        <w:tc>
          <w:tcPr>
            <w:tcW w:w="5529" w:type="dxa"/>
            <w:tcBorders>
              <w:top w:val="nil"/>
              <w:left w:val="nil"/>
              <w:bottom w:val="nil"/>
            </w:tcBorders>
            <w:noWrap/>
            <w:tcMar>
              <w:left w:w="0" w:type="dxa"/>
              <w:right w:w="0" w:type="dxa"/>
            </w:tcMar>
            <w:vAlign w:val="bottom"/>
          </w:tcPr>
          <w:p w14:paraId="595F5BF9" w14:textId="77777777" w:rsidR="00AB33EC" w:rsidRPr="003E75E2" w:rsidRDefault="00AB33EC" w:rsidP="00B721B7">
            <w:pPr>
              <w:pStyle w:val="Normaltabletextleft"/>
              <w:tabs>
                <w:tab w:val="left" w:pos="0"/>
              </w:tabs>
              <w:spacing w:line="240" w:lineRule="auto"/>
              <w:ind w:left="454"/>
              <w:rPr>
                <w:rFonts w:cstheme="minorHAnsi"/>
                <w:color w:val="414042" w:themeColor="text1"/>
                <w:lang w:eastAsia="en-AU"/>
              </w:rPr>
            </w:pPr>
            <w:r w:rsidRPr="003E75E2">
              <w:rPr>
                <w:rFonts w:cstheme="minorHAnsi"/>
                <w:color w:val="414042" w:themeColor="text1"/>
                <w:lang w:eastAsia="en-AU"/>
              </w:rPr>
              <w:t>At cost</w:t>
            </w:r>
          </w:p>
        </w:tc>
        <w:tc>
          <w:tcPr>
            <w:tcW w:w="567" w:type="dxa"/>
            <w:tcBorders>
              <w:top w:val="nil"/>
              <w:bottom w:val="nil"/>
            </w:tcBorders>
            <w:noWrap/>
            <w:tcMar>
              <w:left w:w="0" w:type="dxa"/>
              <w:right w:w="0" w:type="dxa"/>
            </w:tcMar>
            <w:vAlign w:val="bottom"/>
          </w:tcPr>
          <w:p w14:paraId="3A584A3B"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68248D0D"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693</w:t>
            </w:r>
          </w:p>
        </w:tc>
        <w:tc>
          <w:tcPr>
            <w:tcW w:w="283" w:type="dxa"/>
            <w:tcBorders>
              <w:top w:val="nil"/>
              <w:bottom w:val="nil"/>
            </w:tcBorders>
            <w:noWrap/>
          </w:tcPr>
          <w:p w14:paraId="5D4420D6"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19AC87EA"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693</w:t>
            </w:r>
          </w:p>
        </w:tc>
      </w:tr>
      <w:tr w:rsidR="00AB33EC" w:rsidRPr="003E75E2" w14:paraId="7DAD6243" w14:textId="77777777" w:rsidTr="00B721B7">
        <w:trPr>
          <w:trHeight w:val="20"/>
        </w:trPr>
        <w:tc>
          <w:tcPr>
            <w:tcW w:w="5529" w:type="dxa"/>
            <w:tcBorders>
              <w:top w:val="nil"/>
              <w:left w:val="nil"/>
              <w:bottom w:val="nil"/>
            </w:tcBorders>
            <w:noWrap/>
            <w:tcMar>
              <w:left w:w="0" w:type="dxa"/>
              <w:right w:w="0" w:type="dxa"/>
            </w:tcMar>
            <w:vAlign w:val="bottom"/>
          </w:tcPr>
          <w:p w14:paraId="530BE138" w14:textId="77777777" w:rsidR="00AB33EC" w:rsidRPr="003E75E2" w:rsidRDefault="00AB33EC" w:rsidP="00B721B7">
            <w:pPr>
              <w:pStyle w:val="Normaltabletextleft"/>
              <w:tabs>
                <w:tab w:val="left" w:pos="0"/>
              </w:tabs>
              <w:spacing w:line="240" w:lineRule="auto"/>
              <w:ind w:left="454"/>
              <w:rPr>
                <w:rFonts w:cstheme="minorHAnsi"/>
                <w:color w:val="414042" w:themeColor="text1"/>
                <w:lang w:eastAsia="en-AU"/>
              </w:rPr>
            </w:pPr>
            <w:r w:rsidRPr="003E75E2">
              <w:rPr>
                <w:rFonts w:cstheme="minorHAnsi"/>
                <w:color w:val="414042" w:themeColor="text1"/>
                <w:lang w:eastAsia="en-AU"/>
              </w:rPr>
              <w:t>Less: Accumulated amortisation</w:t>
            </w:r>
          </w:p>
        </w:tc>
        <w:tc>
          <w:tcPr>
            <w:tcW w:w="567" w:type="dxa"/>
            <w:tcBorders>
              <w:top w:val="nil"/>
              <w:bottom w:val="nil"/>
            </w:tcBorders>
            <w:noWrap/>
            <w:tcMar>
              <w:left w:w="0" w:type="dxa"/>
              <w:right w:w="0" w:type="dxa"/>
            </w:tcMar>
            <w:vAlign w:val="bottom"/>
          </w:tcPr>
          <w:p w14:paraId="09CC0394"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single" w:sz="4" w:space="0" w:color="auto"/>
            </w:tcBorders>
            <w:shd w:val="clear" w:color="auto" w:fill="F1F1F2" w:themeFill="accent5" w:themeFillTint="33"/>
            <w:noWrap/>
            <w:tcMar>
              <w:left w:w="0" w:type="dxa"/>
              <w:right w:w="113" w:type="dxa"/>
            </w:tcMar>
            <w:vAlign w:val="bottom"/>
          </w:tcPr>
          <w:p w14:paraId="72B1FD42"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(693)</w:t>
            </w:r>
          </w:p>
        </w:tc>
        <w:tc>
          <w:tcPr>
            <w:tcW w:w="283" w:type="dxa"/>
            <w:tcBorders>
              <w:top w:val="nil"/>
              <w:bottom w:val="nil"/>
            </w:tcBorders>
            <w:noWrap/>
          </w:tcPr>
          <w:p w14:paraId="314DCB88"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single" w:sz="4" w:space="0" w:color="auto"/>
              <w:right w:val="nil"/>
            </w:tcBorders>
            <w:shd w:val="clear" w:color="auto" w:fill="auto"/>
            <w:noWrap/>
            <w:tcMar>
              <w:left w:w="0" w:type="dxa"/>
              <w:right w:w="113" w:type="dxa"/>
            </w:tcMar>
            <w:vAlign w:val="bottom"/>
          </w:tcPr>
          <w:p w14:paraId="1085F24E"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(684)</w:t>
            </w:r>
          </w:p>
        </w:tc>
      </w:tr>
      <w:tr w:rsidR="00AB33EC" w:rsidRPr="003E75E2" w14:paraId="3916B34C" w14:textId="77777777" w:rsidTr="00B721B7">
        <w:trPr>
          <w:trHeight w:val="20"/>
        </w:trPr>
        <w:tc>
          <w:tcPr>
            <w:tcW w:w="5529" w:type="dxa"/>
            <w:tcBorders>
              <w:top w:val="nil"/>
              <w:left w:val="nil"/>
              <w:bottom w:val="nil"/>
            </w:tcBorders>
            <w:noWrap/>
            <w:tcMar>
              <w:left w:w="0" w:type="dxa"/>
              <w:right w:w="0" w:type="dxa"/>
            </w:tcMar>
            <w:vAlign w:val="bottom"/>
          </w:tcPr>
          <w:p w14:paraId="7F9FB2ED" w14:textId="77777777" w:rsidR="00AB33EC" w:rsidRPr="003E75E2" w:rsidRDefault="00AB33EC" w:rsidP="00B721B7">
            <w:pPr>
              <w:pStyle w:val="Normaltabletextleft"/>
              <w:tabs>
                <w:tab w:val="left" w:pos="0"/>
              </w:tabs>
              <w:spacing w:line="240" w:lineRule="auto"/>
              <w:rPr>
                <w:rFonts w:cstheme="minorHAnsi"/>
                <w:b/>
                <w:color w:val="414042" w:themeColor="text1"/>
                <w:lang w:eastAsia="en-AU"/>
              </w:rPr>
            </w:pPr>
          </w:p>
        </w:tc>
        <w:tc>
          <w:tcPr>
            <w:tcW w:w="567" w:type="dxa"/>
            <w:tcBorders>
              <w:top w:val="nil"/>
              <w:bottom w:val="nil"/>
            </w:tcBorders>
            <w:noWrap/>
            <w:tcMar>
              <w:left w:w="0" w:type="dxa"/>
              <w:right w:w="0" w:type="dxa"/>
            </w:tcMar>
            <w:vAlign w:val="bottom"/>
          </w:tcPr>
          <w:p w14:paraId="2CA0216A"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417" w:type="dxa"/>
            <w:tcBorders>
              <w:top w:val="single" w:sz="4" w:space="0" w:color="auto"/>
              <w:bottom w:val="nil"/>
            </w:tcBorders>
            <w:shd w:val="clear" w:color="auto" w:fill="F1F1F2" w:themeFill="accent5" w:themeFillTint="33"/>
            <w:noWrap/>
            <w:tcMar>
              <w:left w:w="0" w:type="dxa"/>
              <w:right w:w="113" w:type="dxa"/>
            </w:tcMar>
            <w:vAlign w:val="bottom"/>
          </w:tcPr>
          <w:p w14:paraId="162EA7F7"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w:t>
            </w:r>
          </w:p>
        </w:tc>
        <w:tc>
          <w:tcPr>
            <w:tcW w:w="283" w:type="dxa"/>
            <w:tcBorders>
              <w:top w:val="nil"/>
              <w:bottom w:val="nil"/>
            </w:tcBorders>
            <w:noWrap/>
          </w:tcPr>
          <w:p w14:paraId="16EE7B03"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single" w:sz="4" w:space="0" w:color="auto"/>
              <w:bottom w:val="nil"/>
              <w:right w:val="nil"/>
            </w:tcBorders>
            <w:shd w:val="clear" w:color="auto" w:fill="auto"/>
            <w:noWrap/>
            <w:tcMar>
              <w:left w:w="0" w:type="dxa"/>
              <w:right w:w="113" w:type="dxa"/>
            </w:tcMar>
            <w:vAlign w:val="bottom"/>
          </w:tcPr>
          <w:p w14:paraId="55F1D21E"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9</w:t>
            </w:r>
          </w:p>
        </w:tc>
      </w:tr>
      <w:tr w:rsidR="00AB33EC" w:rsidRPr="003E75E2" w14:paraId="0C5D5EEB" w14:textId="77777777" w:rsidTr="00B721B7">
        <w:trPr>
          <w:trHeight w:val="20"/>
        </w:trPr>
        <w:tc>
          <w:tcPr>
            <w:tcW w:w="5529" w:type="dxa"/>
            <w:tcBorders>
              <w:top w:val="nil"/>
              <w:left w:val="nil"/>
              <w:bottom w:val="nil"/>
            </w:tcBorders>
            <w:noWrap/>
            <w:tcMar>
              <w:left w:w="0" w:type="dxa"/>
              <w:right w:w="0" w:type="dxa"/>
            </w:tcMar>
            <w:vAlign w:val="bottom"/>
          </w:tcPr>
          <w:p w14:paraId="36E941C0"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Software internally generated¹</w:t>
            </w:r>
          </w:p>
        </w:tc>
        <w:tc>
          <w:tcPr>
            <w:tcW w:w="567" w:type="dxa"/>
            <w:tcBorders>
              <w:top w:val="nil"/>
              <w:bottom w:val="nil"/>
            </w:tcBorders>
            <w:noWrap/>
            <w:tcMar>
              <w:left w:w="0" w:type="dxa"/>
              <w:right w:w="0" w:type="dxa"/>
            </w:tcMar>
            <w:vAlign w:val="bottom"/>
          </w:tcPr>
          <w:p w14:paraId="2D8C461B"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796A4E1A" w14:textId="77777777" w:rsidR="00AB33EC" w:rsidRPr="003E75E2" w:rsidRDefault="00AB33EC" w:rsidP="00B721B7">
            <w:pPr>
              <w:pStyle w:val="Normaltabletext1stpararight"/>
              <w:spacing w:line="240" w:lineRule="auto"/>
              <w:rPr>
                <w:rFonts w:cstheme="minorHAnsi"/>
                <w:color w:val="414042" w:themeColor="text1"/>
                <w:lang w:eastAsia="en-AU"/>
              </w:rPr>
            </w:pPr>
          </w:p>
        </w:tc>
        <w:tc>
          <w:tcPr>
            <w:tcW w:w="283" w:type="dxa"/>
            <w:tcBorders>
              <w:top w:val="nil"/>
              <w:bottom w:val="nil"/>
            </w:tcBorders>
            <w:noWrap/>
          </w:tcPr>
          <w:p w14:paraId="7E43228B"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70912C4C" w14:textId="77777777" w:rsidR="00AB33EC" w:rsidRPr="003E75E2" w:rsidRDefault="00AB33EC" w:rsidP="00B721B7">
            <w:pPr>
              <w:pStyle w:val="Normaltabletext1stpararight"/>
              <w:spacing w:line="240" w:lineRule="auto"/>
              <w:rPr>
                <w:rFonts w:cstheme="minorHAnsi"/>
                <w:color w:val="414042" w:themeColor="text1"/>
                <w:lang w:eastAsia="en-AU"/>
              </w:rPr>
            </w:pPr>
          </w:p>
        </w:tc>
      </w:tr>
      <w:tr w:rsidR="00AB33EC" w:rsidRPr="003E75E2" w14:paraId="4FE04504" w14:textId="77777777" w:rsidTr="00B721B7">
        <w:trPr>
          <w:trHeight w:val="20"/>
        </w:trPr>
        <w:tc>
          <w:tcPr>
            <w:tcW w:w="5529" w:type="dxa"/>
            <w:tcBorders>
              <w:top w:val="nil"/>
              <w:left w:val="nil"/>
              <w:bottom w:val="nil"/>
            </w:tcBorders>
            <w:noWrap/>
            <w:tcMar>
              <w:left w:w="0" w:type="dxa"/>
              <w:right w:w="0" w:type="dxa"/>
            </w:tcMar>
            <w:vAlign w:val="bottom"/>
          </w:tcPr>
          <w:p w14:paraId="750F01DC"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r w:rsidRPr="003E75E2">
              <w:rPr>
                <w:rFonts w:cstheme="minorHAnsi"/>
                <w:color w:val="414042" w:themeColor="text1"/>
                <w:lang w:eastAsia="en-AU"/>
              </w:rPr>
              <w:t xml:space="preserve">          At cost</w:t>
            </w:r>
          </w:p>
        </w:tc>
        <w:tc>
          <w:tcPr>
            <w:tcW w:w="567" w:type="dxa"/>
            <w:tcBorders>
              <w:top w:val="nil"/>
              <w:bottom w:val="nil"/>
            </w:tcBorders>
            <w:noWrap/>
            <w:tcMar>
              <w:left w:w="0" w:type="dxa"/>
              <w:right w:w="0" w:type="dxa"/>
            </w:tcMar>
            <w:vAlign w:val="bottom"/>
          </w:tcPr>
          <w:p w14:paraId="5BC7405E"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05FD4246"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1,370</w:t>
            </w:r>
          </w:p>
        </w:tc>
        <w:tc>
          <w:tcPr>
            <w:tcW w:w="283" w:type="dxa"/>
            <w:tcBorders>
              <w:top w:val="nil"/>
              <w:bottom w:val="nil"/>
            </w:tcBorders>
            <w:noWrap/>
          </w:tcPr>
          <w:p w14:paraId="5FE42F06"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4FECF0D7"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1,370</w:t>
            </w:r>
          </w:p>
        </w:tc>
      </w:tr>
      <w:tr w:rsidR="00AB33EC" w:rsidRPr="003E75E2" w14:paraId="7F5ADF35" w14:textId="77777777" w:rsidTr="00B721B7">
        <w:trPr>
          <w:trHeight w:val="20"/>
        </w:trPr>
        <w:tc>
          <w:tcPr>
            <w:tcW w:w="5529" w:type="dxa"/>
            <w:tcBorders>
              <w:top w:val="nil"/>
              <w:left w:val="nil"/>
              <w:bottom w:val="nil"/>
            </w:tcBorders>
            <w:noWrap/>
            <w:tcMar>
              <w:left w:w="0" w:type="dxa"/>
              <w:right w:w="0" w:type="dxa"/>
            </w:tcMar>
            <w:vAlign w:val="bottom"/>
          </w:tcPr>
          <w:p w14:paraId="69C48D48" w14:textId="77777777" w:rsidR="00AB33EC" w:rsidRPr="003E75E2" w:rsidRDefault="00AB33EC" w:rsidP="00B721B7">
            <w:pPr>
              <w:pStyle w:val="Normaltabletextleft"/>
              <w:tabs>
                <w:tab w:val="left" w:pos="0"/>
                <w:tab w:val="left" w:pos="426"/>
              </w:tabs>
              <w:spacing w:line="240" w:lineRule="auto"/>
              <w:rPr>
                <w:rFonts w:cstheme="minorHAnsi"/>
                <w:color w:val="414042" w:themeColor="text1"/>
                <w:lang w:eastAsia="en-AU"/>
              </w:rPr>
            </w:pPr>
            <w:r w:rsidRPr="003E75E2">
              <w:rPr>
                <w:rFonts w:cstheme="minorHAnsi"/>
                <w:color w:val="414042" w:themeColor="text1"/>
                <w:lang w:eastAsia="en-AU"/>
              </w:rPr>
              <w:t xml:space="preserve">          Less: Accumulated amortisation</w:t>
            </w:r>
          </w:p>
        </w:tc>
        <w:tc>
          <w:tcPr>
            <w:tcW w:w="567" w:type="dxa"/>
            <w:tcBorders>
              <w:top w:val="nil"/>
              <w:bottom w:val="nil"/>
            </w:tcBorders>
            <w:noWrap/>
            <w:tcMar>
              <w:left w:w="0" w:type="dxa"/>
              <w:right w:w="0" w:type="dxa"/>
            </w:tcMar>
            <w:vAlign w:val="bottom"/>
          </w:tcPr>
          <w:p w14:paraId="346CF366"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417" w:type="dxa"/>
            <w:tcBorders>
              <w:top w:val="nil"/>
              <w:bottom w:val="single" w:sz="4" w:space="0" w:color="auto"/>
            </w:tcBorders>
            <w:shd w:val="clear" w:color="auto" w:fill="F1F1F2" w:themeFill="accent5" w:themeFillTint="33"/>
            <w:noWrap/>
            <w:tcMar>
              <w:left w:w="0" w:type="dxa"/>
              <w:right w:w="113" w:type="dxa"/>
            </w:tcMar>
            <w:vAlign w:val="bottom"/>
          </w:tcPr>
          <w:p w14:paraId="52C26DA4"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(1,048)</w:t>
            </w:r>
          </w:p>
        </w:tc>
        <w:tc>
          <w:tcPr>
            <w:tcW w:w="283" w:type="dxa"/>
            <w:tcBorders>
              <w:top w:val="nil"/>
              <w:bottom w:val="nil"/>
            </w:tcBorders>
            <w:noWrap/>
          </w:tcPr>
          <w:p w14:paraId="07F50167"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single" w:sz="4" w:space="0" w:color="auto"/>
              <w:right w:val="nil"/>
            </w:tcBorders>
            <w:shd w:val="clear" w:color="auto" w:fill="auto"/>
            <w:noWrap/>
            <w:tcMar>
              <w:left w:w="0" w:type="dxa"/>
              <w:right w:w="113" w:type="dxa"/>
            </w:tcMar>
            <w:vAlign w:val="bottom"/>
          </w:tcPr>
          <w:p w14:paraId="5D437135"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(773)</w:t>
            </w:r>
          </w:p>
        </w:tc>
      </w:tr>
      <w:tr w:rsidR="00AB33EC" w:rsidRPr="003E75E2" w14:paraId="0311C8A3" w14:textId="77777777" w:rsidTr="00B721B7">
        <w:trPr>
          <w:trHeight w:val="20"/>
        </w:trPr>
        <w:tc>
          <w:tcPr>
            <w:tcW w:w="5529" w:type="dxa"/>
            <w:tcBorders>
              <w:top w:val="nil"/>
              <w:left w:val="nil"/>
              <w:bottom w:val="nil"/>
            </w:tcBorders>
            <w:noWrap/>
            <w:tcMar>
              <w:left w:w="0" w:type="dxa"/>
              <w:right w:w="0" w:type="dxa"/>
            </w:tcMar>
            <w:vAlign w:val="bottom"/>
          </w:tcPr>
          <w:p w14:paraId="5C31F61A"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p>
        </w:tc>
        <w:tc>
          <w:tcPr>
            <w:tcW w:w="567" w:type="dxa"/>
            <w:tcBorders>
              <w:top w:val="nil"/>
              <w:bottom w:val="nil"/>
            </w:tcBorders>
            <w:noWrap/>
            <w:tcMar>
              <w:left w:w="0" w:type="dxa"/>
              <w:right w:w="0" w:type="dxa"/>
            </w:tcMar>
            <w:vAlign w:val="bottom"/>
          </w:tcPr>
          <w:p w14:paraId="03BB3B69"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417" w:type="dxa"/>
            <w:tcBorders>
              <w:top w:val="single" w:sz="4" w:space="0" w:color="auto"/>
              <w:bottom w:val="nil"/>
            </w:tcBorders>
            <w:shd w:val="clear" w:color="auto" w:fill="F1F1F2" w:themeFill="accent5" w:themeFillTint="33"/>
            <w:noWrap/>
            <w:tcMar>
              <w:left w:w="0" w:type="dxa"/>
              <w:right w:w="113" w:type="dxa"/>
            </w:tcMar>
            <w:vAlign w:val="bottom"/>
          </w:tcPr>
          <w:p w14:paraId="40E2D734"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322</w:t>
            </w:r>
          </w:p>
        </w:tc>
        <w:tc>
          <w:tcPr>
            <w:tcW w:w="283" w:type="dxa"/>
            <w:tcBorders>
              <w:top w:val="nil"/>
              <w:bottom w:val="nil"/>
            </w:tcBorders>
            <w:noWrap/>
          </w:tcPr>
          <w:p w14:paraId="5966B83C"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single" w:sz="4" w:space="0" w:color="auto"/>
              <w:bottom w:val="nil"/>
              <w:right w:val="nil"/>
            </w:tcBorders>
            <w:shd w:val="clear" w:color="auto" w:fill="auto"/>
            <w:noWrap/>
            <w:tcMar>
              <w:left w:w="0" w:type="dxa"/>
              <w:right w:w="113" w:type="dxa"/>
            </w:tcMar>
            <w:vAlign w:val="bottom"/>
          </w:tcPr>
          <w:p w14:paraId="54B6C789"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597</w:t>
            </w:r>
          </w:p>
        </w:tc>
      </w:tr>
      <w:tr w:rsidR="00AB33EC" w:rsidRPr="003E75E2" w14:paraId="16AC8B93" w14:textId="77777777" w:rsidTr="00B721B7">
        <w:trPr>
          <w:trHeight w:val="20"/>
        </w:trPr>
        <w:tc>
          <w:tcPr>
            <w:tcW w:w="5529" w:type="dxa"/>
            <w:tcBorders>
              <w:top w:val="nil"/>
              <w:left w:val="nil"/>
              <w:bottom w:val="nil"/>
            </w:tcBorders>
            <w:noWrap/>
            <w:tcMar>
              <w:left w:w="0" w:type="dxa"/>
              <w:right w:w="0" w:type="dxa"/>
            </w:tcMar>
            <w:vAlign w:val="bottom"/>
          </w:tcPr>
          <w:p w14:paraId="5C4ABDF9" w14:textId="77777777" w:rsidR="00AB33EC" w:rsidRPr="003E75E2" w:rsidRDefault="00AB33EC" w:rsidP="00B721B7">
            <w:pPr>
              <w:pStyle w:val="Normaltabletextleft"/>
              <w:tabs>
                <w:tab w:val="left" w:pos="426"/>
              </w:tabs>
              <w:spacing w:line="240" w:lineRule="auto"/>
              <w:ind w:left="426"/>
              <w:rPr>
                <w:rFonts w:cstheme="minorHAnsi"/>
                <w:color w:val="414042" w:themeColor="text1"/>
                <w:lang w:eastAsia="en-AU"/>
              </w:rPr>
            </w:pPr>
          </w:p>
        </w:tc>
        <w:tc>
          <w:tcPr>
            <w:tcW w:w="567" w:type="dxa"/>
            <w:tcBorders>
              <w:top w:val="nil"/>
              <w:bottom w:val="nil"/>
            </w:tcBorders>
            <w:noWrap/>
            <w:tcMar>
              <w:left w:w="0" w:type="dxa"/>
              <w:right w:w="0" w:type="dxa"/>
            </w:tcMar>
            <w:vAlign w:val="bottom"/>
          </w:tcPr>
          <w:p w14:paraId="3A66F278"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1A70BD7D" w14:textId="77777777" w:rsidR="00AB33EC" w:rsidRPr="003E75E2" w:rsidRDefault="00AB33EC" w:rsidP="00B721B7">
            <w:pPr>
              <w:pStyle w:val="Normaltabletext1stpararight"/>
              <w:spacing w:line="240" w:lineRule="auto"/>
              <w:rPr>
                <w:rFonts w:cstheme="minorHAnsi"/>
                <w:color w:val="414042" w:themeColor="text1"/>
                <w:lang w:eastAsia="en-AU"/>
              </w:rPr>
            </w:pPr>
          </w:p>
        </w:tc>
        <w:tc>
          <w:tcPr>
            <w:tcW w:w="283" w:type="dxa"/>
            <w:tcBorders>
              <w:top w:val="nil"/>
              <w:bottom w:val="nil"/>
            </w:tcBorders>
            <w:noWrap/>
          </w:tcPr>
          <w:p w14:paraId="72221A5B"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215A0CDF" w14:textId="77777777" w:rsidR="00AB33EC" w:rsidRPr="003E75E2" w:rsidRDefault="00AB33EC" w:rsidP="00B721B7">
            <w:pPr>
              <w:pStyle w:val="Normaltabletext1stpararight"/>
              <w:spacing w:line="240" w:lineRule="auto"/>
              <w:rPr>
                <w:rFonts w:cstheme="minorHAnsi"/>
                <w:color w:val="414042" w:themeColor="text1"/>
                <w:lang w:eastAsia="en-AU"/>
              </w:rPr>
            </w:pPr>
          </w:p>
        </w:tc>
      </w:tr>
      <w:tr w:rsidR="00AB33EC" w:rsidRPr="003E75E2" w14:paraId="66E901DF" w14:textId="77777777" w:rsidTr="00B721B7">
        <w:trPr>
          <w:trHeight w:val="20"/>
        </w:trPr>
        <w:tc>
          <w:tcPr>
            <w:tcW w:w="5529" w:type="dxa"/>
            <w:tcBorders>
              <w:top w:val="nil"/>
              <w:left w:val="nil"/>
              <w:bottom w:val="nil"/>
            </w:tcBorders>
            <w:noWrap/>
            <w:tcMar>
              <w:left w:w="0" w:type="dxa"/>
              <w:right w:w="0" w:type="dxa"/>
            </w:tcMar>
            <w:vAlign w:val="bottom"/>
          </w:tcPr>
          <w:p w14:paraId="74734198" w14:textId="77777777" w:rsidR="00AB33EC" w:rsidRPr="003E75E2" w:rsidRDefault="00AB33EC" w:rsidP="00B721B7">
            <w:pPr>
              <w:pStyle w:val="Normaltabletextleft"/>
              <w:tabs>
                <w:tab w:val="left" w:pos="0"/>
              </w:tabs>
              <w:spacing w:line="240" w:lineRule="auto"/>
              <w:rPr>
                <w:rFonts w:cstheme="minorHAnsi"/>
                <w:b/>
                <w:color w:val="414042" w:themeColor="text1"/>
                <w:lang w:eastAsia="en-AU"/>
              </w:rPr>
            </w:pPr>
            <w:r w:rsidRPr="003E75E2">
              <w:rPr>
                <w:rFonts w:cstheme="minorHAnsi"/>
                <w:b/>
                <w:color w:val="414042" w:themeColor="text1"/>
                <w:lang w:eastAsia="en-AU"/>
              </w:rPr>
              <w:t>Total</w:t>
            </w:r>
          </w:p>
        </w:tc>
        <w:tc>
          <w:tcPr>
            <w:tcW w:w="567" w:type="dxa"/>
            <w:tcBorders>
              <w:top w:val="nil"/>
              <w:bottom w:val="nil"/>
            </w:tcBorders>
            <w:noWrap/>
            <w:tcMar>
              <w:left w:w="0" w:type="dxa"/>
              <w:right w:w="0" w:type="dxa"/>
            </w:tcMar>
            <w:vAlign w:val="bottom"/>
          </w:tcPr>
          <w:p w14:paraId="04A85118"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417" w:type="dxa"/>
            <w:tcBorders>
              <w:top w:val="single" w:sz="4" w:space="0" w:color="auto"/>
              <w:bottom w:val="double" w:sz="4" w:space="0" w:color="auto"/>
            </w:tcBorders>
            <w:shd w:val="clear" w:color="auto" w:fill="F1F1F2" w:themeFill="accent5" w:themeFillTint="33"/>
            <w:noWrap/>
            <w:tcMar>
              <w:left w:w="0" w:type="dxa"/>
              <w:right w:w="113" w:type="dxa"/>
            </w:tcMar>
            <w:vAlign w:val="bottom"/>
          </w:tcPr>
          <w:p w14:paraId="483BB659" w14:textId="77777777" w:rsidR="00AB33EC" w:rsidRPr="003E75E2" w:rsidRDefault="00AB33EC" w:rsidP="00B721B7">
            <w:pPr>
              <w:pStyle w:val="Normaltabletext1stpararight"/>
              <w:spacing w:line="240" w:lineRule="auto"/>
              <w:rPr>
                <w:rFonts w:cstheme="minorHAnsi"/>
                <w:b/>
                <w:iCs/>
                <w:color w:val="414042" w:themeColor="text1"/>
                <w:lang w:eastAsia="en-AU"/>
              </w:rPr>
            </w:pPr>
            <w:r>
              <w:rPr>
                <w:rFonts w:cstheme="minorHAnsi"/>
                <w:b/>
                <w:iCs/>
                <w:color w:val="414042" w:themeColor="text1"/>
                <w:lang w:eastAsia="en-AU"/>
              </w:rPr>
              <w:t>322</w:t>
            </w:r>
          </w:p>
        </w:tc>
        <w:tc>
          <w:tcPr>
            <w:tcW w:w="283" w:type="dxa"/>
            <w:tcBorders>
              <w:top w:val="nil"/>
              <w:bottom w:val="nil"/>
            </w:tcBorders>
            <w:noWrap/>
          </w:tcPr>
          <w:p w14:paraId="35CF49C0" w14:textId="77777777" w:rsidR="00AB33EC" w:rsidRPr="003E75E2" w:rsidRDefault="00AB33EC" w:rsidP="00B721B7">
            <w:pPr>
              <w:pStyle w:val="Normaltabletextleft"/>
              <w:spacing w:line="240" w:lineRule="auto"/>
              <w:rPr>
                <w:rFonts w:cstheme="minorHAnsi"/>
                <w:b/>
                <w:color w:val="414042" w:themeColor="text1"/>
              </w:rPr>
            </w:pPr>
          </w:p>
        </w:tc>
        <w:tc>
          <w:tcPr>
            <w:tcW w:w="1276" w:type="dxa"/>
            <w:tcBorders>
              <w:top w:val="single" w:sz="4" w:space="0" w:color="auto"/>
              <w:bottom w:val="double" w:sz="4" w:space="0" w:color="auto"/>
              <w:right w:val="nil"/>
            </w:tcBorders>
            <w:shd w:val="clear" w:color="auto" w:fill="auto"/>
            <w:noWrap/>
            <w:tcMar>
              <w:left w:w="0" w:type="dxa"/>
              <w:right w:w="113" w:type="dxa"/>
            </w:tcMar>
            <w:vAlign w:val="bottom"/>
          </w:tcPr>
          <w:p w14:paraId="6C4D2749" w14:textId="77777777" w:rsidR="00AB33EC" w:rsidRPr="003E75E2" w:rsidRDefault="00AB33EC" w:rsidP="00B721B7">
            <w:pPr>
              <w:pStyle w:val="Normaltabletext1stpararight"/>
              <w:spacing w:line="240" w:lineRule="auto"/>
              <w:rPr>
                <w:rFonts w:cstheme="minorHAnsi"/>
                <w:b/>
                <w:iCs/>
                <w:color w:val="414042" w:themeColor="text1"/>
                <w:lang w:eastAsia="en-AU"/>
              </w:rPr>
            </w:pPr>
            <w:r w:rsidRPr="003E75E2">
              <w:rPr>
                <w:rFonts w:cstheme="minorHAnsi"/>
                <w:b/>
                <w:iCs/>
                <w:color w:val="414042" w:themeColor="text1"/>
                <w:lang w:eastAsia="en-AU"/>
              </w:rPr>
              <w:t>606</w:t>
            </w:r>
          </w:p>
        </w:tc>
      </w:tr>
    </w:tbl>
    <w:p w14:paraId="13F9A6A6" w14:textId="77777777" w:rsidR="00AB33EC" w:rsidRPr="003E75E2" w:rsidRDefault="00AB33EC" w:rsidP="00AB33EC">
      <w:pPr>
        <w:pStyle w:val="Normal1stpara"/>
        <w:spacing w:line="240" w:lineRule="auto"/>
        <w:jc w:val="both"/>
        <w:rPr>
          <w:rFonts w:asciiTheme="minorHAnsi" w:hAnsiTheme="minorHAnsi" w:cstheme="minorHAnsi"/>
          <w:color w:val="414042" w:themeColor="text1"/>
          <w:lang w:eastAsia="en-AU"/>
        </w:rPr>
      </w:pPr>
    </w:p>
    <w:p w14:paraId="6B7AF197" w14:textId="77777777" w:rsidR="00AB33EC" w:rsidRPr="003E75E2" w:rsidRDefault="00AB33EC" w:rsidP="0037124B">
      <w:pPr>
        <w:pStyle w:val="Normal1stpara"/>
        <w:spacing w:line="240" w:lineRule="auto"/>
        <w:ind w:left="284" w:hanging="284"/>
        <w:rPr>
          <w:rFonts w:asciiTheme="minorHAnsi" w:hAnsiTheme="minorHAnsi" w:cstheme="minorHAnsi"/>
          <w:color w:val="414042" w:themeColor="text1"/>
          <w:sz w:val="17"/>
          <w:szCs w:val="17"/>
          <w:lang w:eastAsia="en-AU"/>
        </w:rPr>
      </w:pPr>
      <w:r w:rsidRPr="003E75E2">
        <w:rPr>
          <w:rFonts w:asciiTheme="minorHAnsi" w:hAnsiTheme="minorHAnsi" w:cstheme="minorHAnsi"/>
          <w:color w:val="414042" w:themeColor="text1"/>
          <w:sz w:val="17"/>
          <w:szCs w:val="17"/>
          <w:lang w:eastAsia="en-AU"/>
        </w:rPr>
        <w:t xml:space="preserve">¹      The CCC’s software internally generated comprises of various computer applications under the Digital Workplace Program (DWP) as well as the data warehousing infrastructure. </w:t>
      </w:r>
    </w:p>
    <w:p w14:paraId="66930C0A" w14:textId="77777777" w:rsidR="00AB33EC" w:rsidRPr="003E75E2" w:rsidRDefault="00AB33EC" w:rsidP="00AB33EC">
      <w:pPr>
        <w:rPr>
          <w:rFonts w:asciiTheme="minorHAnsi" w:hAnsiTheme="minorHAnsi" w:cstheme="minorHAnsi"/>
          <w:color w:val="414042" w:themeColor="text1"/>
        </w:rPr>
      </w:pPr>
    </w:p>
    <w:p w14:paraId="3241C1E9" w14:textId="77777777" w:rsidR="00AB33EC" w:rsidRPr="003E75E2" w:rsidRDefault="00AB33EC" w:rsidP="00AB33EC">
      <w:pPr>
        <w:pStyle w:val="Normal115pttext"/>
        <w:spacing w:line="240" w:lineRule="auto"/>
        <w:jc w:val="both"/>
        <w:rPr>
          <w:rFonts w:cstheme="minorHAnsi"/>
          <w:color w:val="414042" w:themeColor="text1"/>
          <w:sz w:val="21"/>
          <w:szCs w:val="21"/>
        </w:rPr>
      </w:pPr>
      <w:r w:rsidRPr="003E75E2">
        <w:rPr>
          <w:rFonts w:cstheme="minorHAnsi"/>
          <w:color w:val="414042" w:themeColor="text1"/>
          <w:sz w:val="21"/>
          <w:szCs w:val="21"/>
        </w:rPr>
        <w:t>Intangibles Reconciliation</w:t>
      </w:r>
    </w:p>
    <w:tbl>
      <w:tblPr>
        <w:tblW w:w="7124" w:type="dxa"/>
        <w:tblLayout w:type="fixed"/>
        <w:tblLook w:val="04A0" w:firstRow="1" w:lastRow="0" w:firstColumn="1" w:lastColumn="0" w:noHBand="0" w:noVBand="1"/>
      </w:tblPr>
      <w:tblGrid>
        <w:gridCol w:w="2127"/>
        <w:gridCol w:w="832"/>
        <w:gridCol w:w="833"/>
        <w:gridCol w:w="833"/>
        <w:gridCol w:w="833"/>
        <w:gridCol w:w="833"/>
        <w:gridCol w:w="833"/>
      </w:tblGrid>
      <w:tr w:rsidR="00C420FC" w:rsidRPr="003E75E2" w14:paraId="09FE8892" w14:textId="77777777" w:rsidTr="00C5404E">
        <w:trPr>
          <w:trHeight w:val="609"/>
        </w:trPr>
        <w:tc>
          <w:tcPr>
            <w:tcW w:w="2127" w:type="dxa"/>
            <w:tcBorders>
              <w:top w:val="single" w:sz="8" w:space="0" w:color="auto"/>
              <w:left w:val="nil"/>
              <w:bottom w:val="nil"/>
              <w:right w:val="single" w:sz="6" w:space="0" w:color="auto"/>
            </w:tcBorders>
            <w:shd w:val="clear" w:color="000000" w:fill="FFFFFF"/>
            <w:vAlign w:val="center"/>
            <w:hideMark/>
          </w:tcPr>
          <w:p w14:paraId="125607BB" w14:textId="77777777" w:rsidR="00C420FC" w:rsidRPr="003E75E2" w:rsidRDefault="00C420FC" w:rsidP="00B721B7">
            <w:pPr>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 </w:t>
            </w:r>
          </w:p>
        </w:tc>
        <w:tc>
          <w:tcPr>
            <w:tcW w:w="1665" w:type="dxa"/>
            <w:gridSpan w:val="2"/>
            <w:tcBorders>
              <w:top w:val="single" w:sz="8" w:space="0" w:color="auto"/>
              <w:left w:val="single" w:sz="6" w:space="0" w:color="auto"/>
              <w:bottom w:val="single" w:sz="8" w:space="0" w:color="auto"/>
              <w:right w:val="single" w:sz="6" w:space="0" w:color="auto"/>
            </w:tcBorders>
            <w:shd w:val="clear" w:color="000000" w:fill="FFFFFF"/>
            <w:vAlign w:val="center"/>
          </w:tcPr>
          <w:p w14:paraId="097350A0" w14:textId="77777777" w:rsidR="00C420FC" w:rsidRPr="003E75E2" w:rsidRDefault="00C420FC" w:rsidP="00B721B7">
            <w:pPr>
              <w:jc w:val="center"/>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Software Purchased</w:t>
            </w:r>
          </w:p>
        </w:tc>
        <w:tc>
          <w:tcPr>
            <w:tcW w:w="1666" w:type="dxa"/>
            <w:gridSpan w:val="2"/>
            <w:tcBorders>
              <w:top w:val="single" w:sz="8" w:space="0" w:color="auto"/>
              <w:left w:val="single" w:sz="6" w:space="0" w:color="auto"/>
              <w:bottom w:val="single" w:sz="8" w:space="0" w:color="auto"/>
              <w:right w:val="single" w:sz="6" w:space="0" w:color="auto"/>
            </w:tcBorders>
            <w:shd w:val="clear" w:color="000000" w:fill="FFFFFF"/>
            <w:vAlign w:val="center"/>
            <w:hideMark/>
          </w:tcPr>
          <w:p w14:paraId="27E8CCBD" w14:textId="77777777" w:rsidR="00C420FC" w:rsidRPr="003E75E2" w:rsidRDefault="00C420FC" w:rsidP="00B721B7">
            <w:pPr>
              <w:jc w:val="center"/>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Software Internally Generated</w:t>
            </w:r>
          </w:p>
        </w:tc>
        <w:tc>
          <w:tcPr>
            <w:tcW w:w="1666" w:type="dxa"/>
            <w:gridSpan w:val="2"/>
            <w:tcBorders>
              <w:top w:val="single" w:sz="8" w:space="0" w:color="auto"/>
              <w:left w:val="single" w:sz="6" w:space="0" w:color="auto"/>
              <w:bottom w:val="single" w:sz="8" w:space="0" w:color="auto"/>
              <w:right w:val="nil"/>
            </w:tcBorders>
            <w:shd w:val="clear" w:color="000000" w:fill="FFFFFF"/>
            <w:vAlign w:val="center"/>
            <w:hideMark/>
          </w:tcPr>
          <w:p w14:paraId="7B01AAB3" w14:textId="77777777" w:rsidR="00C420FC" w:rsidRPr="003E75E2" w:rsidRDefault="00C420FC" w:rsidP="00B721B7">
            <w:pPr>
              <w:jc w:val="center"/>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Total</w:t>
            </w:r>
          </w:p>
        </w:tc>
      </w:tr>
      <w:tr w:rsidR="00C420FC" w:rsidRPr="003E75E2" w14:paraId="4C8F57F3" w14:textId="77777777" w:rsidTr="00C5404E">
        <w:trPr>
          <w:trHeight w:val="300"/>
        </w:trPr>
        <w:tc>
          <w:tcPr>
            <w:tcW w:w="2127" w:type="dxa"/>
            <w:tcBorders>
              <w:top w:val="nil"/>
              <w:left w:val="nil"/>
              <w:bottom w:val="nil"/>
              <w:right w:val="single" w:sz="6" w:space="0" w:color="auto"/>
            </w:tcBorders>
            <w:shd w:val="clear" w:color="000000" w:fill="FFFFFF"/>
            <w:vAlign w:val="center"/>
            <w:hideMark/>
          </w:tcPr>
          <w:p w14:paraId="04CA001E" w14:textId="77777777" w:rsidR="00C420FC" w:rsidRPr="003E75E2" w:rsidRDefault="00C420FC" w:rsidP="00B721B7">
            <w:pPr>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 </w:t>
            </w:r>
          </w:p>
        </w:tc>
        <w:tc>
          <w:tcPr>
            <w:tcW w:w="832" w:type="dxa"/>
            <w:tcBorders>
              <w:top w:val="single" w:sz="8" w:space="0" w:color="auto"/>
              <w:left w:val="single" w:sz="6" w:space="0" w:color="auto"/>
            </w:tcBorders>
            <w:shd w:val="clear" w:color="auto" w:fill="F1F1F2" w:themeFill="accent5" w:themeFillTint="33"/>
            <w:vAlign w:val="center"/>
          </w:tcPr>
          <w:p w14:paraId="54731F6B" w14:textId="77777777" w:rsidR="00C420FC" w:rsidRPr="003E75E2" w:rsidRDefault="00C420FC" w:rsidP="00B721B7">
            <w:pPr>
              <w:ind w:hanging="250"/>
              <w:jc w:val="right"/>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2024</w:t>
            </w:r>
          </w:p>
        </w:tc>
        <w:tc>
          <w:tcPr>
            <w:tcW w:w="833" w:type="dxa"/>
            <w:tcBorders>
              <w:top w:val="single" w:sz="8" w:space="0" w:color="auto"/>
              <w:right w:val="single" w:sz="6" w:space="0" w:color="auto"/>
            </w:tcBorders>
            <w:shd w:val="clear" w:color="auto" w:fill="auto"/>
            <w:vAlign w:val="center"/>
          </w:tcPr>
          <w:p w14:paraId="5F891F44" w14:textId="77777777" w:rsidR="00C420FC" w:rsidRPr="003E75E2" w:rsidRDefault="00C420FC" w:rsidP="00B721B7">
            <w:pPr>
              <w:ind w:hanging="250"/>
              <w:jc w:val="right"/>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2023</w:t>
            </w:r>
          </w:p>
        </w:tc>
        <w:tc>
          <w:tcPr>
            <w:tcW w:w="833" w:type="dxa"/>
            <w:tcBorders>
              <w:top w:val="single" w:sz="8" w:space="0" w:color="auto"/>
              <w:left w:val="single" w:sz="6" w:space="0" w:color="auto"/>
              <w:bottom w:val="nil"/>
              <w:right w:val="nil"/>
            </w:tcBorders>
            <w:shd w:val="clear" w:color="auto" w:fill="F1F1F2" w:themeFill="accent5" w:themeFillTint="33"/>
            <w:vAlign w:val="center"/>
            <w:hideMark/>
          </w:tcPr>
          <w:p w14:paraId="2A8153EA" w14:textId="77777777" w:rsidR="00C420FC" w:rsidRPr="003E75E2" w:rsidRDefault="00C420FC" w:rsidP="00B721B7">
            <w:pPr>
              <w:ind w:hanging="250"/>
              <w:jc w:val="right"/>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2024</w:t>
            </w:r>
          </w:p>
        </w:tc>
        <w:tc>
          <w:tcPr>
            <w:tcW w:w="833" w:type="dxa"/>
            <w:tcBorders>
              <w:top w:val="single" w:sz="8" w:space="0" w:color="auto"/>
              <w:left w:val="nil"/>
              <w:bottom w:val="nil"/>
              <w:right w:val="single" w:sz="6" w:space="0" w:color="auto"/>
            </w:tcBorders>
            <w:shd w:val="clear" w:color="000000" w:fill="FFFFFF"/>
            <w:vAlign w:val="center"/>
            <w:hideMark/>
          </w:tcPr>
          <w:p w14:paraId="3E7CF42D" w14:textId="77777777" w:rsidR="00C420FC" w:rsidRPr="003E75E2" w:rsidRDefault="00C420FC" w:rsidP="00B721B7">
            <w:pPr>
              <w:jc w:val="right"/>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2023</w:t>
            </w:r>
          </w:p>
        </w:tc>
        <w:tc>
          <w:tcPr>
            <w:tcW w:w="833" w:type="dxa"/>
            <w:tcBorders>
              <w:top w:val="nil"/>
              <w:left w:val="single" w:sz="6" w:space="0" w:color="auto"/>
              <w:bottom w:val="nil"/>
              <w:right w:val="nil"/>
            </w:tcBorders>
            <w:shd w:val="clear" w:color="auto" w:fill="F1F1F2" w:themeFill="accent5" w:themeFillTint="33"/>
            <w:vAlign w:val="center"/>
            <w:hideMark/>
          </w:tcPr>
          <w:p w14:paraId="0C5F0C8C" w14:textId="77777777" w:rsidR="00C420FC" w:rsidRPr="003E75E2" w:rsidRDefault="00C420FC" w:rsidP="00B721B7">
            <w:pPr>
              <w:ind w:left="-37"/>
              <w:jc w:val="right"/>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2024</w:t>
            </w:r>
          </w:p>
        </w:tc>
        <w:tc>
          <w:tcPr>
            <w:tcW w:w="833" w:type="dxa"/>
            <w:tcBorders>
              <w:top w:val="nil"/>
              <w:left w:val="nil"/>
              <w:bottom w:val="nil"/>
              <w:right w:val="nil"/>
            </w:tcBorders>
            <w:shd w:val="clear" w:color="000000" w:fill="FFFFFF"/>
            <w:vAlign w:val="center"/>
            <w:hideMark/>
          </w:tcPr>
          <w:p w14:paraId="357109BD" w14:textId="77777777" w:rsidR="00C420FC" w:rsidRPr="003E75E2" w:rsidRDefault="00C420FC" w:rsidP="00B721B7">
            <w:pPr>
              <w:jc w:val="right"/>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2023</w:t>
            </w:r>
          </w:p>
        </w:tc>
      </w:tr>
      <w:tr w:rsidR="00C420FC" w:rsidRPr="003E75E2" w14:paraId="1F70A09D" w14:textId="77777777" w:rsidTr="00C5404E">
        <w:trPr>
          <w:trHeight w:val="300"/>
        </w:trPr>
        <w:tc>
          <w:tcPr>
            <w:tcW w:w="2127" w:type="dxa"/>
            <w:tcBorders>
              <w:top w:val="nil"/>
              <w:left w:val="nil"/>
              <w:bottom w:val="single" w:sz="8" w:space="0" w:color="auto"/>
              <w:right w:val="single" w:sz="6" w:space="0" w:color="auto"/>
            </w:tcBorders>
            <w:shd w:val="clear" w:color="000000" w:fill="FFFFFF"/>
            <w:vAlign w:val="center"/>
            <w:hideMark/>
          </w:tcPr>
          <w:p w14:paraId="322DD946" w14:textId="77777777" w:rsidR="00C420FC" w:rsidRPr="003E75E2" w:rsidRDefault="00C420FC" w:rsidP="00B721B7">
            <w:pPr>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 </w:t>
            </w:r>
          </w:p>
        </w:tc>
        <w:tc>
          <w:tcPr>
            <w:tcW w:w="832" w:type="dxa"/>
            <w:tcBorders>
              <w:top w:val="nil"/>
              <w:left w:val="single" w:sz="6" w:space="0" w:color="auto"/>
              <w:bottom w:val="single" w:sz="8" w:space="0" w:color="auto"/>
            </w:tcBorders>
            <w:shd w:val="clear" w:color="auto" w:fill="F1F1F2" w:themeFill="accent5" w:themeFillTint="33"/>
            <w:vAlign w:val="center"/>
          </w:tcPr>
          <w:p w14:paraId="23F51DA9" w14:textId="77777777" w:rsidR="00C420FC" w:rsidRPr="003E75E2" w:rsidRDefault="00C420FC" w:rsidP="00B721B7">
            <w:pPr>
              <w:jc w:val="right"/>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$’000</w:t>
            </w:r>
          </w:p>
        </w:tc>
        <w:tc>
          <w:tcPr>
            <w:tcW w:w="833" w:type="dxa"/>
            <w:tcBorders>
              <w:top w:val="nil"/>
              <w:bottom w:val="single" w:sz="8" w:space="0" w:color="auto"/>
              <w:right w:val="single" w:sz="6" w:space="0" w:color="auto"/>
            </w:tcBorders>
            <w:shd w:val="clear" w:color="auto" w:fill="auto"/>
            <w:vAlign w:val="center"/>
          </w:tcPr>
          <w:p w14:paraId="0D7F9DF6" w14:textId="77777777" w:rsidR="00C420FC" w:rsidRPr="003E75E2" w:rsidRDefault="00C420FC" w:rsidP="00B721B7">
            <w:pPr>
              <w:jc w:val="right"/>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$’000</w:t>
            </w:r>
          </w:p>
        </w:tc>
        <w:tc>
          <w:tcPr>
            <w:tcW w:w="833" w:type="dxa"/>
            <w:tcBorders>
              <w:top w:val="nil"/>
              <w:left w:val="single" w:sz="6" w:space="0" w:color="auto"/>
              <w:bottom w:val="single" w:sz="8" w:space="0" w:color="auto"/>
              <w:right w:val="nil"/>
            </w:tcBorders>
            <w:shd w:val="clear" w:color="auto" w:fill="F1F1F2" w:themeFill="accent5" w:themeFillTint="33"/>
            <w:vAlign w:val="center"/>
            <w:hideMark/>
          </w:tcPr>
          <w:p w14:paraId="73DB975E" w14:textId="77777777" w:rsidR="00C420FC" w:rsidRPr="003E75E2" w:rsidRDefault="00C420FC" w:rsidP="00B721B7">
            <w:pPr>
              <w:jc w:val="right"/>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$’000</w:t>
            </w:r>
          </w:p>
        </w:tc>
        <w:tc>
          <w:tcPr>
            <w:tcW w:w="833" w:type="dxa"/>
            <w:tcBorders>
              <w:top w:val="nil"/>
              <w:left w:val="nil"/>
              <w:bottom w:val="single" w:sz="8" w:space="0" w:color="auto"/>
              <w:right w:val="single" w:sz="6" w:space="0" w:color="auto"/>
            </w:tcBorders>
            <w:shd w:val="clear" w:color="000000" w:fill="FFFFFF"/>
            <w:vAlign w:val="center"/>
            <w:hideMark/>
          </w:tcPr>
          <w:p w14:paraId="4A4AE968" w14:textId="77777777" w:rsidR="00C420FC" w:rsidRPr="003E75E2" w:rsidRDefault="00C420FC" w:rsidP="00B721B7">
            <w:pPr>
              <w:jc w:val="right"/>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$’000</w:t>
            </w:r>
          </w:p>
        </w:tc>
        <w:tc>
          <w:tcPr>
            <w:tcW w:w="833" w:type="dxa"/>
            <w:tcBorders>
              <w:top w:val="nil"/>
              <w:left w:val="single" w:sz="6" w:space="0" w:color="auto"/>
              <w:bottom w:val="single" w:sz="8" w:space="0" w:color="auto"/>
              <w:right w:val="nil"/>
            </w:tcBorders>
            <w:shd w:val="clear" w:color="auto" w:fill="F1F1F2" w:themeFill="accent5" w:themeFillTint="33"/>
            <w:vAlign w:val="center"/>
            <w:hideMark/>
          </w:tcPr>
          <w:p w14:paraId="0C0D76C2" w14:textId="77777777" w:rsidR="00C420FC" w:rsidRPr="003E75E2" w:rsidRDefault="00C420FC" w:rsidP="00B721B7">
            <w:pPr>
              <w:ind w:left="-37"/>
              <w:jc w:val="right"/>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$’000</w:t>
            </w:r>
          </w:p>
        </w:tc>
        <w:tc>
          <w:tcPr>
            <w:tcW w:w="833" w:type="dxa"/>
            <w:tcBorders>
              <w:top w:val="nil"/>
              <w:left w:val="nil"/>
              <w:bottom w:val="single" w:sz="8" w:space="0" w:color="auto"/>
              <w:right w:val="nil"/>
            </w:tcBorders>
            <w:shd w:val="clear" w:color="000000" w:fill="FFFFFF"/>
            <w:vAlign w:val="center"/>
            <w:hideMark/>
          </w:tcPr>
          <w:p w14:paraId="7B91B243" w14:textId="77777777" w:rsidR="00C420FC" w:rsidRPr="003E75E2" w:rsidRDefault="00C420FC" w:rsidP="00B721B7">
            <w:pPr>
              <w:jc w:val="right"/>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$’000</w:t>
            </w:r>
          </w:p>
        </w:tc>
      </w:tr>
      <w:tr w:rsidR="00C420FC" w:rsidRPr="003E75E2" w14:paraId="354699B1" w14:textId="77777777" w:rsidTr="00C5404E">
        <w:trPr>
          <w:trHeight w:val="300"/>
        </w:trPr>
        <w:tc>
          <w:tcPr>
            <w:tcW w:w="2127" w:type="dxa"/>
            <w:tcBorders>
              <w:top w:val="nil"/>
              <w:left w:val="nil"/>
              <w:bottom w:val="nil"/>
              <w:right w:val="single" w:sz="6" w:space="0" w:color="auto"/>
            </w:tcBorders>
            <w:shd w:val="clear" w:color="000000" w:fill="FFFFFF"/>
            <w:vAlign w:val="center"/>
          </w:tcPr>
          <w:p w14:paraId="3ECE6CA5" w14:textId="77777777" w:rsidR="00C420FC" w:rsidRPr="003E75E2" w:rsidRDefault="00C420FC" w:rsidP="00B721B7">
            <w:pPr>
              <w:rPr>
                <w:rFonts w:asciiTheme="minorHAnsi" w:eastAsia="Times New Roman" w:hAnsiTheme="minorHAnsi" w:cstheme="minorHAnsi"/>
                <w:color w:val="414042" w:themeColor="text1"/>
                <w:szCs w:val="20"/>
                <w:lang w:eastAsia="en-AU"/>
              </w:rPr>
            </w:pPr>
          </w:p>
        </w:tc>
        <w:tc>
          <w:tcPr>
            <w:tcW w:w="832" w:type="dxa"/>
            <w:tcBorders>
              <w:top w:val="single" w:sz="8" w:space="0" w:color="auto"/>
              <w:left w:val="single" w:sz="6" w:space="0" w:color="auto"/>
              <w:bottom w:val="nil"/>
            </w:tcBorders>
            <w:shd w:val="clear" w:color="auto" w:fill="F1F1F2" w:themeFill="accent5" w:themeFillTint="33"/>
            <w:vAlign w:val="center"/>
          </w:tcPr>
          <w:p w14:paraId="102AC5F8"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p>
        </w:tc>
        <w:tc>
          <w:tcPr>
            <w:tcW w:w="833" w:type="dxa"/>
            <w:tcBorders>
              <w:top w:val="single" w:sz="8" w:space="0" w:color="auto"/>
              <w:bottom w:val="nil"/>
              <w:right w:val="single" w:sz="6" w:space="0" w:color="auto"/>
            </w:tcBorders>
            <w:shd w:val="clear" w:color="auto" w:fill="auto"/>
            <w:vAlign w:val="center"/>
          </w:tcPr>
          <w:p w14:paraId="53F96E45"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p>
        </w:tc>
        <w:tc>
          <w:tcPr>
            <w:tcW w:w="833" w:type="dxa"/>
            <w:tcBorders>
              <w:top w:val="nil"/>
              <w:left w:val="single" w:sz="6" w:space="0" w:color="auto"/>
              <w:bottom w:val="nil"/>
              <w:right w:val="nil"/>
            </w:tcBorders>
            <w:shd w:val="clear" w:color="auto" w:fill="F1F1F2" w:themeFill="accent5" w:themeFillTint="33"/>
            <w:vAlign w:val="center"/>
          </w:tcPr>
          <w:p w14:paraId="2308293B"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p>
        </w:tc>
        <w:tc>
          <w:tcPr>
            <w:tcW w:w="833" w:type="dxa"/>
            <w:tcBorders>
              <w:top w:val="nil"/>
              <w:left w:val="nil"/>
              <w:bottom w:val="nil"/>
              <w:right w:val="single" w:sz="6" w:space="0" w:color="auto"/>
            </w:tcBorders>
            <w:shd w:val="clear" w:color="000000" w:fill="FFFFFF"/>
            <w:vAlign w:val="center"/>
          </w:tcPr>
          <w:p w14:paraId="0B227FF3"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p>
        </w:tc>
        <w:tc>
          <w:tcPr>
            <w:tcW w:w="833" w:type="dxa"/>
            <w:tcBorders>
              <w:top w:val="nil"/>
              <w:left w:val="single" w:sz="6" w:space="0" w:color="auto"/>
              <w:bottom w:val="nil"/>
              <w:right w:val="nil"/>
            </w:tcBorders>
            <w:shd w:val="clear" w:color="auto" w:fill="F1F1F2" w:themeFill="accent5" w:themeFillTint="33"/>
            <w:vAlign w:val="center"/>
          </w:tcPr>
          <w:p w14:paraId="601D7E8B" w14:textId="77777777" w:rsidR="00C420FC" w:rsidRPr="003E75E2" w:rsidRDefault="00C420FC" w:rsidP="00B721B7">
            <w:pPr>
              <w:ind w:left="-37"/>
              <w:jc w:val="right"/>
              <w:rPr>
                <w:rFonts w:asciiTheme="minorHAnsi" w:eastAsia="Times New Roman" w:hAnsiTheme="minorHAnsi" w:cstheme="minorHAnsi"/>
                <w:color w:val="414042" w:themeColor="text1"/>
                <w:szCs w:val="20"/>
                <w:lang w:eastAsia="en-AU"/>
              </w:rPr>
            </w:pPr>
          </w:p>
        </w:tc>
        <w:tc>
          <w:tcPr>
            <w:tcW w:w="833" w:type="dxa"/>
            <w:tcBorders>
              <w:top w:val="nil"/>
              <w:left w:val="nil"/>
              <w:right w:val="nil"/>
            </w:tcBorders>
            <w:shd w:val="clear" w:color="000000" w:fill="FFFFFF"/>
            <w:vAlign w:val="center"/>
          </w:tcPr>
          <w:p w14:paraId="668C73E2"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p>
        </w:tc>
      </w:tr>
      <w:tr w:rsidR="00C420FC" w:rsidRPr="003E75E2" w14:paraId="7798F159" w14:textId="77777777" w:rsidTr="00C5404E">
        <w:trPr>
          <w:trHeight w:val="300"/>
        </w:trPr>
        <w:tc>
          <w:tcPr>
            <w:tcW w:w="2127" w:type="dxa"/>
            <w:tcBorders>
              <w:top w:val="nil"/>
              <w:left w:val="nil"/>
              <w:bottom w:val="nil"/>
              <w:right w:val="single" w:sz="6" w:space="0" w:color="auto"/>
            </w:tcBorders>
            <w:shd w:val="clear" w:color="000000" w:fill="FFFFFF"/>
            <w:vAlign w:val="center"/>
            <w:hideMark/>
          </w:tcPr>
          <w:p w14:paraId="7082E70D" w14:textId="77777777" w:rsidR="00C420FC" w:rsidRPr="003E75E2" w:rsidRDefault="00C420FC" w:rsidP="00B721B7">
            <w:pPr>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 xml:space="preserve">Carrying amount at </w:t>
            </w:r>
          </w:p>
          <w:p w14:paraId="68E6D010" w14:textId="77777777" w:rsidR="00C420FC" w:rsidRPr="003E75E2" w:rsidRDefault="00C420FC" w:rsidP="00B721B7">
            <w:pPr>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1 July</w:t>
            </w:r>
          </w:p>
        </w:tc>
        <w:tc>
          <w:tcPr>
            <w:tcW w:w="832" w:type="dxa"/>
            <w:tcBorders>
              <w:top w:val="nil"/>
              <w:left w:val="single" w:sz="6" w:space="0" w:color="auto"/>
              <w:bottom w:val="nil"/>
            </w:tcBorders>
            <w:shd w:val="clear" w:color="auto" w:fill="F1F1F2" w:themeFill="accent5" w:themeFillTint="33"/>
            <w:vAlign w:val="center"/>
          </w:tcPr>
          <w:p w14:paraId="79C8D6D7"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9</w:t>
            </w:r>
          </w:p>
        </w:tc>
        <w:tc>
          <w:tcPr>
            <w:tcW w:w="833" w:type="dxa"/>
            <w:tcBorders>
              <w:top w:val="nil"/>
              <w:bottom w:val="nil"/>
              <w:right w:val="single" w:sz="6" w:space="0" w:color="auto"/>
            </w:tcBorders>
            <w:shd w:val="clear" w:color="auto" w:fill="auto"/>
            <w:vAlign w:val="center"/>
          </w:tcPr>
          <w:p w14:paraId="28E6FEED"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16</w:t>
            </w:r>
          </w:p>
        </w:tc>
        <w:tc>
          <w:tcPr>
            <w:tcW w:w="833" w:type="dxa"/>
            <w:tcBorders>
              <w:top w:val="nil"/>
              <w:left w:val="single" w:sz="6" w:space="0" w:color="auto"/>
              <w:bottom w:val="nil"/>
              <w:right w:val="nil"/>
            </w:tcBorders>
            <w:shd w:val="clear" w:color="auto" w:fill="F1F1F2" w:themeFill="accent5" w:themeFillTint="33"/>
            <w:vAlign w:val="center"/>
          </w:tcPr>
          <w:p w14:paraId="40CE97A6"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597</w:t>
            </w:r>
          </w:p>
        </w:tc>
        <w:tc>
          <w:tcPr>
            <w:tcW w:w="833" w:type="dxa"/>
            <w:tcBorders>
              <w:top w:val="nil"/>
              <w:left w:val="nil"/>
              <w:bottom w:val="nil"/>
              <w:right w:val="single" w:sz="6" w:space="0" w:color="auto"/>
            </w:tcBorders>
            <w:shd w:val="clear" w:color="000000" w:fill="FFFFFF"/>
            <w:vAlign w:val="center"/>
            <w:hideMark/>
          </w:tcPr>
          <w:p w14:paraId="509C9511"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874</w:t>
            </w:r>
          </w:p>
        </w:tc>
        <w:tc>
          <w:tcPr>
            <w:tcW w:w="833" w:type="dxa"/>
            <w:tcBorders>
              <w:top w:val="nil"/>
              <w:left w:val="single" w:sz="6" w:space="0" w:color="auto"/>
              <w:bottom w:val="nil"/>
            </w:tcBorders>
            <w:shd w:val="clear" w:color="auto" w:fill="F1F1F2" w:themeFill="accent5" w:themeFillTint="33"/>
            <w:vAlign w:val="center"/>
          </w:tcPr>
          <w:p w14:paraId="63F3BD1E" w14:textId="77777777" w:rsidR="00C420FC" w:rsidRPr="003E75E2" w:rsidRDefault="00C420FC" w:rsidP="00B721B7">
            <w:pPr>
              <w:ind w:left="-37"/>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606</w:t>
            </w:r>
          </w:p>
        </w:tc>
        <w:tc>
          <w:tcPr>
            <w:tcW w:w="833" w:type="dxa"/>
            <w:tcBorders>
              <w:top w:val="nil"/>
              <w:bottom w:val="nil"/>
              <w:right w:val="nil"/>
            </w:tcBorders>
            <w:shd w:val="clear" w:color="auto" w:fill="auto"/>
            <w:vAlign w:val="center"/>
            <w:hideMark/>
          </w:tcPr>
          <w:p w14:paraId="18AB1D8A"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890</w:t>
            </w:r>
          </w:p>
        </w:tc>
      </w:tr>
      <w:tr w:rsidR="00C420FC" w:rsidRPr="003E75E2" w14:paraId="5693F059" w14:textId="77777777" w:rsidTr="00C5404E">
        <w:trPr>
          <w:trHeight w:val="300"/>
        </w:trPr>
        <w:tc>
          <w:tcPr>
            <w:tcW w:w="2127" w:type="dxa"/>
            <w:tcBorders>
              <w:top w:val="nil"/>
              <w:left w:val="nil"/>
              <w:bottom w:val="nil"/>
              <w:right w:val="single" w:sz="6" w:space="0" w:color="auto"/>
            </w:tcBorders>
            <w:shd w:val="clear" w:color="000000" w:fill="FFFFFF"/>
            <w:vAlign w:val="center"/>
            <w:hideMark/>
          </w:tcPr>
          <w:p w14:paraId="416FE8B4" w14:textId="77777777" w:rsidR="00C420FC" w:rsidRPr="003E75E2" w:rsidRDefault="00C420FC" w:rsidP="00B721B7">
            <w:pPr>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Acquisitions</w:t>
            </w:r>
          </w:p>
        </w:tc>
        <w:tc>
          <w:tcPr>
            <w:tcW w:w="832" w:type="dxa"/>
            <w:tcBorders>
              <w:top w:val="nil"/>
              <w:left w:val="single" w:sz="6" w:space="0" w:color="auto"/>
              <w:bottom w:val="nil"/>
            </w:tcBorders>
            <w:shd w:val="clear" w:color="auto" w:fill="F1F1F2" w:themeFill="accent5" w:themeFillTint="33"/>
            <w:vAlign w:val="center"/>
          </w:tcPr>
          <w:p w14:paraId="7D3F2784"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p>
        </w:tc>
        <w:tc>
          <w:tcPr>
            <w:tcW w:w="833" w:type="dxa"/>
            <w:tcBorders>
              <w:top w:val="nil"/>
              <w:bottom w:val="nil"/>
              <w:right w:val="single" w:sz="6" w:space="0" w:color="auto"/>
            </w:tcBorders>
            <w:shd w:val="clear" w:color="auto" w:fill="auto"/>
            <w:vAlign w:val="center"/>
          </w:tcPr>
          <w:p w14:paraId="7ADBE2E5"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w:t>
            </w:r>
          </w:p>
        </w:tc>
        <w:tc>
          <w:tcPr>
            <w:tcW w:w="833" w:type="dxa"/>
            <w:tcBorders>
              <w:top w:val="nil"/>
              <w:left w:val="single" w:sz="6" w:space="0" w:color="auto"/>
              <w:bottom w:val="nil"/>
              <w:right w:val="nil"/>
            </w:tcBorders>
            <w:shd w:val="clear" w:color="auto" w:fill="F1F1F2" w:themeFill="accent5" w:themeFillTint="33"/>
            <w:vAlign w:val="center"/>
          </w:tcPr>
          <w:p w14:paraId="609C536A"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w:t>
            </w:r>
          </w:p>
        </w:tc>
        <w:tc>
          <w:tcPr>
            <w:tcW w:w="833" w:type="dxa"/>
            <w:tcBorders>
              <w:top w:val="nil"/>
              <w:left w:val="nil"/>
              <w:bottom w:val="nil"/>
              <w:right w:val="single" w:sz="6" w:space="0" w:color="auto"/>
            </w:tcBorders>
            <w:shd w:val="clear" w:color="000000" w:fill="FFFFFF"/>
            <w:vAlign w:val="center"/>
            <w:hideMark/>
          </w:tcPr>
          <w:p w14:paraId="6838FCD2"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w:t>
            </w:r>
          </w:p>
        </w:tc>
        <w:tc>
          <w:tcPr>
            <w:tcW w:w="833" w:type="dxa"/>
            <w:tcBorders>
              <w:top w:val="nil"/>
              <w:left w:val="single" w:sz="6" w:space="0" w:color="auto"/>
              <w:bottom w:val="nil"/>
            </w:tcBorders>
            <w:shd w:val="clear" w:color="auto" w:fill="F1F1F2" w:themeFill="accent5" w:themeFillTint="33"/>
            <w:vAlign w:val="center"/>
          </w:tcPr>
          <w:p w14:paraId="409CB95B" w14:textId="77777777" w:rsidR="00C420FC" w:rsidRPr="003E75E2" w:rsidRDefault="00C420FC" w:rsidP="00B721B7">
            <w:pPr>
              <w:ind w:left="-37"/>
              <w:jc w:val="center"/>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 xml:space="preserve">          -</w:t>
            </w:r>
          </w:p>
        </w:tc>
        <w:tc>
          <w:tcPr>
            <w:tcW w:w="833" w:type="dxa"/>
            <w:tcBorders>
              <w:top w:val="nil"/>
              <w:bottom w:val="nil"/>
              <w:right w:val="nil"/>
            </w:tcBorders>
            <w:shd w:val="clear" w:color="auto" w:fill="auto"/>
            <w:vAlign w:val="center"/>
            <w:hideMark/>
          </w:tcPr>
          <w:p w14:paraId="577FA2C3"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 xml:space="preserve">          -</w:t>
            </w:r>
          </w:p>
        </w:tc>
      </w:tr>
      <w:tr w:rsidR="00C420FC" w:rsidRPr="003E75E2" w14:paraId="2162FB66" w14:textId="77777777" w:rsidTr="00C5404E">
        <w:trPr>
          <w:trHeight w:val="300"/>
        </w:trPr>
        <w:tc>
          <w:tcPr>
            <w:tcW w:w="2127" w:type="dxa"/>
            <w:tcBorders>
              <w:top w:val="nil"/>
              <w:left w:val="nil"/>
              <w:right w:val="single" w:sz="6" w:space="0" w:color="auto"/>
            </w:tcBorders>
            <w:shd w:val="clear" w:color="000000" w:fill="FFFFFF"/>
            <w:vAlign w:val="center"/>
          </w:tcPr>
          <w:p w14:paraId="04787A8D" w14:textId="77777777" w:rsidR="00C420FC" w:rsidRPr="003E75E2" w:rsidRDefault="00C420FC" w:rsidP="00B721B7">
            <w:pPr>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Disposals</w:t>
            </w:r>
          </w:p>
        </w:tc>
        <w:tc>
          <w:tcPr>
            <w:tcW w:w="832" w:type="dxa"/>
            <w:tcBorders>
              <w:top w:val="nil"/>
              <w:left w:val="single" w:sz="6" w:space="0" w:color="auto"/>
            </w:tcBorders>
            <w:shd w:val="clear" w:color="auto" w:fill="F1F1F2" w:themeFill="accent5" w:themeFillTint="33"/>
            <w:vAlign w:val="center"/>
          </w:tcPr>
          <w:p w14:paraId="1D021C23"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p>
        </w:tc>
        <w:tc>
          <w:tcPr>
            <w:tcW w:w="833" w:type="dxa"/>
            <w:tcBorders>
              <w:top w:val="nil"/>
              <w:right w:val="single" w:sz="6" w:space="0" w:color="auto"/>
            </w:tcBorders>
            <w:shd w:val="clear" w:color="auto" w:fill="auto"/>
            <w:vAlign w:val="center"/>
          </w:tcPr>
          <w:p w14:paraId="74FE24EE"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w:t>
            </w:r>
          </w:p>
        </w:tc>
        <w:tc>
          <w:tcPr>
            <w:tcW w:w="833" w:type="dxa"/>
            <w:tcBorders>
              <w:top w:val="nil"/>
              <w:left w:val="single" w:sz="6" w:space="0" w:color="auto"/>
              <w:bottom w:val="nil"/>
              <w:right w:val="nil"/>
            </w:tcBorders>
            <w:shd w:val="clear" w:color="auto" w:fill="F1F1F2" w:themeFill="accent5" w:themeFillTint="33"/>
            <w:vAlign w:val="center"/>
          </w:tcPr>
          <w:p w14:paraId="54DBC3D5"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w:t>
            </w:r>
          </w:p>
        </w:tc>
        <w:tc>
          <w:tcPr>
            <w:tcW w:w="833" w:type="dxa"/>
            <w:tcBorders>
              <w:top w:val="nil"/>
              <w:left w:val="nil"/>
              <w:bottom w:val="nil"/>
              <w:right w:val="single" w:sz="6" w:space="0" w:color="auto"/>
            </w:tcBorders>
            <w:shd w:val="clear" w:color="000000" w:fill="FFFFFF"/>
            <w:vAlign w:val="center"/>
          </w:tcPr>
          <w:p w14:paraId="0DF4A882"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w:t>
            </w:r>
          </w:p>
        </w:tc>
        <w:tc>
          <w:tcPr>
            <w:tcW w:w="833" w:type="dxa"/>
            <w:tcBorders>
              <w:top w:val="nil"/>
              <w:left w:val="single" w:sz="6" w:space="0" w:color="auto"/>
              <w:bottom w:val="nil"/>
            </w:tcBorders>
            <w:shd w:val="clear" w:color="auto" w:fill="F1F1F2" w:themeFill="accent5" w:themeFillTint="33"/>
            <w:vAlign w:val="center"/>
          </w:tcPr>
          <w:p w14:paraId="350B6A06" w14:textId="77777777" w:rsidR="00C420FC" w:rsidRPr="003E75E2" w:rsidRDefault="00C420FC" w:rsidP="00B721B7">
            <w:pPr>
              <w:ind w:left="-37"/>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w:t>
            </w:r>
          </w:p>
        </w:tc>
        <w:tc>
          <w:tcPr>
            <w:tcW w:w="833" w:type="dxa"/>
            <w:tcBorders>
              <w:top w:val="nil"/>
              <w:bottom w:val="nil"/>
              <w:right w:val="nil"/>
            </w:tcBorders>
            <w:shd w:val="clear" w:color="auto" w:fill="auto"/>
            <w:vAlign w:val="center"/>
          </w:tcPr>
          <w:p w14:paraId="11EF38CE" w14:textId="77777777" w:rsidR="00C420FC" w:rsidRPr="003E75E2" w:rsidRDefault="00C420FC" w:rsidP="00B721B7">
            <w:pPr>
              <w:ind w:right="33"/>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w:t>
            </w:r>
          </w:p>
        </w:tc>
      </w:tr>
      <w:tr w:rsidR="00C420FC" w:rsidRPr="003E75E2" w14:paraId="76EA47F8" w14:textId="77777777" w:rsidTr="00C5404E">
        <w:trPr>
          <w:trHeight w:val="300"/>
        </w:trPr>
        <w:tc>
          <w:tcPr>
            <w:tcW w:w="2127" w:type="dxa"/>
            <w:tcBorders>
              <w:top w:val="nil"/>
              <w:left w:val="nil"/>
              <w:right w:val="single" w:sz="6" w:space="0" w:color="auto"/>
            </w:tcBorders>
            <w:shd w:val="clear" w:color="000000" w:fill="FFFFFF"/>
            <w:vAlign w:val="center"/>
          </w:tcPr>
          <w:p w14:paraId="6D53333F" w14:textId="77777777" w:rsidR="00C420FC" w:rsidRPr="003E75E2" w:rsidRDefault="00C420FC" w:rsidP="00B721B7">
            <w:pPr>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 xml:space="preserve">Impairment </w:t>
            </w:r>
          </w:p>
        </w:tc>
        <w:tc>
          <w:tcPr>
            <w:tcW w:w="832" w:type="dxa"/>
            <w:tcBorders>
              <w:top w:val="nil"/>
              <w:left w:val="single" w:sz="6" w:space="0" w:color="auto"/>
            </w:tcBorders>
            <w:shd w:val="clear" w:color="auto" w:fill="F1F1F2" w:themeFill="accent5" w:themeFillTint="33"/>
            <w:vAlign w:val="center"/>
          </w:tcPr>
          <w:p w14:paraId="2BE1E4C2"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p>
        </w:tc>
        <w:tc>
          <w:tcPr>
            <w:tcW w:w="833" w:type="dxa"/>
            <w:tcBorders>
              <w:top w:val="nil"/>
              <w:right w:val="single" w:sz="6" w:space="0" w:color="auto"/>
            </w:tcBorders>
            <w:shd w:val="clear" w:color="auto" w:fill="auto"/>
            <w:vAlign w:val="center"/>
          </w:tcPr>
          <w:p w14:paraId="1411BD79"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w:t>
            </w:r>
          </w:p>
        </w:tc>
        <w:tc>
          <w:tcPr>
            <w:tcW w:w="833" w:type="dxa"/>
            <w:tcBorders>
              <w:top w:val="nil"/>
              <w:left w:val="single" w:sz="6" w:space="0" w:color="auto"/>
              <w:bottom w:val="nil"/>
              <w:right w:val="nil"/>
            </w:tcBorders>
            <w:shd w:val="clear" w:color="auto" w:fill="F1F1F2" w:themeFill="accent5" w:themeFillTint="33"/>
            <w:vAlign w:val="center"/>
          </w:tcPr>
          <w:p w14:paraId="079E7A04"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w:t>
            </w:r>
          </w:p>
        </w:tc>
        <w:tc>
          <w:tcPr>
            <w:tcW w:w="833" w:type="dxa"/>
            <w:tcBorders>
              <w:top w:val="nil"/>
              <w:left w:val="nil"/>
              <w:bottom w:val="nil"/>
              <w:right w:val="single" w:sz="6" w:space="0" w:color="auto"/>
            </w:tcBorders>
            <w:shd w:val="clear" w:color="000000" w:fill="FFFFFF"/>
            <w:vAlign w:val="center"/>
          </w:tcPr>
          <w:p w14:paraId="65BBA1A0"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w:t>
            </w:r>
          </w:p>
        </w:tc>
        <w:tc>
          <w:tcPr>
            <w:tcW w:w="833" w:type="dxa"/>
            <w:tcBorders>
              <w:top w:val="nil"/>
              <w:left w:val="single" w:sz="6" w:space="0" w:color="auto"/>
              <w:bottom w:val="nil"/>
            </w:tcBorders>
            <w:shd w:val="clear" w:color="auto" w:fill="F1F1F2" w:themeFill="accent5" w:themeFillTint="33"/>
            <w:vAlign w:val="center"/>
          </w:tcPr>
          <w:p w14:paraId="03E68D8D" w14:textId="77777777" w:rsidR="00C420FC" w:rsidRPr="003E75E2" w:rsidRDefault="00C420FC" w:rsidP="00B721B7">
            <w:pPr>
              <w:ind w:left="-37"/>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w:t>
            </w:r>
          </w:p>
        </w:tc>
        <w:tc>
          <w:tcPr>
            <w:tcW w:w="833" w:type="dxa"/>
            <w:tcBorders>
              <w:top w:val="nil"/>
              <w:bottom w:val="nil"/>
              <w:right w:val="nil"/>
            </w:tcBorders>
            <w:shd w:val="clear" w:color="auto" w:fill="auto"/>
            <w:vAlign w:val="center"/>
          </w:tcPr>
          <w:p w14:paraId="3ED11A49" w14:textId="77777777" w:rsidR="00C420FC" w:rsidRPr="003E75E2" w:rsidRDefault="00C420FC" w:rsidP="00B721B7">
            <w:pPr>
              <w:ind w:right="33"/>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w:t>
            </w:r>
          </w:p>
        </w:tc>
      </w:tr>
      <w:tr w:rsidR="00C420FC" w:rsidRPr="003E75E2" w14:paraId="69152A52" w14:textId="77777777" w:rsidTr="00C5404E">
        <w:trPr>
          <w:trHeight w:val="300"/>
        </w:trPr>
        <w:tc>
          <w:tcPr>
            <w:tcW w:w="2127" w:type="dxa"/>
            <w:tcBorders>
              <w:top w:val="nil"/>
              <w:left w:val="nil"/>
              <w:right w:val="single" w:sz="6" w:space="0" w:color="auto"/>
            </w:tcBorders>
            <w:shd w:val="clear" w:color="000000" w:fill="FFFFFF"/>
            <w:vAlign w:val="center"/>
          </w:tcPr>
          <w:p w14:paraId="14D7F30D" w14:textId="77777777" w:rsidR="00C420FC" w:rsidRPr="003E75E2" w:rsidRDefault="00C420FC" w:rsidP="00B721B7">
            <w:pPr>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Transfers between classes</w:t>
            </w:r>
          </w:p>
        </w:tc>
        <w:tc>
          <w:tcPr>
            <w:tcW w:w="832" w:type="dxa"/>
            <w:tcBorders>
              <w:top w:val="nil"/>
              <w:left w:val="single" w:sz="6" w:space="0" w:color="auto"/>
            </w:tcBorders>
            <w:shd w:val="clear" w:color="auto" w:fill="F1F1F2" w:themeFill="accent5" w:themeFillTint="33"/>
            <w:vAlign w:val="center"/>
          </w:tcPr>
          <w:p w14:paraId="3B93FA3D"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p>
        </w:tc>
        <w:tc>
          <w:tcPr>
            <w:tcW w:w="833" w:type="dxa"/>
            <w:tcBorders>
              <w:top w:val="nil"/>
              <w:right w:val="single" w:sz="6" w:space="0" w:color="auto"/>
            </w:tcBorders>
            <w:shd w:val="clear" w:color="auto" w:fill="auto"/>
            <w:vAlign w:val="center"/>
          </w:tcPr>
          <w:p w14:paraId="36F3B8B3"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w:t>
            </w:r>
          </w:p>
        </w:tc>
        <w:tc>
          <w:tcPr>
            <w:tcW w:w="833" w:type="dxa"/>
            <w:tcBorders>
              <w:top w:val="nil"/>
              <w:left w:val="single" w:sz="6" w:space="0" w:color="auto"/>
              <w:right w:val="nil"/>
            </w:tcBorders>
            <w:shd w:val="clear" w:color="auto" w:fill="F1F1F2" w:themeFill="accent5" w:themeFillTint="33"/>
            <w:vAlign w:val="center"/>
          </w:tcPr>
          <w:p w14:paraId="3F0169E4"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w:t>
            </w:r>
          </w:p>
        </w:tc>
        <w:tc>
          <w:tcPr>
            <w:tcW w:w="833" w:type="dxa"/>
            <w:tcBorders>
              <w:top w:val="nil"/>
              <w:left w:val="nil"/>
              <w:right w:val="single" w:sz="6" w:space="0" w:color="auto"/>
            </w:tcBorders>
            <w:shd w:val="clear" w:color="000000" w:fill="FFFFFF"/>
            <w:vAlign w:val="center"/>
          </w:tcPr>
          <w:p w14:paraId="344838E1"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w:t>
            </w:r>
          </w:p>
        </w:tc>
        <w:tc>
          <w:tcPr>
            <w:tcW w:w="833" w:type="dxa"/>
            <w:tcBorders>
              <w:top w:val="nil"/>
              <w:left w:val="single" w:sz="6" w:space="0" w:color="auto"/>
            </w:tcBorders>
            <w:shd w:val="clear" w:color="auto" w:fill="F1F1F2" w:themeFill="accent5" w:themeFillTint="33"/>
            <w:vAlign w:val="center"/>
          </w:tcPr>
          <w:p w14:paraId="35983D1A" w14:textId="77777777" w:rsidR="00C420FC" w:rsidRPr="003E75E2" w:rsidRDefault="00C420FC" w:rsidP="00B721B7">
            <w:pPr>
              <w:ind w:left="-37"/>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w:t>
            </w:r>
          </w:p>
        </w:tc>
        <w:tc>
          <w:tcPr>
            <w:tcW w:w="833" w:type="dxa"/>
            <w:tcBorders>
              <w:top w:val="nil"/>
              <w:right w:val="nil"/>
            </w:tcBorders>
            <w:shd w:val="clear" w:color="auto" w:fill="auto"/>
            <w:vAlign w:val="center"/>
          </w:tcPr>
          <w:p w14:paraId="2C6CE836" w14:textId="77777777" w:rsidR="00C420FC" w:rsidRPr="003E75E2" w:rsidRDefault="00C420FC" w:rsidP="00B721B7">
            <w:pPr>
              <w:ind w:right="33"/>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w:t>
            </w:r>
          </w:p>
        </w:tc>
      </w:tr>
      <w:tr w:rsidR="00C420FC" w:rsidRPr="003E75E2" w14:paraId="38E55C82" w14:textId="77777777" w:rsidTr="00C5404E">
        <w:trPr>
          <w:trHeight w:val="300"/>
        </w:trPr>
        <w:tc>
          <w:tcPr>
            <w:tcW w:w="2127" w:type="dxa"/>
            <w:tcBorders>
              <w:top w:val="nil"/>
              <w:left w:val="nil"/>
              <w:right w:val="single" w:sz="6" w:space="0" w:color="auto"/>
            </w:tcBorders>
            <w:shd w:val="clear" w:color="000000" w:fill="FFFFFF"/>
            <w:vAlign w:val="center"/>
            <w:hideMark/>
          </w:tcPr>
          <w:p w14:paraId="6C05694C" w14:textId="77777777" w:rsidR="00C420FC" w:rsidRPr="003E75E2" w:rsidRDefault="00C420FC" w:rsidP="00B721B7">
            <w:pPr>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Amortisation¹</w:t>
            </w:r>
          </w:p>
        </w:tc>
        <w:tc>
          <w:tcPr>
            <w:tcW w:w="832" w:type="dxa"/>
            <w:tcBorders>
              <w:top w:val="nil"/>
              <w:left w:val="single" w:sz="6" w:space="0" w:color="auto"/>
            </w:tcBorders>
            <w:shd w:val="clear" w:color="auto" w:fill="F1F1F2" w:themeFill="accent5" w:themeFillTint="33"/>
            <w:vAlign w:val="center"/>
          </w:tcPr>
          <w:p w14:paraId="26A57CD3"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(9)</w:t>
            </w:r>
          </w:p>
        </w:tc>
        <w:tc>
          <w:tcPr>
            <w:tcW w:w="833" w:type="dxa"/>
            <w:tcBorders>
              <w:top w:val="nil"/>
              <w:right w:val="single" w:sz="6" w:space="0" w:color="auto"/>
            </w:tcBorders>
            <w:shd w:val="clear" w:color="auto" w:fill="auto"/>
            <w:vAlign w:val="center"/>
          </w:tcPr>
          <w:p w14:paraId="35B27A01"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(7)</w:t>
            </w:r>
          </w:p>
        </w:tc>
        <w:tc>
          <w:tcPr>
            <w:tcW w:w="833" w:type="dxa"/>
            <w:tcBorders>
              <w:top w:val="nil"/>
              <w:left w:val="single" w:sz="6" w:space="0" w:color="auto"/>
            </w:tcBorders>
            <w:shd w:val="clear" w:color="auto" w:fill="F1F1F2" w:themeFill="accent5" w:themeFillTint="33"/>
            <w:vAlign w:val="center"/>
          </w:tcPr>
          <w:p w14:paraId="1AFF398E"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Pr>
                <w:rFonts w:asciiTheme="minorHAnsi" w:eastAsia="Times New Roman" w:hAnsiTheme="minorHAnsi" w:cstheme="minorHAnsi"/>
                <w:color w:val="414042" w:themeColor="text1"/>
                <w:szCs w:val="20"/>
                <w:lang w:eastAsia="en-AU"/>
              </w:rPr>
              <w:t>(275)</w:t>
            </w:r>
          </w:p>
        </w:tc>
        <w:tc>
          <w:tcPr>
            <w:tcW w:w="833" w:type="dxa"/>
            <w:tcBorders>
              <w:top w:val="nil"/>
              <w:right w:val="single" w:sz="6" w:space="0" w:color="auto"/>
            </w:tcBorders>
            <w:shd w:val="clear" w:color="000000" w:fill="FFFFFF"/>
            <w:vAlign w:val="center"/>
            <w:hideMark/>
          </w:tcPr>
          <w:p w14:paraId="4C4FB11C"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(277)</w:t>
            </w:r>
          </w:p>
        </w:tc>
        <w:tc>
          <w:tcPr>
            <w:tcW w:w="833" w:type="dxa"/>
            <w:tcBorders>
              <w:top w:val="nil"/>
              <w:left w:val="single" w:sz="6" w:space="0" w:color="auto"/>
            </w:tcBorders>
            <w:shd w:val="clear" w:color="auto" w:fill="F1F1F2" w:themeFill="accent5" w:themeFillTint="33"/>
            <w:vAlign w:val="center"/>
          </w:tcPr>
          <w:p w14:paraId="20A48EC1" w14:textId="77777777" w:rsidR="00C420FC" w:rsidRPr="003E75E2" w:rsidRDefault="00C420FC" w:rsidP="00B721B7">
            <w:pPr>
              <w:ind w:left="-37"/>
              <w:jc w:val="right"/>
              <w:rPr>
                <w:rFonts w:asciiTheme="minorHAnsi" w:eastAsia="Times New Roman" w:hAnsiTheme="minorHAnsi" w:cstheme="minorHAnsi"/>
                <w:color w:val="414042" w:themeColor="text1"/>
                <w:szCs w:val="20"/>
                <w:lang w:eastAsia="en-AU"/>
              </w:rPr>
            </w:pPr>
            <w:r>
              <w:rPr>
                <w:rFonts w:asciiTheme="minorHAnsi" w:eastAsia="Times New Roman" w:hAnsiTheme="minorHAnsi" w:cstheme="minorHAnsi"/>
                <w:color w:val="414042" w:themeColor="text1"/>
                <w:szCs w:val="20"/>
                <w:lang w:eastAsia="en-AU"/>
              </w:rPr>
              <w:t>(284)</w:t>
            </w:r>
          </w:p>
        </w:tc>
        <w:tc>
          <w:tcPr>
            <w:tcW w:w="833" w:type="dxa"/>
            <w:tcBorders>
              <w:top w:val="nil"/>
            </w:tcBorders>
            <w:shd w:val="clear" w:color="auto" w:fill="auto"/>
            <w:vAlign w:val="center"/>
            <w:hideMark/>
          </w:tcPr>
          <w:p w14:paraId="640542ED"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r w:rsidRPr="003E75E2">
              <w:rPr>
                <w:rFonts w:asciiTheme="minorHAnsi" w:eastAsia="Times New Roman" w:hAnsiTheme="minorHAnsi" w:cstheme="minorHAnsi"/>
                <w:color w:val="414042" w:themeColor="text1"/>
                <w:szCs w:val="20"/>
                <w:lang w:eastAsia="en-AU"/>
              </w:rPr>
              <w:t>(284)</w:t>
            </w:r>
          </w:p>
        </w:tc>
      </w:tr>
      <w:tr w:rsidR="00C420FC" w:rsidRPr="003E75E2" w14:paraId="0982020F" w14:textId="77777777" w:rsidTr="00C5404E">
        <w:trPr>
          <w:trHeight w:val="300"/>
        </w:trPr>
        <w:tc>
          <w:tcPr>
            <w:tcW w:w="2127" w:type="dxa"/>
            <w:tcBorders>
              <w:left w:val="nil"/>
              <w:bottom w:val="single" w:sz="6" w:space="0" w:color="auto"/>
              <w:right w:val="single" w:sz="6" w:space="0" w:color="auto"/>
            </w:tcBorders>
            <w:shd w:val="clear" w:color="000000" w:fill="FFFFFF"/>
            <w:vAlign w:val="center"/>
          </w:tcPr>
          <w:p w14:paraId="521ABBF8" w14:textId="77777777" w:rsidR="00C420FC" w:rsidRPr="003E75E2" w:rsidRDefault="00C420FC" w:rsidP="00B721B7">
            <w:pPr>
              <w:rPr>
                <w:rFonts w:asciiTheme="minorHAnsi" w:eastAsia="Times New Roman" w:hAnsiTheme="minorHAnsi" w:cstheme="minorHAnsi"/>
                <w:color w:val="414042" w:themeColor="text1"/>
                <w:szCs w:val="20"/>
                <w:lang w:eastAsia="en-AU"/>
              </w:rPr>
            </w:pPr>
          </w:p>
        </w:tc>
        <w:tc>
          <w:tcPr>
            <w:tcW w:w="832" w:type="dxa"/>
            <w:tcBorders>
              <w:left w:val="single" w:sz="6" w:space="0" w:color="auto"/>
              <w:bottom w:val="single" w:sz="6" w:space="0" w:color="auto"/>
            </w:tcBorders>
            <w:shd w:val="clear" w:color="auto" w:fill="F1F1F2" w:themeFill="accent5" w:themeFillTint="33"/>
            <w:vAlign w:val="center"/>
          </w:tcPr>
          <w:p w14:paraId="66AA03A4"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p>
        </w:tc>
        <w:tc>
          <w:tcPr>
            <w:tcW w:w="833" w:type="dxa"/>
            <w:tcBorders>
              <w:bottom w:val="single" w:sz="6" w:space="0" w:color="auto"/>
              <w:right w:val="single" w:sz="6" w:space="0" w:color="auto"/>
            </w:tcBorders>
            <w:shd w:val="clear" w:color="auto" w:fill="auto"/>
            <w:vAlign w:val="center"/>
          </w:tcPr>
          <w:p w14:paraId="235A8FA9"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p>
        </w:tc>
        <w:tc>
          <w:tcPr>
            <w:tcW w:w="833" w:type="dxa"/>
            <w:tcBorders>
              <w:left w:val="single" w:sz="6" w:space="0" w:color="auto"/>
              <w:bottom w:val="single" w:sz="6" w:space="0" w:color="auto"/>
            </w:tcBorders>
            <w:shd w:val="clear" w:color="auto" w:fill="F1F1F2" w:themeFill="accent5" w:themeFillTint="33"/>
            <w:vAlign w:val="center"/>
          </w:tcPr>
          <w:p w14:paraId="6445FB24"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p>
        </w:tc>
        <w:tc>
          <w:tcPr>
            <w:tcW w:w="833" w:type="dxa"/>
            <w:tcBorders>
              <w:bottom w:val="single" w:sz="6" w:space="0" w:color="auto"/>
              <w:right w:val="single" w:sz="6" w:space="0" w:color="auto"/>
            </w:tcBorders>
            <w:shd w:val="clear" w:color="000000" w:fill="FFFFFF"/>
            <w:vAlign w:val="center"/>
          </w:tcPr>
          <w:p w14:paraId="6BC08F7C"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p>
        </w:tc>
        <w:tc>
          <w:tcPr>
            <w:tcW w:w="833" w:type="dxa"/>
            <w:tcBorders>
              <w:left w:val="single" w:sz="6" w:space="0" w:color="auto"/>
              <w:bottom w:val="single" w:sz="6" w:space="0" w:color="auto"/>
            </w:tcBorders>
            <w:shd w:val="clear" w:color="auto" w:fill="F1F1F2" w:themeFill="accent5" w:themeFillTint="33"/>
            <w:vAlign w:val="center"/>
          </w:tcPr>
          <w:p w14:paraId="291213C6" w14:textId="77777777" w:rsidR="00C420FC" w:rsidRPr="003E75E2" w:rsidRDefault="00C420FC" w:rsidP="00B721B7">
            <w:pPr>
              <w:ind w:left="-37"/>
              <w:jc w:val="right"/>
              <w:rPr>
                <w:rFonts w:asciiTheme="minorHAnsi" w:eastAsia="Times New Roman" w:hAnsiTheme="minorHAnsi" w:cstheme="minorHAnsi"/>
                <w:color w:val="414042" w:themeColor="text1"/>
                <w:szCs w:val="20"/>
                <w:lang w:eastAsia="en-AU"/>
              </w:rPr>
            </w:pPr>
          </w:p>
        </w:tc>
        <w:tc>
          <w:tcPr>
            <w:tcW w:w="833" w:type="dxa"/>
            <w:tcBorders>
              <w:bottom w:val="single" w:sz="6" w:space="0" w:color="auto"/>
            </w:tcBorders>
            <w:shd w:val="clear" w:color="auto" w:fill="auto"/>
            <w:vAlign w:val="center"/>
          </w:tcPr>
          <w:p w14:paraId="358D51A5" w14:textId="77777777" w:rsidR="00C420FC" w:rsidRPr="003E75E2" w:rsidRDefault="00C420FC" w:rsidP="00B721B7">
            <w:pPr>
              <w:jc w:val="right"/>
              <w:rPr>
                <w:rFonts w:asciiTheme="minorHAnsi" w:eastAsia="Times New Roman" w:hAnsiTheme="minorHAnsi" w:cstheme="minorHAnsi"/>
                <w:color w:val="414042" w:themeColor="text1"/>
                <w:szCs w:val="20"/>
                <w:lang w:eastAsia="en-AU"/>
              </w:rPr>
            </w:pPr>
          </w:p>
        </w:tc>
      </w:tr>
      <w:tr w:rsidR="00C420FC" w:rsidRPr="003E75E2" w14:paraId="4B0DEEA6" w14:textId="77777777" w:rsidTr="00C5404E">
        <w:trPr>
          <w:trHeight w:val="300"/>
        </w:trPr>
        <w:tc>
          <w:tcPr>
            <w:tcW w:w="2127" w:type="dxa"/>
            <w:tcBorders>
              <w:top w:val="single" w:sz="6" w:space="0" w:color="auto"/>
              <w:left w:val="nil"/>
              <w:bottom w:val="double" w:sz="4" w:space="0" w:color="auto"/>
              <w:right w:val="single" w:sz="6" w:space="0" w:color="auto"/>
            </w:tcBorders>
            <w:shd w:val="clear" w:color="000000" w:fill="FFFFFF"/>
            <w:vAlign w:val="center"/>
            <w:hideMark/>
          </w:tcPr>
          <w:p w14:paraId="5B95A821" w14:textId="77777777" w:rsidR="00C420FC" w:rsidRPr="003E75E2" w:rsidRDefault="00C420FC" w:rsidP="00B721B7">
            <w:pPr>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 xml:space="preserve">Carrying amount at </w:t>
            </w:r>
          </w:p>
          <w:p w14:paraId="175FDA0D" w14:textId="77777777" w:rsidR="00C420FC" w:rsidRPr="003E75E2" w:rsidRDefault="00C420FC" w:rsidP="00B721B7">
            <w:pPr>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 xml:space="preserve">30 June </w:t>
            </w:r>
          </w:p>
        </w:tc>
        <w:tc>
          <w:tcPr>
            <w:tcW w:w="832" w:type="dxa"/>
            <w:tcBorders>
              <w:top w:val="single" w:sz="6" w:space="0" w:color="auto"/>
              <w:left w:val="single" w:sz="6" w:space="0" w:color="auto"/>
              <w:bottom w:val="double" w:sz="4" w:space="0" w:color="auto"/>
            </w:tcBorders>
            <w:shd w:val="clear" w:color="auto" w:fill="F1F1F2" w:themeFill="accent5" w:themeFillTint="33"/>
            <w:vAlign w:val="center"/>
          </w:tcPr>
          <w:p w14:paraId="533CD2F4" w14:textId="77777777" w:rsidR="00C420FC" w:rsidRPr="003E75E2" w:rsidRDefault="00C420FC" w:rsidP="00B721B7">
            <w:pPr>
              <w:jc w:val="right"/>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w:t>
            </w:r>
          </w:p>
        </w:tc>
        <w:tc>
          <w:tcPr>
            <w:tcW w:w="833" w:type="dxa"/>
            <w:tcBorders>
              <w:top w:val="single" w:sz="6" w:space="0" w:color="auto"/>
              <w:bottom w:val="double" w:sz="4" w:space="0" w:color="auto"/>
              <w:right w:val="single" w:sz="6" w:space="0" w:color="auto"/>
            </w:tcBorders>
            <w:shd w:val="clear" w:color="auto" w:fill="auto"/>
            <w:vAlign w:val="center"/>
          </w:tcPr>
          <w:p w14:paraId="5F75B740" w14:textId="77777777" w:rsidR="00C420FC" w:rsidRPr="003E75E2" w:rsidRDefault="00C420FC" w:rsidP="00B721B7">
            <w:pPr>
              <w:jc w:val="right"/>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9</w:t>
            </w:r>
          </w:p>
        </w:tc>
        <w:tc>
          <w:tcPr>
            <w:tcW w:w="833" w:type="dxa"/>
            <w:tcBorders>
              <w:top w:val="single" w:sz="6" w:space="0" w:color="auto"/>
              <w:left w:val="single" w:sz="6" w:space="0" w:color="auto"/>
              <w:bottom w:val="double" w:sz="4" w:space="0" w:color="auto"/>
            </w:tcBorders>
            <w:shd w:val="clear" w:color="auto" w:fill="F1F1F2" w:themeFill="accent5" w:themeFillTint="33"/>
            <w:vAlign w:val="center"/>
          </w:tcPr>
          <w:p w14:paraId="4203FF92" w14:textId="77777777" w:rsidR="00C420FC" w:rsidRPr="003E75E2" w:rsidRDefault="00C420FC" w:rsidP="00B721B7">
            <w:pPr>
              <w:jc w:val="right"/>
              <w:rPr>
                <w:rFonts w:asciiTheme="minorHAnsi" w:eastAsia="Times New Roman" w:hAnsiTheme="minorHAnsi" w:cstheme="minorHAnsi"/>
                <w:b/>
                <w:bCs/>
                <w:color w:val="414042" w:themeColor="text1"/>
                <w:szCs w:val="20"/>
                <w:lang w:eastAsia="en-AU"/>
              </w:rPr>
            </w:pPr>
            <w:r>
              <w:rPr>
                <w:rFonts w:asciiTheme="minorHAnsi" w:eastAsia="Times New Roman" w:hAnsiTheme="minorHAnsi" w:cstheme="minorHAnsi"/>
                <w:b/>
                <w:bCs/>
                <w:color w:val="414042" w:themeColor="text1"/>
                <w:szCs w:val="20"/>
                <w:lang w:eastAsia="en-AU"/>
              </w:rPr>
              <w:t>322</w:t>
            </w:r>
          </w:p>
        </w:tc>
        <w:tc>
          <w:tcPr>
            <w:tcW w:w="833" w:type="dxa"/>
            <w:tcBorders>
              <w:top w:val="single" w:sz="6" w:space="0" w:color="auto"/>
              <w:bottom w:val="double" w:sz="4" w:space="0" w:color="auto"/>
              <w:right w:val="single" w:sz="6" w:space="0" w:color="auto"/>
            </w:tcBorders>
            <w:shd w:val="clear" w:color="000000" w:fill="FFFFFF"/>
            <w:vAlign w:val="center"/>
            <w:hideMark/>
          </w:tcPr>
          <w:p w14:paraId="2E705E67" w14:textId="77777777" w:rsidR="00C420FC" w:rsidRPr="003E75E2" w:rsidRDefault="00C420FC" w:rsidP="00B721B7">
            <w:pPr>
              <w:jc w:val="right"/>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597</w:t>
            </w:r>
          </w:p>
        </w:tc>
        <w:tc>
          <w:tcPr>
            <w:tcW w:w="833" w:type="dxa"/>
            <w:tcBorders>
              <w:top w:val="single" w:sz="6" w:space="0" w:color="auto"/>
              <w:left w:val="single" w:sz="6" w:space="0" w:color="auto"/>
              <w:bottom w:val="double" w:sz="4" w:space="0" w:color="auto"/>
            </w:tcBorders>
            <w:shd w:val="clear" w:color="auto" w:fill="F1F1F2" w:themeFill="accent5" w:themeFillTint="33"/>
            <w:vAlign w:val="center"/>
          </w:tcPr>
          <w:p w14:paraId="0B400A6B" w14:textId="77777777" w:rsidR="00C420FC" w:rsidRPr="003E75E2" w:rsidRDefault="00C420FC" w:rsidP="00B721B7">
            <w:pPr>
              <w:ind w:left="-37"/>
              <w:jc w:val="right"/>
              <w:rPr>
                <w:rFonts w:asciiTheme="minorHAnsi" w:eastAsia="Times New Roman" w:hAnsiTheme="minorHAnsi" w:cstheme="minorHAnsi"/>
                <w:b/>
                <w:bCs/>
                <w:color w:val="414042" w:themeColor="text1"/>
                <w:szCs w:val="20"/>
                <w:lang w:eastAsia="en-AU"/>
              </w:rPr>
            </w:pPr>
            <w:r>
              <w:rPr>
                <w:rFonts w:asciiTheme="minorHAnsi" w:eastAsia="Times New Roman" w:hAnsiTheme="minorHAnsi" w:cstheme="minorHAnsi"/>
                <w:b/>
                <w:bCs/>
                <w:color w:val="414042" w:themeColor="text1"/>
                <w:szCs w:val="20"/>
                <w:lang w:eastAsia="en-AU"/>
              </w:rPr>
              <w:t>322</w:t>
            </w:r>
          </w:p>
        </w:tc>
        <w:tc>
          <w:tcPr>
            <w:tcW w:w="833" w:type="dxa"/>
            <w:tcBorders>
              <w:top w:val="single" w:sz="6" w:space="0" w:color="auto"/>
              <w:bottom w:val="double" w:sz="4" w:space="0" w:color="auto"/>
            </w:tcBorders>
            <w:shd w:val="clear" w:color="auto" w:fill="auto"/>
            <w:vAlign w:val="center"/>
            <w:hideMark/>
          </w:tcPr>
          <w:p w14:paraId="32DC5DF9" w14:textId="77777777" w:rsidR="00C420FC" w:rsidRPr="003E75E2" w:rsidRDefault="00C420FC" w:rsidP="00B721B7">
            <w:pPr>
              <w:jc w:val="right"/>
              <w:rPr>
                <w:rFonts w:asciiTheme="minorHAnsi" w:eastAsia="Times New Roman" w:hAnsiTheme="minorHAnsi" w:cstheme="minorHAnsi"/>
                <w:b/>
                <w:bCs/>
                <w:color w:val="414042" w:themeColor="text1"/>
                <w:szCs w:val="20"/>
                <w:lang w:eastAsia="en-AU"/>
              </w:rPr>
            </w:pPr>
            <w:r w:rsidRPr="003E75E2">
              <w:rPr>
                <w:rFonts w:asciiTheme="minorHAnsi" w:eastAsia="Times New Roman" w:hAnsiTheme="minorHAnsi" w:cstheme="minorHAnsi"/>
                <w:b/>
                <w:bCs/>
                <w:color w:val="414042" w:themeColor="text1"/>
                <w:szCs w:val="20"/>
                <w:lang w:eastAsia="en-AU"/>
              </w:rPr>
              <w:t>606</w:t>
            </w:r>
          </w:p>
        </w:tc>
      </w:tr>
    </w:tbl>
    <w:p w14:paraId="7089444C" w14:textId="4B5EC215" w:rsidR="00AB33EC" w:rsidRPr="003E75E2" w:rsidRDefault="00AB33EC" w:rsidP="0037124B">
      <w:pPr>
        <w:pStyle w:val="Normal115pttext"/>
        <w:spacing w:line="240" w:lineRule="auto"/>
        <w:ind w:left="284" w:hanging="284"/>
        <w:jc w:val="both"/>
        <w:rPr>
          <w:rFonts w:cstheme="minorHAnsi"/>
          <w:color w:val="414042" w:themeColor="text1"/>
          <w:sz w:val="18"/>
          <w:szCs w:val="18"/>
        </w:rPr>
      </w:pPr>
      <w:r w:rsidRPr="003E75E2">
        <w:rPr>
          <w:rFonts w:cstheme="minorHAnsi"/>
          <w:b w:val="0"/>
          <w:bCs/>
          <w:color w:val="414042" w:themeColor="text1"/>
          <w:sz w:val="18"/>
          <w:szCs w:val="18"/>
        </w:rPr>
        <w:t xml:space="preserve">¹    </w:t>
      </w:r>
      <w:r w:rsidRPr="003E75E2">
        <w:rPr>
          <w:rFonts w:cstheme="minorHAnsi"/>
          <w:b w:val="0"/>
          <w:color w:val="414042" w:themeColor="text1"/>
          <w:sz w:val="17"/>
          <w:szCs w:val="17"/>
        </w:rPr>
        <w:t>Amortisation of intangibles is included in the line item “Depreciation and amortisation” in the Statement of Comprehensive income.</w:t>
      </w:r>
      <w:r w:rsidRPr="003E75E2">
        <w:rPr>
          <w:rFonts w:cstheme="minorHAnsi"/>
          <w:color w:val="414042" w:themeColor="text1"/>
          <w:sz w:val="18"/>
          <w:szCs w:val="18"/>
        </w:rPr>
        <w:t xml:space="preserve"> </w:t>
      </w:r>
    </w:p>
    <w:p w14:paraId="5D0E0A53" w14:textId="77777777" w:rsidR="00AB33EC" w:rsidRPr="003E75E2" w:rsidRDefault="00AB33EC" w:rsidP="00AB33EC">
      <w:pPr>
        <w:pStyle w:val="Normal1stpara"/>
        <w:spacing w:line="240" w:lineRule="auto"/>
        <w:ind w:left="284" w:hanging="284"/>
        <w:jc w:val="both"/>
        <w:rPr>
          <w:rFonts w:asciiTheme="minorHAnsi" w:hAnsiTheme="minorHAnsi" w:cstheme="minorHAnsi"/>
          <w:color w:val="414042" w:themeColor="text1"/>
          <w:sz w:val="17"/>
          <w:szCs w:val="17"/>
          <w:lang w:eastAsia="en-AU"/>
        </w:rPr>
      </w:pPr>
    </w:p>
    <w:p w14:paraId="7EAEEF96" w14:textId="77777777" w:rsidR="00AB33EC" w:rsidRPr="003E75E2" w:rsidRDefault="00AB33EC" w:rsidP="00AB33EC">
      <w:pPr>
        <w:spacing w:line="260" w:lineRule="exact"/>
        <w:rPr>
          <w:rFonts w:asciiTheme="minorHAnsi" w:hAnsiTheme="minorHAnsi" w:cstheme="minorHAnsi"/>
          <w:color w:val="414042" w:themeColor="text1"/>
        </w:rPr>
      </w:pPr>
      <w:r w:rsidRPr="003E75E2">
        <w:rPr>
          <w:rFonts w:asciiTheme="minorHAnsi" w:hAnsiTheme="minorHAnsi" w:cstheme="minorHAnsi"/>
          <w:color w:val="414042" w:themeColor="text1"/>
        </w:rPr>
        <w:br w:type="page"/>
      </w:r>
    </w:p>
    <w:p w14:paraId="182A3ABE" w14:textId="77777777" w:rsidR="00AB33EC" w:rsidRPr="005523A4" w:rsidRDefault="00AB33EC" w:rsidP="00AB33EC">
      <w:pPr>
        <w:jc w:val="both"/>
        <w:outlineLvl w:val="0"/>
        <w:rPr>
          <w:rFonts w:asciiTheme="minorHAnsi" w:eastAsia="Times New Roman" w:hAnsiTheme="minorHAnsi" w:cstheme="minorHAnsi"/>
          <w:b/>
          <w:color w:val="000000"/>
          <w:sz w:val="23"/>
          <w:szCs w:val="20"/>
        </w:rPr>
      </w:pPr>
      <w:r w:rsidRPr="005523A4">
        <w:rPr>
          <w:rFonts w:asciiTheme="minorHAnsi" w:eastAsia="Times New Roman" w:hAnsiTheme="minorHAnsi" w:cstheme="minorHAnsi"/>
          <w:b/>
          <w:color w:val="000000"/>
          <w:sz w:val="23"/>
          <w:szCs w:val="20"/>
        </w:rPr>
        <w:t>Note 9:  Property, Plant and Equipment</w:t>
      </w:r>
    </w:p>
    <w:p w14:paraId="271C3835" w14:textId="77777777" w:rsidR="00AB33EC" w:rsidRPr="005523A4" w:rsidRDefault="00AB33EC" w:rsidP="00AB33EC">
      <w:pPr>
        <w:rPr>
          <w:rFonts w:asciiTheme="minorHAnsi" w:eastAsia="Calibri" w:hAnsiTheme="minorHAnsi" w:cstheme="minorHAnsi"/>
          <w:color w:val="000000"/>
        </w:rPr>
      </w:pPr>
    </w:p>
    <w:p w14:paraId="00A5110A" w14:textId="77777777" w:rsidR="00AB33EC" w:rsidRPr="005523A4"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rPr>
          <w:rFonts w:asciiTheme="minorHAnsi" w:eastAsia="Times New Roman" w:hAnsiTheme="minorHAnsi" w:cstheme="minorHAnsi"/>
          <w:b/>
          <w:bCs/>
          <w:color w:val="000000"/>
          <w:sz w:val="21"/>
          <w:szCs w:val="20"/>
        </w:rPr>
      </w:pPr>
      <w:r w:rsidRPr="005523A4">
        <w:rPr>
          <w:rFonts w:asciiTheme="minorHAnsi" w:eastAsia="Times New Roman" w:hAnsiTheme="minorHAnsi" w:cstheme="minorHAnsi"/>
          <w:b/>
          <w:bCs/>
          <w:color w:val="000000"/>
          <w:sz w:val="21"/>
          <w:szCs w:val="20"/>
        </w:rPr>
        <w:t>Accounting Policy:</w:t>
      </w:r>
    </w:p>
    <w:p w14:paraId="578B608F" w14:textId="77777777" w:rsidR="00AB33EC" w:rsidRPr="005523A4"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spacing w:before="80"/>
        <w:rPr>
          <w:rFonts w:asciiTheme="minorHAnsi" w:eastAsia="Times New Roman" w:hAnsiTheme="minorHAnsi" w:cstheme="minorHAnsi"/>
          <w:bCs/>
          <w:iCs/>
          <w:color w:val="000000"/>
          <w:szCs w:val="20"/>
          <w:lang w:eastAsia="en-AU"/>
        </w:rPr>
      </w:pPr>
      <w:r w:rsidRPr="005523A4">
        <w:rPr>
          <w:rFonts w:asciiTheme="minorHAnsi" w:eastAsia="Times New Roman" w:hAnsiTheme="minorHAnsi" w:cstheme="minorHAnsi"/>
          <w:b/>
          <w:i/>
          <w:color w:val="000000"/>
          <w:szCs w:val="20"/>
          <w:lang w:eastAsia="en-AU"/>
        </w:rPr>
        <w:t xml:space="preserve">Recognition – </w:t>
      </w:r>
      <w:r w:rsidRPr="005523A4">
        <w:rPr>
          <w:rFonts w:asciiTheme="minorHAnsi" w:eastAsia="Times New Roman" w:hAnsiTheme="minorHAnsi" w:cstheme="minorHAnsi"/>
          <w:bCs/>
          <w:iCs/>
          <w:color w:val="000000"/>
          <w:szCs w:val="20"/>
          <w:lang w:eastAsia="en-AU"/>
        </w:rPr>
        <w:t xml:space="preserve">All property, plant and equipment are initially recognised and subsequently measured at cost. Cost comprises purchase price plus additional expenditure incurred to maintain the asset in the condition necessary to be used as intended. </w:t>
      </w:r>
    </w:p>
    <w:p w14:paraId="19042312" w14:textId="77777777" w:rsidR="00AB33EC" w:rsidRPr="005523A4"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spacing w:before="80"/>
        <w:rPr>
          <w:rFonts w:asciiTheme="minorHAnsi" w:eastAsia="Times New Roman" w:hAnsiTheme="minorHAnsi" w:cstheme="minorHAnsi"/>
          <w:bCs/>
          <w:iCs/>
          <w:color w:val="000000"/>
          <w:szCs w:val="20"/>
          <w:lang w:eastAsia="en-AU"/>
        </w:rPr>
      </w:pPr>
      <w:r w:rsidRPr="005523A4">
        <w:rPr>
          <w:rFonts w:asciiTheme="minorHAnsi" w:eastAsia="Times New Roman" w:hAnsiTheme="minorHAnsi" w:cstheme="minorHAnsi"/>
          <w:bCs/>
          <w:iCs/>
          <w:color w:val="000000"/>
          <w:szCs w:val="20"/>
          <w:lang w:eastAsia="en-AU"/>
        </w:rPr>
        <w:t xml:space="preserve">Items of Property, Plant and Equipment (PPE) are recognised in the Statement of Financial Position where their initial acquisition costs equal or exceed $5,000. Items with a lesser value are expensed in the year of acquisition. </w:t>
      </w:r>
    </w:p>
    <w:p w14:paraId="4EC235AA" w14:textId="77777777" w:rsidR="00AB33EC" w:rsidRPr="005523A4"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spacing w:before="80"/>
        <w:rPr>
          <w:rFonts w:asciiTheme="minorHAnsi" w:eastAsia="Times New Roman" w:hAnsiTheme="minorHAnsi" w:cstheme="minorHAnsi"/>
          <w:bCs/>
          <w:iCs/>
          <w:color w:val="000000"/>
          <w:szCs w:val="20"/>
          <w:lang w:eastAsia="en-AU"/>
        </w:rPr>
      </w:pPr>
    </w:p>
    <w:p w14:paraId="0B91A995" w14:textId="77777777" w:rsidR="00AB33EC" w:rsidRPr="005523A4"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spacing w:before="80"/>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b/>
          <w:i/>
          <w:color w:val="000000"/>
          <w:szCs w:val="20"/>
          <w:lang w:eastAsia="en-AU"/>
        </w:rPr>
        <w:t xml:space="preserve">Measurement – </w:t>
      </w:r>
      <w:r w:rsidRPr="005523A4">
        <w:rPr>
          <w:rFonts w:asciiTheme="minorHAnsi" w:eastAsia="Times New Roman" w:hAnsiTheme="minorHAnsi" w:cstheme="minorHAnsi"/>
          <w:color w:val="000000"/>
          <w:szCs w:val="20"/>
          <w:lang w:eastAsia="en-AU"/>
        </w:rPr>
        <w:t>The CCC uses the historical cost model to measure assets after they are recognised, which means that assets are carried at their acquisition cost less accumulated depreciation and any accumulated impairment losses. The carrying amounts for plant and equipment measured at cost approximate their fair value at reporting date.</w:t>
      </w:r>
    </w:p>
    <w:p w14:paraId="6E235F0A" w14:textId="77777777" w:rsidR="00AB33EC" w:rsidRPr="005523A4"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spacing w:before="80"/>
        <w:rPr>
          <w:rFonts w:asciiTheme="minorHAnsi" w:eastAsia="Times New Roman" w:hAnsiTheme="minorHAnsi" w:cstheme="minorHAnsi"/>
          <w:bCs/>
          <w:iCs/>
          <w:color w:val="000000"/>
          <w:szCs w:val="20"/>
          <w:lang w:eastAsia="en-AU"/>
        </w:rPr>
      </w:pPr>
    </w:p>
    <w:p w14:paraId="5E01FF63" w14:textId="77777777" w:rsidR="00AB33EC" w:rsidRPr="005523A4"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spacing w:before="80"/>
        <w:rPr>
          <w:rFonts w:asciiTheme="minorHAnsi" w:eastAsia="Times New Roman" w:hAnsiTheme="minorHAnsi" w:cstheme="minorHAnsi"/>
          <w:bCs/>
          <w:iCs/>
          <w:color w:val="000000"/>
          <w:szCs w:val="20"/>
          <w:lang w:eastAsia="en-AU"/>
        </w:rPr>
      </w:pPr>
      <w:r w:rsidRPr="005523A4">
        <w:rPr>
          <w:rFonts w:asciiTheme="minorHAnsi" w:eastAsia="Times New Roman" w:hAnsiTheme="minorHAnsi" w:cstheme="minorHAnsi"/>
          <w:b/>
          <w:i/>
          <w:color w:val="000000"/>
          <w:szCs w:val="20"/>
          <w:lang w:eastAsia="en-AU"/>
        </w:rPr>
        <w:t xml:space="preserve">Depreciation Expense – </w:t>
      </w:r>
      <w:r w:rsidRPr="005523A4">
        <w:rPr>
          <w:rFonts w:asciiTheme="minorHAnsi" w:eastAsia="Times New Roman" w:hAnsiTheme="minorHAnsi" w:cstheme="minorHAnsi"/>
          <w:bCs/>
          <w:iCs/>
          <w:color w:val="000000"/>
          <w:szCs w:val="20"/>
          <w:lang w:eastAsia="en-AU"/>
        </w:rPr>
        <w:t xml:space="preserve">Property, Plant and Equipment is depreciated on a straight-line basis to allocate the net cost of each asset, less any estimated residual value, progressively over its estimated useful life to the CCC. Any expenditure that increases the originally assessed capacity or service potential of an asset is capitalised and the new depreciable amount is depreciated over the remaining useful life of the asset to the CCC. </w:t>
      </w:r>
    </w:p>
    <w:p w14:paraId="0DAF6371" w14:textId="77777777" w:rsidR="00AB33EC" w:rsidRPr="005523A4"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spacing w:before="80"/>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Assets under construction (work-in-progress) are not depreciated until they reach service delivery capacity, that is, when the asset is available for use and is operating in the manner intended by management. These assets are then reclassified to the relevant asset class.</w:t>
      </w:r>
    </w:p>
    <w:p w14:paraId="1C869DCD" w14:textId="77777777" w:rsidR="00AB33EC" w:rsidRPr="005523A4"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rPr>
          <w:rFonts w:asciiTheme="minorHAnsi" w:eastAsia="Calibri" w:hAnsiTheme="minorHAnsi" w:cstheme="minorHAnsi"/>
          <w:color w:val="000000"/>
        </w:rPr>
      </w:pPr>
    </w:p>
    <w:p w14:paraId="73607A57" w14:textId="77777777" w:rsidR="00AB33EC" w:rsidRPr="005523A4"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spacing w:before="80"/>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Each class of depreciable and intangible assets is depreciated or amortised based on the following useful lives.</w:t>
      </w:r>
    </w:p>
    <w:p w14:paraId="574256A3" w14:textId="77777777" w:rsidR="00AB33EC"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spacing w:before="80"/>
        <w:rPr>
          <w:rFonts w:asciiTheme="minorHAnsi" w:eastAsia="Times New Roman" w:hAnsiTheme="minorHAnsi" w:cstheme="minorHAnsi"/>
          <w:i/>
          <w:color w:val="000000"/>
          <w:szCs w:val="20"/>
          <w:lang w:eastAsia="en-AU"/>
        </w:rPr>
      </w:pPr>
      <w:r w:rsidRPr="005523A4">
        <w:rPr>
          <w:rFonts w:asciiTheme="minorHAnsi" w:eastAsia="Times New Roman" w:hAnsiTheme="minorHAnsi" w:cstheme="minorHAnsi"/>
          <w:i/>
          <w:color w:val="000000"/>
          <w:szCs w:val="20"/>
          <w:lang w:eastAsia="en-AU"/>
        </w:rPr>
        <w:t>Plant and Equipment:</w:t>
      </w:r>
    </w:p>
    <w:p w14:paraId="27028EF2" w14:textId="77777777" w:rsidR="00AB33EC" w:rsidRPr="00C319BF"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spacing w:before="80"/>
        <w:ind w:firstLine="720"/>
        <w:rPr>
          <w:rFonts w:asciiTheme="minorHAnsi" w:eastAsia="Times New Roman" w:hAnsiTheme="minorHAnsi" w:cstheme="minorHAnsi"/>
          <w:iCs/>
          <w:color w:val="000000"/>
          <w:szCs w:val="20"/>
          <w:lang w:eastAsia="en-AU"/>
        </w:rPr>
      </w:pPr>
      <w:r w:rsidRPr="00C319BF">
        <w:rPr>
          <w:rFonts w:asciiTheme="minorHAnsi" w:eastAsia="Times New Roman" w:hAnsiTheme="minorHAnsi" w:cstheme="minorHAnsi"/>
          <w:iCs/>
          <w:color w:val="000000"/>
          <w:szCs w:val="20"/>
          <w:lang w:eastAsia="en-AU"/>
        </w:rPr>
        <w:t>Motor Vehicles</w:t>
      </w:r>
      <w:r w:rsidRPr="00C319BF">
        <w:rPr>
          <w:rFonts w:asciiTheme="minorHAnsi" w:eastAsia="Times New Roman" w:hAnsiTheme="minorHAnsi" w:cstheme="minorHAnsi"/>
          <w:iCs/>
          <w:color w:val="000000"/>
          <w:szCs w:val="20"/>
          <w:lang w:eastAsia="en-AU"/>
        </w:rPr>
        <w:tab/>
      </w:r>
      <w:r>
        <w:rPr>
          <w:rFonts w:asciiTheme="minorHAnsi" w:eastAsia="Times New Roman" w:hAnsiTheme="minorHAnsi" w:cstheme="minorHAnsi"/>
          <w:iCs/>
          <w:color w:val="000000"/>
          <w:szCs w:val="20"/>
          <w:lang w:eastAsia="en-AU"/>
        </w:rPr>
        <w:tab/>
      </w:r>
      <w:r>
        <w:rPr>
          <w:rFonts w:asciiTheme="minorHAnsi" w:eastAsia="Times New Roman" w:hAnsiTheme="minorHAnsi" w:cstheme="minorHAnsi"/>
          <w:iCs/>
          <w:color w:val="000000"/>
          <w:szCs w:val="20"/>
          <w:lang w:eastAsia="en-AU"/>
        </w:rPr>
        <w:tab/>
      </w:r>
      <w:r>
        <w:rPr>
          <w:rFonts w:asciiTheme="minorHAnsi" w:eastAsia="Times New Roman" w:hAnsiTheme="minorHAnsi" w:cstheme="minorHAnsi"/>
          <w:iCs/>
          <w:color w:val="000000"/>
          <w:szCs w:val="20"/>
          <w:lang w:eastAsia="en-AU"/>
        </w:rPr>
        <w:tab/>
      </w:r>
      <w:r w:rsidRPr="00C319BF">
        <w:rPr>
          <w:rFonts w:asciiTheme="minorHAnsi" w:eastAsia="Times New Roman" w:hAnsiTheme="minorHAnsi" w:cstheme="minorHAnsi"/>
          <w:iCs/>
          <w:color w:val="000000"/>
          <w:szCs w:val="20"/>
          <w:lang w:eastAsia="en-AU"/>
        </w:rPr>
        <w:t>2–5 years</w:t>
      </w:r>
    </w:p>
    <w:p w14:paraId="2832AAB0" w14:textId="77777777" w:rsidR="00AB33EC" w:rsidRPr="00C319BF"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spacing w:before="80"/>
        <w:ind w:firstLine="720"/>
        <w:rPr>
          <w:rFonts w:asciiTheme="minorHAnsi" w:eastAsia="Times New Roman" w:hAnsiTheme="minorHAnsi" w:cstheme="minorHAnsi"/>
          <w:iCs/>
          <w:color w:val="000000"/>
          <w:szCs w:val="20"/>
          <w:lang w:eastAsia="en-AU"/>
        </w:rPr>
      </w:pPr>
      <w:r w:rsidRPr="00C319BF">
        <w:rPr>
          <w:rFonts w:asciiTheme="minorHAnsi" w:eastAsia="Times New Roman" w:hAnsiTheme="minorHAnsi" w:cstheme="minorHAnsi"/>
          <w:iCs/>
          <w:color w:val="000000"/>
          <w:szCs w:val="20"/>
          <w:lang w:eastAsia="en-AU"/>
        </w:rPr>
        <w:t>Computer Equipment</w:t>
      </w:r>
      <w:r w:rsidRPr="00C319BF">
        <w:rPr>
          <w:rFonts w:asciiTheme="minorHAnsi" w:eastAsia="Times New Roman" w:hAnsiTheme="minorHAnsi" w:cstheme="minorHAnsi"/>
          <w:iCs/>
          <w:color w:val="000000"/>
          <w:szCs w:val="20"/>
          <w:lang w:eastAsia="en-AU"/>
        </w:rPr>
        <w:tab/>
      </w:r>
      <w:r>
        <w:rPr>
          <w:rFonts w:asciiTheme="minorHAnsi" w:eastAsia="Times New Roman" w:hAnsiTheme="minorHAnsi" w:cstheme="minorHAnsi"/>
          <w:iCs/>
          <w:color w:val="000000"/>
          <w:szCs w:val="20"/>
          <w:lang w:eastAsia="en-AU"/>
        </w:rPr>
        <w:tab/>
      </w:r>
      <w:r>
        <w:rPr>
          <w:rFonts w:asciiTheme="minorHAnsi" w:eastAsia="Times New Roman" w:hAnsiTheme="minorHAnsi" w:cstheme="minorHAnsi"/>
          <w:iCs/>
          <w:color w:val="000000"/>
          <w:szCs w:val="20"/>
          <w:lang w:eastAsia="en-AU"/>
        </w:rPr>
        <w:tab/>
      </w:r>
      <w:r w:rsidRPr="00C319BF">
        <w:rPr>
          <w:rFonts w:asciiTheme="minorHAnsi" w:eastAsia="Times New Roman" w:hAnsiTheme="minorHAnsi" w:cstheme="minorHAnsi"/>
          <w:iCs/>
          <w:color w:val="000000"/>
          <w:szCs w:val="20"/>
          <w:lang w:eastAsia="en-AU"/>
        </w:rPr>
        <w:t>3–8 years</w:t>
      </w:r>
    </w:p>
    <w:p w14:paraId="3ACAF46F" w14:textId="77777777" w:rsidR="00AB33EC" w:rsidRPr="00C319BF"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spacing w:before="80"/>
        <w:ind w:firstLine="720"/>
        <w:rPr>
          <w:rFonts w:asciiTheme="minorHAnsi" w:eastAsia="Times New Roman" w:hAnsiTheme="minorHAnsi" w:cstheme="minorHAnsi"/>
          <w:iCs/>
          <w:color w:val="000000"/>
          <w:szCs w:val="20"/>
          <w:lang w:eastAsia="en-AU"/>
        </w:rPr>
      </w:pPr>
      <w:r w:rsidRPr="00C319BF">
        <w:rPr>
          <w:rFonts w:asciiTheme="minorHAnsi" w:eastAsia="Times New Roman" w:hAnsiTheme="minorHAnsi" w:cstheme="minorHAnsi"/>
          <w:iCs/>
          <w:color w:val="000000"/>
          <w:szCs w:val="20"/>
          <w:lang w:eastAsia="en-AU"/>
        </w:rPr>
        <w:t>General and Technical Equipment</w:t>
      </w:r>
      <w:r w:rsidRPr="00C319BF">
        <w:rPr>
          <w:rFonts w:asciiTheme="minorHAnsi" w:eastAsia="Times New Roman" w:hAnsiTheme="minorHAnsi" w:cstheme="minorHAnsi"/>
          <w:iCs/>
          <w:color w:val="000000"/>
          <w:szCs w:val="20"/>
          <w:lang w:eastAsia="en-AU"/>
        </w:rPr>
        <w:tab/>
      </w:r>
      <w:r>
        <w:rPr>
          <w:rFonts w:asciiTheme="minorHAnsi" w:eastAsia="Times New Roman" w:hAnsiTheme="minorHAnsi" w:cstheme="minorHAnsi"/>
          <w:iCs/>
          <w:color w:val="000000"/>
          <w:szCs w:val="20"/>
          <w:lang w:eastAsia="en-AU"/>
        </w:rPr>
        <w:tab/>
      </w:r>
      <w:r w:rsidRPr="00C319BF">
        <w:rPr>
          <w:rFonts w:asciiTheme="minorHAnsi" w:eastAsia="Times New Roman" w:hAnsiTheme="minorHAnsi" w:cstheme="minorHAnsi"/>
          <w:iCs/>
          <w:color w:val="000000"/>
          <w:szCs w:val="20"/>
          <w:lang w:eastAsia="en-AU"/>
        </w:rPr>
        <w:t>3–15 years</w:t>
      </w:r>
    </w:p>
    <w:p w14:paraId="17101FA4" w14:textId="77777777" w:rsidR="00AB33EC" w:rsidRPr="00C319BF"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spacing w:before="80"/>
        <w:ind w:firstLine="720"/>
        <w:rPr>
          <w:rFonts w:asciiTheme="minorHAnsi" w:eastAsia="Times New Roman" w:hAnsiTheme="minorHAnsi" w:cstheme="minorHAnsi"/>
          <w:iCs/>
          <w:color w:val="000000"/>
          <w:szCs w:val="20"/>
          <w:lang w:eastAsia="en-AU"/>
        </w:rPr>
      </w:pPr>
      <w:r w:rsidRPr="00C319BF">
        <w:rPr>
          <w:rFonts w:asciiTheme="minorHAnsi" w:eastAsia="Times New Roman" w:hAnsiTheme="minorHAnsi" w:cstheme="minorHAnsi"/>
          <w:iCs/>
          <w:color w:val="000000"/>
          <w:szCs w:val="20"/>
          <w:lang w:eastAsia="en-AU"/>
        </w:rPr>
        <w:t>Leasehold Improvements</w:t>
      </w:r>
      <w:r w:rsidRPr="00C319BF">
        <w:rPr>
          <w:rFonts w:asciiTheme="minorHAnsi" w:eastAsia="Times New Roman" w:hAnsiTheme="minorHAnsi" w:cstheme="minorHAnsi"/>
          <w:iCs/>
          <w:color w:val="000000"/>
          <w:szCs w:val="20"/>
          <w:lang w:eastAsia="en-AU"/>
        </w:rPr>
        <w:tab/>
      </w:r>
      <w:r>
        <w:rPr>
          <w:rFonts w:asciiTheme="minorHAnsi" w:eastAsia="Times New Roman" w:hAnsiTheme="minorHAnsi" w:cstheme="minorHAnsi"/>
          <w:iCs/>
          <w:color w:val="000000"/>
          <w:szCs w:val="20"/>
          <w:lang w:eastAsia="en-AU"/>
        </w:rPr>
        <w:tab/>
      </w:r>
      <w:r>
        <w:rPr>
          <w:rFonts w:asciiTheme="minorHAnsi" w:eastAsia="Times New Roman" w:hAnsiTheme="minorHAnsi" w:cstheme="minorHAnsi"/>
          <w:iCs/>
          <w:color w:val="000000"/>
          <w:szCs w:val="20"/>
          <w:lang w:eastAsia="en-AU"/>
        </w:rPr>
        <w:tab/>
      </w:r>
      <w:r w:rsidRPr="00C319BF">
        <w:rPr>
          <w:rFonts w:asciiTheme="minorHAnsi" w:eastAsia="Times New Roman" w:hAnsiTheme="minorHAnsi" w:cstheme="minorHAnsi"/>
          <w:iCs/>
          <w:color w:val="000000"/>
          <w:szCs w:val="20"/>
          <w:lang w:eastAsia="en-AU"/>
        </w:rPr>
        <w:t>9–18 years</w:t>
      </w:r>
    </w:p>
    <w:p w14:paraId="609A9DD5" w14:textId="77777777" w:rsidR="00AB33EC" w:rsidRPr="005523A4"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spacing w:before="80"/>
        <w:rPr>
          <w:rFonts w:asciiTheme="minorHAnsi" w:eastAsia="Times New Roman" w:hAnsiTheme="minorHAnsi" w:cstheme="minorHAnsi"/>
          <w:color w:val="000000"/>
          <w:szCs w:val="20"/>
          <w:lang w:eastAsia="en-AU"/>
        </w:rPr>
      </w:pPr>
    </w:p>
    <w:p w14:paraId="26A5EA9E" w14:textId="77777777" w:rsidR="00AB33EC"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spacing w:before="80"/>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The useful lives of plant and equipment assets were reviewed during the reporting period and adjusted where necessary.</w:t>
      </w:r>
    </w:p>
    <w:p w14:paraId="46267B00" w14:textId="77777777" w:rsidR="00AB33EC" w:rsidRPr="005523A4" w:rsidRDefault="00AB33EC" w:rsidP="00AB33EC">
      <w:pPr>
        <w:pBdr>
          <w:top w:val="single" w:sz="4" w:space="1" w:color="414042" w:themeColor="text1"/>
          <w:left w:val="single" w:sz="4" w:space="4" w:color="414042" w:themeColor="text1"/>
          <w:bottom w:val="single" w:sz="4" w:space="1" w:color="414042" w:themeColor="text1"/>
          <w:right w:val="single" w:sz="4" w:space="4" w:color="414042" w:themeColor="text1"/>
        </w:pBdr>
        <w:spacing w:before="80"/>
        <w:rPr>
          <w:rFonts w:asciiTheme="minorHAnsi" w:eastAsia="Times New Roman" w:hAnsiTheme="minorHAnsi" w:cstheme="minorHAnsi"/>
          <w:color w:val="000000"/>
          <w:szCs w:val="20"/>
          <w:lang w:eastAsia="en-AU"/>
        </w:rPr>
      </w:pPr>
    </w:p>
    <w:p w14:paraId="4D499367" w14:textId="77777777" w:rsidR="00AB33EC" w:rsidRPr="003E75E2" w:rsidRDefault="00AB33EC" w:rsidP="00AB33EC">
      <w:pPr>
        <w:spacing w:line="259" w:lineRule="auto"/>
        <w:rPr>
          <w:rFonts w:asciiTheme="minorHAnsi" w:eastAsia="Calibri" w:hAnsiTheme="minorHAnsi" w:cstheme="minorHAnsi"/>
          <w:color w:val="000000"/>
        </w:rPr>
      </w:pPr>
      <w:r w:rsidRPr="003E75E2">
        <w:rPr>
          <w:rFonts w:asciiTheme="minorHAnsi" w:eastAsia="Calibri" w:hAnsiTheme="minorHAnsi" w:cstheme="minorHAnsi"/>
          <w:color w:val="000000"/>
        </w:rPr>
        <w:br w:type="page"/>
      </w:r>
    </w:p>
    <w:p w14:paraId="56C90B44" w14:textId="77777777" w:rsidR="00AB33EC" w:rsidRPr="005523A4" w:rsidRDefault="00AB33EC" w:rsidP="00AB33EC">
      <w:pPr>
        <w:outlineLvl w:val="0"/>
        <w:rPr>
          <w:rFonts w:asciiTheme="minorHAnsi" w:eastAsia="Times New Roman" w:hAnsiTheme="minorHAnsi" w:cstheme="minorHAnsi"/>
          <w:b/>
          <w:color w:val="000000"/>
          <w:sz w:val="23"/>
          <w:szCs w:val="20"/>
        </w:rPr>
      </w:pPr>
      <w:r w:rsidRPr="005523A4">
        <w:rPr>
          <w:rFonts w:asciiTheme="minorHAnsi" w:eastAsia="Times New Roman" w:hAnsiTheme="minorHAnsi" w:cstheme="minorHAnsi"/>
          <w:b/>
          <w:color w:val="000000"/>
          <w:sz w:val="23"/>
          <w:szCs w:val="20"/>
        </w:rPr>
        <w:t>Note 9:  Property, Plant and Equipment (cont’d)</w:t>
      </w:r>
    </w:p>
    <w:p w14:paraId="79C20C63" w14:textId="77777777" w:rsidR="00AB33EC" w:rsidRPr="005523A4" w:rsidRDefault="00AB33EC" w:rsidP="00AB33EC">
      <w:pPr>
        <w:rPr>
          <w:rFonts w:asciiTheme="minorHAnsi" w:eastAsia="Calibri" w:hAnsiTheme="minorHAnsi" w:cstheme="minorHAnsi"/>
          <w:color w:val="000000"/>
        </w:rPr>
      </w:pPr>
    </w:p>
    <w:tbl>
      <w:tblPr>
        <w:tblW w:w="9072" w:type="dxa"/>
        <w:tblLayout w:type="fixed"/>
        <w:tblLook w:val="04A0" w:firstRow="1" w:lastRow="0" w:firstColumn="1" w:lastColumn="0" w:noHBand="0" w:noVBand="1"/>
      </w:tblPr>
      <w:tblGrid>
        <w:gridCol w:w="2460"/>
        <w:gridCol w:w="4061"/>
        <w:gridCol w:w="1276"/>
        <w:gridCol w:w="1101"/>
        <w:gridCol w:w="174"/>
      </w:tblGrid>
      <w:tr w:rsidR="00AB33EC" w:rsidRPr="003E75E2" w14:paraId="1BA8CD23" w14:textId="77777777" w:rsidTr="00B721B7">
        <w:trPr>
          <w:gridAfter w:val="1"/>
          <w:wAfter w:w="174" w:type="dxa"/>
          <w:trHeight w:val="285"/>
        </w:trPr>
        <w:tc>
          <w:tcPr>
            <w:tcW w:w="2460" w:type="dxa"/>
            <w:tcBorders>
              <w:top w:val="nil"/>
              <w:left w:val="nil"/>
              <w:bottom w:val="nil"/>
              <w:right w:val="nil"/>
            </w:tcBorders>
            <w:shd w:val="clear" w:color="000000" w:fill="FFFFFF"/>
            <w:noWrap/>
            <w:vAlign w:val="center"/>
            <w:hideMark/>
          </w:tcPr>
          <w:p w14:paraId="24622641"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4061" w:type="dxa"/>
            <w:tcBorders>
              <w:top w:val="nil"/>
              <w:left w:val="nil"/>
              <w:bottom w:val="nil"/>
              <w:right w:val="nil"/>
            </w:tcBorders>
            <w:shd w:val="clear" w:color="000000" w:fill="FFFFFF"/>
            <w:noWrap/>
            <w:vAlign w:val="center"/>
            <w:hideMark/>
          </w:tcPr>
          <w:p w14:paraId="646261DB" w14:textId="77777777" w:rsidR="00AB33EC" w:rsidRPr="005523A4" w:rsidRDefault="00AB33EC" w:rsidP="00B721B7">
            <w:pPr>
              <w:jc w:val="cente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1276" w:type="dxa"/>
            <w:tcBorders>
              <w:top w:val="nil"/>
              <w:left w:val="nil"/>
              <w:bottom w:val="nil"/>
              <w:right w:val="nil"/>
            </w:tcBorders>
            <w:shd w:val="clear" w:color="auto" w:fill="F1F1F2" w:themeFill="accent5" w:themeFillTint="33"/>
            <w:noWrap/>
            <w:vAlign w:val="center"/>
            <w:hideMark/>
          </w:tcPr>
          <w:p w14:paraId="2D50EB06"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2024</w:t>
            </w:r>
          </w:p>
        </w:tc>
        <w:tc>
          <w:tcPr>
            <w:tcW w:w="1101" w:type="dxa"/>
            <w:tcBorders>
              <w:top w:val="nil"/>
              <w:left w:val="nil"/>
              <w:bottom w:val="nil"/>
              <w:right w:val="nil"/>
            </w:tcBorders>
            <w:shd w:val="clear" w:color="000000" w:fill="FFFFFF"/>
            <w:noWrap/>
            <w:vAlign w:val="center"/>
            <w:hideMark/>
          </w:tcPr>
          <w:p w14:paraId="1454FE34"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2023</w:t>
            </w:r>
          </w:p>
        </w:tc>
      </w:tr>
      <w:tr w:rsidR="00AB33EC" w:rsidRPr="003E75E2" w14:paraId="556F5C15" w14:textId="77777777" w:rsidTr="00B721B7">
        <w:trPr>
          <w:gridAfter w:val="1"/>
          <w:wAfter w:w="174" w:type="dxa"/>
          <w:trHeight w:val="285"/>
        </w:trPr>
        <w:tc>
          <w:tcPr>
            <w:tcW w:w="2460" w:type="dxa"/>
            <w:tcBorders>
              <w:top w:val="nil"/>
              <w:left w:val="nil"/>
              <w:bottom w:val="nil"/>
              <w:right w:val="nil"/>
            </w:tcBorders>
            <w:shd w:val="clear" w:color="000000" w:fill="FFFFFF"/>
            <w:noWrap/>
            <w:vAlign w:val="center"/>
            <w:hideMark/>
          </w:tcPr>
          <w:p w14:paraId="35D26CB1"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4061" w:type="dxa"/>
            <w:tcBorders>
              <w:top w:val="nil"/>
              <w:left w:val="nil"/>
              <w:bottom w:val="nil"/>
              <w:right w:val="nil"/>
            </w:tcBorders>
            <w:shd w:val="clear" w:color="000000" w:fill="FFFFFF"/>
            <w:noWrap/>
            <w:vAlign w:val="center"/>
            <w:hideMark/>
          </w:tcPr>
          <w:p w14:paraId="64A085E2" w14:textId="77777777" w:rsidR="00AB33EC" w:rsidRPr="005523A4" w:rsidRDefault="00AB33EC" w:rsidP="00B721B7">
            <w:pPr>
              <w:jc w:val="cente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1276" w:type="dxa"/>
            <w:tcBorders>
              <w:top w:val="nil"/>
              <w:left w:val="nil"/>
              <w:bottom w:val="nil"/>
              <w:right w:val="nil"/>
            </w:tcBorders>
            <w:shd w:val="clear" w:color="auto" w:fill="F1F1F2" w:themeFill="accent5" w:themeFillTint="33"/>
            <w:noWrap/>
            <w:vAlign w:val="center"/>
            <w:hideMark/>
          </w:tcPr>
          <w:p w14:paraId="7D3D2928"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$’000</w:t>
            </w:r>
          </w:p>
        </w:tc>
        <w:tc>
          <w:tcPr>
            <w:tcW w:w="1101" w:type="dxa"/>
            <w:tcBorders>
              <w:top w:val="nil"/>
              <w:left w:val="nil"/>
              <w:bottom w:val="nil"/>
              <w:right w:val="nil"/>
            </w:tcBorders>
            <w:shd w:val="clear" w:color="000000" w:fill="FFFFFF"/>
            <w:noWrap/>
            <w:vAlign w:val="center"/>
            <w:hideMark/>
          </w:tcPr>
          <w:p w14:paraId="2E60DF9D"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$’000</w:t>
            </w:r>
          </w:p>
        </w:tc>
      </w:tr>
      <w:tr w:rsidR="00AB33EC" w:rsidRPr="003E75E2" w14:paraId="1B88BD1D" w14:textId="77777777" w:rsidTr="00B721B7">
        <w:trPr>
          <w:gridAfter w:val="1"/>
          <w:wAfter w:w="174" w:type="dxa"/>
          <w:trHeight w:val="285"/>
        </w:trPr>
        <w:tc>
          <w:tcPr>
            <w:tcW w:w="2460" w:type="dxa"/>
            <w:tcBorders>
              <w:top w:val="nil"/>
              <w:left w:val="nil"/>
              <w:bottom w:val="nil"/>
              <w:right w:val="nil"/>
            </w:tcBorders>
            <w:shd w:val="clear" w:color="000000" w:fill="FFFFFF"/>
            <w:noWrap/>
            <w:vAlign w:val="center"/>
            <w:hideMark/>
          </w:tcPr>
          <w:p w14:paraId="2C2C6780"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Motor vehicles:</w:t>
            </w:r>
          </w:p>
        </w:tc>
        <w:tc>
          <w:tcPr>
            <w:tcW w:w="4061" w:type="dxa"/>
            <w:tcBorders>
              <w:top w:val="nil"/>
              <w:left w:val="nil"/>
              <w:bottom w:val="nil"/>
              <w:right w:val="nil"/>
            </w:tcBorders>
            <w:shd w:val="clear" w:color="000000" w:fill="FFFFFF"/>
            <w:noWrap/>
            <w:vAlign w:val="center"/>
            <w:hideMark/>
          </w:tcPr>
          <w:p w14:paraId="3E8B531F" w14:textId="77777777" w:rsidR="00AB33EC" w:rsidRPr="005523A4" w:rsidRDefault="00AB33EC" w:rsidP="00B721B7">
            <w:pPr>
              <w:jc w:val="cente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1276" w:type="dxa"/>
            <w:tcBorders>
              <w:top w:val="nil"/>
              <w:left w:val="nil"/>
              <w:bottom w:val="nil"/>
              <w:right w:val="nil"/>
            </w:tcBorders>
            <w:shd w:val="clear" w:color="auto" w:fill="F1F1F2" w:themeFill="accent5" w:themeFillTint="33"/>
            <w:noWrap/>
            <w:vAlign w:val="center"/>
            <w:hideMark/>
          </w:tcPr>
          <w:p w14:paraId="020099E4"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1101" w:type="dxa"/>
            <w:tcBorders>
              <w:top w:val="nil"/>
              <w:left w:val="nil"/>
              <w:bottom w:val="nil"/>
              <w:right w:val="nil"/>
            </w:tcBorders>
            <w:shd w:val="clear" w:color="000000" w:fill="FFFFFF"/>
            <w:noWrap/>
            <w:vAlign w:val="center"/>
            <w:hideMark/>
          </w:tcPr>
          <w:p w14:paraId="6C1C7A32"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r>
      <w:tr w:rsidR="00AB33EC" w:rsidRPr="003E75E2" w14:paraId="1CC7D6BA" w14:textId="77777777" w:rsidTr="00B721B7">
        <w:trPr>
          <w:gridAfter w:val="1"/>
          <w:wAfter w:w="174" w:type="dxa"/>
          <w:trHeight w:val="285"/>
        </w:trPr>
        <w:tc>
          <w:tcPr>
            <w:tcW w:w="2460" w:type="dxa"/>
            <w:tcBorders>
              <w:top w:val="nil"/>
              <w:left w:val="nil"/>
              <w:bottom w:val="nil"/>
              <w:right w:val="nil"/>
            </w:tcBorders>
            <w:shd w:val="clear" w:color="000000" w:fill="FFFFFF"/>
            <w:noWrap/>
            <w:vAlign w:val="center"/>
            <w:hideMark/>
          </w:tcPr>
          <w:p w14:paraId="67CBD022" w14:textId="77777777" w:rsidR="00AB33EC" w:rsidRPr="005523A4" w:rsidRDefault="00AB33EC" w:rsidP="00B721B7">
            <w:pPr>
              <w:ind w:firstLineChars="200" w:firstLine="400"/>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At cost</w:t>
            </w:r>
          </w:p>
        </w:tc>
        <w:tc>
          <w:tcPr>
            <w:tcW w:w="4061" w:type="dxa"/>
            <w:tcBorders>
              <w:top w:val="nil"/>
              <w:left w:val="nil"/>
              <w:bottom w:val="nil"/>
              <w:right w:val="nil"/>
            </w:tcBorders>
            <w:shd w:val="clear" w:color="000000" w:fill="FFFFFF"/>
            <w:noWrap/>
            <w:vAlign w:val="center"/>
            <w:hideMark/>
          </w:tcPr>
          <w:p w14:paraId="10FC96F3" w14:textId="77777777" w:rsidR="00AB33EC" w:rsidRPr="005523A4" w:rsidRDefault="00AB33EC" w:rsidP="00B721B7">
            <w:pPr>
              <w:jc w:val="cente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1276" w:type="dxa"/>
            <w:tcBorders>
              <w:top w:val="nil"/>
              <w:left w:val="nil"/>
              <w:bottom w:val="nil"/>
              <w:right w:val="nil"/>
            </w:tcBorders>
            <w:shd w:val="clear" w:color="auto" w:fill="F1F1F2" w:themeFill="accent5" w:themeFillTint="33"/>
            <w:noWrap/>
            <w:vAlign w:val="center"/>
          </w:tcPr>
          <w:p w14:paraId="45379FA6"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2,119</w:t>
            </w:r>
          </w:p>
        </w:tc>
        <w:tc>
          <w:tcPr>
            <w:tcW w:w="1101" w:type="dxa"/>
            <w:tcBorders>
              <w:top w:val="nil"/>
              <w:left w:val="nil"/>
              <w:bottom w:val="nil"/>
              <w:right w:val="nil"/>
            </w:tcBorders>
            <w:shd w:val="clear" w:color="auto" w:fill="auto"/>
            <w:noWrap/>
            <w:vAlign w:val="center"/>
            <w:hideMark/>
          </w:tcPr>
          <w:p w14:paraId="01F48610"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2,107</w:t>
            </w:r>
          </w:p>
        </w:tc>
      </w:tr>
      <w:tr w:rsidR="00AB33EC" w:rsidRPr="005523A4" w14:paraId="12BB1290" w14:textId="77777777" w:rsidTr="00B721B7">
        <w:trPr>
          <w:gridAfter w:val="1"/>
          <w:wAfter w:w="174" w:type="dxa"/>
          <w:trHeight w:val="293"/>
        </w:trPr>
        <w:tc>
          <w:tcPr>
            <w:tcW w:w="6521" w:type="dxa"/>
            <w:gridSpan w:val="2"/>
            <w:tcBorders>
              <w:top w:val="nil"/>
              <w:left w:val="nil"/>
              <w:bottom w:val="nil"/>
              <w:right w:val="nil"/>
            </w:tcBorders>
            <w:shd w:val="clear" w:color="000000" w:fill="FFFFFF"/>
            <w:noWrap/>
            <w:vAlign w:val="center"/>
            <w:hideMark/>
          </w:tcPr>
          <w:p w14:paraId="398558EB" w14:textId="77777777" w:rsidR="00AB33EC" w:rsidRPr="005523A4" w:rsidRDefault="00AB33EC" w:rsidP="00B721B7">
            <w:pPr>
              <w:ind w:firstLineChars="200" w:firstLine="400"/>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Less: Accumulated depreciation</w:t>
            </w:r>
          </w:p>
        </w:tc>
        <w:tc>
          <w:tcPr>
            <w:tcW w:w="1276" w:type="dxa"/>
            <w:tcBorders>
              <w:top w:val="nil"/>
              <w:left w:val="nil"/>
              <w:bottom w:val="single" w:sz="8" w:space="0" w:color="auto"/>
              <w:right w:val="nil"/>
            </w:tcBorders>
            <w:shd w:val="clear" w:color="auto" w:fill="F1F1F2" w:themeFill="accent5" w:themeFillTint="33"/>
            <w:noWrap/>
            <w:vAlign w:val="center"/>
          </w:tcPr>
          <w:p w14:paraId="4BB0F474"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(486)</w:t>
            </w:r>
          </w:p>
        </w:tc>
        <w:tc>
          <w:tcPr>
            <w:tcW w:w="1101" w:type="dxa"/>
            <w:tcBorders>
              <w:top w:val="nil"/>
              <w:left w:val="nil"/>
              <w:bottom w:val="single" w:sz="8" w:space="0" w:color="auto"/>
              <w:right w:val="nil"/>
            </w:tcBorders>
            <w:shd w:val="clear" w:color="auto" w:fill="auto"/>
            <w:noWrap/>
            <w:vAlign w:val="center"/>
            <w:hideMark/>
          </w:tcPr>
          <w:p w14:paraId="5E9EF21C"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(4</w:t>
            </w:r>
            <w:r>
              <w:rPr>
                <w:rFonts w:asciiTheme="minorHAnsi" w:eastAsia="Times New Roman" w:hAnsiTheme="minorHAnsi" w:cstheme="minorHAnsi"/>
                <w:color w:val="000000"/>
                <w:szCs w:val="20"/>
                <w:lang w:eastAsia="en-AU"/>
              </w:rPr>
              <w:t>38</w:t>
            </w:r>
            <w:r w:rsidRPr="005523A4">
              <w:rPr>
                <w:rFonts w:asciiTheme="minorHAnsi" w:eastAsia="Times New Roman" w:hAnsiTheme="minorHAnsi" w:cstheme="minorHAnsi"/>
                <w:color w:val="000000"/>
                <w:szCs w:val="20"/>
                <w:lang w:eastAsia="en-AU"/>
              </w:rPr>
              <w:t>)</w:t>
            </w:r>
          </w:p>
        </w:tc>
      </w:tr>
      <w:tr w:rsidR="00AB33EC" w:rsidRPr="003E75E2" w14:paraId="3A577D23" w14:textId="77777777" w:rsidTr="00B721B7">
        <w:trPr>
          <w:gridAfter w:val="1"/>
          <w:wAfter w:w="174" w:type="dxa"/>
          <w:trHeight w:val="285"/>
        </w:trPr>
        <w:tc>
          <w:tcPr>
            <w:tcW w:w="2460" w:type="dxa"/>
            <w:tcBorders>
              <w:top w:val="nil"/>
              <w:left w:val="nil"/>
              <w:bottom w:val="nil"/>
              <w:right w:val="nil"/>
            </w:tcBorders>
            <w:shd w:val="clear" w:color="000000" w:fill="FFFFFF"/>
            <w:noWrap/>
            <w:vAlign w:val="center"/>
            <w:hideMark/>
          </w:tcPr>
          <w:p w14:paraId="2DC3D17D"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4061" w:type="dxa"/>
            <w:tcBorders>
              <w:top w:val="nil"/>
              <w:left w:val="nil"/>
              <w:bottom w:val="nil"/>
              <w:right w:val="nil"/>
            </w:tcBorders>
            <w:shd w:val="clear" w:color="000000" w:fill="FFFFFF"/>
            <w:noWrap/>
            <w:vAlign w:val="center"/>
            <w:hideMark/>
          </w:tcPr>
          <w:p w14:paraId="4C488492" w14:textId="77777777" w:rsidR="00AB33EC" w:rsidRPr="005523A4" w:rsidRDefault="00AB33EC" w:rsidP="00B721B7">
            <w:pPr>
              <w:jc w:val="cente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1276" w:type="dxa"/>
            <w:tcBorders>
              <w:top w:val="nil"/>
              <w:left w:val="nil"/>
              <w:bottom w:val="nil"/>
              <w:right w:val="nil"/>
            </w:tcBorders>
            <w:shd w:val="clear" w:color="auto" w:fill="F1F1F2" w:themeFill="accent5" w:themeFillTint="33"/>
            <w:noWrap/>
            <w:vAlign w:val="center"/>
          </w:tcPr>
          <w:p w14:paraId="1512BEEA"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1,633</w:t>
            </w:r>
          </w:p>
        </w:tc>
        <w:tc>
          <w:tcPr>
            <w:tcW w:w="1101" w:type="dxa"/>
            <w:tcBorders>
              <w:top w:val="nil"/>
              <w:left w:val="nil"/>
              <w:bottom w:val="nil"/>
              <w:right w:val="nil"/>
            </w:tcBorders>
            <w:shd w:val="clear" w:color="auto" w:fill="auto"/>
            <w:noWrap/>
            <w:vAlign w:val="center"/>
            <w:hideMark/>
          </w:tcPr>
          <w:p w14:paraId="0B32E3BD"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1,66</w:t>
            </w:r>
            <w:r>
              <w:rPr>
                <w:rFonts w:asciiTheme="minorHAnsi" w:eastAsia="Times New Roman" w:hAnsiTheme="minorHAnsi" w:cstheme="minorHAnsi"/>
                <w:color w:val="000000"/>
                <w:szCs w:val="20"/>
                <w:lang w:eastAsia="en-AU"/>
              </w:rPr>
              <w:t>9</w:t>
            </w:r>
          </w:p>
        </w:tc>
      </w:tr>
      <w:tr w:rsidR="00AB33EC" w:rsidRPr="003E75E2" w14:paraId="110A8269" w14:textId="77777777" w:rsidTr="00B721B7">
        <w:trPr>
          <w:gridAfter w:val="1"/>
          <w:wAfter w:w="174" w:type="dxa"/>
          <w:trHeight w:val="285"/>
        </w:trPr>
        <w:tc>
          <w:tcPr>
            <w:tcW w:w="2460" w:type="dxa"/>
            <w:tcBorders>
              <w:top w:val="nil"/>
              <w:left w:val="nil"/>
              <w:bottom w:val="nil"/>
              <w:right w:val="nil"/>
            </w:tcBorders>
            <w:shd w:val="clear" w:color="000000" w:fill="FFFFFF"/>
            <w:noWrap/>
            <w:vAlign w:val="center"/>
            <w:hideMark/>
          </w:tcPr>
          <w:p w14:paraId="49687963"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Computer equipment:</w:t>
            </w:r>
          </w:p>
        </w:tc>
        <w:tc>
          <w:tcPr>
            <w:tcW w:w="4061" w:type="dxa"/>
            <w:tcBorders>
              <w:top w:val="nil"/>
              <w:left w:val="nil"/>
              <w:bottom w:val="nil"/>
              <w:right w:val="nil"/>
            </w:tcBorders>
            <w:shd w:val="clear" w:color="000000" w:fill="FFFFFF"/>
            <w:noWrap/>
            <w:vAlign w:val="center"/>
            <w:hideMark/>
          </w:tcPr>
          <w:p w14:paraId="4805A45B" w14:textId="77777777" w:rsidR="00AB33EC" w:rsidRPr="005523A4" w:rsidRDefault="00AB33EC" w:rsidP="00B721B7">
            <w:pPr>
              <w:jc w:val="cente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1276" w:type="dxa"/>
            <w:tcBorders>
              <w:top w:val="nil"/>
              <w:left w:val="nil"/>
              <w:bottom w:val="nil"/>
              <w:right w:val="nil"/>
            </w:tcBorders>
            <w:shd w:val="clear" w:color="auto" w:fill="F1F1F2" w:themeFill="accent5" w:themeFillTint="33"/>
            <w:noWrap/>
            <w:vAlign w:val="center"/>
          </w:tcPr>
          <w:p w14:paraId="1B7F0549"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1101" w:type="dxa"/>
            <w:tcBorders>
              <w:top w:val="nil"/>
              <w:left w:val="nil"/>
              <w:bottom w:val="nil"/>
              <w:right w:val="nil"/>
            </w:tcBorders>
            <w:shd w:val="clear" w:color="auto" w:fill="auto"/>
            <w:noWrap/>
            <w:vAlign w:val="center"/>
            <w:hideMark/>
          </w:tcPr>
          <w:p w14:paraId="72FA8D45" w14:textId="77777777" w:rsidR="00AB33EC" w:rsidRPr="005523A4" w:rsidRDefault="00AB33EC" w:rsidP="00B721B7">
            <w:pPr>
              <w:jc w:val="right"/>
              <w:rPr>
                <w:rFonts w:asciiTheme="minorHAnsi" w:eastAsia="Times New Roman" w:hAnsiTheme="minorHAnsi" w:cstheme="minorHAnsi"/>
                <w:color w:val="000000"/>
                <w:szCs w:val="20"/>
                <w:lang w:eastAsia="en-AU"/>
              </w:rPr>
            </w:pPr>
          </w:p>
        </w:tc>
      </w:tr>
      <w:tr w:rsidR="00AB33EC" w:rsidRPr="003E75E2" w14:paraId="355785EE" w14:textId="77777777" w:rsidTr="00B721B7">
        <w:trPr>
          <w:gridAfter w:val="1"/>
          <w:wAfter w:w="174" w:type="dxa"/>
          <w:trHeight w:val="285"/>
        </w:trPr>
        <w:tc>
          <w:tcPr>
            <w:tcW w:w="2460" w:type="dxa"/>
            <w:tcBorders>
              <w:top w:val="nil"/>
              <w:left w:val="nil"/>
              <w:bottom w:val="nil"/>
              <w:right w:val="nil"/>
            </w:tcBorders>
            <w:shd w:val="clear" w:color="000000" w:fill="FFFFFF"/>
            <w:noWrap/>
            <w:vAlign w:val="center"/>
            <w:hideMark/>
          </w:tcPr>
          <w:p w14:paraId="5B39B0D0" w14:textId="77777777" w:rsidR="00AB33EC" w:rsidRPr="005523A4" w:rsidRDefault="00AB33EC" w:rsidP="00B721B7">
            <w:pPr>
              <w:ind w:firstLineChars="200" w:firstLine="400"/>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At cost</w:t>
            </w:r>
          </w:p>
        </w:tc>
        <w:tc>
          <w:tcPr>
            <w:tcW w:w="4061" w:type="dxa"/>
            <w:tcBorders>
              <w:top w:val="nil"/>
              <w:left w:val="nil"/>
              <w:bottom w:val="nil"/>
              <w:right w:val="nil"/>
            </w:tcBorders>
            <w:shd w:val="clear" w:color="000000" w:fill="FFFFFF"/>
            <w:noWrap/>
            <w:vAlign w:val="center"/>
            <w:hideMark/>
          </w:tcPr>
          <w:p w14:paraId="4F40FE05" w14:textId="77777777" w:rsidR="00AB33EC" w:rsidRPr="005523A4" w:rsidRDefault="00AB33EC" w:rsidP="00B721B7">
            <w:pPr>
              <w:jc w:val="cente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1276" w:type="dxa"/>
            <w:tcBorders>
              <w:top w:val="nil"/>
              <w:left w:val="nil"/>
              <w:bottom w:val="nil"/>
              <w:right w:val="nil"/>
            </w:tcBorders>
            <w:shd w:val="clear" w:color="auto" w:fill="F1F1F2" w:themeFill="accent5" w:themeFillTint="33"/>
            <w:noWrap/>
            <w:vAlign w:val="center"/>
          </w:tcPr>
          <w:p w14:paraId="0B5DD339"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3,160</w:t>
            </w:r>
          </w:p>
        </w:tc>
        <w:tc>
          <w:tcPr>
            <w:tcW w:w="1101" w:type="dxa"/>
            <w:tcBorders>
              <w:top w:val="nil"/>
              <w:left w:val="nil"/>
              <w:bottom w:val="nil"/>
              <w:right w:val="nil"/>
            </w:tcBorders>
            <w:shd w:val="clear" w:color="auto" w:fill="auto"/>
            <w:noWrap/>
            <w:vAlign w:val="center"/>
            <w:hideMark/>
          </w:tcPr>
          <w:p w14:paraId="297CD72C"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3,1</w:t>
            </w:r>
            <w:r>
              <w:rPr>
                <w:rFonts w:asciiTheme="minorHAnsi" w:eastAsia="Times New Roman" w:hAnsiTheme="minorHAnsi" w:cstheme="minorHAnsi"/>
                <w:color w:val="000000"/>
                <w:szCs w:val="20"/>
                <w:lang w:eastAsia="en-AU"/>
              </w:rPr>
              <w:t>95</w:t>
            </w:r>
          </w:p>
        </w:tc>
      </w:tr>
      <w:tr w:rsidR="00AB33EC" w:rsidRPr="005523A4" w14:paraId="508CA5E2" w14:textId="77777777" w:rsidTr="00B721B7">
        <w:trPr>
          <w:gridAfter w:val="1"/>
          <w:wAfter w:w="174" w:type="dxa"/>
          <w:trHeight w:val="293"/>
        </w:trPr>
        <w:tc>
          <w:tcPr>
            <w:tcW w:w="6521" w:type="dxa"/>
            <w:gridSpan w:val="2"/>
            <w:tcBorders>
              <w:top w:val="nil"/>
              <w:left w:val="nil"/>
              <w:bottom w:val="nil"/>
              <w:right w:val="nil"/>
            </w:tcBorders>
            <w:shd w:val="clear" w:color="000000" w:fill="FFFFFF"/>
            <w:noWrap/>
            <w:vAlign w:val="center"/>
            <w:hideMark/>
          </w:tcPr>
          <w:p w14:paraId="79B9D838" w14:textId="77777777" w:rsidR="00AB33EC" w:rsidRPr="005523A4" w:rsidRDefault="00AB33EC" w:rsidP="00B721B7">
            <w:pPr>
              <w:ind w:firstLineChars="200" w:firstLine="400"/>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Less: Accumulated depreciation</w:t>
            </w:r>
          </w:p>
        </w:tc>
        <w:tc>
          <w:tcPr>
            <w:tcW w:w="1276" w:type="dxa"/>
            <w:tcBorders>
              <w:top w:val="nil"/>
              <w:left w:val="nil"/>
              <w:bottom w:val="single" w:sz="8" w:space="0" w:color="auto"/>
              <w:right w:val="nil"/>
            </w:tcBorders>
            <w:shd w:val="clear" w:color="auto" w:fill="F1F1F2" w:themeFill="accent5" w:themeFillTint="33"/>
            <w:noWrap/>
            <w:vAlign w:val="center"/>
          </w:tcPr>
          <w:p w14:paraId="69A8D799"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(2,816)</w:t>
            </w:r>
          </w:p>
        </w:tc>
        <w:tc>
          <w:tcPr>
            <w:tcW w:w="1101" w:type="dxa"/>
            <w:tcBorders>
              <w:top w:val="nil"/>
              <w:left w:val="nil"/>
              <w:bottom w:val="single" w:sz="8" w:space="0" w:color="auto"/>
              <w:right w:val="nil"/>
            </w:tcBorders>
            <w:shd w:val="clear" w:color="auto" w:fill="auto"/>
            <w:noWrap/>
            <w:vAlign w:val="center"/>
            <w:hideMark/>
          </w:tcPr>
          <w:p w14:paraId="0D640125"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(2,</w:t>
            </w:r>
            <w:r>
              <w:rPr>
                <w:rFonts w:asciiTheme="minorHAnsi" w:eastAsia="Times New Roman" w:hAnsiTheme="minorHAnsi" w:cstheme="minorHAnsi"/>
                <w:color w:val="000000"/>
                <w:szCs w:val="20"/>
                <w:lang w:eastAsia="en-AU"/>
              </w:rPr>
              <w:t>794</w:t>
            </w:r>
            <w:r w:rsidRPr="005523A4">
              <w:rPr>
                <w:rFonts w:asciiTheme="minorHAnsi" w:eastAsia="Times New Roman" w:hAnsiTheme="minorHAnsi" w:cstheme="minorHAnsi"/>
                <w:color w:val="000000"/>
                <w:szCs w:val="20"/>
                <w:lang w:eastAsia="en-AU"/>
              </w:rPr>
              <w:t>)</w:t>
            </w:r>
          </w:p>
        </w:tc>
      </w:tr>
      <w:tr w:rsidR="00AB33EC" w:rsidRPr="003E75E2" w14:paraId="73E3A41E" w14:textId="77777777" w:rsidTr="00B721B7">
        <w:trPr>
          <w:gridAfter w:val="1"/>
          <w:wAfter w:w="174" w:type="dxa"/>
          <w:trHeight w:val="285"/>
        </w:trPr>
        <w:tc>
          <w:tcPr>
            <w:tcW w:w="2460" w:type="dxa"/>
            <w:tcBorders>
              <w:top w:val="nil"/>
              <w:left w:val="nil"/>
              <w:bottom w:val="nil"/>
              <w:right w:val="nil"/>
            </w:tcBorders>
            <w:shd w:val="clear" w:color="000000" w:fill="FFFFFF"/>
            <w:noWrap/>
            <w:vAlign w:val="center"/>
            <w:hideMark/>
          </w:tcPr>
          <w:p w14:paraId="3EC4A6D8"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4061" w:type="dxa"/>
            <w:tcBorders>
              <w:top w:val="nil"/>
              <w:left w:val="nil"/>
              <w:bottom w:val="nil"/>
              <w:right w:val="nil"/>
            </w:tcBorders>
            <w:shd w:val="clear" w:color="000000" w:fill="FFFFFF"/>
            <w:noWrap/>
            <w:vAlign w:val="center"/>
            <w:hideMark/>
          </w:tcPr>
          <w:p w14:paraId="19417AD9" w14:textId="77777777" w:rsidR="00AB33EC" w:rsidRPr="005523A4" w:rsidRDefault="00AB33EC" w:rsidP="00B721B7">
            <w:pPr>
              <w:jc w:val="cente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1276" w:type="dxa"/>
            <w:tcBorders>
              <w:top w:val="nil"/>
              <w:left w:val="nil"/>
              <w:bottom w:val="nil"/>
              <w:right w:val="nil"/>
            </w:tcBorders>
            <w:shd w:val="clear" w:color="auto" w:fill="F1F1F2" w:themeFill="accent5" w:themeFillTint="33"/>
            <w:noWrap/>
            <w:vAlign w:val="center"/>
          </w:tcPr>
          <w:p w14:paraId="00128A2A"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344</w:t>
            </w:r>
          </w:p>
        </w:tc>
        <w:tc>
          <w:tcPr>
            <w:tcW w:w="1101" w:type="dxa"/>
            <w:tcBorders>
              <w:top w:val="nil"/>
              <w:left w:val="nil"/>
              <w:bottom w:val="nil"/>
              <w:right w:val="nil"/>
            </w:tcBorders>
            <w:shd w:val="clear" w:color="auto" w:fill="auto"/>
            <w:noWrap/>
            <w:vAlign w:val="center"/>
            <w:hideMark/>
          </w:tcPr>
          <w:p w14:paraId="624B0AA1"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401</w:t>
            </w:r>
          </w:p>
        </w:tc>
      </w:tr>
      <w:tr w:rsidR="00AB33EC" w:rsidRPr="005523A4" w14:paraId="6F281E7F" w14:textId="77777777" w:rsidTr="00B721B7">
        <w:trPr>
          <w:gridAfter w:val="1"/>
          <w:wAfter w:w="174" w:type="dxa"/>
          <w:trHeight w:val="285"/>
        </w:trPr>
        <w:tc>
          <w:tcPr>
            <w:tcW w:w="6521" w:type="dxa"/>
            <w:gridSpan w:val="2"/>
            <w:tcBorders>
              <w:top w:val="nil"/>
              <w:left w:val="nil"/>
              <w:bottom w:val="nil"/>
              <w:right w:val="nil"/>
            </w:tcBorders>
            <w:shd w:val="clear" w:color="000000" w:fill="FFFFFF"/>
            <w:noWrap/>
            <w:vAlign w:val="center"/>
            <w:hideMark/>
          </w:tcPr>
          <w:p w14:paraId="7F1C145F"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General and technical equipment:</w:t>
            </w:r>
          </w:p>
        </w:tc>
        <w:tc>
          <w:tcPr>
            <w:tcW w:w="1276" w:type="dxa"/>
            <w:tcBorders>
              <w:top w:val="nil"/>
              <w:left w:val="nil"/>
              <w:bottom w:val="nil"/>
              <w:right w:val="nil"/>
            </w:tcBorders>
            <w:shd w:val="clear" w:color="auto" w:fill="F1F1F2" w:themeFill="accent5" w:themeFillTint="33"/>
            <w:noWrap/>
            <w:vAlign w:val="center"/>
          </w:tcPr>
          <w:p w14:paraId="73467BEA"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1101" w:type="dxa"/>
            <w:tcBorders>
              <w:top w:val="nil"/>
              <w:left w:val="nil"/>
              <w:bottom w:val="nil"/>
              <w:right w:val="nil"/>
            </w:tcBorders>
            <w:shd w:val="clear" w:color="auto" w:fill="auto"/>
            <w:noWrap/>
            <w:vAlign w:val="center"/>
            <w:hideMark/>
          </w:tcPr>
          <w:p w14:paraId="720CC680"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r>
      <w:tr w:rsidR="00AB33EC" w:rsidRPr="003E75E2" w14:paraId="32B76EBC" w14:textId="77777777" w:rsidTr="00B721B7">
        <w:trPr>
          <w:gridAfter w:val="1"/>
          <w:wAfter w:w="174" w:type="dxa"/>
          <w:trHeight w:val="285"/>
        </w:trPr>
        <w:tc>
          <w:tcPr>
            <w:tcW w:w="2460" w:type="dxa"/>
            <w:tcBorders>
              <w:top w:val="nil"/>
              <w:left w:val="nil"/>
              <w:bottom w:val="nil"/>
              <w:right w:val="nil"/>
            </w:tcBorders>
            <w:shd w:val="clear" w:color="000000" w:fill="FFFFFF"/>
            <w:noWrap/>
            <w:vAlign w:val="center"/>
            <w:hideMark/>
          </w:tcPr>
          <w:p w14:paraId="7126F408" w14:textId="77777777" w:rsidR="00AB33EC" w:rsidRPr="005523A4" w:rsidRDefault="00AB33EC" w:rsidP="00B721B7">
            <w:pPr>
              <w:ind w:firstLineChars="200" w:firstLine="400"/>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At cost</w:t>
            </w:r>
          </w:p>
        </w:tc>
        <w:tc>
          <w:tcPr>
            <w:tcW w:w="4061" w:type="dxa"/>
            <w:tcBorders>
              <w:top w:val="nil"/>
              <w:left w:val="nil"/>
              <w:bottom w:val="nil"/>
              <w:right w:val="nil"/>
            </w:tcBorders>
            <w:shd w:val="clear" w:color="000000" w:fill="FFFFFF"/>
            <w:noWrap/>
            <w:vAlign w:val="center"/>
            <w:hideMark/>
          </w:tcPr>
          <w:p w14:paraId="7E6CC785" w14:textId="77777777" w:rsidR="00AB33EC" w:rsidRPr="005523A4" w:rsidRDefault="00AB33EC" w:rsidP="00B721B7">
            <w:pPr>
              <w:jc w:val="cente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1276" w:type="dxa"/>
            <w:tcBorders>
              <w:top w:val="nil"/>
              <w:left w:val="nil"/>
              <w:bottom w:val="nil"/>
              <w:right w:val="nil"/>
            </w:tcBorders>
            <w:shd w:val="clear" w:color="auto" w:fill="F1F1F2" w:themeFill="accent5" w:themeFillTint="33"/>
            <w:noWrap/>
            <w:vAlign w:val="center"/>
          </w:tcPr>
          <w:p w14:paraId="2E2F39D2"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2,640</w:t>
            </w:r>
          </w:p>
        </w:tc>
        <w:tc>
          <w:tcPr>
            <w:tcW w:w="1101" w:type="dxa"/>
            <w:tcBorders>
              <w:top w:val="nil"/>
              <w:left w:val="nil"/>
              <w:bottom w:val="nil"/>
              <w:right w:val="nil"/>
            </w:tcBorders>
            <w:shd w:val="clear" w:color="auto" w:fill="auto"/>
            <w:noWrap/>
            <w:vAlign w:val="center"/>
            <w:hideMark/>
          </w:tcPr>
          <w:p w14:paraId="64C9F48B"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2,375</w:t>
            </w:r>
          </w:p>
        </w:tc>
      </w:tr>
      <w:tr w:rsidR="00AB33EC" w:rsidRPr="005523A4" w14:paraId="1FFDF9C3" w14:textId="77777777" w:rsidTr="00B721B7">
        <w:trPr>
          <w:gridAfter w:val="1"/>
          <w:wAfter w:w="174" w:type="dxa"/>
          <w:trHeight w:val="293"/>
        </w:trPr>
        <w:tc>
          <w:tcPr>
            <w:tcW w:w="6521" w:type="dxa"/>
            <w:gridSpan w:val="2"/>
            <w:tcBorders>
              <w:top w:val="nil"/>
              <w:left w:val="nil"/>
              <w:bottom w:val="nil"/>
              <w:right w:val="nil"/>
            </w:tcBorders>
            <w:shd w:val="clear" w:color="000000" w:fill="FFFFFF"/>
            <w:noWrap/>
            <w:vAlign w:val="center"/>
            <w:hideMark/>
          </w:tcPr>
          <w:p w14:paraId="421FEDE6" w14:textId="77777777" w:rsidR="00AB33EC" w:rsidRPr="005523A4" w:rsidRDefault="00AB33EC" w:rsidP="00B721B7">
            <w:pPr>
              <w:ind w:firstLineChars="200" w:firstLine="400"/>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Less: Accumulated depreciation</w:t>
            </w:r>
          </w:p>
        </w:tc>
        <w:tc>
          <w:tcPr>
            <w:tcW w:w="1276" w:type="dxa"/>
            <w:tcBorders>
              <w:top w:val="nil"/>
              <w:left w:val="nil"/>
              <w:bottom w:val="single" w:sz="8" w:space="0" w:color="auto"/>
              <w:right w:val="nil"/>
            </w:tcBorders>
            <w:shd w:val="clear" w:color="auto" w:fill="F1F1F2" w:themeFill="accent5" w:themeFillTint="33"/>
            <w:noWrap/>
            <w:vAlign w:val="center"/>
          </w:tcPr>
          <w:p w14:paraId="5DF674F5"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(1,570)</w:t>
            </w:r>
          </w:p>
        </w:tc>
        <w:tc>
          <w:tcPr>
            <w:tcW w:w="1101" w:type="dxa"/>
            <w:tcBorders>
              <w:top w:val="nil"/>
              <w:left w:val="nil"/>
              <w:bottom w:val="single" w:sz="8" w:space="0" w:color="auto"/>
              <w:right w:val="nil"/>
            </w:tcBorders>
            <w:shd w:val="clear" w:color="auto" w:fill="auto"/>
            <w:noWrap/>
            <w:vAlign w:val="center"/>
            <w:hideMark/>
          </w:tcPr>
          <w:p w14:paraId="52F1C421"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(1,</w:t>
            </w:r>
            <w:r>
              <w:rPr>
                <w:rFonts w:asciiTheme="minorHAnsi" w:eastAsia="Times New Roman" w:hAnsiTheme="minorHAnsi" w:cstheme="minorHAnsi"/>
                <w:color w:val="000000"/>
                <w:szCs w:val="20"/>
                <w:lang w:eastAsia="en-AU"/>
              </w:rPr>
              <w:t>293</w:t>
            </w:r>
            <w:r w:rsidRPr="005523A4">
              <w:rPr>
                <w:rFonts w:asciiTheme="minorHAnsi" w:eastAsia="Times New Roman" w:hAnsiTheme="minorHAnsi" w:cstheme="minorHAnsi"/>
                <w:color w:val="000000"/>
                <w:szCs w:val="20"/>
                <w:lang w:eastAsia="en-AU"/>
              </w:rPr>
              <w:t>)</w:t>
            </w:r>
          </w:p>
        </w:tc>
      </w:tr>
      <w:tr w:rsidR="00AB33EC" w:rsidRPr="003E75E2" w14:paraId="511E50D9" w14:textId="77777777" w:rsidTr="00B721B7">
        <w:trPr>
          <w:gridAfter w:val="1"/>
          <w:wAfter w:w="174" w:type="dxa"/>
          <w:trHeight w:val="285"/>
        </w:trPr>
        <w:tc>
          <w:tcPr>
            <w:tcW w:w="2460" w:type="dxa"/>
            <w:tcBorders>
              <w:top w:val="nil"/>
              <w:left w:val="nil"/>
              <w:bottom w:val="nil"/>
              <w:right w:val="nil"/>
            </w:tcBorders>
            <w:shd w:val="clear" w:color="000000" w:fill="FFFFFF"/>
            <w:noWrap/>
            <w:vAlign w:val="center"/>
            <w:hideMark/>
          </w:tcPr>
          <w:p w14:paraId="6D636429"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4061" w:type="dxa"/>
            <w:tcBorders>
              <w:top w:val="nil"/>
              <w:left w:val="nil"/>
              <w:bottom w:val="nil"/>
              <w:right w:val="nil"/>
            </w:tcBorders>
            <w:shd w:val="clear" w:color="000000" w:fill="FFFFFF"/>
            <w:noWrap/>
            <w:vAlign w:val="center"/>
            <w:hideMark/>
          </w:tcPr>
          <w:p w14:paraId="19066D30" w14:textId="77777777" w:rsidR="00AB33EC" w:rsidRPr="005523A4" w:rsidRDefault="00AB33EC" w:rsidP="00B721B7">
            <w:pPr>
              <w:jc w:val="cente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1276" w:type="dxa"/>
            <w:tcBorders>
              <w:top w:val="nil"/>
              <w:left w:val="nil"/>
              <w:bottom w:val="nil"/>
              <w:right w:val="nil"/>
            </w:tcBorders>
            <w:shd w:val="clear" w:color="auto" w:fill="F1F1F2" w:themeFill="accent5" w:themeFillTint="33"/>
            <w:noWrap/>
            <w:vAlign w:val="center"/>
          </w:tcPr>
          <w:p w14:paraId="26977A52"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1,070</w:t>
            </w:r>
          </w:p>
        </w:tc>
        <w:tc>
          <w:tcPr>
            <w:tcW w:w="1101" w:type="dxa"/>
            <w:tcBorders>
              <w:top w:val="nil"/>
              <w:left w:val="nil"/>
              <w:bottom w:val="nil"/>
              <w:right w:val="nil"/>
            </w:tcBorders>
            <w:shd w:val="clear" w:color="auto" w:fill="auto"/>
            <w:noWrap/>
            <w:vAlign w:val="center"/>
            <w:hideMark/>
          </w:tcPr>
          <w:p w14:paraId="1C3C51E4"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1,082</w:t>
            </w:r>
          </w:p>
        </w:tc>
      </w:tr>
      <w:tr w:rsidR="00AB33EC" w:rsidRPr="003E75E2" w14:paraId="204E0B09" w14:textId="77777777" w:rsidTr="00B721B7">
        <w:trPr>
          <w:gridAfter w:val="1"/>
          <w:wAfter w:w="174" w:type="dxa"/>
          <w:trHeight w:val="285"/>
        </w:trPr>
        <w:tc>
          <w:tcPr>
            <w:tcW w:w="2460" w:type="dxa"/>
            <w:tcBorders>
              <w:top w:val="nil"/>
              <w:left w:val="nil"/>
              <w:bottom w:val="nil"/>
              <w:right w:val="nil"/>
            </w:tcBorders>
            <w:shd w:val="clear" w:color="000000" w:fill="FFFFFF"/>
            <w:noWrap/>
            <w:vAlign w:val="center"/>
            <w:hideMark/>
          </w:tcPr>
          <w:p w14:paraId="13107771"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Leasehold improvements:</w:t>
            </w:r>
          </w:p>
        </w:tc>
        <w:tc>
          <w:tcPr>
            <w:tcW w:w="4061" w:type="dxa"/>
            <w:tcBorders>
              <w:top w:val="nil"/>
              <w:left w:val="nil"/>
              <w:bottom w:val="nil"/>
              <w:right w:val="nil"/>
            </w:tcBorders>
            <w:shd w:val="clear" w:color="000000" w:fill="FFFFFF"/>
            <w:noWrap/>
            <w:vAlign w:val="center"/>
            <w:hideMark/>
          </w:tcPr>
          <w:p w14:paraId="79C2DF06" w14:textId="77777777" w:rsidR="00AB33EC" w:rsidRPr="005523A4" w:rsidRDefault="00AB33EC" w:rsidP="00B721B7">
            <w:pPr>
              <w:jc w:val="cente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1276" w:type="dxa"/>
            <w:tcBorders>
              <w:top w:val="nil"/>
              <w:left w:val="nil"/>
              <w:bottom w:val="nil"/>
              <w:right w:val="nil"/>
            </w:tcBorders>
            <w:shd w:val="clear" w:color="auto" w:fill="F1F1F2" w:themeFill="accent5" w:themeFillTint="33"/>
            <w:noWrap/>
            <w:vAlign w:val="center"/>
          </w:tcPr>
          <w:p w14:paraId="43F2D321"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1101" w:type="dxa"/>
            <w:tcBorders>
              <w:top w:val="nil"/>
              <w:left w:val="nil"/>
              <w:bottom w:val="nil"/>
              <w:right w:val="nil"/>
            </w:tcBorders>
            <w:shd w:val="clear" w:color="auto" w:fill="auto"/>
            <w:noWrap/>
            <w:vAlign w:val="center"/>
            <w:hideMark/>
          </w:tcPr>
          <w:p w14:paraId="559A6CD5" w14:textId="77777777" w:rsidR="00AB33EC" w:rsidRPr="005523A4" w:rsidRDefault="00AB33EC" w:rsidP="00B721B7">
            <w:pPr>
              <w:jc w:val="right"/>
              <w:rPr>
                <w:rFonts w:asciiTheme="minorHAnsi" w:eastAsia="Times New Roman" w:hAnsiTheme="minorHAnsi" w:cstheme="minorHAnsi"/>
                <w:color w:val="000000"/>
                <w:szCs w:val="20"/>
                <w:lang w:eastAsia="en-AU"/>
              </w:rPr>
            </w:pPr>
          </w:p>
        </w:tc>
      </w:tr>
      <w:tr w:rsidR="00AB33EC" w:rsidRPr="003E75E2" w14:paraId="26DC7298" w14:textId="77777777" w:rsidTr="00B721B7">
        <w:trPr>
          <w:gridAfter w:val="1"/>
          <w:wAfter w:w="174" w:type="dxa"/>
          <w:trHeight w:val="285"/>
        </w:trPr>
        <w:tc>
          <w:tcPr>
            <w:tcW w:w="2460" w:type="dxa"/>
            <w:tcBorders>
              <w:top w:val="nil"/>
              <w:left w:val="nil"/>
              <w:bottom w:val="nil"/>
              <w:right w:val="nil"/>
            </w:tcBorders>
            <w:shd w:val="clear" w:color="000000" w:fill="FFFFFF"/>
            <w:noWrap/>
            <w:vAlign w:val="center"/>
            <w:hideMark/>
          </w:tcPr>
          <w:p w14:paraId="6D0A2212" w14:textId="77777777" w:rsidR="00AB33EC" w:rsidRPr="005523A4" w:rsidRDefault="00AB33EC" w:rsidP="00B721B7">
            <w:pPr>
              <w:ind w:firstLineChars="200" w:firstLine="400"/>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At cost</w:t>
            </w:r>
          </w:p>
        </w:tc>
        <w:tc>
          <w:tcPr>
            <w:tcW w:w="4061" w:type="dxa"/>
            <w:tcBorders>
              <w:top w:val="nil"/>
              <w:left w:val="nil"/>
              <w:bottom w:val="nil"/>
              <w:right w:val="nil"/>
            </w:tcBorders>
            <w:shd w:val="clear" w:color="000000" w:fill="FFFFFF"/>
            <w:noWrap/>
            <w:vAlign w:val="center"/>
            <w:hideMark/>
          </w:tcPr>
          <w:p w14:paraId="38CA0985" w14:textId="77777777" w:rsidR="00AB33EC" w:rsidRPr="005523A4" w:rsidRDefault="00AB33EC" w:rsidP="00B721B7">
            <w:pPr>
              <w:jc w:val="cente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1276" w:type="dxa"/>
            <w:tcBorders>
              <w:top w:val="nil"/>
              <w:left w:val="nil"/>
              <w:bottom w:val="nil"/>
              <w:right w:val="nil"/>
            </w:tcBorders>
            <w:shd w:val="clear" w:color="auto" w:fill="F1F1F2" w:themeFill="accent5" w:themeFillTint="33"/>
            <w:noWrap/>
            <w:vAlign w:val="center"/>
          </w:tcPr>
          <w:p w14:paraId="39DC0C42"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15,625</w:t>
            </w:r>
          </w:p>
        </w:tc>
        <w:tc>
          <w:tcPr>
            <w:tcW w:w="1101" w:type="dxa"/>
            <w:tcBorders>
              <w:top w:val="nil"/>
              <w:left w:val="nil"/>
              <w:bottom w:val="nil"/>
              <w:right w:val="nil"/>
            </w:tcBorders>
            <w:shd w:val="clear" w:color="auto" w:fill="auto"/>
            <w:noWrap/>
            <w:vAlign w:val="center"/>
            <w:hideMark/>
          </w:tcPr>
          <w:p w14:paraId="49CF0AC1"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15,346</w:t>
            </w:r>
          </w:p>
        </w:tc>
      </w:tr>
      <w:tr w:rsidR="00AB33EC" w:rsidRPr="005523A4" w14:paraId="0DD2AF2C" w14:textId="77777777" w:rsidTr="00B721B7">
        <w:trPr>
          <w:gridAfter w:val="1"/>
          <w:wAfter w:w="174" w:type="dxa"/>
          <w:trHeight w:val="293"/>
        </w:trPr>
        <w:tc>
          <w:tcPr>
            <w:tcW w:w="6521" w:type="dxa"/>
            <w:gridSpan w:val="2"/>
            <w:tcBorders>
              <w:top w:val="nil"/>
              <w:left w:val="nil"/>
              <w:bottom w:val="nil"/>
              <w:right w:val="nil"/>
            </w:tcBorders>
            <w:shd w:val="clear" w:color="000000" w:fill="FFFFFF"/>
            <w:noWrap/>
            <w:vAlign w:val="center"/>
            <w:hideMark/>
          </w:tcPr>
          <w:p w14:paraId="7224FAF2" w14:textId="77777777" w:rsidR="00AB33EC" w:rsidRPr="005523A4" w:rsidRDefault="00AB33EC" w:rsidP="00B721B7">
            <w:pPr>
              <w:ind w:firstLineChars="200" w:firstLine="400"/>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Less: Accumulated depreciation</w:t>
            </w:r>
          </w:p>
        </w:tc>
        <w:tc>
          <w:tcPr>
            <w:tcW w:w="1276" w:type="dxa"/>
            <w:tcBorders>
              <w:top w:val="nil"/>
              <w:left w:val="nil"/>
              <w:bottom w:val="nil"/>
              <w:right w:val="nil"/>
            </w:tcBorders>
            <w:shd w:val="clear" w:color="auto" w:fill="F1F1F2" w:themeFill="accent5" w:themeFillTint="33"/>
            <w:noWrap/>
            <w:vAlign w:val="center"/>
          </w:tcPr>
          <w:p w14:paraId="0FBC0BEE"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(13,996)</w:t>
            </w:r>
          </w:p>
        </w:tc>
        <w:tc>
          <w:tcPr>
            <w:tcW w:w="1101" w:type="dxa"/>
            <w:tcBorders>
              <w:top w:val="nil"/>
              <w:left w:val="nil"/>
              <w:bottom w:val="single" w:sz="8" w:space="0" w:color="auto"/>
              <w:right w:val="nil"/>
            </w:tcBorders>
            <w:shd w:val="clear" w:color="auto" w:fill="auto"/>
            <w:noWrap/>
            <w:vAlign w:val="center"/>
            <w:hideMark/>
          </w:tcPr>
          <w:p w14:paraId="3C22603C"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(1</w:t>
            </w:r>
            <w:r>
              <w:rPr>
                <w:rFonts w:asciiTheme="minorHAnsi" w:eastAsia="Times New Roman" w:hAnsiTheme="minorHAnsi" w:cstheme="minorHAnsi"/>
                <w:color w:val="000000"/>
                <w:szCs w:val="20"/>
                <w:lang w:eastAsia="en-AU"/>
              </w:rPr>
              <w:t>3,396</w:t>
            </w:r>
            <w:r w:rsidRPr="005523A4">
              <w:rPr>
                <w:rFonts w:asciiTheme="minorHAnsi" w:eastAsia="Times New Roman" w:hAnsiTheme="minorHAnsi" w:cstheme="minorHAnsi"/>
                <w:color w:val="000000"/>
                <w:szCs w:val="20"/>
                <w:lang w:eastAsia="en-AU"/>
              </w:rPr>
              <w:t>)</w:t>
            </w:r>
          </w:p>
        </w:tc>
      </w:tr>
      <w:tr w:rsidR="00AB33EC" w:rsidRPr="003E75E2" w14:paraId="26F2227B" w14:textId="77777777" w:rsidTr="00B721B7">
        <w:trPr>
          <w:gridAfter w:val="1"/>
          <w:wAfter w:w="174" w:type="dxa"/>
          <w:trHeight w:val="285"/>
        </w:trPr>
        <w:tc>
          <w:tcPr>
            <w:tcW w:w="2460" w:type="dxa"/>
            <w:tcBorders>
              <w:top w:val="nil"/>
              <w:left w:val="nil"/>
              <w:bottom w:val="nil"/>
              <w:right w:val="nil"/>
            </w:tcBorders>
            <w:shd w:val="clear" w:color="000000" w:fill="FFFFFF"/>
            <w:noWrap/>
            <w:vAlign w:val="center"/>
            <w:hideMark/>
          </w:tcPr>
          <w:p w14:paraId="6696E880"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4061" w:type="dxa"/>
            <w:tcBorders>
              <w:top w:val="nil"/>
              <w:left w:val="nil"/>
              <w:bottom w:val="nil"/>
              <w:right w:val="nil"/>
            </w:tcBorders>
            <w:shd w:val="clear" w:color="000000" w:fill="FFFFFF"/>
            <w:noWrap/>
            <w:vAlign w:val="center"/>
            <w:hideMark/>
          </w:tcPr>
          <w:p w14:paraId="46625536" w14:textId="77777777" w:rsidR="00AB33EC" w:rsidRPr="005523A4" w:rsidRDefault="00AB33EC" w:rsidP="00B721B7">
            <w:pPr>
              <w:jc w:val="cente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1276" w:type="dxa"/>
            <w:tcBorders>
              <w:top w:val="single" w:sz="8" w:space="0" w:color="auto"/>
              <w:left w:val="nil"/>
              <w:bottom w:val="nil"/>
              <w:right w:val="nil"/>
            </w:tcBorders>
            <w:shd w:val="clear" w:color="auto" w:fill="F1F1F2" w:themeFill="accent5" w:themeFillTint="33"/>
            <w:noWrap/>
            <w:vAlign w:val="center"/>
          </w:tcPr>
          <w:p w14:paraId="456BC2DF"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1,629</w:t>
            </w:r>
          </w:p>
        </w:tc>
        <w:tc>
          <w:tcPr>
            <w:tcW w:w="1101" w:type="dxa"/>
            <w:tcBorders>
              <w:top w:val="single" w:sz="8" w:space="0" w:color="auto"/>
              <w:left w:val="nil"/>
              <w:bottom w:val="nil"/>
              <w:right w:val="nil"/>
            </w:tcBorders>
            <w:shd w:val="clear" w:color="auto" w:fill="auto"/>
            <w:noWrap/>
            <w:vAlign w:val="center"/>
            <w:hideMark/>
          </w:tcPr>
          <w:p w14:paraId="521FBF13"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1,950</w:t>
            </w:r>
          </w:p>
        </w:tc>
      </w:tr>
      <w:tr w:rsidR="00AB33EC" w:rsidRPr="003E75E2" w14:paraId="4C7E0BFF" w14:textId="77777777" w:rsidTr="00B721B7">
        <w:trPr>
          <w:gridAfter w:val="1"/>
          <w:wAfter w:w="174" w:type="dxa"/>
          <w:trHeight w:val="293"/>
        </w:trPr>
        <w:tc>
          <w:tcPr>
            <w:tcW w:w="2460" w:type="dxa"/>
            <w:tcBorders>
              <w:top w:val="nil"/>
              <w:left w:val="nil"/>
              <w:bottom w:val="nil"/>
              <w:right w:val="nil"/>
            </w:tcBorders>
            <w:shd w:val="clear" w:color="000000" w:fill="FFFFFF"/>
            <w:noWrap/>
            <w:vAlign w:val="center"/>
          </w:tcPr>
          <w:p w14:paraId="322195B6" w14:textId="77777777" w:rsidR="00AB33EC" w:rsidRPr="005523A4" w:rsidRDefault="00AB33EC" w:rsidP="00B721B7">
            <w:pPr>
              <w:ind w:firstLineChars="18" w:firstLine="36"/>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Work in Progress</w:t>
            </w:r>
          </w:p>
        </w:tc>
        <w:tc>
          <w:tcPr>
            <w:tcW w:w="4061" w:type="dxa"/>
            <w:tcBorders>
              <w:top w:val="nil"/>
              <w:left w:val="nil"/>
              <w:bottom w:val="nil"/>
              <w:right w:val="nil"/>
            </w:tcBorders>
            <w:shd w:val="clear" w:color="000000" w:fill="FFFFFF"/>
            <w:noWrap/>
            <w:vAlign w:val="center"/>
          </w:tcPr>
          <w:p w14:paraId="4D793677" w14:textId="77777777" w:rsidR="00AB33EC" w:rsidRPr="005523A4" w:rsidRDefault="00AB33EC" w:rsidP="00B721B7">
            <w:pPr>
              <w:jc w:val="center"/>
              <w:rPr>
                <w:rFonts w:asciiTheme="minorHAnsi" w:eastAsia="Times New Roman" w:hAnsiTheme="minorHAnsi" w:cstheme="minorHAnsi"/>
                <w:color w:val="000000"/>
                <w:szCs w:val="20"/>
                <w:lang w:eastAsia="en-AU"/>
              </w:rPr>
            </w:pPr>
          </w:p>
        </w:tc>
        <w:tc>
          <w:tcPr>
            <w:tcW w:w="1276" w:type="dxa"/>
            <w:tcBorders>
              <w:top w:val="nil"/>
              <w:left w:val="nil"/>
              <w:bottom w:val="nil"/>
              <w:right w:val="nil"/>
            </w:tcBorders>
            <w:shd w:val="clear" w:color="auto" w:fill="F1F1F2" w:themeFill="accent5" w:themeFillTint="33"/>
            <w:noWrap/>
            <w:vAlign w:val="center"/>
          </w:tcPr>
          <w:p w14:paraId="3E2B5AC8" w14:textId="77777777" w:rsidR="00AB33EC" w:rsidRPr="005523A4" w:rsidRDefault="00AB33EC" w:rsidP="00B721B7">
            <w:pPr>
              <w:jc w:val="center"/>
              <w:rPr>
                <w:rFonts w:asciiTheme="minorHAnsi" w:eastAsia="Times New Roman" w:hAnsiTheme="minorHAnsi" w:cstheme="minorHAnsi"/>
                <w:color w:val="000000"/>
                <w:szCs w:val="20"/>
                <w:lang w:eastAsia="en-AU"/>
              </w:rPr>
            </w:pPr>
          </w:p>
        </w:tc>
        <w:tc>
          <w:tcPr>
            <w:tcW w:w="1101" w:type="dxa"/>
            <w:tcBorders>
              <w:top w:val="nil"/>
              <w:left w:val="nil"/>
              <w:bottom w:val="nil"/>
              <w:right w:val="nil"/>
            </w:tcBorders>
            <w:shd w:val="clear" w:color="auto" w:fill="auto"/>
            <w:noWrap/>
            <w:vAlign w:val="center"/>
          </w:tcPr>
          <w:p w14:paraId="2046858C" w14:textId="77777777" w:rsidR="00AB33EC" w:rsidRPr="005523A4" w:rsidRDefault="00AB33EC" w:rsidP="00B721B7">
            <w:pPr>
              <w:jc w:val="right"/>
              <w:rPr>
                <w:rFonts w:asciiTheme="minorHAnsi" w:eastAsia="Times New Roman" w:hAnsiTheme="minorHAnsi" w:cstheme="minorHAnsi"/>
                <w:color w:val="000000"/>
                <w:szCs w:val="20"/>
                <w:lang w:eastAsia="en-AU"/>
              </w:rPr>
            </w:pPr>
          </w:p>
        </w:tc>
      </w:tr>
      <w:tr w:rsidR="00AB33EC" w:rsidRPr="003E75E2" w14:paraId="637AAACF" w14:textId="77777777" w:rsidTr="00B721B7">
        <w:trPr>
          <w:gridAfter w:val="1"/>
          <w:wAfter w:w="174" w:type="dxa"/>
          <w:trHeight w:val="293"/>
        </w:trPr>
        <w:tc>
          <w:tcPr>
            <w:tcW w:w="2460" w:type="dxa"/>
            <w:tcBorders>
              <w:top w:val="nil"/>
              <w:left w:val="nil"/>
              <w:bottom w:val="nil"/>
              <w:right w:val="nil"/>
            </w:tcBorders>
            <w:shd w:val="clear" w:color="000000" w:fill="FFFFFF"/>
            <w:noWrap/>
            <w:vAlign w:val="center"/>
          </w:tcPr>
          <w:p w14:paraId="1A9F2210" w14:textId="77777777" w:rsidR="00AB33EC" w:rsidRPr="005523A4" w:rsidRDefault="00AB33EC" w:rsidP="00B721B7">
            <w:pPr>
              <w:ind w:firstLineChars="200" w:firstLine="400"/>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At cost</w:t>
            </w:r>
          </w:p>
        </w:tc>
        <w:tc>
          <w:tcPr>
            <w:tcW w:w="4061" w:type="dxa"/>
            <w:tcBorders>
              <w:top w:val="nil"/>
              <w:left w:val="nil"/>
              <w:bottom w:val="nil"/>
              <w:right w:val="nil"/>
            </w:tcBorders>
            <w:shd w:val="clear" w:color="000000" w:fill="FFFFFF"/>
            <w:noWrap/>
            <w:vAlign w:val="center"/>
          </w:tcPr>
          <w:p w14:paraId="65EA6CEB" w14:textId="77777777" w:rsidR="00AB33EC" w:rsidRPr="005523A4" w:rsidRDefault="00AB33EC" w:rsidP="00B721B7">
            <w:pPr>
              <w:jc w:val="center"/>
              <w:rPr>
                <w:rFonts w:asciiTheme="minorHAnsi" w:eastAsia="Times New Roman" w:hAnsiTheme="minorHAnsi" w:cstheme="minorHAnsi"/>
                <w:color w:val="000000"/>
                <w:szCs w:val="20"/>
                <w:lang w:eastAsia="en-AU"/>
              </w:rPr>
            </w:pPr>
          </w:p>
        </w:tc>
        <w:tc>
          <w:tcPr>
            <w:tcW w:w="1276" w:type="dxa"/>
            <w:tcBorders>
              <w:top w:val="nil"/>
              <w:left w:val="nil"/>
              <w:bottom w:val="nil"/>
              <w:right w:val="nil"/>
            </w:tcBorders>
            <w:shd w:val="clear" w:color="auto" w:fill="F1F1F2" w:themeFill="accent5" w:themeFillTint="33"/>
            <w:noWrap/>
            <w:vAlign w:val="center"/>
          </w:tcPr>
          <w:p w14:paraId="6D615A8B"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13</w:t>
            </w:r>
          </w:p>
        </w:tc>
        <w:tc>
          <w:tcPr>
            <w:tcW w:w="1101" w:type="dxa"/>
            <w:tcBorders>
              <w:top w:val="nil"/>
              <w:left w:val="nil"/>
              <w:bottom w:val="nil"/>
              <w:right w:val="nil"/>
            </w:tcBorders>
            <w:shd w:val="clear" w:color="auto" w:fill="auto"/>
            <w:noWrap/>
            <w:vAlign w:val="center"/>
          </w:tcPr>
          <w:p w14:paraId="4ADB8B45"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287</w:t>
            </w:r>
          </w:p>
        </w:tc>
      </w:tr>
      <w:tr w:rsidR="00AB33EC" w:rsidRPr="003E75E2" w14:paraId="39EBDE8A" w14:textId="77777777" w:rsidTr="00B721B7">
        <w:trPr>
          <w:gridAfter w:val="1"/>
          <w:wAfter w:w="174" w:type="dxa"/>
          <w:trHeight w:val="293"/>
        </w:trPr>
        <w:tc>
          <w:tcPr>
            <w:tcW w:w="2460" w:type="dxa"/>
            <w:tcBorders>
              <w:top w:val="nil"/>
              <w:left w:val="nil"/>
              <w:bottom w:val="nil"/>
              <w:right w:val="nil"/>
            </w:tcBorders>
            <w:shd w:val="clear" w:color="000000" w:fill="FFFFFF"/>
            <w:noWrap/>
            <w:vAlign w:val="center"/>
            <w:hideMark/>
          </w:tcPr>
          <w:p w14:paraId="73F7B1BF" w14:textId="77777777" w:rsidR="00AB33EC" w:rsidRPr="005523A4" w:rsidRDefault="00AB33EC" w:rsidP="00B721B7">
            <w:pPr>
              <w:ind w:firstLineChars="200" w:firstLine="400"/>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4061" w:type="dxa"/>
            <w:tcBorders>
              <w:top w:val="nil"/>
              <w:left w:val="nil"/>
              <w:bottom w:val="nil"/>
              <w:right w:val="nil"/>
            </w:tcBorders>
            <w:shd w:val="clear" w:color="000000" w:fill="FFFFFF"/>
            <w:noWrap/>
            <w:vAlign w:val="center"/>
            <w:hideMark/>
          </w:tcPr>
          <w:p w14:paraId="006AD178" w14:textId="77777777" w:rsidR="00AB33EC" w:rsidRPr="005523A4" w:rsidRDefault="00AB33EC" w:rsidP="00B721B7">
            <w:pPr>
              <w:jc w:val="cente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1276" w:type="dxa"/>
            <w:tcBorders>
              <w:top w:val="nil"/>
              <w:left w:val="nil"/>
              <w:bottom w:val="nil"/>
              <w:right w:val="nil"/>
            </w:tcBorders>
            <w:shd w:val="clear" w:color="auto" w:fill="F1F1F2" w:themeFill="accent5" w:themeFillTint="33"/>
            <w:noWrap/>
            <w:vAlign w:val="center"/>
          </w:tcPr>
          <w:p w14:paraId="1CF29D6C" w14:textId="77777777" w:rsidR="00AB33EC" w:rsidRPr="005523A4" w:rsidRDefault="00AB33EC" w:rsidP="00B721B7">
            <w:pPr>
              <w:jc w:val="center"/>
              <w:rPr>
                <w:rFonts w:asciiTheme="minorHAnsi" w:eastAsia="Times New Roman" w:hAnsiTheme="minorHAnsi" w:cstheme="minorHAnsi"/>
                <w:color w:val="000000"/>
                <w:szCs w:val="20"/>
                <w:lang w:eastAsia="en-AU"/>
              </w:rPr>
            </w:pPr>
          </w:p>
        </w:tc>
        <w:tc>
          <w:tcPr>
            <w:tcW w:w="1101" w:type="dxa"/>
            <w:tcBorders>
              <w:top w:val="nil"/>
              <w:left w:val="nil"/>
              <w:bottom w:val="nil"/>
              <w:right w:val="nil"/>
            </w:tcBorders>
            <w:shd w:val="clear" w:color="auto" w:fill="auto"/>
            <w:noWrap/>
            <w:vAlign w:val="center"/>
            <w:hideMark/>
          </w:tcPr>
          <w:p w14:paraId="228DEDE3" w14:textId="77777777" w:rsidR="00AB33EC" w:rsidRPr="005523A4" w:rsidRDefault="00AB33EC" w:rsidP="00B721B7">
            <w:pPr>
              <w:jc w:val="right"/>
              <w:rPr>
                <w:rFonts w:asciiTheme="minorHAnsi" w:eastAsia="Times New Roman" w:hAnsiTheme="minorHAnsi" w:cstheme="minorHAnsi"/>
                <w:color w:val="000000"/>
                <w:szCs w:val="20"/>
                <w:lang w:eastAsia="en-AU"/>
              </w:rPr>
            </w:pPr>
          </w:p>
        </w:tc>
      </w:tr>
      <w:tr w:rsidR="00AB33EC" w:rsidRPr="003E75E2" w14:paraId="71C5A788" w14:textId="77777777" w:rsidTr="00B721B7">
        <w:trPr>
          <w:gridAfter w:val="1"/>
          <w:wAfter w:w="174" w:type="dxa"/>
          <w:trHeight w:val="293"/>
        </w:trPr>
        <w:tc>
          <w:tcPr>
            <w:tcW w:w="2460" w:type="dxa"/>
            <w:tcBorders>
              <w:top w:val="nil"/>
              <w:left w:val="nil"/>
              <w:bottom w:val="nil"/>
              <w:right w:val="nil"/>
            </w:tcBorders>
            <w:shd w:val="clear" w:color="000000" w:fill="FFFFFF"/>
            <w:noWrap/>
            <w:vAlign w:val="center"/>
            <w:hideMark/>
          </w:tcPr>
          <w:p w14:paraId="28C537C0" w14:textId="77777777" w:rsidR="00AB33EC" w:rsidRPr="005523A4" w:rsidRDefault="00AB33EC" w:rsidP="00B721B7">
            <w:pPr>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Total</w:t>
            </w:r>
          </w:p>
        </w:tc>
        <w:tc>
          <w:tcPr>
            <w:tcW w:w="4061" w:type="dxa"/>
            <w:tcBorders>
              <w:top w:val="nil"/>
              <w:left w:val="nil"/>
              <w:bottom w:val="nil"/>
              <w:right w:val="nil"/>
            </w:tcBorders>
            <w:shd w:val="clear" w:color="000000" w:fill="FFFFFF"/>
            <w:noWrap/>
            <w:vAlign w:val="center"/>
            <w:hideMark/>
          </w:tcPr>
          <w:p w14:paraId="30F89A37" w14:textId="77777777" w:rsidR="00AB33EC" w:rsidRPr="005523A4" w:rsidRDefault="00AB33EC" w:rsidP="00B721B7">
            <w:pPr>
              <w:jc w:val="center"/>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 </w:t>
            </w:r>
          </w:p>
        </w:tc>
        <w:tc>
          <w:tcPr>
            <w:tcW w:w="1276" w:type="dxa"/>
            <w:tcBorders>
              <w:top w:val="single" w:sz="8" w:space="0" w:color="auto"/>
              <w:left w:val="nil"/>
              <w:bottom w:val="double" w:sz="6" w:space="0" w:color="auto"/>
              <w:right w:val="nil"/>
            </w:tcBorders>
            <w:shd w:val="clear" w:color="auto" w:fill="F1F1F2" w:themeFill="accent5" w:themeFillTint="33"/>
            <w:noWrap/>
            <w:vAlign w:val="center"/>
          </w:tcPr>
          <w:p w14:paraId="4C41052C"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Pr>
                <w:rFonts w:asciiTheme="minorHAnsi" w:eastAsia="Times New Roman" w:hAnsiTheme="minorHAnsi" w:cstheme="minorHAnsi"/>
                <w:b/>
                <w:bCs/>
                <w:color w:val="000000"/>
                <w:szCs w:val="20"/>
                <w:lang w:eastAsia="en-AU"/>
              </w:rPr>
              <w:t>4,689</w:t>
            </w:r>
          </w:p>
        </w:tc>
        <w:tc>
          <w:tcPr>
            <w:tcW w:w="1101" w:type="dxa"/>
            <w:tcBorders>
              <w:top w:val="single" w:sz="8" w:space="0" w:color="auto"/>
              <w:left w:val="nil"/>
              <w:bottom w:val="double" w:sz="6" w:space="0" w:color="auto"/>
              <w:right w:val="nil"/>
            </w:tcBorders>
            <w:shd w:val="clear" w:color="auto" w:fill="auto"/>
            <w:noWrap/>
            <w:vAlign w:val="center"/>
            <w:hideMark/>
          </w:tcPr>
          <w:p w14:paraId="757056FA"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5,389</w:t>
            </w:r>
          </w:p>
        </w:tc>
      </w:tr>
      <w:tr w:rsidR="00AB33EC" w:rsidRPr="005523A4" w14:paraId="44AF8836" w14:textId="77777777" w:rsidTr="00B721B7">
        <w:tblPrEx>
          <w:tblBorders>
            <w:top w:val="double" w:sz="4" w:space="0" w:color="auto"/>
            <w:left w:val="double" w:sz="4" w:space="0" w:color="auto"/>
            <w:bottom w:val="double" w:sz="4" w:space="0" w:color="auto"/>
            <w:right w:val="double" w:sz="4" w:space="0" w:color="auto"/>
          </w:tblBorders>
          <w:tblCellMar>
            <w:left w:w="0" w:type="dxa"/>
            <w:right w:w="0" w:type="dxa"/>
          </w:tblCellMar>
          <w:tblLook w:val="0000" w:firstRow="0" w:lastRow="0" w:firstColumn="0" w:lastColumn="0" w:noHBand="0" w:noVBand="0"/>
        </w:tblPrEx>
        <w:trPr>
          <w:trHeight w:val="20"/>
        </w:trPr>
        <w:tc>
          <w:tcPr>
            <w:tcW w:w="9072" w:type="dxa"/>
            <w:gridSpan w:val="5"/>
            <w:tcBorders>
              <w:top w:val="nil"/>
              <w:left w:val="nil"/>
              <w:bottom w:val="nil"/>
              <w:right w:val="nil"/>
            </w:tcBorders>
            <w:noWrap/>
            <w:vAlign w:val="bottom"/>
          </w:tcPr>
          <w:p w14:paraId="46B91034" w14:textId="77777777" w:rsidR="00AB33EC" w:rsidRPr="005523A4" w:rsidRDefault="00AB33EC" w:rsidP="00B721B7">
            <w:pPr>
              <w:outlineLvl w:val="0"/>
              <w:rPr>
                <w:rFonts w:asciiTheme="minorHAnsi" w:eastAsia="Times New Roman" w:hAnsiTheme="minorHAnsi" w:cstheme="minorHAnsi"/>
                <w:b/>
                <w:color w:val="000000"/>
                <w:sz w:val="23"/>
                <w:szCs w:val="20"/>
              </w:rPr>
            </w:pPr>
          </w:p>
        </w:tc>
      </w:tr>
    </w:tbl>
    <w:p w14:paraId="1D0959FC" w14:textId="77777777" w:rsidR="00AB33EC" w:rsidRPr="003E75E2" w:rsidRDefault="00AB33EC" w:rsidP="00AB33EC">
      <w:pPr>
        <w:spacing w:line="259" w:lineRule="auto"/>
        <w:rPr>
          <w:rFonts w:asciiTheme="minorHAnsi" w:eastAsia="Times New Roman" w:hAnsiTheme="minorHAnsi" w:cstheme="minorHAnsi"/>
          <w:b/>
          <w:sz w:val="23"/>
          <w:szCs w:val="20"/>
        </w:rPr>
      </w:pPr>
      <w:r w:rsidRPr="003E75E2">
        <w:rPr>
          <w:rFonts w:asciiTheme="minorHAnsi" w:eastAsia="Times New Roman" w:hAnsiTheme="minorHAnsi" w:cstheme="minorHAnsi"/>
          <w:b/>
          <w:sz w:val="23"/>
          <w:szCs w:val="20"/>
        </w:rPr>
        <w:br w:type="page"/>
      </w:r>
    </w:p>
    <w:p w14:paraId="0ACDCE46" w14:textId="77777777" w:rsidR="00AB33EC" w:rsidRPr="003E75E2" w:rsidRDefault="00AB33EC" w:rsidP="00AB33EC">
      <w:pPr>
        <w:pStyle w:val="Normal115pttext"/>
        <w:spacing w:line="240" w:lineRule="auto"/>
        <w:rPr>
          <w:rFonts w:cstheme="minorHAnsi"/>
        </w:rPr>
        <w:sectPr w:rsidR="00AB33EC" w:rsidRPr="003E75E2" w:rsidSect="00954847">
          <w:headerReference w:type="default" r:id="rId292"/>
          <w:pgSz w:w="11906" w:h="16838"/>
          <w:pgMar w:top="1701" w:right="1418" w:bottom="1418" w:left="1418" w:header="709" w:footer="283" w:gutter="0"/>
          <w:cols w:space="708"/>
          <w:docGrid w:linePitch="360"/>
        </w:sectPr>
      </w:pPr>
    </w:p>
    <w:p w14:paraId="146F0FFA" w14:textId="7ED56BF2" w:rsidR="00AB33EC" w:rsidRPr="005523A4" w:rsidRDefault="00AB33EC" w:rsidP="00AB33EC">
      <w:pPr>
        <w:outlineLvl w:val="0"/>
        <w:rPr>
          <w:rFonts w:asciiTheme="minorHAnsi" w:eastAsia="Times New Roman" w:hAnsiTheme="minorHAnsi" w:cstheme="minorHAnsi"/>
          <w:b/>
          <w:color w:val="000000"/>
          <w:sz w:val="23"/>
          <w:szCs w:val="20"/>
        </w:rPr>
      </w:pPr>
      <w:r w:rsidRPr="005523A4">
        <w:rPr>
          <w:rFonts w:asciiTheme="minorHAnsi" w:eastAsia="Times New Roman" w:hAnsiTheme="minorHAnsi" w:cstheme="minorHAnsi"/>
          <w:b/>
          <w:color w:val="000000"/>
          <w:sz w:val="23"/>
          <w:szCs w:val="20"/>
        </w:rPr>
        <w:t xml:space="preserve">Note </w:t>
      </w:r>
      <w:r w:rsidR="00950915">
        <w:rPr>
          <w:rFonts w:asciiTheme="minorHAnsi" w:eastAsia="Times New Roman" w:hAnsiTheme="minorHAnsi" w:cstheme="minorHAnsi"/>
          <w:b/>
          <w:color w:val="000000"/>
          <w:sz w:val="23"/>
          <w:szCs w:val="20"/>
        </w:rPr>
        <w:t>9</w:t>
      </w:r>
      <w:r w:rsidRPr="005523A4">
        <w:rPr>
          <w:rFonts w:asciiTheme="minorHAnsi" w:eastAsia="Times New Roman" w:hAnsiTheme="minorHAnsi" w:cstheme="minorHAnsi"/>
          <w:b/>
          <w:color w:val="000000"/>
          <w:sz w:val="23"/>
          <w:szCs w:val="20"/>
        </w:rPr>
        <w:t>:  Property, Plant and Equipment (cont’d)</w:t>
      </w:r>
    </w:p>
    <w:p w14:paraId="03C4944F" w14:textId="77777777" w:rsidR="00AB33EC" w:rsidRPr="005523A4" w:rsidRDefault="00AB33EC" w:rsidP="00AB33EC">
      <w:pPr>
        <w:rPr>
          <w:rFonts w:asciiTheme="minorHAnsi" w:eastAsia="Calibri" w:hAnsiTheme="minorHAnsi" w:cstheme="minorHAnsi"/>
          <w:color w:val="000000"/>
        </w:rPr>
      </w:pPr>
    </w:p>
    <w:p w14:paraId="277A4DCD" w14:textId="77777777" w:rsidR="00AB33EC" w:rsidRPr="005523A4" w:rsidRDefault="00AB33EC" w:rsidP="00AB33EC">
      <w:pPr>
        <w:outlineLvl w:val="0"/>
        <w:rPr>
          <w:rFonts w:asciiTheme="minorHAnsi" w:eastAsia="Times New Roman" w:hAnsiTheme="minorHAnsi" w:cstheme="minorHAnsi"/>
          <w:b/>
          <w:color w:val="000000"/>
          <w:sz w:val="23"/>
          <w:szCs w:val="20"/>
          <w:lang w:eastAsia="en-AU"/>
        </w:rPr>
      </w:pPr>
      <w:r w:rsidRPr="005523A4">
        <w:rPr>
          <w:rFonts w:asciiTheme="minorHAnsi" w:eastAsia="Times New Roman" w:hAnsiTheme="minorHAnsi" w:cstheme="minorHAnsi"/>
          <w:b/>
          <w:color w:val="000000"/>
          <w:sz w:val="21"/>
          <w:szCs w:val="21"/>
        </w:rPr>
        <w:t>Property, Plant and Equipment Reconciliation</w:t>
      </w:r>
    </w:p>
    <w:tbl>
      <w:tblPr>
        <w:tblW w:w="13840" w:type="dxa"/>
        <w:tblLook w:val="04A0" w:firstRow="1" w:lastRow="0" w:firstColumn="1" w:lastColumn="0" w:noHBand="0" w:noVBand="1"/>
      </w:tblPr>
      <w:tblGrid>
        <w:gridCol w:w="2800"/>
        <w:gridCol w:w="920"/>
        <w:gridCol w:w="920"/>
        <w:gridCol w:w="920"/>
        <w:gridCol w:w="920"/>
        <w:gridCol w:w="920"/>
        <w:gridCol w:w="920"/>
        <w:gridCol w:w="920"/>
        <w:gridCol w:w="920"/>
        <w:gridCol w:w="920"/>
        <w:gridCol w:w="920"/>
        <w:gridCol w:w="920"/>
        <w:gridCol w:w="920"/>
      </w:tblGrid>
      <w:tr w:rsidR="00AB33EC" w:rsidRPr="005523A4" w14:paraId="1F552079" w14:textId="77777777" w:rsidTr="00B721B7">
        <w:trPr>
          <w:trHeight w:val="285"/>
        </w:trPr>
        <w:tc>
          <w:tcPr>
            <w:tcW w:w="2800" w:type="dxa"/>
            <w:tcBorders>
              <w:top w:val="single" w:sz="8" w:space="0" w:color="auto"/>
              <w:left w:val="nil"/>
              <w:bottom w:val="nil"/>
              <w:right w:val="single" w:sz="8" w:space="0" w:color="auto"/>
            </w:tcBorders>
            <w:shd w:val="clear" w:color="000000" w:fill="FFFFFF"/>
            <w:vAlign w:val="center"/>
            <w:hideMark/>
          </w:tcPr>
          <w:p w14:paraId="1A0786AB" w14:textId="77777777" w:rsidR="00AB33EC" w:rsidRPr="005523A4" w:rsidRDefault="00AB33EC" w:rsidP="00B721B7">
            <w:pPr>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 </w:t>
            </w:r>
          </w:p>
        </w:tc>
        <w:tc>
          <w:tcPr>
            <w:tcW w:w="1840" w:type="dxa"/>
            <w:gridSpan w:val="2"/>
            <w:vMerge w:val="restart"/>
            <w:tcBorders>
              <w:top w:val="single" w:sz="8" w:space="0" w:color="auto"/>
              <w:left w:val="nil"/>
              <w:right w:val="single" w:sz="8" w:space="0" w:color="000000"/>
            </w:tcBorders>
            <w:shd w:val="clear" w:color="000000" w:fill="FFFFFF"/>
            <w:vAlign w:val="center"/>
            <w:hideMark/>
          </w:tcPr>
          <w:p w14:paraId="2DC615C1" w14:textId="77777777" w:rsidR="00AB33EC" w:rsidRPr="005523A4" w:rsidRDefault="00AB33EC" w:rsidP="00B721B7">
            <w:pPr>
              <w:jc w:val="center"/>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 xml:space="preserve">Motor </w:t>
            </w:r>
          </w:p>
          <w:p w14:paraId="233D5978" w14:textId="77777777" w:rsidR="00AB33EC" w:rsidRPr="005523A4" w:rsidRDefault="00AB33EC" w:rsidP="00B721B7">
            <w:pPr>
              <w:jc w:val="center"/>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vehicles</w:t>
            </w:r>
          </w:p>
        </w:tc>
        <w:tc>
          <w:tcPr>
            <w:tcW w:w="1840" w:type="dxa"/>
            <w:gridSpan w:val="2"/>
            <w:vMerge w:val="restart"/>
            <w:tcBorders>
              <w:top w:val="single" w:sz="8" w:space="0" w:color="auto"/>
              <w:left w:val="nil"/>
              <w:right w:val="single" w:sz="8" w:space="0" w:color="000000"/>
            </w:tcBorders>
            <w:shd w:val="clear" w:color="000000" w:fill="FFFFFF"/>
            <w:vAlign w:val="center"/>
            <w:hideMark/>
          </w:tcPr>
          <w:p w14:paraId="039E0798" w14:textId="77777777" w:rsidR="00AB33EC" w:rsidRPr="00C5404E" w:rsidRDefault="00AB33EC" w:rsidP="00B721B7">
            <w:pPr>
              <w:jc w:val="center"/>
              <w:rPr>
                <w:rFonts w:asciiTheme="minorHAnsi" w:eastAsia="Times New Roman" w:hAnsiTheme="minorHAnsi" w:cstheme="minorHAnsi"/>
                <w:b/>
                <w:bCs/>
                <w:color w:val="000000"/>
                <w:szCs w:val="20"/>
                <w:lang w:eastAsia="en-AU"/>
              </w:rPr>
            </w:pPr>
            <w:r w:rsidRPr="00C5404E">
              <w:rPr>
                <w:rFonts w:asciiTheme="minorHAnsi" w:eastAsia="Times New Roman" w:hAnsiTheme="minorHAnsi" w:cstheme="minorHAnsi"/>
                <w:b/>
                <w:bCs/>
                <w:color w:val="000000"/>
                <w:szCs w:val="20"/>
                <w:lang w:eastAsia="en-AU"/>
              </w:rPr>
              <w:t xml:space="preserve">Computer </w:t>
            </w:r>
          </w:p>
          <w:p w14:paraId="60961222" w14:textId="77777777" w:rsidR="00AB33EC" w:rsidRPr="005523A4" w:rsidRDefault="00AB33EC" w:rsidP="00B721B7">
            <w:pPr>
              <w:jc w:val="center"/>
              <w:rPr>
                <w:rFonts w:asciiTheme="minorHAnsi" w:eastAsia="Times New Roman" w:hAnsiTheme="minorHAnsi" w:cstheme="minorHAnsi"/>
                <w:color w:val="000000"/>
                <w:szCs w:val="20"/>
                <w:lang w:eastAsia="en-AU"/>
              </w:rPr>
            </w:pPr>
            <w:r w:rsidRPr="00C5404E">
              <w:rPr>
                <w:rFonts w:asciiTheme="minorHAnsi" w:eastAsia="Times New Roman" w:hAnsiTheme="minorHAnsi" w:cstheme="minorHAnsi"/>
                <w:b/>
                <w:bCs/>
                <w:color w:val="000000"/>
                <w:szCs w:val="20"/>
                <w:lang w:eastAsia="en-AU"/>
              </w:rPr>
              <w:t>equipment</w:t>
            </w:r>
          </w:p>
        </w:tc>
        <w:tc>
          <w:tcPr>
            <w:tcW w:w="184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84279DD" w14:textId="77777777" w:rsidR="00AB33EC" w:rsidRPr="005523A4" w:rsidRDefault="00AB33EC" w:rsidP="00B721B7">
            <w:pPr>
              <w:jc w:val="center"/>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General and technical equipment</w:t>
            </w:r>
          </w:p>
        </w:tc>
        <w:tc>
          <w:tcPr>
            <w:tcW w:w="184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94A197C" w14:textId="77777777" w:rsidR="00AB33EC" w:rsidRPr="005523A4" w:rsidRDefault="00AB33EC" w:rsidP="00B721B7">
            <w:pPr>
              <w:jc w:val="center"/>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Leasehold improvements</w:t>
            </w:r>
          </w:p>
        </w:tc>
        <w:tc>
          <w:tcPr>
            <w:tcW w:w="1840" w:type="dxa"/>
            <w:gridSpan w:val="2"/>
            <w:vMerge w:val="restart"/>
            <w:tcBorders>
              <w:top w:val="single" w:sz="8" w:space="0" w:color="auto"/>
              <w:left w:val="nil"/>
              <w:right w:val="single" w:sz="8" w:space="0" w:color="000000"/>
            </w:tcBorders>
            <w:shd w:val="clear" w:color="000000" w:fill="FFFFFF"/>
            <w:vAlign w:val="center"/>
            <w:hideMark/>
          </w:tcPr>
          <w:p w14:paraId="1AC069D0" w14:textId="77777777" w:rsidR="00AB33EC" w:rsidRPr="005523A4" w:rsidRDefault="00AB33EC" w:rsidP="00B721B7">
            <w:pPr>
              <w:jc w:val="center"/>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Work</w:t>
            </w:r>
          </w:p>
          <w:p w14:paraId="62A81A24" w14:textId="77777777" w:rsidR="00AB33EC" w:rsidRPr="005523A4" w:rsidRDefault="00AB33EC" w:rsidP="00B721B7">
            <w:pPr>
              <w:jc w:val="center"/>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in progress</w:t>
            </w:r>
          </w:p>
        </w:tc>
        <w:tc>
          <w:tcPr>
            <w:tcW w:w="1840" w:type="dxa"/>
            <w:gridSpan w:val="2"/>
            <w:vMerge w:val="restart"/>
            <w:tcBorders>
              <w:top w:val="single" w:sz="8" w:space="0" w:color="auto"/>
              <w:left w:val="single" w:sz="8" w:space="0" w:color="auto"/>
              <w:bottom w:val="single" w:sz="8" w:space="0" w:color="000000"/>
              <w:right w:val="nil"/>
            </w:tcBorders>
            <w:shd w:val="clear" w:color="000000" w:fill="FFFFFF"/>
            <w:vAlign w:val="center"/>
            <w:hideMark/>
          </w:tcPr>
          <w:p w14:paraId="65FFBF27" w14:textId="77777777" w:rsidR="00AB33EC" w:rsidRPr="005523A4" w:rsidRDefault="00AB33EC" w:rsidP="00B721B7">
            <w:pPr>
              <w:jc w:val="center"/>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Total</w:t>
            </w:r>
          </w:p>
        </w:tc>
      </w:tr>
      <w:tr w:rsidR="00AB33EC" w:rsidRPr="005523A4" w14:paraId="077E01D4" w14:textId="77777777" w:rsidTr="00B721B7">
        <w:trPr>
          <w:trHeight w:val="293"/>
        </w:trPr>
        <w:tc>
          <w:tcPr>
            <w:tcW w:w="2800" w:type="dxa"/>
            <w:tcBorders>
              <w:top w:val="nil"/>
              <w:left w:val="nil"/>
              <w:bottom w:val="nil"/>
              <w:right w:val="single" w:sz="8" w:space="0" w:color="auto"/>
            </w:tcBorders>
            <w:shd w:val="clear" w:color="000000" w:fill="FFFFFF"/>
            <w:vAlign w:val="center"/>
            <w:hideMark/>
          </w:tcPr>
          <w:p w14:paraId="1FCB8B9D" w14:textId="77777777" w:rsidR="00AB33EC" w:rsidRPr="005523A4" w:rsidRDefault="00AB33EC" w:rsidP="00B721B7">
            <w:pPr>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 </w:t>
            </w:r>
          </w:p>
        </w:tc>
        <w:tc>
          <w:tcPr>
            <w:tcW w:w="1840" w:type="dxa"/>
            <w:gridSpan w:val="2"/>
            <w:vMerge/>
            <w:tcBorders>
              <w:left w:val="nil"/>
              <w:bottom w:val="single" w:sz="8" w:space="0" w:color="auto"/>
              <w:right w:val="single" w:sz="8" w:space="0" w:color="000000"/>
            </w:tcBorders>
            <w:shd w:val="clear" w:color="000000" w:fill="FFFFFF"/>
            <w:vAlign w:val="center"/>
            <w:hideMark/>
          </w:tcPr>
          <w:p w14:paraId="5EB7CEB7" w14:textId="77777777" w:rsidR="00AB33EC" w:rsidRPr="005523A4" w:rsidRDefault="00AB33EC" w:rsidP="00B721B7">
            <w:pPr>
              <w:jc w:val="center"/>
              <w:rPr>
                <w:rFonts w:asciiTheme="minorHAnsi" w:eastAsia="Times New Roman" w:hAnsiTheme="minorHAnsi" w:cstheme="minorHAnsi"/>
                <w:b/>
                <w:bCs/>
                <w:color w:val="000000"/>
                <w:szCs w:val="20"/>
                <w:lang w:eastAsia="en-AU"/>
              </w:rPr>
            </w:pPr>
          </w:p>
        </w:tc>
        <w:tc>
          <w:tcPr>
            <w:tcW w:w="1840" w:type="dxa"/>
            <w:gridSpan w:val="2"/>
            <w:vMerge/>
            <w:tcBorders>
              <w:left w:val="nil"/>
              <w:bottom w:val="single" w:sz="8" w:space="0" w:color="auto"/>
              <w:right w:val="single" w:sz="8" w:space="0" w:color="000000"/>
            </w:tcBorders>
            <w:shd w:val="clear" w:color="000000" w:fill="FFFFFF"/>
            <w:vAlign w:val="center"/>
            <w:hideMark/>
          </w:tcPr>
          <w:p w14:paraId="4C8223A9" w14:textId="77777777" w:rsidR="00AB33EC" w:rsidRPr="005523A4" w:rsidRDefault="00AB33EC" w:rsidP="00B721B7">
            <w:pPr>
              <w:jc w:val="center"/>
              <w:rPr>
                <w:rFonts w:asciiTheme="minorHAnsi" w:eastAsia="Times New Roman" w:hAnsiTheme="minorHAnsi" w:cstheme="minorHAnsi"/>
                <w:color w:val="000000"/>
                <w:szCs w:val="20"/>
                <w:lang w:eastAsia="en-AU"/>
              </w:rPr>
            </w:pPr>
          </w:p>
        </w:tc>
        <w:tc>
          <w:tcPr>
            <w:tcW w:w="1840" w:type="dxa"/>
            <w:gridSpan w:val="2"/>
            <w:vMerge/>
            <w:tcBorders>
              <w:top w:val="single" w:sz="8" w:space="0" w:color="auto"/>
              <w:left w:val="single" w:sz="8" w:space="0" w:color="auto"/>
              <w:bottom w:val="single" w:sz="8" w:space="0" w:color="000000"/>
              <w:right w:val="single" w:sz="8" w:space="0" w:color="000000"/>
            </w:tcBorders>
            <w:vAlign w:val="center"/>
            <w:hideMark/>
          </w:tcPr>
          <w:p w14:paraId="379EFACA" w14:textId="77777777" w:rsidR="00AB33EC" w:rsidRPr="005523A4" w:rsidRDefault="00AB33EC" w:rsidP="00B721B7">
            <w:pPr>
              <w:rPr>
                <w:rFonts w:asciiTheme="minorHAnsi" w:eastAsia="Times New Roman" w:hAnsiTheme="minorHAnsi" w:cstheme="minorHAnsi"/>
                <w:b/>
                <w:bCs/>
                <w:color w:val="000000"/>
                <w:szCs w:val="20"/>
                <w:lang w:eastAsia="en-AU"/>
              </w:rPr>
            </w:pPr>
          </w:p>
        </w:tc>
        <w:tc>
          <w:tcPr>
            <w:tcW w:w="1840" w:type="dxa"/>
            <w:gridSpan w:val="2"/>
            <w:vMerge/>
            <w:tcBorders>
              <w:top w:val="single" w:sz="8" w:space="0" w:color="auto"/>
              <w:left w:val="single" w:sz="8" w:space="0" w:color="auto"/>
              <w:bottom w:val="single" w:sz="8" w:space="0" w:color="000000"/>
              <w:right w:val="single" w:sz="8" w:space="0" w:color="000000"/>
            </w:tcBorders>
            <w:vAlign w:val="center"/>
            <w:hideMark/>
          </w:tcPr>
          <w:p w14:paraId="6907DC8A" w14:textId="77777777" w:rsidR="00AB33EC" w:rsidRPr="005523A4" w:rsidRDefault="00AB33EC" w:rsidP="00B721B7">
            <w:pPr>
              <w:rPr>
                <w:rFonts w:asciiTheme="minorHAnsi" w:eastAsia="Times New Roman" w:hAnsiTheme="minorHAnsi" w:cstheme="minorHAnsi"/>
                <w:b/>
                <w:bCs/>
                <w:color w:val="000000"/>
                <w:szCs w:val="20"/>
                <w:lang w:eastAsia="en-AU"/>
              </w:rPr>
            </w:pPr>
          </w:p>
        </w:tc>
        <w:tc>
          <w:tcPr>
            <w:tcW w:w="1840" w:type="dxa"/>
            <w:gridSpan w:val="2"/>
            <w:vMerge/>
            <w:tcBorders>
              <w:left w:val="nil"/>
              <w:bottom w:val="single" w:sz="8" w:space="0" w:color="auto"/>
              <w:right w:val="single" w:sz="8" w:space="0" w:color="000000"/>
            </w:tcBorders>
            <w:shd w:val="clear" w:color="000000" w:fill="FFFFFF"/>
            <w:vAlign w:val="center"/>
            <w:hideMark/>
          </w:tcPr>
          <w:p w14:paraId="6DA48D12" w14:textId="77777777" w:rsidR="00AB33EC" w:rsidRPr="005523A4" w:rsidRDefault="00AB33EC" w:rsidP="00B721B7">
            <w:pPr>
              <w:jc w:val="center"/>
              <w:rPr>
                <w:rFonts w:asciiTheme="minorHAnsi" w:eastAsia="Times New Roman" w:hAnsiTheme="minorHAnsi" w:cstheme="minorHAnsi"/>
                <w:b/>
                <w:bCs/>
                <w:color w:val="000000"/>
                <w:szCs w:val="20"/>
                <w:lang w:eastAsia="en-AU"/>
              </w:rPr>
            </w:pPr>
          </w:p>
        </w:tc>
        <w:tc>
          <w:tcPr>
            <w:tcW w:w="1840" w:type="dxa"/>
            <w:gridSpan w:val="2"/>
            <w:vMerge/>
            <w:tcBorders>
              <w:top w:val="single" w:sz="8" w:space="0" w:color="auto"/>
              <w:left w:val="single" w:sz="8" w:space="0" w:color="auto"/>
              <w:bottom w:val="single" w:sz="8" w:space="0" w:color="000000"/>
              <w:right w:val="nil"/>
            </w:tcBorders>
            <w:vAlign w:val="center"/>
            <w:hideMark/>
          </w:tcPr>
          <w:p w14:paraId="5CC4DDCE" w14:textId="77777777" w:rsidR="00AB33EC" w:rsidRPr="005523A4" w:rsidRDefault="00AB33EC" w:rsidP="00B721B7">
            <w:pPr>
              <w:rPr>
                <w:rFonts w:asciiTheme="minorHAnsi" w:eastAsia="Times New Roman" w:hAnsiTheme="minorHAnsi" w:cstheme="minorHAnsi"/>
                <w:b/>
                <w:bCs/>
                <w:color w:val="000000"/>
                <w:szCs w:val="20"/>
                <w:lang w:eastAsia="en-AU"/>
              </w:rPr>
            </w:pPr>
          </w:p>
        </w:tc>
      </w:tr>
      <w:tr w:rsidR="00AB33EC" w:rsidRPr="003E75E2" w14:paraId="6F9F2D39" w14:textId="77777777" w:rsidTr="00B721B7">
        <w:trPr>
          <w:trHeight w:val="285"/>
        </w:trPr>
        <w:tc>
          <w:tcPr>
            <w:tcW w:w="2800" w:type="dxa"/>
            <w:tcBorders>
              <w:top w:val="nil"/>
              <w:left w:val="nil"/>
              <w:bottom w:val="nil"/>
              <w:right w:val="single" w:sz="8" w:space="0" w:color="auto"/>
            </w:tcBorders>
            <w:shd w:val="clear" w:color="000000" w:fill="FFFFFF"/>
            <w:vAlign w:val="center"/>
            <w:hideMark/>
          </w:tcPr>
          <w:p w14:paraId="0818DB44"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920" w:type="dxa"/>
            <w:tcBorders>
              <w:top w:val="nil"/>
              <w:left w:val="nil"/>
              <w:bottom w:val="nil"/>
              <w:right w:val="nil"/>
            </w:tcBorders>
            <w:shd w:val="clear" w:color="auto" w:fill="F1F1F2" w:themeFill="accent5" w:themeFillTint="33"/>
            <w:vAlign w:val="center"/>
            <w:hideMark/>
          </w:tcPr>
          <w:p w14:paraId="3CA06A7D"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2024</w:t>
            </w:r>
          </w:p>
        </w:tc>
        <w:tc>
          <w:tcPr>
            <w:tcW w:w="920" w:type="dxa"/>
            <w:tcBorders>
              <w:top w:val="nil"/>
              <w:left w:val="nil"/>
              <w:bottom w:val="nil"/>
              <w:right w:val="single" w:sz="8" w:space="0" w:color="auto"/>
            </w:tcBorders>
            <w:shd w:val="clear" w:color="000000" w:fill="FFFFFF"/>
            <w:vAlign w:val="center"/>
            <w:hideMark/>
          </w:tcPr>
          <w:p w14:paraId="71220C62"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2023</w:t>
            </w:r>
          </w:p>
        </w:tc>
        <w:tc>
          <w:tcPr>
            <w:tcW w:w="920" w:type="dxa"/>
            <w:tcBorders>
              <w:top w:val="nil"/>
              <w:left w:val="nil"/>
              <w:bottom w:val="nil"/>
              <w:right w:val="nil"/>
            </w:tcBorders>
            <w:shd w:val="clear" w:color="auto" w:fill="F1F1F2" w:themeFill="accent5" w:themeFillTint="33"/>
            <w:vAlign w:val="center"/>
            <w:hideMark/>
          </w:tcPr>
          <w:p w14:paraId="4241F6AD"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2024</w:t>
            </w:r>
          </w:p>
        </w:tc>
        <w:tc>
          <w:tcPr>
            <w:tcW w:w="920" w:type="dxa"/>
            <w:tcBorders>
              <w:top w:val="nil"/>
              <w:left w:val="nil"/>
              <w:bottom w:val="nil"/>
              <w:right w:val="single" w:sz="8" w:space="0" w:color="auto"/>
            </w:tcBorders>
            <w:shd w:val="clear" w:color="000000" w:fill="FFFFFF"/>
            <w:vAlign w:val="center"/>
            <w:hideMark/>
          </w:tcPr>
          <w:p w14:paraId="77A1140D"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2023</w:t>
            </w:r>
          </w:p>
        </w:tc>
        <w:tc>
          <w:tcPr>
            <w:tcW w:w="920" w:type="dxa"/>
            <w:tcBorders>
              <w:top w:val="nil"/>
              <w:left w:val="nil"/>
              <w:bottom w:val="nil"/>
              <w:right w:val="nil"/>
            </w:tcBorders>
            <w:shd w:val="clear" w:color="auto" w:fill="F1F1F2" w:themeFill="accent5" w:themeFillTint="33"/>
            <w:vAlign w:val="center"/>
            <w:hideMark/>
          </w:tcPr>
          <w:p w14:paraId="798B2251"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2024</w:t>
            </w:r>
          </w:p>
        </w:tc>
        <w:tc>
          <w:tcPr>
            <w:tcW w:w="920" w:type="dxa"/>
            <w:tcBorders>
              <w:top w:val="nil"/>
              <w:left w:val="nil"/>
              <w:bottom w:val="nil"/>
              <w:right w:val="single" w:sz="8" w:space="0" w:color="auto"/>
            </w:tcBorders>
            <w:shd w:val="clear" w:color="000000" w:fill="FFFFFF"/>
            <w:vAlign w:val="center"/>
            <w:hideMark/>
          </w:tcPr>
          <w:p w14:paraId="69B07755"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2023</w:t>
            </w:r>
          </w:p>
        </w:tc>
        <w:tc>
          <w:tcPr>
            <w:tcW w:w="920" w:type="dxa"/>
            <w:tcBorders>
              <w:top w:val="nil"/>
              <w:left w:val="nil"/>
              <w:bottom w:val="nil"/>
              <w:right w:val="nil"/>
            </w:tcBorders>
            <w:shd w:val="clear" w:color="auto" w:fill="F1F1F2" w:themeFill="accent5" w:themeFillTint="33"/>
            <w:vAlign w:val="center"/>
            <w:hideMark/>
          </w:tcPr>
          <w:p w14:paraId="31DEE61A"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2024</w:t>
            </w:r>
          </w:p>
        </w:tc>
        <w:tc>
          <w:tcPr>
            <w:tcW w:w="920" w:type="dxa"/>
            <w:tcBorders>
              <w:top w:val="nil"/>
              <w:left w:val="nil"/>
              <w:bottom w:val="nil"/>
              <w:right w:val="single" w:sz="8" w:space="0" w:color="auto"/>
            </w:tcBorders>
            <w:shd w:val="clear" w:color="000000" w:fill="FFFFFF"/>
            <w:vAlign w:val="center"/>
            <w:hideMark/>
          </w:tcPr>
          <w:p w14:paraId="4F2E2E57"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2023</w:t>
            </w:r>
          </w:p>
        </w:tc>
        <w:tc>
          <w:tcPr>
            <w:tcW w:w="920" w:type="dxa"/>
            <w:tcBorders>
              <w:top w:val="nil"/>
              <w:left w:val="nil"/>
              <w:bottom w:val="nil"/>
              <w:right w:val="nil"/>
            </w:tcBorders>
            <w:shd w:val="clear" w:color="auto" w:fill="F1F1F2" w:themeFill="accent5" w:themeFillTint="33"/>
            <w:vAlign w:val="center"/>
            <w:hideMark/>
          </w:tcPr>
          <w:p w14:paraId="39B4909B"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2024</w:t>
            </w:r>
          </w:p>
        </w:tc>
        <w:tc>
          <w:tcPr>
            <w:tcW w:w="920" w:type="dxa"/>
            <w:tcBorders>
              <w:top w:val="nil"/>
              <w:left w:val="nil"/>
              <w:bottom w:val="nil"/>
              <w:right w:val="single" w:sz="8" w:space="0" w:color="auto"/>
            </w:tcBorders>
            <w:shd w:val="clear" w:color="000000" w:fill="FFFFFF"/>
            <w:vAlign w:val="center"/>
            <w:hideMark/>
          </w:tcPr>
          <w:p w14:paraId="5F1C4B58"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2023</w:t>
            </w:r>
          </w:p>
        </w:tc>
        <w:tc>
          <w:tcPr>
            <w:tcW w:w="920" w:type="dxa"/>
            <w:tcBorders>
              <w:top w:val="nil"/>
              <w:left w:val="nil"/>
              <w:bottom w:val="nil"/>
              <w:right w:val="nil"/>
            </w:tcBorders>
            <w:shd w:val="clear" w:color="auto" w:fill="F1F1F2" w:themeFill="accent5" w:themeFillTint="33"/>
            <w:vAlign w:val="center"/>
            <w:hideMark/>
          </w:tcPr>
          <w:p w14:paraId="5B836248"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2024</w:t>
            </w:r>
          </w:p>
        </w:tc>
        <w:tc>
          <w:tcPr>
            <w:tcW w:w="920" w:type="dxa"/>
            <w:tcBorders>
              <w:top w:val="nil"/>
              <w:left w:val="nil"/>
              <w:bottom w:val="nil"/>
              <w:right w:val="nil"/>
            </w:tcBorders>
            <w:shd w:val="clear" w:color="000000" w:fill="FFFFFF"/>
            <w:vAlign w:val="center"/>
            <w:hideMark/>
          </w:tcPr>
          <w:p w14:paraId="5A5E52E6"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2023</w:t>
            </w:r>
          </w:p>
        </w:tc>
      </w:tr>
      <w:tr w:rsidR="00AB33EC" w:rsidRPr="003E75E2" w14:paraId="76CF4470" w14:textId="77777777" w:rsidTr="00B721B7">
        <w:trPr>
          <w:trHeight w:val="293"/>
        </w:trPr>
        <w:tc>
          <w:tcPr>
            <w:tcW w:w="2800" w:type="dxa"/>
            <w:tcBorders>
              <w:top w:val="nil"/>
              <w:left w:val="nil"/>
              <w:bottom w:val="single" w:sz="8" w:space="0" w:color="auto"/>
              <w:right w:val="single" w:sz="8" w:space="0" w:color="auto"/>
            </w:tcBorders>
            <w:shd w:val="clear" w:color="000000" w:fill="FFFFFF"/>
            <w:vAlign w:val="center"/>
            <w:hideMark/>
          </w:tcPr>
          <w:p w14:paraId="4896E495"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920" w:type="dxa"/>
            <w:tcBorders>
              <w:top w:val="nil"/>
              <w:left w:val="nil"/>
              <w:bottom w:val="single" w:sz="8" w:space="0" w:color="auto"/>
              <w:right w:val="nil"/>
            </w:tcBorders>
            <w:shd w:val="clear" w:color="auto" w:fill="F1F1F2" w:themeFill="accent5" w:themeFillTint="33"/>
            <w:vAlign w:val="center"/>
            <w:hideMark/>
          </w:tcPr>
          <w:p w14:paraId="5FCC1227"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32E13CD5"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$’000</w:t>
            </w:r>
          </w:p>
        </w:tc>
        <w:tc>
          <w:tcPr>
            <w:tcW w:w="920" w:type="dxa"/>
            <w:tcBorders>
              <w:top w:val="nil"/>
              <w:left w:val="nil"/>
              <w:bottom w:val="single" w:sz="8" w:space="0" w:color="auto"/>
              <w:right w:val="nil"/>
            </w:tcBorders>
            <w:shd w:val="clear" w:color="auto" w:fill="F1F1F2" w:themeFill="accent5" w:themeFillTint="33"/>
            <w:vAlign w:val="center"/>
            <w:hideMark/>
          </w:tcPr>
          <w:p w14:paraId="05E788FB"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1E7EB13E"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$’000</w:t>
            </w:r>
          </w:p>
        </w:tc>
        <w:tc>
          <w:tcPr>
            <w:tcW w:w="920" w:type="dxa"/>
            <w:tcBorders>
              <w:top w:val="nil"/>
              <w:left w:val="nil"/>
              <w:bottom w:val="single" w:sz="8" w:space="0" w:color="auto"/>
              <w:right w:val="nil"/>
            </w:tcBorders>
            <w:shd w:val="clear" w:color="auto" w:fill="F1F1F2" w:themeFill="accent5" w:themeFillTint="33"/>
            <w:vAlign w:val="center"/>
            <w:hideMark/>
          </w:tcPr>
          <w:p w14:paraId="7D6269DE"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43845B64"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$’000</w:t>
            </w:r>
          </w:p>
        </w:tc>
        <w:tc>
          <w:tcPr>
            <w:tcW w:w="920" w:type="dxa"/>
            <w:tcBorders>
              <w:top w:val="nil"/>
              <w:left w:val="nil"/>
              <w:bottom w:val="single" w:sz="8" w:space="0" w:color="auto"/>
              <w:right w:val="nil"/>
            </w:tcBorders>
            <w:shd w:val="clear" w:color="auto" w:fill="F1F1F2" w:themeFill="accent5" w:themeFillTint="33"/>
            <w:vAlign w:val="center"/>
            <w:hideMark/>
          </w:tcPr>
          <w:p w14:paraId="47B2DAFA"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338785E2"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$’000</w:t>
            </w:r>
          </w:p>
        </w:tc>
        <w:tc>
          <w:tcPr>
            <w:tcW w:w="920" w:type="dxa"/>
            <w:tcBorders>
              <w:top w:val="nil"/>
              <w:left w:val="nil"/>
              <w:bottom w:val="single" w:sz="8" w:space="0" w:color="auto"/>
              <w:right w:val="nil"/>
            </w:tcBorders>
            <w:shd w:val="clear" w:color="auto" w:fill="F1F1F2" w:themeFill="accent5" w:themeFillTint="33"/>
            <w:vAlign w:val="center"/>
            <w:hideMark/>
          </w:tcPr>
          <w:p w14:paraId="7127F981"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259BB1DE"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$’000</w:t>
            </w:r>
          </w:p>
        </w:tc>
        <w:tc>
          <w:tcPr>
            <w:tcW w:w="920" w:type="dxa"/>
            <w:tcBorders>
              <w:top w:val="nil"/>
              <w:left w:val="nil"/>
              <w:bottom w:val="single" w:sz="8" w:space="0" w:color="auto"/>
              <w:right w:val="nil"/>
            </w:tcBorders>
            <w:shd w:val="clear" w:color="auto" w:fill="F1F1F2" w:themeFill="accent5" w:themeFillTint="33"/>
            <w:vAlign w:val="center"/>
            <w:hideMark/>
          </w:tcPr>
          <w:p w14:paraId="6103499E"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$’000</w:t>
            </w:r>
          </w:p>
        </w:tc>
        <w:tc>
          <w:tcPr>
            <w:tcW w:w="920" w:type="dxa"/>
            <w:tcBorders>
              <w:top w:val="nil"/>
              <w:left w:val="nil"/>
              <w:bottom w:val="single" w:sz="8" w:space="0" w:color="auto"/>
              <w:right w:val="nil"/>
            </w:tcBorders>
            <w:shd w:val="clear" w:color="000000" w:fill="FFFFFF"/>
            <w:vAlign w:val="center"/>
            <w:hideMark/>
          </w:tcPr>
          <w:p w14:paraId="562C2689"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$’000</w:t>
            </w:r>
          </w:p>
        </w:tc>
      </w:tr>
      <w:tr w:rsidR="00AB33EC" w:rsidRPr="003E75E2" w14:paraId="2E42D9F5" w14:textId="77777777" w:rsidTr="00B721B7">
        <w:trPr>
          <w:trHeight w:val="285"/>
        </w:trPr>
        <w:tc>
          <w:tcPr>
            <w:tcW w:w="2800" w:type="dxa"/>
            <w:tcBorders>
              <w:top w:val="nil"/>
              <w:left w:val="nil"/>
              <w:bottom w:val="nil"/>
              <w:right w:val="single" w:sz="8" w:space="0" w:color="auto"/>
            </w:tcBorders>
            <w:shd w:val="clear" w:color="000000" w:fill="FFFFFF"/>
            <w:vAlign w:val="center"/>
            <w:hideMark/>
          </w:tcPr>
          <w:p w14:paraId="08816165"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920" w:type="dxa"/>
            <w:tcBorders>
              <w:top w:val="nil"/>
              <w:left w:val="nil"/>
              <w:bottom w:val="nil"/>
              <w:right w:val="nil"/>
            </w:tcBorders>
            <w:shd w:val="clear" w:color="auto" w:fill="F1F1F2" w:themeFill="accent5" w:themeFillTint="33"/>
            <w:vAlign w:val="center"/>
            <w:hideMark/>
          </w:tcPr>
          <w:p w14:paraId="668217F6"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920" w:type="dxa"/>
            <w:tcBorders>
              <w:top w:val="nil"/>
              <w:left w:val="nil"/>
              <w:right w:val="single" w:sz="8" w:space="0" w:color="auto"/>
            </w:tcBorders>
            <w:shd w:val="clear" w:color="000000" w:fill="FFFFFF"/>
            <w:vAlign w:val="center"/>
            <w:hideMark/>
          </w:tcPr>
          <w:p w14:paraId="27DE2205"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920" w:type="dxa"/>
            <w:tcBorders>
              <w:top w:val="nil"/>
              <w:left w:val="nil"/>
              <w:bottom w:val="nil"/>
              <w:right w:val="nil"/>
            </w:tcBorders>
            <w:shd w:val="clear" w:color="auto" w:fill="F1F1F2" w:themeFill="accent5" w:themeFillTint="33"/>
            <w:vAlign w:val="center"/>
            <w:hideMark/>
          </w:tcPr>
          <w:p w14:paraId="0FCBD1A4"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920" w:type="dxa"/>
            <w:tcBorders>
              <w:top w:val="nil"/>
              <w:left w:val="nil"/>
              <w:right w:val="single" w:sz="8" w:space="0" w:color="auto"/>
            </w:tcBorders>
            <w:shd w:val="clear" w:color="000000" w:fill="FFFFFF"/>
            <w:vAlign w:val="center"/>
            <w:hideMark/>
          </w:tcPr>
          <w:p w14:paraId="1936406B"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920" w:type="dxa"/>
            <w:tcBorders>
              <w:top w:val="nil"/>
              <w:left w:val="nil"/>
              <w:bottom w:val="nil"/>
              <w:right w:val="nil"/>
            </w:tcBorders>
            <w:shd w:val="clear" w:color="auto" w:fill="F1F1F2" w:themeFill="accent5" w:themeFillTint="33"/>
            <w:vAlign w:val="center"/>
            <w:hideMark/>
          </w:tcPr>
          <w:p w14:paraId="5152196B"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920" w:type="dxa"/>
            <w:tcBorders>
              <w:top w:val="nil"/>
              <w:left w:val="nil"/>
              <w:right w:val="single" w:sz="8" w:space="0" w:color="auto"/>
            </w:tcBorders>
            <w:shd w:val="clear" w:color="000000" w:fill="FFFFFF"/>
            <w:vAlign w:val="center"/>
            <w:hideMark/>
          </w:tcPr>
          <w:p w14:paraId="55A601D3"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920" w:type="dxa"/>
            <w:tcBorders>
              <w:top w:val="nil"/>
              <w:left w:val="nil"/>
              <w:bottom w:val="nil"/>
              <w:right w:val="nil"/>
            </w:tcBorders>
            <w:shd w:val="clear" w:color="auto" w:fill="F1F1F2" w:themeFill="accent5" w:themeFillTint="33"/>
            <w:vAlign w:val="center"/>
            <w:hideMark/>
          </w:tcPr>
          <w:p w14:paraId="5CA0E154"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920" w:type="dxa"/>
            <w:tcBorders>
              <w:top w:val="nil"/>
              <w:left w:val="nil"/>
              <w:right w:val="single" w:sz="8" w:space="0" w:color="auto"/>
            </w:tcBorders>
            <w:shd w:val="clear" w:color="000000" w:fill="FFFFFF"/>
            <w:vAlign w:val="center"/>
            <w:hideMark/>
          </w:tcPr>
          <w:p w14:paraId="22F14004"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920" w:type="dxa"/>
            <w:tcBorders>
              <w:top w:val="nil"/>
              <w:left w:val="nil"/>
              <w:bottom w:val="nil"/>
              <w:right w:val="nil"/>
            </w:tcBorders>
            <w:shd w:val="clear" w:color="auto" w:fill="F1F1F2" w:themeFill="accent5" w:themeFillTint="33"/>
            <w:vAlign w:val="center"/>
            <w:hideMark/>
          </w:tcPr>
          <w:p w14:paraId="1C318D88"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920" w:type="dxa"/>
            <w:tcBorders>
              <w:top w:val="nil"/>
              <w:left w:val="nil"/>
              <w:right w:val="single" w:sz="8" w:space="0" w:color="auto"/>
            </w:tcBorders>
            <w:shd w:val="clear" w:color="000000" w:fill="FFFFFF"/>
            <w:vAlign w:val="center"/>
            <w:hideMark/>
          </w:tcPr>
          <w:p w14:paraId="340F5719"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920" w:type="dxa"/>
            <w:tcBorders>
              <w:top w:val="nil"/>
              <w:left w:val="nil"/>
              <w:bottom w:val="nil"/>
              <w:right w:val="nil"/>
            </w:tcBorders>
            <w:shd w:val="clear" w:color="auto" w:fill="F1F1F2" w:themeFill="accent5" w:themeFillTint="33"/>
            <w:vAlign w:val="center"/>
            <w:hideMark/>
          </w:tcPr>
          <w:p w14:paraId="4B8D38DE"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920" w:type="dxa"/>
            <w:tcBorders>
              <w:top w:val="nil"/>
              <w:left w:val="nil"/>
              <w:right w:val="nil"/>
            </w:tcBorders>
            <w:shd w:val="clear" w:color="000000" w:fill="FFFFFF"/>
            <w:vAlign w:val="center"/>
            <w:hideMark/>
          </w:tcPr>
          <w:p w14:paraId="03CB6DE0"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r>
      <w:tr w:rsidR="00AB33EC" w:rsidRPr="003E75E2" w14:paraId="09CFB3DD" w14:textId="77777777" w:rsidTr="00B721B7">
        <w:trPr>
          <w:trHeight w:val="285"/>
        </w:trPr>
        <w:tc>
          <w:tcPr>
            <w:tcW w:w="2800" w:type="dxa"/>
            <w:tcBorders>
              <w:top w:val="nil"/>
              <w:left w:val="nil"/>
              <w:bottom w:val="nil"/>
              <w:right w:val="single" w:sz="8" w:space="0" w:color="auto"/>
            </w:tcBorders>
            <w:shd w:val="clear" w:color="000000" w:fill="FFFFFF"/>
            <w:vAlign w:val="center"/>
            <w:hideMark/>
          </w:tcPr>
          <w:p w14:paraId="55B04C97"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Carrying amount at 1 July</w:t>
            </w:r>
          </w:p>
        </w:tc>
        <w:tc>
          <w:tcPr>
            <w:tcW w:w="920" w:type="dxa"/>
            <w:tcBorders>
              <w:top w:val="nil"/>
              <w:left w:val="nil"/>
              <w:bottom w:val="nil"/>
              <w:right w:val="nil"/>
            </w:tcBorders>
            <w:shd w:val="clear" w:color="auto" w:fill="F1F1F2" w:themeFill="accent5" w:themeFillTint="33"/>
            <w:vAlign w:val="center"/>
          </w:tcPr>
          <w:p w14:paraId="67772CB9"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1,669</w:t>
            </w:r>
          </w:p>
        </w:tc>
        <w:tc>
          <w:tcPr>
            <w:tcW w:w="920" w:type="dxa"/>
            <w:tcBorders>
              <w:top w:val="nil"/>
              <w:left w:val="nil"/>
              <w:bottom w:val="nil"/>
              <w:right w:val="single" w:sz="4" w:space="0" w:color="auto"/>
            </w:tcBorders>
            <w:shd w:val="clear" w:color="auto" w:fill="auto"/>
            <w:vAlign w:val="center"/>
            <w:hideMark/>
          </w:tcPr>
          <w:p w14:paraId="61FB9650"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1,541</w:t>
            </w:r>
          </w:p>
        </w:tc>
        <w:tc>
          <w:tcPr>
            <w:tcW w:w="920" w:type="dxa"/>
            <w:tcBorders>
              <w:top w:val="nil"/>
              <w:left w:val="single" w:sz="4" w:space="0" w:color="auto"/>
              <w:bottom w:val="nil"/>
              <w:right w:val="nil"/>
            </w:tcBorders>
            <w:shd w:val="clear" w:color="auto" w:fill="F1F1F2" w:themeFill="accent5" w:themeFillTint="33"/>
            <w:vAlign w:val="center"/>
          </w:tcPr>
          <w:p w14:paraId="0BC2647D"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401</w:t>
            </w:r>
          </w:p>
        </w:tc>
        <w:tc>
          <w:tcPr>
            <w:tcW w:w="920" w:type="dxa"/>
            <w:tcBorders>
              <w:top w:val="nil"/>
              <w:left w:val="nil"/>
              <w:bottom w:val="nil"/>
              <w:right w:val="single" w:sz="4" w:space="0" w:color="auto"/>
            </w:tcBorders>
            <w:shd w:val="clear" w:color="auto" w:fill="auto"/>
            <w:vAlign w:val="center"/>
            <w:hideMark/>
          </w:tcPr>
          <w:p w14:paraId="3B95D8B1"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761</w:t>
            </w:r>
          </w:p>
        </w:tc>
        <w:tc>
          <w:tcPr>
            <w:tcW w:w="920" w:type="dxa"/>
            <w:tcBorders>
              <w:top w:val="nil"/>
              <w:left w:val="single" w:sz="4" w:space="0" w:color="auto"/>
              <w:bottom w:val="nil"/>
              <w:right w:val="nil"/>
            </w:tcBorders>
            <w:shd w:val="clear" w:color="auto" w:fill="F1F1F2" w:themeFill="accent5" w:themeFillTint="33"/>
            <w:vAlign w:val="center"/>
          </w:tcPr>
          <w:p w14:paraId="7EA6CA80"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1,082</w:t>
            </w:r>
          </w:p>
        </w:tc>
        <w:tc>
          <w:tcPr>
            <w:tcW w:w="920" w:type="dxa"/>
            <w:tcBorders>
              <w:top w:val="nil"/>
              <w:left w:val="nil"/>
              <w:bottom w:val="nil"/>
              <w:right w:val="single" w:sz="4" w:space="0" w:color="auto"/>
            </w:tcBorders>
            <w:shd w:val="clear" w:color="auto" w:fill="auto"/>
            <w:vAlign w:val="center"/>
            <w:hideMark/>
          </w:tcPr>
          <w:p w14:paraId="5FB38649"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818</w:t>
            </w:r>
          </w:p>
        </w:tc>
        <w:tc>
          <w:tcPr>
            <w:tcW w:w="920" w:type="dxa"/>
            <w:tcBorders>
              <w:top w:val="nil"/>
              <w:left w:val="single" w:sz="4" w:space="0" w:color="auto"/>
              <w:bottom w:val="nil"/>
            </w:tcBorders>
            <w:shd w:val="clear" w:color="auto" w:fill="F1F1F2" w:themeFill="accent5" w:themeFillTint="33"/>
            <w:vAlign w:val="center"/>
          </w:tcPr>
          <w:p w14:paraId="05338D0B"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1,950</w:t>
            </w:r>
          </w:p>
        </w:tc>
        <w:tc>
          <w:tcPr>
            <w:tcW w:w="920" w:type="dxa"/>
            <w:tcBorders>
              <w:top w:val="nil"/>
              <w:bottom w:val="nil"/>
              <w:right w:val="single" w:sz="4" w:space="0" w:color="auto"/>
            </w:tcBorders>
            <w:shd w:val="clear" w:color="auto" w:fill="auto"/>
            <w:vAlign w:val="center"/>
            <w:hideMark/>
          </w:tcPr>
          <w:p w14:paraId="25B68F67"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2,361</w:t>
            </w:r>
          </w:p>
        </w:tc>
        <w:tc>
          <w:tcPr>
            <w:tcW w:w="920" w:type="dxa"/>
            <w:tcBorders>
              <w:top w:val="nil"/>
              <w:left w:val="single" w:sz="4" w:space="0" w:color="auto"/>
              <w:bottom w:val="nil"/>
            </w:tcBorders>
            <w:shd w:val="clear" w:color="auto" w:fill="F1F1F2" w:themeFill="accent5" w:themeFillTint="33"/>
            <w:vAlign w:val="center"/>
          </w:tcPr>
          <w:p w14:paraId="67A822EE"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287</w:t>
            </w:r>
          </w:p>
        </w:tc>
        <w:tc>
          <w:tcPr>
            <w:tcW w:w="920" w:type="dxa"/>
            <w:tcBorders>
              <w:top w:val="nil"/>
              <w:bottom w:val="nil"/>
              <w:right w:val="single" w:sz="4" w:space="0" w:color="auto"/>
            </w:tcBorders>
            <w:shd w:val="clear" w:color="auto" w:fill="auto"/>
            <w:vAlign w:val="center"/>
            <w:hideMark/>
          </w:tcPr>
          <w:p w14:paraId="3850ED5D"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482</w:t>
            </w:r>
          </w:p>
        </w:tc>
        <w:tc>
          <w:tcPr>
            <w:tcW w:w="920" w:type="dxa"/>
            <w:tcBorders>
              <w:top w:val="nil"/>
              <w:left w:val="single" w:sz="4" w:space="0" w:color="auto"/>
              <w:bottom w:val="nil"/>
            </w:tcBorders>
            <w:shd w:val="clear" w:color="auto" w:fill="F1F1F2" w:themeFill="accent5" w:themeFillTint="33"/>
            <w:vAlign w:val="center"/>
          </w:tcPr>
          <w:p w14:paraId="13AEC7A7"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5,389</w:t>
            </w:r>
          </w:p>
        </w:tc>
        <w:tc>
          <w:tcPr>
            <w:tcW w:w="920" w:type="dxa"/>
            <w:tcBorders>
              <w:top w:val="nil"/>
              <w:bottom w:val="nil"/>
            </w:tcBorders>
            <w:shd w:val="clear" w:color="auto" w:fill="auto"/>
            <w:vAlign w:val="center"/>
            <w:hideMark/>
          </w:tcPr>
          <w:p w14:paraId="332E145B"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5,963</w:t>
            </w:r>
          </w:p>
        </w:tc>
      </w:tr>
      <w:tr w:rsidR="00AB33EC" w:rsidRPr="003E75E2" w14:paraId="0C1DEF9E" w14:textId="77777777" w:rsidTr="00B721B7">
        <w:trPr>
          <w:trHeight w:val="285"/>
        </w:trPr>
        <w:tc>
          <w:tcPr>
            <w:tcW w:w="2800" w:type="dxa"/>
            <w:tcBorders>
              <w:top w:val="nil"/>
              <w:left w:val="nil"/>
              <w:bottom w:val="nil"/>
              <w:right w:val="single" w:sz="8" w:space="0" w:color="auto"/>
            </w:tcBorders>
            <w:shd w:val="clear" w:color="000000" w:fill="FFFFFF"/>
            <w:vAlign w:val="center"/>
            <w:hideMark/>
          </w:tcPr>
          <w:p w14:paraId="0033DFBC"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920" w:type="dxa"/>
            <w:tcBorders>
              <w:top w:val="nil"/>
              <w:left w:val="nil"/>
              <w:bottom w:val="nil"/>
              <w:right w:val="nil"/>
            </w:tcBorders>
            <w:shd w:val="clear" w:color="auto" w:fill="F1F1F2" w:themeFill="accent5" w:themeFillTint="33"/>
            <w:vAlign w:val="center"/>
          </w:tcPr>
          <w:p w14:paraId="611AD67C"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nil"/>
              <w:bottom w:val="nil"/>
              <w:right w:val="single" w:sz="4" w:space="0" w:color="auto"/>
            </w:tcBorders>
            <w:shd w:val="clear" w:color="auto" w:fill="auto"/>
            <w:vAlign w:val="center"/>
            <w:hideMark/>
          </w:tcPr>
          <w:p w14:paraId="5DA32CD0"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right w:val="nil"/>
            </w:tcBorders>
            <w:shd w:val="clear" w:color="auto" w:fill="F1F1F2" w:themeFill="accent5" w:themeFillTint="33"/>
            <w:vAlign w:val="center"/>
          </w:tcPr>
          <w:p w14:paraId="57FB00A7"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nil"/>
              <w:bottom w:val="nil"/>
              <w:right w:val="single" w:sz="4" w:space="0" w:color="auto"/>
            </w:tcBorders>
            <w:shd w:val="clear" w:color="auto" w:fill="auto"/>
            <w:vAlign w:val="center"/>
            <w:hideMark/>
          </w:tcPr>
          <w:p w14:paraId="5354DF62"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right w:val="nil"/>
            </w:tcBorders>
            <w:shd w:val="clear" w:color="auto" w:fill="F1F1F2" w:themeFill="accent5" w:themeFillTint="33"/>
            <w:vAlign w:val="center"/>
          </w:tcPr>
          <w:p w14:paraId="7A0A8ED6"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nil"/>
              <w:bottom w:val="nil"/>
              <w:right w:val="single" w:sz="4" w:space="0" w:color="auto"/>
            </w:tcBorders>
            <w:shd w:val="clear" w:color="auto" w:fill="auto"/>
            <w:vAlign w:val="center"/>
            <w:hideMark/>
          </w:tcPr>
          <w:p w14:paraId="02169897"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tcBorders>
            <w:shd w:val="clear" w:color="auto" w:fill="F1F1F2" w:themeFill="accent5" w:themeFillTint="33"/>
            <w:vAlign w:val="center"/>
          </w:tcPr>
          <w:p w14:paraId="37E87B40"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bottom w:val="nil"/>
              <w:right w:val="single" w:sz="4" w:space="0" w:color="auto"/>
            </w:tcBorders>
            <w:shd w:val="clear" w:color="auto" w:fill="auto"/>
            <w:vAlign w:val="center"/>
            <w:hideMark/>
          </w:tcPr>
          <w:p w14:paraId="6CCD0809"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tcBorders>
            <w:shd w:val="clear" w:color="auto" w:fill="F1F1F2" w:themeFill="accent5" w:themeFillTint="33"/>
            <w:vAlign w:val="center"/>
          </w:tcPr>
          <w:p w14:paraId="10BA448C"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bottom w:val="nil"/>
              <w:right w:val="single" w:sz="4" w:space="0" w:color="auto"/>
            </w:tcBorders>
            <w:shd w:val="clear" w:color="auto" w:fill="auto"/>
            <w:vAlign w:val="center"/>
            <w:hideMark/>
          </w:tcPr>
          <w:p w14:paraId="54E46B53"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tcBorders>
            <w:shd w:val="clear" w:color="auto" w:fill="F1F1F2" w:themeFill="accent5" w:themeFillTint="33"/>
            <w:vAlign w:val="center"/>
          </w:tcPr>
          <w:p w14:paraId="59F63F65"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bottom w:val="nil"/>
            </w:tcBorders>
            <w:shd w:val="clear" w:color="auto" w:fill="auto"/>
            <w:vAlign w:val="center"/>
            <w:hideMark/>
          </w:tcPr>
          <w:p w14:paraId="56EAE347" w14:textId="77777777" w:rsidR="00AB33EC" w:rsidRPr="005523A4" w:rsidRDefault="00AB33EC" w:rsidP="00B721B7">
            <w:pPr>
              <w:jc w:val="right"/>
              <w:rPr>
                <w:rFonts w:asciiTheme="minorHAnsi" w:eastAsia="Times New Roman" w:hAnsiTheme="minorHAnsi" w:cstheme="minorHAnsi"/>
                <w:color w:val="000000"/>
                <w:szCs w:val="20"/>
                <w:lang w:eastAsia="en-AU"/>
              </w:rPr>
            </w:pPr>
          </w:p>
        </w:tc>
      </w:tr>
      <w:tr w:rsidR="00AB33EC" w:rsidRPr="003E75E2" w14:paraId="5AE3436B" w14:textId="77777777" w:rsidTr="00B721B7">
        <w:trPr>
          <w:trHeight w:val="285"/>
        </w:trPr>
        <w:tc>
          <w:tcPr>
            <w:tcW w:w="2800" w:type="dxa"/>
            <w:tcBorders>
              <w:top w:val="nil"/>
              <w:left w:val="nil"/>
              <w:bottom w:val="nil"/>
              <w:right w:val="single" w:sz="8" w:space="0" w:color="auto"/>
            </w:tcBorders>
            <w:shd w:val="clear" w:color="000000" w:fill="FFFFFF"/>
            <w:vAlign w:val="center"/>
            <w:hideMark/>
          </w:tcPr>
          <w:p w14:paraId="737E252F"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Acquisitions</w:t>
            </w:r>
          </w:p>
        </w:tc>
        <w:tc>
          <w:tcPr>
            <w:tcW w:w="920" w:type="dxa"/>
            <w:tcBorders>
              <w:top w:val="nil"/>
              <w:left w:val="nil"/>
              <w:bottom w:val="nil"/>
              <w:right w:val="nil"/>
            </w:tcBorders>
            <w:shd w:val="clear" w:color="auto" w:fill="F1F1F2" w:themeFill="accent5" w:themeFillTint="33"/>
            <w:vAlign w:val="center"/>
          </w:tcPr>
          <w:p w14:paraId="49658365"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640</w:t>
            </w:r>
          </w:p>
        </w:tc>
        <w:tc>
          <w:tcPr>
            <w:tcW w:w="920" w:type="dxa"/>
            <w:tcBorders>
              <w:top w:val="nil"/>
              <w:left w:val="nil"/>
              <w:bottom w:val="nil"/>
              <w:right w:val="single" w:sz="4" w:space="0" w:color="auto"/>
            </w:tcBorders>
            <w:shd w:val="clear" w:color="auto" w:fill="auto"/>
            <w:vAlign w:val="center"/>
            <w:hideMark/>
          </w:tcPr>
          <w:p w14:paraId="566E9554"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942</w:t>
            </w:r>
          </w:p>
        </w:tc>
        <w:tc>
          <w:tcPr>
            <w:tcW w:w="920" w:type="dxa"/>
            <w:tcBorders>
              <w:top w:val="nil"/>
              <w:left w:val="single" w:sz="4" w:space="0" w:color="auto"/>
              <w:bottom w:val="nil"/>
              <w:right w:val="nil"/>
            </w:tcBorders>
            <w:shd w:val="clear" w:color="auto" w:fill="F1F1F2" w:themeFill="accent5" w:themeFillTint="33"/>
            <w:vAlign w:val="center"/>
          </w:tcPr>
          <w:p w14:paraId="6B6396F9"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175</w:t>
            </w:r>
          </w:p>
        </w:tc>
        <w:tc>
          <w:tcPr>
            <w:tcW w:w="920" w:type="dxa"/>
            <w:tcBorders>
              <w:top w:val="nil"/>
              <w:left w:val="nil"/>
              <w:bottom w:val="nil"/>
              <w:right w:val="single" w:sz="4" w:space="0" w:color="auto"/>
            </w:tcBorders>
            <w:shd w:val="clear" w:color="auto" w:fill="auto"/>
            <w:vAlign w:val="center"/>
            <w:hideMark/>
          </w:tcPr>
          <w:p w14:paraId="66A3B807"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57</w:t>
            </w:r>
          </w:p>
        </w:tc>
        <w:tc>
          <w:tcPr>
            <w:tcW w:w="920" w:type="dxa"/>
            <w:tcBorders>
              <w:top w:val="nil"/>
              <w:left w:val="single" w:sz="4" w:space="0" w:color="auto"/>
              <w:bottom w:val="nil"/>
              <w:right w:val="nil"/>
            </w:tcBorders>
            <w:shd w:val="clear" w:color="auto" w:fill="F1F1F2" w:themeFill="accent5" w:themeFillTint="33"/>
            <w:vAlign w:val="center"/>
          </w:tcPr>
          <w:p w14:paraId="31D7E233"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112</w:t>
            </w:r>
          </w:p>
        </w:tc>
        <w:tc>
          <w:tcPr>
            <w:tcW w:w="920" w:type="dxa"/>
            <w:tcBorders>
              <w:top w:val="nil"/>
              <w:left w:val="nil"/>
              <w:bottom w:val="nil"/>
              <w:right w:val="single" w:sz="4" w:space="0" w:color="auto"/>
            </w:tcBorders>
            <w:shd w:val="clear" w:color="auto" w:fill="auto"/>
            <w:vAlign w:val="center"/>
            <w:hideMark/>
          </w:tcPr>
          <w:p w14:paraId="420D8975"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406</w:t>
            </w:r>
          </w:p>
        </w:tc>
        <w:tc>
          <w:tcPr>
            <w:tcW w:w="920" w:type="dxa"/>
            <w:tcBorders>
              <w:top w:val="nil"/>
              <w:left w:val="single" w:sz="4" w:space="0" w:color="auto"/>
              <w:bottom w:val="nil"/>
            </w:tcBorders>
            <w:shd w:val="clear" w:color="auto" w:fill="F1F1F2" w:themeFill="accent5" w:themeFillTint="33"/>
            <w:vAlign w:val="center"/>
          </w:tcPr>
          <w:p w14:paraId="1C5F198F" w14:textId="77777777" w:rsidR="00AB33EC" w:rsidRPr="005523A4" w:rsidRDefault="00AB33EC" w:rsidP="00B721B7">
            <w:pPr>
              <w:widowControl w:val="0"/>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300</w:t>
            </w:r>
          </w:p>
        </w:tc>
        <w:tc>
          <w:tcPr>
            <w:tcW w:w="920" w:type="dxa"/>
            <w:tcBorders>
              <w:top w:val="nil"/>
              <w:bottom w:val="nil"/>
              <w:right w:val="single" w:sz="4" w:space="0" w:color="auto"/>
            </w:tcBorders>
            <w:shd w:val="clear" w:color="auto" w:fill="auto"/>
            <w:vAlign w:val="center"/>
            <w:hideMark/>
          </w:tcPr>
          <w:p w14:paraId="07644471"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139</w:t>
            </w:r>
          </w:p>
        </w:tc>
        <w:tc>
          <w:tcPr>
            <w:tcW w:w="920" w:type="dxa"/>
            <w:tcBorders>
              <w:top w:val="nil"/>
              <w:left w:val="single" w:sz="4" w:space="0" w:color="auto"/>
              <w:bottom w:val="nil"/>
            </w:tcBorders>
            <w:shd w:val="clear" w:color="auto" w:fill="F1F1F2" w:themeFill="accent5" w:themeFillTint="33"/>
            <w:vAlign w:val="center"/>
          </w:tcPr>
          <w:p w14:paraId="2CA24D16"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bottom w:val="nil"/>
              <w:right w:val="single" w:sz="4" w:space="0" w:color="auto"/>
            </w:tcBorders>
            <w:shd w:val="clear" w:color="auto" w:fill="auto"/>
            <w:vAlign w:val="center"/>
            <w:hideMark/>
          </w:tcPr>
          <w:p w14:paraId="69741B02"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left w:val="single" w:sz="4" w:space="0" w:color="auto"/>
              <w:bottom w:val="nil"/>
            </w:tcBorders>
            <w:shd w:val="clear" w:color="auto" w:fill="F1F1F2" w:themeFill="accent5" w:themeFillTint="33"/>
            <w:vAlign w:val="center"/>
          </w:tcPr>
          <w:p w14:paraId="263D09A6"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1,227</w:t>
            </w:r>
          </w:p>
        </w:tc>
        <w:tc>
          <w:tcPr>
            <w:tcW w:w="920" w:type="dxa"/>
            <w:tcBorders>
              <w:top w:val="nil"/>
              <w:bottom w:val="nil"/>
            </w:tcBorders>
            <w:shd w:val="clear" w:color="auto" w:fill="auto"/>
            <w:vAlign w:val="center"/>
            <w:hideMark/>
          </w:tcPr>
          <w:p w14:paraId="0EA7EAB1"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1,</w:t>
            </w:r>
            <w:r>
              <w:rPr>
                <w:rFonts w:asciiTheme="minorHAnsi" w:eastAsia="Times New Roman" w:hAnsiTheme="minorHAnsi" w:cstheme="minorHAnsi"/>
                <w:color w:val="000000"/>
                <w:szCs w:val="20"/>
                <w:lang w:eastAsia="en-AU"/>
              </w:rPr>
              <w:t>544</w:t>
            </w:r>
          </w:p>
        </w:tc>
      </w:tr>
      <w:tr w:rsidR="00AB33EC" w:rsidRPr="003E75E2" w14:paraId="5C210A49" w14:textId="77777777" w:rsidTr="00B721B7">
        <w:trPr>
          <w:trHeight w:val="285"/>
        </w:trPr>
        <w:tc>
          <w:tcPr>
            <w:tcW w:w="2800" w:type="dxa"/>
            <w:tcBorders>
              <w:top w:val="nil"/>
              <w:left w:val="nil"/>
              <w:bottom w:val="nil"/>
              <w:right w:val="single" w:sz="8" w:space="0" w:color="auto"/>
            </w:tcBorders>
            <w:shd w:val="clear" w:color="000000" w:fill="FFFFFF"/>
            <w:vAlign w:val="center"/>
            <w:hideMark/>
          </w:tcPr>
          <w:p w14:paraId="5B9E45C6"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920" w:type="dxa"/>
            <w:tcBorders>
              <w:top w:val="nil"/>
              <w:left w:val="nil"/>
              <w:bottom w:val="nil"/>
              <w:right w:val="nil"/>
            </w:tcBorders>
            <w:shd w:val="clear" w:color="auto" w:fill="F1F1F2" w:themeFill="accent5" w:themeFillTint="33"/>
            <w:vAlign w:val="center"/>
          </w:tcPr>
          <w:p w14:paraId="61E797F7"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nil"/>
              <w:bottom w:val="nil"/>
              <w:right w:val="single" w:sz="4" w:space="0" w:color="auto"/>
            </w:tcBorders>
            <w:shd w:val="clear" w:color="auto" w:fill="auto"/>
            <w:vAlign w:val="center"/>
            <w:hideMark/>
          </w:tcPr>
          <w:p w14:paraId="0CBDD32C"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right w:val="nil"/>
            </w:tcBorders>
            <w:shd w:val="clear" w:color="auto" w:fill="F1F1F2" w:themeFill="accent5" w:themeFillTint="33"/>
            <w:vAlign w:val="center"/>
          </w:tcPr>
          <w:p w14:paraId="695AFCCC"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nil"/>
              <w:bottom w:val="nil"/>
              <w:right w:val="single" w:sz="4" w:space="0" w:color="auto"/>
            </w:tcBorders>
            <w:shd w:val="clear" w:color="auto" w:fill="auto"/>
            <w:vAlign w:val="center"/>
            <w:hideMark/>
          </w:tcPr>
          <w:p w14:paraId="62A118B1"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right w:val="nil"/>
            </w:tcBorders>
            <w:shd w:val="clear" w:color="auto" w:fill="F1F1F2" w:themeFill="accent5" w:themeFillTint="33"/>
            <w:vAlign w:val="center"/>
          </w:tcPr>
          <w:p w14:paraId="593D1E6F"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nil"/>
              <w:bottom w:val="nil"/>
              <w:right w:val="single" w:sz="4" w:space="0" w:color="auto"/>
            </w:tcBorders>
            <w:shd w:val="clear" w:color="auto" w:fill="auto"/>
            <w:vAlign w:val="center"/>
            <w:hideMark/>
          </w:tcPr>
          <w:p w14:paraId="18C563E4"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tcBorders>
            <w:shd w:val="clear" w:color="auto" w:fill="F1F1F2" w:themeFill="accent5" w:themeFillTint="33"/>
            <w:vAlign w:val="center"/>
          </w:tcPr>
          <w:p w14:paraId="6795D3F4"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bottom w:val="nil"/>
              <w:right w:val="single" w:sz="4" w:space="0" w:color="auto"/>
            </w:tcBorders>
            <w:shd w:val="clear" w:color="auto" w:fill="auto"/>
            <w:vAlign w:val="center"/>
            <w:hideMark/>
          </w:tcPr>
          <w:p w14:paraId="79F12555"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tcBorders>
            <w:shd w:val="clear" w:color="auto" w:fill="F1F1F2" w:themeFill="accent5" w:themeFillTint="33"/>
            <w:vAlign w:val="center"/>
          </w:tcPr>
          <w:p w14:paraId="33322B16"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bottom w:val="nil"/>
              <w:right w:val="single" w:sz="4" w:space="0" w:color="auto"/>
            </w:tcBorders>
            <w:shd w:val="clear" w:color="auto" w:fill="auto"/>
            <w:vAlign w:val="center"/>
            <w:hideMark/>
          </w:tcPr>
          <w:p w14:paraId="26ABB28D"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tcBorders>
            <w:shd w:val="clear" w:color="auto" w:fill="F1F1F2" w:themeFill="accent5" w:themeFillTint="33"/>
            <w:vAlign w:val="center"/>
          </w:tcPr>
          <w:p w14:paraId="23ED909C"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bottom w:val="nil"/>
            </w:tcBorders>
            <w:shd w:val="clear" w:color="auto" w:fill="auto"/>
            <w:vAlign w:val="center"/>
            <w:hideMark/>
          </w:tcPr>
          <w:p w14:paraId="6BD16BCA" w14:textId="77777777" w:rsidR="00AB33EC" w:rsidRPr="005523A4" w:rsidRDefault="00AB33EC" w:rsidP="00B721B7">
            <w:pPr>
              <w:jc w:val="right"/>
              <w:rPr>
                <w:rFonts w:asciiTheme="minorHAnsi" w:eastAsia="Times New Roman" w:hAnsiTheme="minorHAnsi" w:cstheme="minorHAnsi"/>
                <w:color w:val="000000"/>
                <w:szCs w:val="20"/>
                <w:lang w:eastAsia="en-AU"/>
              </w:rPr>
            </w:pPr>
          </w:p>
        </w:tc>
      </w:tr>
      <w:tr w:rsidR="00AB33EC" w:rsidRPr="003E75E2" w14:paraId="1890207E" w14:textId="77777777" w:rsidTr="00B721B7">
        <w:trPr>
          <w:trHeight w:val="293"/>
        </w:trPr>
        <w:tc>
          <w:tcPr>
            <w:tcW w:w="2800" w:type="dxa"/>
            <w:tcBorders>
              <w:top w:val="nil"/>
              <w:left w:val="nil"/>
              <w:bottom w:val="nil"/>
              <w:right w:val="single" w:sz="8" w:space="0" w:color="auto"/>
            </w:tcBorders>
            <w:shd w:val="clear" w:color="000000" w:fill="FFFFFF"/>
            <w:vAlign w:val="center"/>
            <w:hideMark/>
          </w:tcPr>
          <w:p w14:paraId="7A946D8E"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Disposals</w:t>
            </w:r>
            <w:r w:rsidRPr="005523A4">
              <w:rPr>
                <w:rFonts w:asciiTheme="minorHAnsi" w:eastAsia="Times New Roman" w:hAnsiTheme="minorHAnsi" w:cstheme="minorHAnsi"/>
                <w:color w:val="000000"/>
                <w:szCs w:val="20"/>
                <w:vertAlign w:val="superscript"/>
                <w:lang w:eastAsia="en-AU"/>
              </w:rPr>
              <w:t>1</w:t>
            </w:r>
          </w:p>
        </w:tc>
        <w:tc>
          <w:tcPr>
            <w:tcW w:w="920" w:type="dxa"/>
            <w:tcBorders>
              <w:top w:val="nil"/>
              <w:left w:val="nil"/>
              <w:bottom w:val="nil"/>
              <w:right w:val="nil"/>
            </w:tcBorders>
            <w:shd w:val="clear" w:color="auto" w:fill="F1F1F2" w:themeFill="accent5" w:themeFillTint="33"/>
            <w:vAlign w:val="center"/>
          </w:tcPr>
          <w:p w14:paraId="2B3BD507"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(353)</w:t>
            </w:r>
          </w:p>
        </w:tc>
        <w:tc>
          <w:tcPr>
            <w:tcW w:w="920" w:type="dxa"/>
            <w:tcBorders>
              <w:top w:val="nil"/>
              <w:left w:val="nil"/>
              <w:bottom w:val="nil"/>
              <w:right w:val="single" w:sz="4" w:space="0" w:color="auto"/>
            </w:tcBorders>
            <w:shd w:val="clear" w:color="auto" w:fill="auto"/>
            <w:vAlign w:val="center"/>
            <w:hideMark/>
          </w:tcPr>
          <w:p w14:paraId="31682B83"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(461)</w:t>
            </w:r>
          </w:p>
        </w:tc>
        <w:tc>
          <w:tcPr>
            <w:tcW w:w="920" w:type="dxa"/>
            <w:tcBorders>
              <w:top w:val="nil"/>
              <w:left w:val="single" w:sz="4" w:space="0" w:color="auto"/>
              <w:bottom w:val="nil"/>
              <w:right w:val="nil"/>
            </w:tcBorders>
            <w:shd w:val="clear" w:color="auto" w:fill="F1F1F2" w:themeFill="accent5" w:themeFillTint="33"/>
            <w:vAlign w:val="center"/>
          </w:tcPr>
          <w:p w14:paraId="0459FC63"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left w:val="nil"/>
              <w:bottom w:val="nil"/>
              <w:right w:val="single" w:sz="4" w:space="0" w:color="auto"/>
            </w:tcBorders>
            <w:shd w:val="clear" w:color="auto" w:fill="auto"/>
            <w:vAlign w:val="center"/>
            <w:hideMark/>
          </w:tcPr>
          <w:p w14:paraId="0B34137F"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left w:val="single" w:sz="4" w:space="0" w:color="auto"/>
              <w:bottom w:val="nil"/>
              <w:right w:val="nil"/>
            </w:tcBorders>
            <w:shd w:val="clear" w:color="auto" w:fill="F1F1F2" w:themeFill="accent5" w:themeFillTint="33"/>
            <w:vAlign w:val="center"/>
          </w:tcPr>
          <w:p w14:paraId="67DCA515"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(3)</w:t>
            </w:r>
          </w:p>
        </w:tc>
        <w:tc>
          <w:tcPr>
            <w:tcW w:w="920" w:type="dxa"/>
            <w:tcBorders>
              <w:top w:val="nil"/>
              <w:left w:val="nil"/>
              <w:bottom w:val="nil"/>
              <w:right w:val="single" w:sz="4" w:space="0" w:color="auto"/>
            </w:tcBorders>
            <w:shd w:val="clear" w:color="auto" w:fill="auto"/>
            <w:vAlign w:val="center"/>
            <w:hideMark/>
          </w:tcPr>
          <w:p w14:paraId="16B60E71"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left w:val="single" w:sz="4" w:space="0" w:color="auto"/>
              <w:bottom w:val="nil"/>
            </w:tcBorders>
            <w:shd w:val="clear" w:color="auto" w:fill="F1F1F2" w:themeFill="accent5" w:themeFillTint="33"/>
            <w:vAlign w:val="center"/>
          </w:tcPr>
          <w:p w14:paraId="6154C989"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bottom w:val="nil"/>
              <w:right w:val="single" w:sz="4" w:space="0" w:color="auto"/>
            </w:tcBorders>
            <w:shd w:val="clear" w:color="auto" w:fill="auto"/>
            <w:vAlign w:val="center"/>
            <w:hideMark/>
          </w:tcPr>
          <w:p w14:paraId="0CC4675C"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tcBorders>
            <w:shd w:val="clear" w:color="auto" w:fill="F1F1F2" w:themeFill="accent5" w:themeFillTint="33"/>
            <w:vAlign w:val="center"/>
          </w:tcPr>
          <w:p w14:paraId="65BDFF0C"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bottom w:val="nil"/>
              <w:right w:val="single" w:sz="4" w:space="0" w:color="auto"/>
            </w:tcBorders>
            <w:shd w:val="clear" w:color="auto" w:fill="auto"/>
            <w:vAlign w:val="center"/>
            <w:hideMark/>
          </w:tcPr>
          <w:p w14:paraId="44EE6C44"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left w:val="single" w:sz="4" w:space="0" w:color="auto"/>
              <w:bottom w:val="nil"/>
            </w:tcBorders>
            <w:shd w:val="clear" w:color="auto" w:fill="F1F1F2" w:themeFill="accent5" w:themeFillTint="33"/>
            <w:vAlign w:val="center"/>
          </w:tcPr>
          <w:p w14:paraId="09BC3EAE"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(356)</w:t>
            </w:r>
          </w:p>
        </w:tc>
        <w:tc>
          <w:tcPr>
            <w:tcW w:w="920" w:type="dxa"/>
            <w:tcBorders>
              <w:top w:val="nil"/>
              <w:bottom w:val="nil"/>
            </w:tcBorders>
            <w:shd w:val="clear" w:color="auto" w:fill="auto"/>
            <w:vAlign w:val="center"/>
            <w:hideMark/>
          </w:tcPr>
          <w:p w14:paraId="15BD41C0"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(46</w:t>
            </w:r>
            <w:r>
              <w:rPr>
                <w:rFonts w:asciiTheme="minorHAnsi" w:eastAsia="Times New Roman" w:hAnsiTheme="minorHAnsi" w:cstheme="minorHAnsi"/>
                <w:color w:val="000000"/>
                <w:szCs w:val="20"/>
                <w:lang w:eastAsia="en-AU"/>
              </w:rPr>
              <w:t>1</w:t>
            </w:r>
            <w:r w:rsidRPr="005523A4">
              <w:rPr>
                <w:rFonts w:asciiTheme="minorHAnsi" w:eastAsia="Times New Roman" w:hAnsiTheme="minorHAnsi" w:cstheme="minorHAnsi"/>
                <w:color w:val="000000"/>
                <w:szCs w:val="20"/>
                <w:lang w:eastAsia="en-AU"/>
              </w:rPr>
              <w:t>)</w:t>
            </w:r>
          </w:p>
        </w:tc>
      </w:tr>
      <w:tr w:rsidR="00AB33EC" w:rsidRPr="003E75E2" w14:paraId="42BCBA78" w14:textId="77777777" w:rsidTr="00B721B7">
        <w:trPr>
          <w:trHeight w:val="285"/>
        </w:trPr>
        <w:tc>
          <w:tcPr>
            <w:tcW w:w="2800" w:type="dxa"/>
            <w:tcBorders>
              <w:top w:val="nil"/>
              <w:left w:val="nil"/>
              <w:bottom w:val="nil"/>
              <w:right w:val="single" w:sz="8" w:space="0" w:color="auto"/>
            </w:tcBorders>
            <w:shd w:val="clear" w:color="000000" w:fill="FFFFFF"/>
            <w:vAlign w:val="center"/>
            <w:hideMark/>
          </w:tcPr>
          <w:p w14:paraId="6C3B4F06"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920" w:type="dxa"/>
            <w:tcBorders>
              <w:top w:val="nil"/>
              <w:left w:val="nil"/>
              <w:bottom w:val="nil"/>
              <w:right w:val="nil"/>
            </w:tcBorders>
            <w:shd w:val="clear" w:color="auto" w:fill="F1F1F2" w:themeFill="accent5" w:themeFillTint="33"/>
            <w:vAlign w:val="center"/>
          </w:tcPr>
          <w:p w14:paraId="3A537D6F"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nil"/>
              <w:bottom w:val="nil"/>
              <w:right w:val="single" w:sz="4" w:space="0" w:color="auto"/>
            </w:tcBorders>
            <w:shd w:val="clear" w:color="auto" w:fill="auto"/>
            <w:vAlign w:val="center"/>
            <w:hideMark/>
          </w:tcPr>
          <w:p w14:paraId="2FFFE6AA"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right w:val="nil"/>
            </w:tcBorders>
            <w:shd w:val="clear" w:color="auto" w:fill="F1F1F2" w:themeFill="accent5" w:themeFillTint="33"/>
            <w:vAlign w:val="center"/>
          </w:tcPr>
          <w:p w14:paraId="0740CB59"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nil"/>
              <w:bottom w:val="nil"/>
              <w:right w:val="single" w:sz="4" w:space="0" w:color="auto"/>
            </w:tcBorders>
            <w:shd w:val="clear" w:color="auto" w:fill="auto"/>
            <w:vAlign w:val="center"/>
            <w:hideMark/>
          </w:tcPr>
          <w:p w14:paraId="5BC5C2AA"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right w:val="nil"/>
            </w:tcBorders>
            <w:shd w:val="clear" w:color="auto" w:fill="F1F1F2" w:themeFill="accent5" w:themeFillTint="33"/>
            <w:vAlign w:val="center"/>
          </w:tcPr>
          <w:p w14:paraId="4CC9C97A"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nil"/>
              <w:bottom w:val="nil"/>
              <w:right w:val="single" w:sz="4" w:space="0" w:color="auto"/>
            </w:tcBorders>
            <w:shd w:val="clear" w:color="auto" w:fill="auto"/>
            <w:vAlign w:val="center"/>
            <w:hideMark/>
          </w:tcPr>
          <w:p w14:paraId="74431F5D"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tcBorders>
            <w:shd w:val="clear" w:color="auto" w:fill="F1F1F2" w:themeFill="accent5" w:themeFillTint="33"/>
            <w:vAlign w:val="center"/>
          </w:tcPr>
          <w:p w14:paraId="4E172F04"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bottom w:val="nil"/>
              <w:right w:val="single" w:sz="4" w:space="0" w:color="auto"/>
            </w:tcBorders>
            <w:shd w:val="clear" w:color="auto" w:fill="auto"/>
            <w:vAlign w:val="center"/>
            <w:hideMark/>
          </w:tcPr>
          <w:p w14:paraId="6A738C95"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tcBorders>
            <w:shd w:val="clear" w:color="auto" w:fill="F1F1F2" w:themeFill="accent5" w:themeFillTint="33"/>
            <w:vAlign w:val="center"/>
          </w:tcPr>
          <w:p w14:paraId="6DE5320D"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bottom w:val="nil"/>
              <w:right w:val="single" w:sz="4" w:space="0" w:color="auto"/>
            </w:tcBorders>
            <w:shd w:val="clear" w:color="auto" w:fill="auto"/>
            <w:vAlign w:val="center"/>
            <w:hideMark/>
          </w:tcPr>
          <w:p w14:paraId="0CBE1B94"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tcBorders>
            <w:shd w:val="clear" w:color="auto" w:fill="F1F1F2" w:themeFill="accent5" w:themeFillTint="33"/>
            <w:vAlign w:val="center"/>
          </w:tcPr>
          <w:p w14:paraId="7434C42B"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bottom w:val="nil"/>
            </w:tcBorders>
            <w:shd w:val="clear" w:color="auto" w:fill="auto"/>
            <w:vAlign w:val="center"/>
            <w:hideMark/>
          </w:tcPr>
          <w:p w14:paraId="2756A9CC" w14:textId="77777777" w:rsidR="00AB33EC" w:rsidRPr="005523A4" w:rsidRDefault="00AB33EC" w:rsidP="00B721B7">
            <w:pPr>
              <w:jc w:val="right"/>
              <w:rPr>
                <w:rFonts w:asciiTheme="minorHAnsi" w:eastAsia="Times New Roman" w:hAnsiTheme="minorHAnsi" w:cstheme="minorHAnsi"/>
                <w:color w:val="000000"/>
                <w:szCs w:val="20"/>
                <w:lang w:eastAsia="en-AU"/>
              </w:rPr>
            </w:pPr>
          </w:p>
        </w:tc>
      </w:tr>
      <w:tr w:rsidR="00AB33EC" w:rsidRPr="003E75E2" w14:paraId="22DD27A4" w14:textId="77777777" w:rsidTr="00B721B7">
        <w:trPr>
          <w:trHeight w:val="285"/>
        </w:trPr>
        <w:tc>
          <w:tcPr>
            <w:tcW w:w="2800" w:type="dxa"/>
            <w:tcBorders>
              <w:top w:val="nil"/>
              <w:left w:val="nil"/>
              <w:bottom w:val="nil"/>
              <w:right w:val="single" w:sz="8" w:space="0" w:color="auto"/>
            </w:tcBorders>
            <w:shd w:val="clear" w:color="000000" w:fill="FFFFFF"/>
            <w:vAlign w:val="center"/>
            <w:hideMark/>
          </w:tcPr>
          <w:p w14:paraId="5D4A72BF"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Transfers between classes</w:t>
            </w:r>
          </w:p>
        </w:tc>
        <w:tc>
          <w:tcPr>
            <w:tcW w:w="920" w:type="dxa"/>
            <w:tcBorders>
              <w:top w:val="nil"/>
              <w:left w:val="nil"/>
              <w:bottom w:val="nil"/>
              <w:right w:val="nil"/>
            </w:tcBorders>
            <w:shd w:val="clear" w:color="auto" w:fill="F1F1F2" w:themeFill="accent5" w:themeFillTint="33"/>
            <w:vAlign w:val="center"/>
          </w:tcPr>
          <w:p w14:paraId="0C20EB79"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left w:val="nil"/>
              <w:bottom w:val="nil"/>
              <w:right w:val="single" w:sz="4" w:space="0" w:color="auto"/>
            </w:tcBorders>
            <w:shd w:val="clear" w:color="auto" w:fill="auto"/>
            <w:vAlign w:val="center"/>
            <w:hideMark/>
          </w:tcPr>
          <w:p w14:paraId="65F62B84"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left w:val="single" w:sz="4" w:space="0" w:color="auto"/>
              <w:bottom w:val="nil"/>
              <w:right w:val="nil"/>
            </w:tcBorders>
            <w:shd w:val="clear" w:color="auto" w:fill="F1F1F2" w:themeFill="accent5" w:themeFillTint="33"/>
            <w:vAlign w:val="center"/>
          </w:tcPr>
          <w:p w14:paraId="2FF04763"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left w:val="nil"/>
              <w:bottom w:val="nil"/>
              <w:right w:val="single" w:sz="4" w:space="0" w:color="auto"/>
            </w:tcBorders>
            <w:shd w:val="clear" w:color="auto" w:fill="auto"/>
            <w:vAlign w:val="center"/>
            <w:hideMark/>
          </w:tcPr>
          <w:p w14:paraId="2FEF720A"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left w:val="single" w:sz="4" w:space="0" w:color="auto"/>
              <w:bottom w:val="nil"/>
              <w:right w:val="nil"/>
            </w:tcBorders>
            <w:shd w:val="clear" w:color="auto" w:fill="F1F1F2" w:themeFill="accent5" w:themeFillTint="33"/>
            <w:vAlign w:val="center"/>
          </w:tcPr>
          <w:p w14:paraId="0FF6B1A4"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2</w:t>
            </w:r>
            <w:r>
              <w:rPr>
                <w:rFonts w:asciiTheme="minorHAnsi" w:eastAsia="Times New Roman" w:hAnsiTheme="minorHAnsi" w:cstheme="minorHAnsi"/>
                <w:color w:val="000000"/>
                <w:szCs w:val="20"/>
                <w:lang w:eastAsia="en-AU"/>
              </w:rPr>
              <w:t>74</w:t>
            </w:r>
          </w:p>
        </w:tc>
        <w:tc>
          <w:tcPr>
            <w:tcW w:w="920" w:type="dxa"/>
            <w:tcBorders>
              <w:top w:val="nil"/>
              <w:left w:val="nil"/>
              <w:bottom w:val="nil"/>
              <w:right w:val="single" w:sz="4" w:space="0" w:color="auto"/>
            </w:tcBorders>
            <w:shd w:val="clear" w:color="auto" w:fill="auto"/>
            <w:vAlign w:val="center"/>
            <w:hideMark/>
          </w:tcPr>
          <w:p w14:paraId="0609A96A"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195</w:t>
            </w:r>
          </w:p>
        </w:tc>
        <w:tc>
          <w:tcPr>
            <w:tcW w:w="920" w:type="dxa"/>
            <w:tcBorders>
              <w:top w:val="nil"/>
              <w:left w:val="single" w:sz="4" w:space="0" w:color="auto"/>
              <w:bottom w:val="nil"/>
            </w:tcBorders>
            <w:shd w:val="clear" w:color="auto" w:fill="F1F1F2" w:themeFill="accent5" w:themeFillTint="33"/>
            <w:vAlign w:val="center"/>
          </w:tcPr>
          <w:p w14:paraId="3BB4E9E7"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bottom w:val="nil"/>
              <w:right w:val="single" w:sz="4" w:space="0" w:color="auto"/>
            </w:tcBorders>
            <w:shd w:val="clear" w:color="auto" w:fill="auto"/>
            <w:vAlign w:val="center"/>
            <w:hideMark/>
          </w:tcPr>
          <w:p w14:paraId="267E04B5"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left w:val="single" w:sz="4" w:space="0" w:color="auto"/>
              <w:bottom w:val="nil"/>
            </w:tcBorders>
            <w:shd w:val="clear" w:color="auto" w:fill="F1F1F2" w:themeFill="accent5" w:themeFillTint="33"/>
            <w:vAlign w:val="center"/>
          </w:tcPr>
          <w:p w14:paraId="4B8759A9"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(2</w:t>
            </w:r>
            <w:r>
              <w:rPr>
                <w:rFonts w:asciiTheme="minorHAnsi" w:eastAsia="Times New Roman" w:hAnsiTheme="minorHAnsi" w:cstheme="minorHAnsi"/>
                <w:color w:val="000000"/>
                <w:szCs w:val="20"/>
                <w:lang w:eastAsia="en-AU"/>
              </w:rPr>
              <w:t>74</w:t>
            </w:r>
            <w:r w:rsidRPr="005523A4">
              <w:rPr>
                <w:rFonts w:asciiTheme="minorHAnsi" w:eastAsia="Times New Roman" w:hAnsiTheme="minorHAnsi" w:cstheme="minorHAnsi"/>
                <w:color w:val="000000"/>
                <w:szCs w:val="20"/>
                <w:lang w:eastAsia="en-AU"/>
              </w:rPr>
              <w:t>)</w:t>
            </w:r>
          </w:p>
        </w:tc>
        <w:tc>
          <w:tcPr>
            <w:tcW w:w="920" w:type="dxa"/>
            <w:tcBorders>
              <w:top w:val="nil"/>
              <w:bottom w:val="nil"/>
              <w:right w:val="single" w:sz="4" w:space="0" w:color="auto"/>
            </w:tcBorders>
            <w:shd w:val="clear" w:color="auto" w:fill="auto"/>
            <w:vAlign w:val="center"/>
            <w:hideMark/>
          </w:tcPr>
          <w:p w14:paraId="2287944B"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(195)</w:t>
            </w:r>
          </w:p>
        </w:tc>
        <w:tc>
          <w:tcPr>
            <w:tcW w:w="920" w:type="dxa"/>
            <w:tcBorders>
              <w:top w:val="nil"/>
              <w:left w:val="single" w:sz="4" w:space="0" w:color="auto"/>
              <w:bottom w:val="nil"/>
            </w:tcBorders>
            <w:shd w:val="clear" w:color="auto" w:fill="F1F1F2" w:themeFill="accent5" w:themeFillTint="33"/>
            <w:vAlign w:val="center"/>
          </w:tcPr>
          <w:p w14:paraId="4650CA4D"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bottom w:val="nil"/>
            </w:tcBorders>
            <w:shd w:val="clear" w:color="auto" w:fill="auto"/>
            <w:vAlign w:val="center"/>
            <w:hideMark/>
          </w:tcPr>
          <w:p w14:paraId="246DC9A3"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w:t>
            </w:r>
          </w:p>
        </w:tc>
      </w:tr>
      <w:tr w:rsidR="00AB33EC" w:rsidRPr="003E75E2" w14:paraId="54711CFB" w14:textId="77777777" w:rsidTr="00B721B7">
        <w:trPr>
          <w:trHeight w:val="285"/>
        </w:trPr>
        <w:tc>
          <w:tcPr>
            <w:tcW w:w="2800" w:type="dxa"/>
            <w:tcBorders>
              <w:top w:val="nil"/>
              <w:left w:val="nil"/>
              <w:bottom w:val="nil"/>
              <w:right w:val="single" w:sz="8" w:space="0" w:color="auto"/>
            </w:tcBorders>
            <w:shd w:val="clear" w:color="000000" w:fill="FFFFFF"/>
            <w:vAlign w:val="center"/>
            <w:hideMark/>
          </w:tcPr>
          <w:p w14:paraId="1946859D"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920" w:type="dxa"/>
            <w:tcBorders>
              <w:top w:val="nil"/>
              <w:left w:val="nil"/>
              <w:bottom w:val="nil"/>
              <w:right w:val="nil"/>
            </w:tcBorders>
            <w:shd w:val="clear" w:color="auto" w:fill="F1F1F2" w:themeFill="accent5" w:themeFillTint="33"/>
            <w:vAlign w:val="center"/>
          </w:tcPr>
          <w:p w14:paraId="41809301"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nil"/>
              <w:bottom w:val="nil"/>
              <w:right w:val="single" w:sz="4" w:space="0" w:color="auto"/>
            </w:tcBorders>
            <w:shd w:val="clear" w:color="auto" w:fill="auto"/>
            <w:vAlign w:val="center"/>
            <w:hideMark/>
          </w:tcPr>
          <w:p w14:paraId="7C946553"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right w:val="nil"/>
            </w:tcBorders>
            <w:shd w:val="clear" w:color="auto" w:fill="F1F1F2" w:themeFill="accent5" w:themeFillTint="33"/>
            <w:vAlign w:val="center"/>
          </w:tcPr>
          <w:p w14:paraId="64002ACB"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nil"/>
              <w:bottom w:val="nil"/>
              <w:right w:val="single" w:sz="4" w:space="0" w:color="auto"/>
            </w:tcBorders>
            <w:shd w:val="clear" w:color="auto" w:fill="auto"/>
            <w:vAlign w:val="center"/>
            <w:hideMark/>
          </w:tcPr>
          <w:p w14:paraId="7576A182"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right w:val="nil"/>
            </w:tcBorders>
            <w:shd w:val="clear" w:color="auto" w:fill="F1F1F2" w:themeFill="accent5" w:themeFillTint="33"/>
            <w:vAlign w:val="center"/>
          </w:tcPr>
          <w:p w14:paraId="631EEA6A"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nil"/>
              <w:bottom w:val="nil"/>
              <w:right w:val="single" w:sz="4" w:space="0" w:color="auto"/>
            </w:tcBorders>
            <w:shd w:val="clear" w:color="auto" w:fill="auto"/>
            <w:vAlign w:val="center"/>
            <w:hideMark/>
          </w:tcPr>
          <w:p w14:paraId="3413DDD1"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tcBorders>
            <w:shd w:val="clear" w:color="auto" w:fill="F1F1F2" w:themeFill="accent5" w:themeFillTint="33"/>
            <w:vAlign w:val="center"/>
          </w:tcPr>
          <w:p w14:paraId="793177AF"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bottom w:val="nil"/>
              <w:right w:val="single" w:sz="4" w:space="0" w:color="auto"/>
            </w:tcBorders>
            <w:shd w:val="clear" w:color="auto" w:fill="auto"/>
            <w:vAlign w:val="center"/>
            <w:hideMark/>
          </w:tcPr>
          <w:p w14:paraId="79C96FD4"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tcBorders>
            <w:shd w:val="clear" w:color="auto" w:fill="F1F1F2" w:themeFill="accent5" w:themeFillTint="33"/>
            <w:vAlign w:val="center"/>
          </w:tcPr>
          <w:p w14:paraId="3FD41093"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bottom w:val="nil"/>
              <w:right w:val="single" w:sz="4" w:space="0" w:color="auto"/>
            </w:tcBorders>
            <w:shd w:val="clear" w:color="auto" w:fill="auto"/>
            <w:vAlign w:val="center"/>
            <w:hideMark/>
          </w:tcPr>
          <w:p w14:paraId="458CBB48"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tcBorders>
            <w:shd w:val="clear" w:color="auto" w:fill="F1F1F2" w:themeFill="accent5" w:themeFillTint="33"/>
            <w:vAlign w:val="center"/>
          </w:tcPr>
          <w:p w14:paraId="42F997DE"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bottom w:val="nil"/>
            </w:tcBorders>
            <w:shd w:val="clear" w:color="auto" w:fill="auto"/>
            <w:vAlign w:val="center"/>
            <w:hideMark/>
          </w:tcPr>
          <w:p w14:paraId="7C43E9E6" w14:textId="77777777" w:rsidR="00AB33EC" w:rsidRPr="005523A4" w:rsidRDefault="00AB33EC" w:rsidP="00B721B7">
            <w:pPr>
              <w:jc w:val="right"/>
              <w:rPr>
                <w:rFonts w:asciiTheme="minorHAnsi" w:eastAsia="Times New Roman" w:hAnsiTheme="minorHAnsi" w:cstheme="minorHAnsi"/>
                <w:color w:val="000000"/>
                <w:szCs w:val="20"/>
                <w:lang w:eastAsia="en-AU"/>
              </w:rPr>
            </w:pPr>
          </w:p>
        </w:tc>
      </w:tr>
      <w:tr w:rsidR="00AB33EC" w:rsidRPr="003E75E2" w14:paraId="1F09BFF8" w14:textId="77777777" w:rsidTr="00B721B7">
        <w:trPr>
          <w:trHeight w:val="285"/>
        </w:trPr>
        <w:tc>
          <w:tcPr>
            <w:tcW w:w="2800" w:type="dxa"/>
            <w:tcBorders>
              <w:top w:val="nil"/>
              <w:left w:val="nil"/>
              <w:bottom w:val="nil"/>
              <w:right w:val="single" w:sz="8" w:space="0" w:color="auto"/>
            </w:tcBorders>
            <w:shd w:val="clear" w:color="000000" w:fill="FFFFFF"/>
            <w:vAlign w:val="center"/>
            <w:hideMark/>
          </w:tcPr>
          <w:p w14:paraId="1271AFEA"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Restoration cost adjustment</w:t>
            </w:r>
          </w:p>
        </w:tc>
        <w:tc>
          <w:tcPr>
            <w:tcW w:w="920" w:type="dxa"/>
            <w:tcBorders>
              <w:top w:val="nil"/>
              <w:left w:val="nil"/>
              <w:bottom w:val="nil"/>
              <w:right w:val="nil"/>
            </w:tcBorders>
            <w:shd w:val="clear" w:color="auto" w:fill="F1F1F2" w:themeFill="accent5" w:themeFillTint="33"/>
            <w:vAlign w:val="center"/>
          </w:tcPr>
          <w:p w14:paraId="2E76589C"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left w:val="nil"/>
              <w:bottom w:val="nil"/>
              <w:right w:val="single" w:sz="4" w:space="0" w:color="auto"/>
            </w:tcBorders>
            <w:shd w:val="clear" w:color="auto" w:fill="auto"/>
            <w:vAlign w:val="center"/>
            <w:hideMark/>
          </w:tcPr>
          <w:p w14:paraId="0D321FC8"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left w:val="single" w:sz="4" w:space="0" w:color="auto"/>
              <w:bottom w:val="nil"/>
              <w:right w:val="nil"/>
            </w:tcBorders>
            <w:shd w:val="clear" w:color="auto" w:fill="F1F1F2" w:themeFill="accent5" w:themeFillTint="33"/>
            <w:vAlign w:val="center"/>
          </w:tcPr>
          <w:p w14:paraId="56F9FD98"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left w:val="nil"/>
              <w:bottom w:val="nil"/>
              <w:right w:val="single" w:sz="4" w:space="0" w:color="auto"/>
            </w:tcBorders>
            <w:shd w:val="clear" w:color="auto" w:fill="auto"/>
            <w:vAlign w:val="center"/>
            <w:hideMark/>
          </w:tcPr>
          <w:p w14:paraId="4F828410"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left w:val="single" w:sz="4" w:space="0" w:color="auto"/>
              <w:bottom w:val="nil"/>
              <w:right w:val="nil"/>
            </w:tcBorders>
            <w:shd w:val="clear" w:color="auto" w:fill="F1F1F2" w:themeFill="accent5" w:themeFillTint="33"/>
            <w:vAlign w:val="center"/>
          </w:tcPr>
          <w:p w14:paraId="5D113D77"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left w:val="nil"/>
              <w:bottom w:val="nil"/>
              <w:right w:val="single" w:sz="4" w:space="0" w:color="auto"/>
            </w:tcBorders>
            <w:shd w:val="clear" w:color="auto" w:fill="auto"/>
            <w:vAlign w:val="center"/>
            <w:hideMark/>
          </w:tcPr>
          <w:p w14:paraId="796FEE65"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left w:val="single" w:sz="4" w:space="0" w:color="auto"/>
              <w:bottom w:val="nil"/>
            </w:tcBorders>
            <w:shd w:val="clear" w:color="auto" w:fill="F1F1F2" w:themeFill="accent5" w:themeFillTint="33"/>
            <w:vAlign w:val="center"/>
          </w:tcPr>
          <w:p w14:paraId="561995AC"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(21)</w:t>
            </w:r>
          </w:p>
        </w:tc>
        <w:tc>
          <w:tcPr>
            <w:tcW w:w="920" w:type="dxa"/>
            <w:tcBorders>
              <w:top w:val="nil"/>
              <w:bottom w:val="nil"/>
              <w:right w:val="single" w:sz="4" w:space="0" w:color="auto"/>
            </w:tcBorders>
            <w:shd w:val="clear" w:color="auto" w:fill="auto"/>
            <w:vAlign w:val="center"/>
            <w:hideMark/>
          </w:tcPr>
          <w:p w14:paraId="2E8FC06D"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32</w:t>
            </w:r>
          </w:p>
        </w:tc>
        <w:tc>
          <w:tcPr>
            <w:tcW w:w="920" w:type="dxa"/>
            <w:tcBorders>
              <w:top w:val="nil"/>
              <w:left w:val="single" w:sz="4" w:space="0" w:color="auto"/>
              <w:bottom w:val="nil"/>
            </w:tcBorders>
            <w:shd w:val="clear" w:color="auto" w:fill="F1F1F2" w:themeFill="accent5" w:themeFillTint="33"/>
            <w:vAlign w:val="center"/>
          </w:tcPr>
          <w:p w14:paraId="5BD5E060"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bottom w:val="nil"/>
              <w:right w:val="single" w:sz="4" w:space="0" w:color="auto"/>
            </w:tcBorders>
            <w:shd w:val="clear" w:color="auto" w:fill="auto"/>
            <w:vAlign w:val="center"/>
            <w:hideMark/>
          </w:tcPr>
          <w:p w14:paraId="370DA75B"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left w:val="single" w:sz="4" w:space="0" w:color="auto"/>
              <w:bottom w:val="nil"/>
            </w:tcBorders>
            <w:shd w:val="clear" w:color="auto" w:fill="F1F1F2" w:themeFill="accent5" w:themeFillTint="33"/>
            <w:vAlign w:val="center"/>
          </w:tcPr>
          <w:p w14:paraId="21DA17CA" w14:textId="77777777" w:rsidR="00AB33EC" w:rsidRPr="005523A4" w:rsidRDefault="00AB33EC" w:rsidP="00B721B7">
            <w:pPr>
              <w:jc w:val="right"/>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(21)</w:t>
            </w:r>
          </w:p>
        </w:tc>
        <w:tc>
          <w:tcPr>
            <w:tcW w:w="920" w:type="dxa"/>
            <w:tcBorders>
              <w:top w:val="nil"/>
              <w:bottom w:val="nil"/>
            </w:tcBorders>
            <w:shd w:val="clear" w:color="auto" w:fill="auto"/>
            <w:vAlign w:val="center"/>
            <w:hideMark/>
          </w:tcPr>
          <w:p w14:paraId="46CF7008"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32</w:t>
            </w:r>
          </w:p>
        </w:tc>
      </w:tr>
      <w:tr w:rsidR="00AB33EC" w:rsidRPr="003E75E2" w14:paraId="00C7DC0A" w14:textId="77777777" w:rsidTr="00B721B7">
        <w:trPr>
          <w:trHeight w:val="285"/>
        </w:trPr>
        <w:tc>
          <w:tcPr>
            <w:tcW w:w="2800" w:type="dxa"/>
            <w:tcBorders>
              <w:top w:val="nil"/>
              <w:left w:val="nil"/>
              <w:bottom w:val="nil"/>
              <w:right w:val="single" w:sz="8" w:space="0" w:color="auto"/>
            </w:tcBorders>
            <w:shd w:val="clear" w:color="000000" w:fill="FFFFFF"/>
            <w:vAlign w:val="center"/>
            <w:hideMark/>
          </w:tcPr>
          <w:p w14:paraId="5416577F"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w:t>
            </w:r>
          </w:p>
        </w:tc>
        <w:tc>
          <w:tcPr>
            <w:tcW w:w="920" w:type="dxa"/>
            <w:tcBorders>
              <w:top w:val="nil"/>
              <w:left w:val="nil"/>
              <w:bottom w:val="nil"/>
              <w:right w:val="nil"/>
            </w:tcBorders>
            <w:shd w:val="clear" w:color="auto" w:fill="F1F1F2" w:themeFill="accent5" w:themeFillTint="33"/>
            <w:vAlign w:val="center"/>
          </w:tcPr>
          <w:p w14:paraId="78278B22"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nil"/>
              <w:bottom w:val="nil"/>
              <w:right w:val="single" w:sz="4" w:space="0" w:color="auto"/>
            </w:tcBorders>
            <w:shd w:val="clear" w:color="auto" w:fill="auto"/>
            <w:vAlign w:val="center"/>
            <w:hideMark/>
          </w:tcPr>
          <w:p w14:paraId="20119C0D"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right w:val="nil"/>
            </w:tcBorders>
            <w:shd w:val="clear" w:color="auto" w:fill="F1F1F2" w:themeFill="accent5" w:themeFillTint="33"/>
            <w:vAlign w:val="center"/>
          </w:tcPr>
          <w:p w14:paraId="5E9C6C92"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nil"/>
              <w:bottom w:val="nil"/>
              <w:right w:val="single" w:sz="4" w:space="0" w:color="auto"/>
            </w:tcBorders>
            <w:shd w:val="clear" w:color="auto" w:fill="auto"/>
            <w:vAlign w:val="center"/>
            <w:hideMark/>
          </w:tcPr>
          <w:p w14:paraId="31FE12AD"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right w:val="nil"/>
            </w:tcBorders>
            <w:shd w:val="clear" w:color="auto" w:fill="F1F1F2" w:themeFill="accent5" w:themeFillTint="33"/>
            <w:vAlign w:val="center"/>
          </w:tcPr>
          <w:p w14:paraId="7B1F576D"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nil"/>
              <w:bottom w:val="nil"/>
              <w:right w:val="single" w:sz="4" w:space="0" w:color="auto"/>
            </w:tcBorders>
            <w:shd w:val="clear" w:color="auto" w:fill="auto"/>
            <w:vAlign w:val="center"/>
            <w:hideMark/>
          </w:tcPr>
          <w:p w14:paraId="7C69F5F7"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tcBorders>
            <w:shd w:val="clear" w:color="auto" w:fill="F1F1F2" w:themeFill="accent5" w:themeFillTint="33"/>
            <w:vAlign w:val="center"/>
          </w:tcPr>
          <w:p w14:paraId="080E113A"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bottom w:val="nil"/>
              <w:right w:val="single" w:sz="4" w:space="0" w:color="auto"/>
            </w:tcBorders>
            <w:shd w:val="clear" w:color="auto" w:fill="auto"/>
            <w:vAlign w:val="center"/>
            <w:hideMark/>
          </w:tcPr>
          <w:p w14:paraId="1EB7815D" w14:textId="77777777" w:rsidR="00AB33EC" w:rsidRPr="005523A4" w:rsidRDefault="00AB33EC" w:rsidP="00B721B7">
            <w:pPr>
              <w:jc w:val="right"/>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tcBorders>
            <w:shd w:val="clear" w:color="auto" w:fill="F1F1F2" w:themeFill="accent5" w:themeFillTint="33"/>
            <w:vAlign w:val="center"/>
          </w:tcPr>
          <w:p w14:paraId="00EA9578" w14:textId="77777777" w:rsidR="00AB33EC" w:rsidRPr="005523A4" w:rsidRDefault="00AB33EC" w:rsidP="00B721B7">
            <w:pPr>
              <w:jc w:val="center"/>
              <w:rPr>
                <w:rFonts w:asciiTheme="minorHAnsi" w:eastAsia="Times New Roman" w:hAnsiTheme="minorHAnsi" w:cstheme="minorHAnsi"/>
                <w:color w:val="000000"/>
                <w:szCs w:val="20"/>
                <w:lang w:eastAsia="en-AU"/>
              </w:rPr>
            </w:pPr>
          </w:p>
        </w:tc>
        <w:tc>
          <w:tcPr>
            <w:tcW w:w="920" w:type="dxa"/>
            <w:tcBorders>
              <w:top w:val="nil"/>
              <w:bottom w:val="nil"/>
              <w:right w:val="single" w:sz="4" w:space="0" w:color="auto"/>
            </w:tcBorders>
            <w:shd w:val="clear" w:color="auto" w:fill="auto"/>
            <w:vAlign w:val="center"/>
            <w:hideMark/>
          </w:tcPr>
          <w:p w14:paraId="4274D76A" w14:textId="77777777" w:rsidR="00AB33EC" w:rsidRPr="005523A4" w:rsidRDefault="00AB33EC" w:rsidP="00B721B7">
            <w:pPr>
              <w:jc w:val="center"/>
              <w:rPr>
                <w:rFonts w:asciiTheme="minorHAnsi" w:eastAsia="Times New Roman" w:hAnsiTheme="minorHAnsi" w:cstheme="minorHAnsi"/>
                <w:color w:val="000000"/>
                <w:szCs w:val="20"/>
                <w:lang w:eastAsia="en-AU"/>
              </w:rPr>
            </w:pPr>
          </w:p>
        </w:tc>
        <w:tc>
          <w:tcPr>
            <w:tcW w:w="920" w:type="dxa"/>
            <w:tcBorders>
              <w:top w:val="nil"/>
              <w:left w:val="single" w:sz="4" w:space="0" w:color="auto"/>
              <w:bottom w:val="nil"/>
            </w:tcBorders>
            <w:shd w:val="clear" w:color="auto" w:fill="F1F1F2" w:themeFill="accent5" w:themeFillTint="33"/>
            <w:vAlign w:val="center"/>
          </w:tcPr>
          <w:p w14:paraId="1778C78A" w14:textId="77777777" w:rsidR="00AB33EC" w:rsidRPr="005523A4" w:rsidRDefault="00AB33EC" w:rsidP="00B721B7">
            <w:pPr>
              <w:jc w:val="center"/>
              <w:rPr>
                <w:rFonts w:asciiTheme="minorHAnsi" w:eastAsia="Times New Roman" w:hAnsiTheme="minorHAnsi" w:cstheme="minorHAnsi"/>
                <w:color w:val="000000"/>
                <w:szCs w:val="20"/>
                <w:lang w:eastAsia="en-AU"/>
              </w:rPr>
            </w:pPr>
          </w:p>
        </w:tc>
        <w:tc>
          <w:tcPr>
            <w:tcW w:w="920" w:type="dxa"/>
            <w:tcBorders>
              <w:top w:val="nil"/>
              <w:bottom w:val="nil"/>
            </w:tcBorders>
            <w:shd w:val="clear" w:color="auto" w:fill="auto"/>
            <w:vAlign w:val="center"/>
            <w:hideMark/>
          </w:tcPr>
          <w:p w14:paraId="0F8BC9C2" w14:textId="77777777" w:rsidR="00AB33EC" w:rsidRPr="005523A4" w:rsidRDefault="00AB33EC" w:rsidP="00B721B7">
            <w:pPr>
              <w:jc w:val="center"/>
              <w:rPr>
                <w:rFonts w:asciiTheme="minorHAnsi" w:eastAsia="Times New Roman" w:hAnsiTheme="minorHAnsi" w:cstheme="minorHAnsi"/>
                <w:color w:val="000000"/>
                <w:szCs w:val="20"/>
                <w:lang w:eastAsia="en-AU"/>
              </w:rPr>
            </w:pPr>
          </w:p>
        </w:tc>
      </w:tr>
      <w:tr w:rsidR="00AB33EC" w:rsidRPr="003E75E2" w14:paraId="3596F6E6" w14:textId="77777777" w:rsidTr="00B721B7">
        <w:trPr>
          <w:trHeight w:val="300"/>
        </w:trPr>
        <w:tc>
          <w:tcPr>
            <w:tcW w:w="2800" w:type="dxa"/>
            <w:tcBorders>
              <w:top w:val="nil"/>
              <w:left w:val="nil"/>
              <w:bottom w:val="nil"/>
              <w:right w:val="single" w:sz="8" w:space="0" w:color="auto"/>
            </w:tcBorders>
            <w:shd w:val="clear" w:color="000000" w:fill="FFFFFF"/>
            <w:vAlign w:val="center"/>
            <w:hideMark/>
          </w:tcPr>
          <w:p w14:paraId="0E5126D4" w14:textId="77777777" w:rsidR="00AB33EC" w:rsidRPr="005523A4" w:rsidRDefault="00AB33EC" w:rsidP="00B721B7">
            <w:pPr>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Depreciation</w:t>
            </w:r>
            <w:r w:rsidRPr="005523A4">
              <w:rPr>
                <w:rFonts w:asciiTheme="minorHAnsi" w:eastAsia="Times New Roman" w:hAnsiTheme="minorHAnsi" w:cstheme="minorHAnsi"/>
                <w:color w:val="000000"/>
                <w:szCs w:val="20"/>
                <w:vertAlign w:val="superscript"/>
                <w:lang w:eastAsia="en-AU"/>
              </w:rPr>
              <w:t>2</w:t>
            </w:r>
          </w:p>
        </w:tc>
        <w:tc>
          <w:tcPr>
            <w:tcW w:w="920" w:type="dxa"/>
            <w:tcBorders>
              <w:top w:val="nil"/>
              <w:left w:val="nil"/>
              <w:bottom w:val="nil"/>
              <w:right w:val="nil"/>
            </w:tcBorders>
            <w:shd w:val="clear" w:color="auto" w:fill="F1F1F2" w:themeFill="accent5" w:themeFillTint="33"/>
            <w:vAlign w:val="center"/>
          </w:tcPr>
          <w:p w14:paraId="5A4B5986"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r>
              <w:rPr>
                <w:rFonts w:asciiTheme="minorHAnsi" w:eastAsia="Times New Roman" w:hAnsiTheme="minorHAnsi" w:cstheme="minorHAnsi"/>
                <w:color w:val="000000"/>
                <w:szCs w:val="20"/>
                <w:lang w:eastAsia="en-AU"/>
              </w:rPr>
              <w:t>323</w:t>
            </w:r>
            <w:r w:rsidRPr="005523A4">
              <w:rPr>
                <w:rFonts w:asciiTheme="minorHAnsi" w:eastAsia="Times New Roman" w:hAnsiTheme="minorHAnsi" w:cstheme="minorHAnsi"/>
                <w:color w:val="000000"/>
                <w:szCs w:val="20"/>
                <w:lang w:eastAsia="en-AU"/>
              </w:rPr>
              <w:t>)</w:t>
            </w:r>
          </w:p>
        </w:tc>
        <w:tc>
          <w:tcPr>
            <w:tcW w:w="920" w:type="dxa"/>
            <w:tcBorders>
              <w:top w:val="nil"/>
              <w:left w:val="nil"/>
              <w:bottom w:val="nil"/>
              <w:right w:val="single" w:sz="4" w:space="0" w:color="auto"/>
            </w:tcBorders>
            <w:shd w:val="clear" w:color="auto" w:fill="auto"/>
            <w:vAlign w:val="center"/>
            <w:hideMark/>
          </w:tcPr>
          <w:p w14:paraId="17B64C1A"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(353)</w:t>
            </w:r>
          </w:p>
        </w:tc>
        <w:tc>
          <w:tcPr>
            <w:tcW w:w="920" w:type="dxa"/>
            <w:tcBorders>
              <w:top w:val="nil"/>
              <w:left w:val="single" w:sz="4" w:space="0" w:color="auto"/>
              <w:bottom w:val="nil"/>
              <w:right w:val="nil"/>
            </w:tcBorders>
            <w:shd w:val="clear" w:color="auto" w:fill="F1F1F2" w:themeFill="accent5" w:themeFillTint="33"/>
            <w:vAlign w:val="center"/>
          </w:tcPr>
          <w:p w14:paraId="47923825"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r>
              <w:rPr>
                <w:rFonts w:asciiTheme="minorHAnsi" w:eastAsia="Times New Roman" w:hAnsiTheme="minorHAnsi" w:cstheme="minorHAnsi"/>
                <w:color w:val="000000"/>
                <w:szCs w:val="20"/>
                <w:lang w:eastAsia="en-AU"/>
              </w:rPr>
              <w:t>232</w:t>
            </w:r>
            <w:r w:rsidRPr="005523A4">
              <w:rPr>
                <w:rFonts w:asciiTheme="minorHAnsi" w:eastAsia="Times New Roman" w:hAnsiTheme="minorHAnsi" w:cstheme="minorHAnsi"/>
                <w:color w:val="000000"/>
                <w:szCs w:val="20"/>
                <w:lang w:eastAsia="en-AU"/>
              </w:rPr>
              <w:t>)</w:t>
            </w:r>
          </w:p>
        </w:tc>
        <w:tc>
          <w:tcPr>
            <w:tcW w:w="920" w:type="dxa"/>
            <w:tcBorders>
              <w:top w:val="nil"/>
              <w:left w:val="nil"/>
              <w:bottom w:val="nil"/>
              <w:right w:val="single" w:sz="4" w:space="0" w:color="auto"/>
            </w:tcBorders>
            <w:shd w:val="clear" w:color="auto" w:fill="auto"/>
            <w:vAlign w:val="center"/>
            <w:hideMark/>
          </w:tcPr>
          <w:p w14:paraId="4F80ADD8"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(417)</w:t>
            </w:r>
          </w:p>
        </w:tc>
        <w:tc>
          <w:tcPr>
            <w:tcW w:w="920" w:type="dxa"/>
            <w:tcBorders>
              <w:top w:val="nil"/>
              <w:left w:val="single" w:sz="4" w:space="0" w:color="auto"/>
              <w:bottom w:val="nil"/>
              <w:right w:val="nil"/>
            </w:tcBorders>
            <w:shd w:val="clear" w:color="auto" w:fill="F1F1F2" w:themeFill="accent5" w:themeFillTint="33"/>
            <w:vAlign w:val="center"/>
          </w:tcPr>
          <w:p w14:paraId="169A1F79"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r>
              <w:rPr>
                <w:rFonts w:asciiTheme="minorHAnsi" w:eastAsia="Times New Roman" w:hAnsiTheme="minorHAnsi" w:cstheme="minorHAnsi"/>
                <w:color w:val="000000"/>
                <w:szCs w:val="20"/>
                <w:lang w:eastAsia="en-AU"/>
              </w:rPr>
              <w:t>395</w:t>
            </w:r>
            <w:r w:rsidRPr="005523A4">
              <w:rPr>
                <w:rFonts w:asciiTheme="minorHAnsi" w:eastAsia="Times New Roman" w:hAnsiTheme="minorHAnsi" w:cstheme="minorHAnsi"/>
                <w:color w:val="000000"/>
                <w:szCs w:val="20"/>
                <w:lang w:eastAsia="en-AU"/>
              </w:rPr>
              <w:t>)</w:t>
            </w:r>
          </w:p>
        </w:tc>
        <w:tc>
          <w:tcPr>
            <w:tcW w:w="920" w:type="dxa"/>
            <w:tcBorders>
              <w:top w:val="nil"/>
              <w:left w:val="nil"/>
              <w:bottom w:val="nil"/>
              <w:right w:val="single" w:sz="4" w:space="0" w:color="auto"/>
            </w:tcBorders>
            <w:shd w:val="clear" w:color="auto" w:fill="auto"/>
            <w:vAlign w:val="center"/>
            <w:hideMark/>
          </w:tcPr>
          <w:p w14:paraId="31B61CEE"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(337)</w:t>
            </w:r>
          </w:p>
        </w:tc>
        <w:tc>
          <w:tcPr>
            <w:tcW w:w="920" w:type="dxa"/>
            <w:tcBorders>
              <w:top w:val="nil"/>
              <w:left w:val="single" w:sz="4" w:space="0" w:color="auto"/>
              <w:bottom w:val="nil"/>
            </w:tcBorders>
            <w:shd w:val="clear" w:color="auto" w:fill="F1F1F2" w:themeFill="accent5" w:themeFillTint="33"/>
            <w:vAlign w:val="center"/>
          </w:tcPr>
          <w:p w14:paraId="3280A43D"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r>
              <w:rPr>
                <w:rFonts w:asciiTheme="minorHAnsi" w:eastAsia="Times New Roman" w:hAnsiTheme="minorHAnsi" w:cstheme="minorHAnsi"/>
                <w:color w:val="000000"/>
                <w:szCs w:val="20"/>
                <w:lang w:eastAsia="en-AU"/>
              </w:rPr>
              <w:t>600</w:t>
            </w:r>
            <w:r w:rsidRPr="005523A4">
              <w:rPr>
                <w:rFonts w:asciiTheme="minorHAnsi" w:eastAsia="Times New Roman" w:hAnsiTheme="minorHAnsi" w:cstheme="minorHAnsi"/>
                <w:color w:val="000000"/>
                <w:szCs w:val="20"/>
                <w:lang w:eastAsia="en-AU"/>
              </w:rPr>
              <w:t>)</w:t>
            </w:r>
          </w:p>
        </w:tc>
        <w:tc>
          <w:tcPr>
            <w:tcW w:w="920" w:type="dxa"/>
            <w:tcBorders>
              <w:top w:val="nil"/>
              <w:bottom w:val="nil"/>
              <w:right w:val="single" w:sz="4" w:space="0" w:color="auto"/>
            </w:tcBorders>
            <w:shd w:val="clear" w:color="auto" w:fill="auto"/>
            <w:vAlign w:val="center"/>
            <w:hideMark/>
          </w:tcPr>
          <w:p w14:paraId="0C298078"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(582)</w:t>
            </w:r>
          </w:p>
        </w:tc>
        <w:tc>
          <w:tcPr>
            <w:tcW w:w="920" w:type="dxa"/>
            <w:tcBorders>
              <w:top w:val="nil"/>
              <w:left w:val="single" w:sz="4" w:space="0" w:color="auto"/>
              <w:bottom w:val="nil"/>
            </w:tcBorders>
            <w:shd w:val="clear" w:color="auto" w:fill="F1F1F2" w:themeFill="accent5" w:themeFillTint="33"/>
            <w:vAlign w:val="center"/>
          </w:tcPr>
          <w:p w14:paraId="2F3239EF"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bottom w:val="nil"/>
              <w:right w:val="single" w:sz="4" w:space="0" w:color="auto"/>
            </w:tcBorders>
            <w:shd w:val="clear" w:color="auto" w:fill="auto"/>
            <w:vAlign w:val="center"/>
            <w:hideMark/>
          </w:tcPr>
          <w:p w14:paraId="34E56476"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t>
            </w:r>
          </w:p>
        </w:tc>
        <w:tc>
          <w:tcPr>
            <w:tcW w:w="920" w:type="dxa"/>
            <w:tcBorders>
              <w:top w:val="nil"/>
              <w:left w:val="single" w:sz="4" w:space="0" w:color="auto"/>
              <w:bottom w:val="nil"/>
            </w:tcBorders>
            <w:shd w:val="clear" w:color="auto" w:fill="F1F1F2" w:themeFill="accent5" w:themeFillTint="33"/>
            <w:vAlign w:val="center"/>
          </w:tcPr>
          <w:p w14:paraId="5F4BC627"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(1,</w:t>
            </w:r>
            <w:r>
              <w:rPr>
                <w:rFonts w:asciiTheme="minorHAnsi" w:eastAsia="Times New Roman" w:hAnsiTheme="minorHAnsi" w:cstheme="minorHAnsi"/>
                <w:color w:val="000000"/>
                <w:szCs w:val="20"/>
                <w:lang w:eastAsia="en-AU"/>
              </w:rPr>
              <w:t>550</w:t>
            </w:r>
            <w:r w:rsidRPr="005523A4">
              <w:rPr>
                <w:rFonts w:asciiTheme="minorHAnsi" w:eastAsia="Times New Roman" w:hAnsiTheme="minorHAnsi" w:cstheme="minorHAnsi"/>
                <w:color w:val="000000"/>
                <w:szCs w:val="20"/>
                <w:lang w:eastAsia="en-AU"/>
              </w:rPr>
              <w:t>)</w:t>
            </w:r>
          </w:p>
        </w:tc>
        <w:tc>
          <w:tcPr>
            <w:tcW w:w="920" w:type="dxa"/>
            <w:tcBorders>
              <w:top w:val="nil"/>
              <w:bottom w:val="nil"/>
            </w:tcBorders>
            <w:shd w:val="clear" w:color="auto" w:fill="auto"/>
            <w:vAlign w:val="center"/>
            <w:hideMark/>
          </w:tcPr>
          <w:p w14:paraId="78FDA45A" w14:textId="77777777" w:rsidR="00AB33EC" w:rsidRPr="005523A4" w:rsidRDefault="00AB33EC" w:rsidP="00B721B7">
            <w:pPr>
              <w:jc w:val="right"/>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(1,689)</w:t>
            </w:r>
          </w:p>
        </w:tc>
      </w:tr>
      <w:tr w:rsidR="00AB33EC" w:rsidRPr="003E75E2" w14:paraId="45E2099C" w14:textId="77777777" w:rsidTr="00B721B7">
        <w:trPr>
          <w:trHeight w:val="293"/>
        </w:trPr>
        <w:tc>
          <w:tcPr>
            <w:tcW w:w="2800" w:type="dxa"/>
            <w:tcBorders>
              <w:top w:val="single" w:sz="8" w:space="0" w:color="auto"/>
              <w:left w:val="nil"/>
              <w:bottom w:val="double" w:sz="6" w:space="0" w:color="auto"/>
              <w:right w:val="single" w:sz="8" w:space="0" w:color="auto"/>
            </w:tcBorders>
            <w:shd w:val="clear" w:color="000000" w:fill="FFFFFF"/>
            <w:vAlign w:val="center"/>
            <w:hideMark/>
          </w:tcPr>
          <w:p w14:paraId="7B8AA619" w14:textId="77777777" w:rsidR="00AB33EC" w:rsidRPr="005523A4" w:rsidRDefault="00AB33EC" w:rsidP="00B721B7">
            <w:pPr>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Carrying amount at 30 June</w:t>
            </w:r>
          </w:p>
        </w:tc>
        <w:tc>
          <w:tcPr>
            <w:tcW w:w="920" w:type="dxa"/>
            <w:tcBorders>
              <w:top w:val="single" w:sz="8" w:space="0" w:color="auto"/>
              <w:left w:val="nil"/>
              <w:bottom w:val="double" w:sz="6" w:space="0" w:color="auto"/>
              <w:right w:val="nil"/>
            </w:tcBorders>
            <w:shd w:val="clear" w:color="auto" w:fill="F1F1F2" w:themeFill="accent5" w:themeFillTint="33"/>
            <w:vAlign w:val="center"/>
          </w:tcPr>
          <w:p w14:paraId="11131767"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Pr>
                <w:rFonts w:asciiTheme="minorHAnsi" w:eastAsia="Times New Roman" w:hAnsiTheme="minorHAnsi" w:cstheme="minorHAnsi"/>
                <w:b/>
                <w:bCs/>
                <w:color w:val="000000"/>
                <w:szCs w:val="20"/>
                <w:lang w:eastAsia="en-AU"/>
              </w:rPr>
              <w:t>1,633</w:t>
            </w:r>
          </w:p>
        </w:tc>
        <w:tc>
          <w:tcPr>
            <w:tcW w:w="920" w:type="dxa"/>
            <w:tcBorders>
              <w:top w:val="single" w:sz="8" w:space="0" w:color="auto"/>
              <w:left w:val="nil"/>
              <w:bottom w:val="double" w:sz="6" w:space="0" w:color="auto"/>
              <w:right w:val="single" w:sz="4" w:space="0" w:color="auto"/>
            </w:tcBorders>
            <w:shd w:val="clear" w:color="auto" w:fill="auto"/>
            <w:vAlign w:val="center"/>
            <w:hideMark/>
          </w:tcPr>
          <w:p w14:paraId="247589E2"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1,669</w:t>
            </w:r>
          </w:p>
        </w:tc>
        <w:tc>
          <w:tcPr>
            <w:tcW w:w="920" w:type="dxa"/>
            <w:tcBorders>
              <w:top w:val="single" w:sz="8" w:space="0" w:color="auto"/>
              <w:left w:val="single" w:sz="4" w:space="0" w:color="auto"/>
              <w:bottom w:val="double" w:sz="6" w:space="0" w:color="auto"/>
              <w:right w:val="nil"/>
            </w:tcBorders>
            <w:shd w:val="clear" w:color="auto" w:fill="F1F1F2" w:themeFill="accent5" w:themeFillTint="33"/>
            <w:vAlign w:val="center"/>
          </w:tcPr>
          <w:p w14:paraId="4C37772C"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Pr>
                <w:rFonts w:asciiTheme="minorHAnsi" w:eastAsia="Times New Roman" w:hAnsiTheme="minorHAnsi" w:cstheme="minorHAnsi"/>
                <w:b/>
                <w:bCs/>
                <w:color w:val="000000"/>
                <w:szCs w:val="20"/>
                <w:lang w:eastAsia="en-AU"/>
              </w:rPr>
              <w:t>344</w:t>
            </w:r>
          </w:p>
        </w:tc>
        <w:tc>
          <w:tcPr>
            <w:tcW w:w="920" w:type="dxa"/>
            <w:tcBorders>
              <w:top w:val="single" w:sz="8" w:space="0" w:color="auto"/>
              <w:left w:val="nil"/>
              <w:bottom w:val="double" w:sz="6" w:space="0" w:color="auto"/>
              <w:right w:val="single" w:sz="4" w:space="0" w:color="auto"/>
            </w:tcBorders>
            <w:shd w:val="clear" w:color="auto" w:fill="auto"/>
            <w:vAlign w:val="center"/>
            <w:hideMark/>
          </w:tcPr>
          <w:p w14:paraId="06E3A52F"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401</w:t>
            </w:r>
          </w:p>
        </w:tc>
        <w:tc>
          <w:tcPr>
            <w:tcW w:w="920" w:type="dxa"/>
            <w:tcBorders>
              <w:top w:val="single" w:sz="8" w:space="0" w:color="auto"/>
              <w:left w:val="single" w:sz="4" w:space="0" w:color="auto"/>
              <w:bottom w:val="double" w:sz="6" w:space="0" w:color="auto"/>
              <w:right w:val="nil"/>
            </w:tcBorders>
            <w:shd w:val="clear" w:color="auto" w:fill="F1F1F2" w:themeFill="accent5" w:themeFillTint="33"/>
            <w:vAlign w:val="center"/>
          </w:tcPr>
          <w:p w14:paraId="6644B983"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Pr>
                <w:rFonts w:asciiTheme="minorHAnsi" w:eastAsia="Times New Roman" w:hAnsiTheme="minorHAnsi" w:cstheme="minorHAnsi"/>
                <w:b/>
                <w:bCs/>
                <w:color w:val="000000"/>
                <w:szCs w:val="20"/>
                <w:lang w:eastAsia="en-AU"/>
              </w:rPr>
              <w:t>1,070</w:t>
            </w:r>
          </w:p>
        </w:tc>
        <w:tc>
          <w:tcPr>
            <w:tcW w:w="920" w:type="dxa"/>
            <w:tcBorders>
              <w:top w:val="single" w:sz="8" w:space="0" w:color="auto"/>
              <w:left w:val="nil"/>
              <w:bottom w:val="double" w:sz="6" w:space="0" w:color="auto"/>
              <w:right w:val="single" w:sz="4" w:space="0" w:color="auto"/>
            </w:tcBorders>
            <w:shd w:val="clear" w:color="auto" w:fill="auto"/>
            <w:vAlign w:val="center"/>
            <w:hideMark/>
          </w:tcPr>
          <w:p w14:paraId="758DD4B1"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1,082</w:t>
            </w:r>
          </w:p>
        </w:tc>
        <w:tc>
          <w:tcPr>
            <w:tcW w:w="920" w:type="dxa"/>
            <w:tcBorders>
              <w:top w:val="single" w:sz="8" w:space="0" w:color="auto"/>
              <w:left w:val="single" w:sz="4" w:space="0" w:color="auto"/>
              <w:bottom w:val="double" w:sz="6" w:space="0" w:color="auto"/>
            </w:tcBorders>
            <w:shd w:val="clear" w:color="auto" w:fill="F1F1F2" w:themeFill="accent5" w:themeFillTint="33"/>
            <w:vAlign w:val="center"/>
          </w:tcPr>
          <w:p w14:paraId="5D257F0A"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Pr>
                <w:rFonts w:asciiTheme="minorHAnsi" w:eastAsia="Times New Roman" w:hAnsiTheme="minorHAnsi" w:cstheme="minorHAnsi"/>
                <w:b/>
                <w:bCs/>
                <w:color w:val="000000"/>
                <w:szCs w:val="20"/>
                <w:lang w:eastAsia="en-AU"/>
              </w:rPr>
              <w:t>1,629</w:t>
            </w:r>
          </w:p>
        </w:tc>
        <w:tc>
          <w:tcPr>
            <w:tcW w:w="920" w:type="dxa"/>
            <w:tcBorders>
              <w:top w:val="single" w:sz="8" w:space="0" w:color="auto"/>
              <w:bottom w:val="double" w:sz="6" w:space="0" w:color="auto"/>
              <w:right w:val="single" w:sz="4" w:space="0" w:color="auto"/>
            </w:tcBorders>
            <w:shd w:val="clear" w:color="auto" w:fill="auto"/>
            <w:vAlign w:val="center"/>
            <w:hideMark/>
          </w:tcPr>
          <w:p w14:paraId="02877C7A"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1,950</w:t>
            </w:r>
          </w:p>
        </w:tc>
        <w:tc>
          <w:tcPr>
            <w:tcW w:w="920" w:type="dxa"/>
            <w:tcBorders>
              <w:top w:val="single" w:sz="8" w:space="0" w:color="auto"/>
              <w:left w:val="single" w:sz="4" w:space="0" w:color="auto"/>
              <w:bottom w:val="double" w:sz="6" w:space="0" w:color="auto"/>
            </w:tcBorders>
            <w:shd w:val="clear" w:color="auto" w:fill="F1F1F2" w:themeFill="accent5" w:themeFillTint="33"/>
            <w:vAlign w:val="center"/>
          </w:tcPr>
          <w:p w14:paraId="22BEFFA2" w14:textId="77777777" w:rsidR="00AB33EC" w:rsidRPr="005523A4" w:rsidRDefault="00AB33EC" w:rsidP="00B721B7">
            <w:pPr>
              <w:jc w:val="right"/>
              <w:rPr>
                <w:rFonts w:asciiTheme="minorHAnsi" w:eastAsia="Times New Roman" w:hAnsiTheme="minorHAnsi" w:cstheme="minorHAnsi"/>
                <w:b/>
                <w:color w:val="000000"/>
                <w:szCs w:val="20"/>
                <w:lang w:eastAsia="en-AU"/>
              </w:rPr>
            </w:pPr>
            <w:r>
              <w:rPr>
                <w:rFonts w:asciiTheme="minorHAnsi" w:eastAsia="Times New Roman" w:hAnsiTheme="minorHAnsi" w:cstheme="minorHAnsi"/>
                <w:b/>
                <w:color w:val="000000"/>
                <w:szCs w:val="20"/>
                <w:lang w:eastAsia="en-AU"/>
              </w:rPr>
              <w:t>13</w:t>
            </w:r>
          </w:p>
        </w:tc>
        <w:tc>
          <w:tcPr>
            <w:tcW w:w="920" w:type="dxa"/>
            <w:tcBorders>
              <w:top w:val="single" w:sz="8" w:space="0" w:color="auto"/>
              <w:bottom w:val="double" w:sz="6" w:space="0" w:color="auto"/>
              <w:right w:val="single" w:sz="4" w:space="0" w:color="auto"/>
            </w:tcBorders>
            <w:shd w:val="clear" w:color="auto" w:fill="auto"/>
            <w:vAlign w:val="center"/>
            <w:hideMark/>
          </w:tcPr>
          <w:p w14:paraId="14619CE2"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color w:val="000000"/>
                <w:szCs w:val="20"/>
                <w:lang w:eastAsia="en-AU"/>
              </w:rPr>
              <w:t>287</w:t>
            </w:r>
          </w:p>
        </w:tc>
        <w:tc>
          <w:tcPr>
            <w:tcW w:w="920" w:type="dxa"/>
            <w:tcBorders>
              <w:top w:val="single" w:sz="8" w:space="0" w:color="auto"/>
              <w:left w:val="single" w:sz="4" w:space="0" w:color="auto"/>
              <w:bottom w:val="double" w:sz="6" w:space="0" w:color="auto"/>
            </w:tcBorders>
            <w:shd w:val="clear" w:color="auto" w:fill="F1F1F2" w:themeFill="accent5" w:themeFillTint="33"/>
            <w:vAlign w:val="center"/>
          </w:tcPr>
          <w:p w14:paraId="7FCC48F6"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Pr>
                <w:rFonts w:asciiTheme="minorHAnsi" w:eastAsia="Times New Roman" w:hAnsiTheme="minorHAnsi" w:cstheme="minorHAnsi"/>
                <w:b/>
                <w:bCs/>
                <w:color w:val="000000"/>
                <w:szCs w:val="20"/>
                <w:lang w:eastAsia="en-AU"/>
              </w:rPr>
              <w:t>4,689</w:t>
            </w:r>
          </w:p>
        </w:tc>
        <w:tc>
          <w:tcPr>
            <w:tcW w:w="920" w:type="dxa"/>
            <w:tcBorders>
              <w:top w:val="single" w:sz="8" w:space="0" w:color="auto"/>
              <w:bottom w:val="double" w:sz="6" w:space="0" w:color="auto"/>
            </w:tcBorders>
            <w:shd w:val="clear" w:color="auto" w:fill="auto"/>
            <w:vAlign w:val="center"/>
            <w:hideMark/>
          </w:tcPr>
          <w:p w14:paraId="5B1814C7" w14:textId="77777777" w:rsidR="00AB33EC" w:rsidRPr="005523A4" w:rsidRDefault="00AB33EC" w:rsidP="00B721B7">
            <w:pPr>
              <w:jc w:val="right"/>
              <w:rPr>
                <w:rFonts w:asciiTheme="minorHAnsi" w:eastAsia="Times New Roman" w:hAnsiTheme="minorHAnsi" w:cstheme="minorHAnsi"/>
                <w:b/>
                <w:bCs/>
                <w:color w:val="000000"/>
                <w:szCs w:val="20"/>
                <w:lang w:eastAsia="en-AU"/>
              </w:rPr>
            </w:pPr>
            <w:r w:rsidRPr="005523A4">
              <w:rPr>
                <w:rFonts w:asciiTheme="minorHAnsi" w:eastAsia="Times New Roman" w:hAnsiTheme="minorHAnsi" w:cstheme="minorHAnsi"/>
                <w:b/>
                <w:bCs/>
                <w:color w:val="000000"/>
                <w:szCs w:val="20"/>
                <w:lang w:eastAsia="en-AU"/>
              </w:rPr>
              <w:t>5,389</w:t>
            </w:r>
          </w:p>
        </w:tc>
      </w:tr>
    </w:tbl>
    <w:p w14:paraId="0B976E0E" w14:textId="77777777" w:rsidR="00AB33EC" w:rsidRPr="005523A4" w:rsidRDefault="00AB33EC" w:rsidP="0037124B">
      <w:pPr>
        <w:spacing w:after="40"/>
        <w:ind w:left="284" w:hanging="284"/>
        <w:rPr>
          <w:rFonts w:asciiTheme="minorHAnsi" w:eastAsia="Times New Roman" w:hAnsiTheme="minorHAnsi" w:cstheme="minorHAnsi"/>
          <w:color w:val="000000"/>
          <w:sz w:val="17"/>
          <w:szCs w:val="16"/>
          <w:lang w:eastAsia="en-AU"/>
        </w:rPr>
      </w:pPr>
      <w:r w:rsidRPr="005523A4">
        <w:rPr>
          <w:rFonts w:asciiTheme="minorHAnsi" w:eastAsia="Times New Roman" w:hAnsiTheme="minorHAnsi" w:cstheme="minorHAnsi"/>
          <w:color w:val="000000"/>
          <w:sz w:val="17"/>
          <w:szCs w:val="16"/>
          <w:vertAlign w:val="superscript"/>
          <w:lang w:eastAsia="en-AU"/>
        </w:rPr>
        <w:t>1</w:t>
      </w:r>
      <w:r w:rsidRPr="005523A4">
        <w:rPr>
          <w:rFonts w:asciiTheme="minorHAnsi" w:eastAsia="Times New Roman" w:hAnsiTheme="minorHAnsi" w:cstheme="minorHAnsi"/>
          <w:color w:val="000000"/>
          <w:sz w:val="17"/>
          <w:szCs w:val="16"/>
          <w:lang w:eastAsia="en-AU"/>
        </w:rPr>
        <w:tab/>
        <w:t>Any gain or loss on disposal is recognised at the date of disposal and is the difference between the consideration received and the carrying/book value of the asset at the time.</w:t>
      </w:r>
    </w:p>
    <w:p w14:paraId="4B65D465" w14:textId="77777777" w:rsidR="00AB33EC" w:rsidRPr="005523A4" w:rsidRDefault="00AB33EC" w:rsidP="0037124B">
      <w:pPr>
        <w:spacing w:after="40"/>
        <w:ind w:left="284" w:hanging="284"/>
        <w:rPr>
          <w:rFonts w:asciiTheme="minorHAnsi" w:eastAsia="Times New Roman" w:hAnsiTheme="minorHAnsi" w:cstheme="minorHAnsi"/>
          <w:color w:val="000000"/>
          <w:sz w:val="17"/>
          <w:szCs w:val="16"/>
          <w:lang w:eastAsia="en-AU"/>
        </w:rPr>
      </w:pPr>
      <w:r w:rsidRPr="005523A4">
        <w:rPr>
          <w:rFonts w:asciiTheme="minorHAnsi" w:eastAsia="Times New Roman" w:hAnsiTheme="minorHAnsi" w:cstheme="minorHAnsi"/>
          <w:color w:val="000000"/>
          <w:sz w:val="17"/>
          <w:szCs w:val="16"/>
          <w:vertAlign w:val="superscript"/>
          <w:lang w:eastAsia="en-AU"/>
        </w:rPr>
        <w:t>2</w:t>
      </w:r>
      <w:r w:rsidRPr="005523A4">
        <w:rPr>
          <w:rFonts w:asciiTheme="minorHAnsi" w:eastAsia="Times New Roman" w:hAnsiTheme="minorHAnsi" w:cstheme="minorHAnsi"/>
          <w:color w:val="000000"/>
          <w:sz w:val="17"/>
          <w:szCs w:val="16"/>
          <w:lang w:eastAsia="en-AU"/>
        </w:rPr>
        <w:tab/>
        <w:t>Depreciation is included in the line item “Depreciation and amortisation” in the Statement of Comprehensive Income.</w:t>
      </w:r>
    </w:p>
    <w:p w14:paraId="1C920135" w14:textId="77777777" w:rsidR="00AB33EC" w:rsidRPr="005523A4" w:rsidRDefault="00AB33EC" w:rsidP="0037124B">
      <w:pPr>
        <w:spacing w:before="60"/>
        <w:ind w:left="284" w:hanging="284"/>
        <w:rPr>
          <w:rFonts w:asciiTheme="minorHAnsi" w:eastAsia="Times New Roman" w:hAnsiTheme="minorHAnsi" w:cstheme="minorHAnsi"/>
          <w:color w:val="000000"/>
          <w:sz w:val="17"/>
          <w:szCs w:val="16"/>
          <w:lang w:eastAsia="en-AU"/>
        </w:rPr>
      </w:pPr>
    </w:p>
    <w:p w14:paraId="284511EA" w14:textId="77777777" w:rsidR="00AB33EC" w:rsidRPr="003E75E2" w:rsidRDefault="00AB33EC" w:rsidP="00AB33EC">
      <w:pPr>
        <w:rPr>
          <w:rFonts w:asciiTheme="minorHAnsi" w:hAnsiTheme="minorHAnsi" w:cstheme="minorHAnsi"/>
          <w:lang w:eastAsia="en-AU"/>
        </w:rPr>
        <w:sectPr w:rsidR="00AB33EC" w:rsidRPr="003E75E2" w:rsidSect="00954847">
          <w:footerReference w:type="even" r:id="rId293"/>
          <w:pgSz w:w="16838" w:h="11906" w:orient="landscape"/>
          <w:pgMar w:top="1418" w:right="1701" w:bottom="1418" w:left="1418" w:header="709" w:footer="283" w:gutter="0"/>
          <w:cols w:space="708"/>
          <w:docGrid w:linePitch="360"/>
        </w:sectPr>
      </w:pPr>
    </w:p>
    <w:p w14:paraId="7CCD18AB" w14:textId="77777777" w:rsidR="00AB33EC" w:rsidRPr="005523A4" w:rsidRDefault="00AB33EC" w:rsidP="00AB33EC">
      <w:pPr>
        <w:outlineLvl w:val="0"/>
        <w:rPr>
          <w:rFonts w:asciiTheme="minorHAnsi" w:eastAsia="Times New Roman" w:hAnsiTheme="minorHAnsi" w:cstheme="minorHAnsi"/>
          <w:b/>
          <w:color w:val="000000"/>
          <w:sz w:val="23"/>
          <w:szCs w:val="20"/>
        </w:rPr>
      </w:pPr>
      <w:r w:rsidRPr="005523A4">
        <w:rPr>
          <w:rFonts w:asciiTheme="minorHAnsi" w:eastAsia="Times New Roman" w:hAnsiTheme="minorHAnsi" w:cstheme="minorHAnsi"/>
          <w:b/>
          <w:color w:val="000000"/>
          <w:sz w:val="23"/>
          <w:szCs w:val="20"/>
        </w:rPr>
        <w:t xml:space="preserve">Note 10:  Right-of-use Assets and Lease Liabilities </w:t>
      </w:r>
    </w:p>
    <w:p w14:paraId="02650821" w14:textId="77777777" w:rsidR="00AB33EC" w:rsidRPr="005523A4"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rPr>
          <w:rFonts w:asciiTheme="minorHAnsi" w:eastAsia="Times New Roman" w:hAnsiTheme="minorHAnsi" w:cstheme="minorHAnsi"/>
          <w:b/>
          <w:bCs/>
          <w:color w:val="000000"/>
          <w:sz w:val="21"/>
          <w:szCs w:val="20"/>
        </w:rPr>
      </w:pPr>
      <w:r w:rsidRPr="005523A4">
        <w:rPr>
          <w:rFonts w:asciiTheme="minorHAnsi" w:eastAsia="Times New Roman" w:hAnsiTheme="minorHAnsi" w:cstheme="minorHAnsi"/>
          <w:b/>
          <w:bCs/>
          <w:color w:val="000000"/>
          <w:sz w:val="21"/>
          <w:szCs w:val="20"/>
        </w:rPr>
        <w:t>Accounting Policy:</w:t>
      </w:r>
    </w:p>
    <w:p w14:paraId="78F58CF0" w14:textId="77777777" w:rsidR="00AB33EC" w:rsidRPr="005523A4"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spacing w:before="80"/>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The CCC has elected not to recognise right-of-use assets and lease liabilities arising from short-term leases and leases of low value assets, where it is expected to cost less than $10,000 when new.</w:t>
      </w:r>
    </w:p>
    <w:p w14:paraId="7F2CC0CE" w14:textId="77777777" w:rsidR="00AB33EC"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spacing w:before="80"/>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When measuring the lease liability, the CCC uses its incremental borrowing rate as the discount rate where the interest rate implicit in the lease cannot be readily determined, which is the case for all of the CCC’s leases. To determine the incremental borrowing rate, the CCC uses loan rates provided by Queensland Treasury Corporation that correspond to the commencement date and term of the lease.</w:t>
      </w:r>
    </w:p>
    <w:p w14:paraId="72EDAC13" w14:textId="77777777" w:rsidR="00AB33EC" w:rsidRPr="005523A4"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spacing w:before="80"/>
        <w:rPr>
          <w:rFonts w:asciiTheme="minorHAnsi" w:eastAsia="Times New Roman" w:hAnsiTheme="minorHAnsi" w:cstheme="minorHAnsi"/>
          <w:color w:val="000000"/>
          <w:szCs w:val="20"/>
          <w:lang w:eastAsia="en-AU"/>
        </w:rPr>
      </w:pPr>
    </w:p>
    <w:p w14:paraId="4F25A6A5" w14:textId="77777777" w:rsidR="00AB33EC" w:rsidRPr="005523A4" w:rsidRDefault="00AB33EC" w:rsidP="00AB33EC">
      <w:pPr>
        <w:spacing w:before="80"/>
        <w:rPr>
          <w:rFonts w:asciiTheme="minorHAnsi" w:eastAsia="Times New Roman" w:hAnsiTheme="minorHAnsi" w:cstheme="minorHAnsi"/>
          <w:color w:val="000000"/>
          <w:szCs w:val="20"/>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AB33EC" w:rsidRPr="003E75E2" w14:paraId="02F35160" w14:textId="77777777" w:rsidTr="00E9699B">
        <w:trPr>
          <w:trHeight w:val="726"/>
        </w:trPr>
        <w:tc>
          <w:tcPr>
            <w:tcW w:w="5529" w:type="dxa"/>
            <w:tcBorders>
              <w:top w:val="nil"/>
              <w:left w:val="nil"/>
              <w:bottom w:val="nil"/>
            </w:tcBorders>
            <w:noWrap/>
            <w:tcMar>
              <w:left w:w="0" w:type="dxa"/>
              <w:right w:w="0" w:type="dxa"/>
            </w:tcMar>
            <w:vAlign w:val="bottom"/>
          </w:tcPr>
          <w:p w14:paraId="7276F3D6" w14:textId="77777777" w:rsidR="00AB33EC" w:rsidRPr="005523A4" w:rsidRDefault="00AB33EC" w:rsidP="00E9699B">
            <w:pPr>
              <w:tabs>
                <w:tab w:val="left" w:pos="0"/>
              </w:tabs>
              <w:spacing w:before="100" w:beforeAutospacing="1" w:after="40"/>
              <w:rPr>
                <w:rFonts w:asciiTheme="minorHAnsi" w:eastAsia="Times New Roman" w:hAnsiTheme="minorHAnsi" w:cstheme="minorHAnsi"/>
                <w:b/>
                <w:bCs/>
                <w:color w:val="000000"/>
                <w:sz w:val="21"/>
                <w:szCs w:val="21"/>
                <w:lang w:eastAsia="en-AU"/>
              </w:rPr>
            </w:pPr>
            <w:r w:rsidRPr="005523A4">
              <w:rPr>
                <w:rFonts w:asciiTheme="minorHAnsi" w:eastAsia="Times New Roman" w:hAnsiTheme="minorHAnsi" w:cstheme="minorHAnsi"/>
                <w:b/>
                <w:bCs/>
                <w:color w:val="000000"/>
                <w:sz w:val="21"/>
                <w:szCs w:val="21"/>
                <w:lang w:eastAsia="en-AU"/>
              </w:rPr>
              <w:t>Right-of-use assets</w:t>
            </w:r>
          </w:p>
          <w:p w14:paraId="58754829" w14:textId="77777777" w:rsidR="00AB33EC" w:rsidRPr="005523A4" w:rsidRDefault="00AB33EC" w:rsidP="00E9699B">
            <w:pPr>
              <w:tabs>
                <w:tab w:val="left" w:pos="0"/>
              </w:tabs>
              <w:spacing w:before="100" w:beforeAutospacing="1" w:after="40"/>
              <w:rPr>
                <w:rFonts w:asciiTheme="minorHAnsi" w:eastAsia="Times New Roman" w:hAnsiTheme="minorHAnsi" w:cstheme="minorHAnsi"/>
                <w:bCs/>
                <w:color w:val="000000"/>
                <w:szCs w:val="18"/>
                <w:lang w:eastAsia="en-AU"/>
              </w:rPr>
            </w:pPr>
          </w:p>
        </w:tc>
        <w:tc>
          <w:tcPr>
            <w:tcW w:w="567" w:type="dxa"/>
            <w:tcBorders>
              <w:top w:val="nil"/>
              <w:bottom w:val="nil"/>
            </w:tcBorders>
            <w:noWrap/>
            <w:tcMar>
              <w:left w:w="0" w:type="dxa"/>
              <w:right w:w="0" w:type="dxa"/>
            </w:tcMar>
            <w:vAlign w:val="bottom"/>
          </w:tcPr>
          <w:p w14:paraId="265E2AA2" w14:textId="77777777" w:rsidR="00AB33EC" w:rsidRPr="005523A4" w:rsidRDefault="00AB33EC" w:rsidP="00E9699B">
            <w:pPr>
              <w:spacing w:before="100" w:beforeAutospacing="1" w:after="4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0596453F" w14:textId="77777777" w:rsidR="00AB33EC" w:rsidRPr="005523A4" w:rsidRDefault="00AB33EC" w:rsidP="00E9699B">
            <w:pPr>
              <w:spacing w:before="100" w:beforeAutospacing="1" w:after="40"/>
              <w:jc w:val="right"/>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2024</w:t>
            </w:r>
          </w:p>
        </w:tc>
        <w:tc>
          <w:tcPr>
            <w:tcW w:w="283" w:type="dxa"/>
            <w:tcBorders>
              <w:top w:val="nil"/>
              <w:bottom w:val="nil"/>
            </w:tcBorders>
            <w:noWrap/>
          </w:tcPr>
          <w:p w14:paraId="70EB44CC" w14:textId="77777777" w:rsidR="00AB33EC" w:rsidRPr="005523A4" w:rsidRDefault="00AB33EC" w:rsidP="00E9699B">
            <w:pPr>
              <w:spacing w:before="100" w:beforeAutospacing="1" w:after="4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FFFFFF"/>
            <w:noWrap/>
            <w:tcMar>
              <w:left w:w="0" w:type="dxa"/>
              <w:right w:w="113" w:type="dxa"/>
            </w:tcMar>
            <w:vAlign w:val="bottom"/>
          </w:tcPr>
          <w:p w14:paraId="0CBB27D2" w14:textId="77777777" w:rsidR="00AB33EC" w:rsidRPr="005523A4" w:rsidRDefault="00AB33EC" w:rsidP="00E9699B">
            <w:pPr>
              <w:spacing w:before="100" w:beforeAutospacing="1" w:after="40"/>
              <w:jc w:val="right"/>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2023</w:t>
            </w:r>
          </w:p>
        </w:tc>
      </w:tr>
      <w:tr w:rsidR="00AB33EC" w:rsidRPr="003E75E2" w14:paraId="4697E484" w14:textId="77777777" w:rsidTr="00B721B7">
        <w:trPr>
          <w:trHeight w:val="20"/>
        </w:trPr>
        <w:tc>
          <w:tcPr>
            <w:tcW w:w="5529" w:type="dxa"/>
            <w:tcBorders>
              <w:top w:val="nil"/>
              <w:left w:val="nil"/>
              <w:bottom w:val="nil"/>
            </w:tcBorders>
            <w:noWrap/>
            <w:tcMar>
              <w:left w:w="0" w:type="dxa"/>
              <w:right w:w="0" w:type="dxa"/>
            </w:tcMar>
            <w:vAlign w:val="bottom"/>
          </w:tcPr>
          <w:p w14:paraId="4B857830" w14:textId="77777777" w:rsidR="00AB33EC" w:rsidRPr="005523A4" w:rsidRDefault="00AB33EC" w:rsidP="00E9699B">
            <w:pPr>
              <w:tabs>
                <w:tab w:val="left" w:pos="0"/>
              </w:tabs>
              <w:spacing w:before="100" w:beforeAutospacing="1" w:after="40"/>
              <w:rPr>
                <w:rFonts w:asciiTheme="minorHAnsi" w:eastAsia="Times New Roman" w:hAnsiTheme="minorHAnsi" w:cstheme="minorHAnsi"/>
                <w:bCs/>
                <w:color w:val="000000"/>
                <w:sz w:val="16"/>
                <w:szCs w:val="16"/>
                <w:lang w:eastAsia="en-AU"/>
              </w:rPr>
            </w:pPr>
          </w:p>
        </w:tc>
        <w:tc>
          <w:tcPr>
            <w:tcW w:w="567" w:type="dxa"/>
            <w:tcBorders>
              <w:top w:val="nil"/>
              <w:bottom w:val="nil"/>
            </w:tcBorders>
            <w:noWrap/>
            <w:tcMar>
              <w:left w:w="0" w:type="dxa"/>
              <w:right w:w="0" w:type="dxa"/>
            </w:tcMar>
            <w:vAlign w:val="bottom"/>
          </w:tcPr>
          <w:p w14:paraId="5A6098A3" w14:textId="77777777" w:rsidR="00AB33EC" w:rsidRPr="005523A4" w:rsidRDefault="00AB33EC" w:rsidP="00E9699B">
            <w:pPr>
              <w:spacing w:before="100" w:beforeAutospacing="1" w:after="4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46CC95D5" w14:textId="77777777" w:rsidR="00AB33EC" w:rsidRPr="005523A4" w:rsidRDefault="00AB33EC" w:rsidP="00E9699B">
            <w:pPr>
              <w:spacing w:before="100" w:beforeAutospacing="1" w:after="40"/>
              <w:jc w:val="right"/>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$’000</w:t>
            </w:r>
          </w:p>
        </w:tc>
        <w:tc>
          <w:tcPr>
            <w:tcW w:w="283" w:type="dxa"/>
            <w:tcBorders>
              <w:top w:val="nil"/>
              <w:bottom w:val="nil"/>
            </w:tcBorders>
            <w:noWrap/>
          </w:tcPr>
          <w:p w14:paraId="319CE672" w14:textId="77777777" w:rsidR="00AB33EC" w:rsidRPr="005523A4" w:rsidRDefault="00AB33EC" w:rsidP="00E9699B">
            <w:pPr>
              <w:spacing w:before="100" w:beforeAutospacing="1" w:after="4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FFFFFF"/>
            <w:noWrap/>
            <w:tcMar>
              <w:left w:w="0" w:type="dxa"/>
              <w:right w:w="113" w:type="dxa"/>
            </w:tcMar>
            <w:vAlign w:val="bottom"/>
          </w:tcPr>
          <w:p w14:paraId="6B4163A0" w14:textId="77777777" w:rsidR="00AB33EC" w:rsidRPr="005523A4" w:rsidRDefault="00AB33EC" w:rsidP="00E9699B">
            <w:pPr>
              <w:spacing w:before="100" w:beforeAutospacing="1" w:after="40"/>
              <w:jc w:val="right"/>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$’000</w:t>
            </w:r>
          </w:p>
        </w:tc>
      </w:tr>
      <w:tr w:rsidR="00AB33EC" w:rsidRPr="003E75E2" w14:paraId="0CCBE8EE" w14:textId="77777777" w:rsidTr="00B721B7">
        <w:trPr>
          <w:trHeight w:val="20"/>
        </w:trPr>
        <w:tc>
          <w:tcPr>
            <w:tcW w:w="5529" w:type="dxa"/>
            <w:tcBorders>
              <w:top w:val="nil"/>
              <w:left w:val="nil"/>
              <w:bottom w:val="nil"/>
            </w:tcBorders>
            <w:noWrap/>
            <w:tcMar>
              <w:left w:w="0" w:type="dxa"/>
              <w:right w:w="0" w:type="dxa"/>
            </w:tcMar>
            <w:vAlign w:val="bottom"/>
          </w:tcPr>
          <w:p w14:paraId="4C266B4D" w14:textId="77777777" w:rsidR="00AB33EC" w:rsidRPr="005523A4" w:rsidRDefault="00AB33EC" w:rsidP="00E9699B">
            <w:pPr>
              <w:spacing w:before="100" w:beforeAutospacing="1" w:after="40"/>
              <w:rPr>
                <w:rFonts w:asciiTheme="minorHAnsi" w:eastAsia="Times New Roman" w:hAnsiTheme="minorHAnsi" w:cstheme="minorHAnsi"/>
                <w:bCs/>
                <w:color w:val="000000"/>
                <w:sz w:val="16"/>
                <w:szCs w:val="16"/>
                <w:lang w:eastAsia="en-AU"/>
              </w:rPr>
            </w:pPr>
          </w:p>
        </w:tc>
        <w:tc>
          <w:tcPr>
            <w:tcW w:w="567" w:type="dxa"/>
            <w:tcBorders>
              <w:top w:val="nil"/>
              <w:bottom w:val="nil"/>
            </w:tcBorders>
            <w:noWrap/>
            <w:tcMar>
              <w:left w:w="0" w:type="dxa"/>
              <w:right w:w="0" w:type="dxa"/>
            </w:tcMar>
            <w:vAlign w:val="bottom"/>
          </w:tcPr>
          <w:p w14:paraId="78EF5085" w14:textId="77777777" w:rsidR="00AB33EC" w:rsidRPr="005523A4" w:rsidRDefault="00AB33EC" w:rsidP="00E9699B">
            <w:pPr>
              <w:spacing w:before="100" w:beforeAutospacing="1" w:after="4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0FF0FF92" w14:textId="77777777" w:rsidR="00AB33EC" w:rsidRPr="005523A4" w:rsidRDefault="00AB33EC" w:rsidP="00E9699B">
            <w:pPr>
              <w:spacing w:before="100" w:beforeAutospacing="1" w:after="40"/>
              <w:jc w:val="right"/>
              <w:rPr>
                <w:rFonts w:asciiTheme="minorHAnsi" w:eastAsia="Times New Roman" w:hAnsiTheme="minorHAnsi" w:cstheme="minorHAnsi"/>
                <w:bCs/>
                <w:color w:val="000000"/>
                <w:szCs w:val="18"/>
                <w:lang w:eastAsia="en-AU"/>
              </w:rPr>
            </w:pPr>
          </w:p>
        </w:tc>
        <w:tc>
          <w:tcPr>
            <w:tcW w:w="283" w:type="dxa"/>
            <w:tcBorders>
              <w:top w:val="nil"/>
              <w:bottom w:val="nil"/>
            </w:tcBorders>
            <w:noWrap/>
          </w:tcPr>
          <w:p w14:paraId="2B894441" w14:textId="77777777" w:rsidR="00AB33EC" w:rsidRPr="005523A4" w:rsidRDefault="00AB33EC" w:rsidP="00E9699B">
            <w:pPr>
              <w:spacing w:before="100" w:beforeAutospacing="1" w:after="4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FFFFFF"/>
            <w:noWrap/>
            <w:tcMar>
              <w:left w:w="0" w:type="dxa"/>
              <w:right w:w="113" w:type="dxa"/>
            </w:tcMar>
            <w:vAlign w:val="bottom"/>
          </w:tcPr>
          <w:p w14:paraId="4C0C3EA4" w14:textId="77777777" w:rsidR="00AB33EC" w:rsidRPr="005523A4" w:rsidRDefault="00AB33EC" w:rsidP="00E9699B">
            <w:pPr>
              <w:spacing w:before="100" w:beforeAutospacing="1" w:after="40"/>
              <w:jc w:val="right"/>
              <w:rPr>
                <w:rFonts w:asciiTheme="minorHAnsi" w:eastAsia="Times New Roman" w:hAnsiTheme="minorHAnsi" w:cstheme="minorHAnsi"/>
                <w:bCs/>
                <w:color w:val="000000"/>
                <w:szCs w:val="18"/>
                <w:lang w:eastAsia="en-AU"/>
              </w:rPr>
            </w:pPr>
          </w:p>
        </w:tc>
      </w:tr>
      <w:tr w:rsidR="00AB33EC" w:rsidRPr="003E75E2" w14:paraId="0CC2A813" w14:textId="77777777" w:rsidTr="00B721B7">
        <w:trPr>
          <w:trHeight w:val="20"/>
        </w:trPr>
        <w:tc>
          <w:tcPr>
            <w:tcW w:w="5529" w:type="dxa"/>
            <w:tcBorders>
              <w:top w:val="nil"/>
              <w:left w:val="nil"/>
              <w:bottom w:val="nil"/>
            </w:tcBorders>
            <w:noWrap/>
            <w:tcMar>
              <w:left w:w="0" w:type="dxa"/>
              <w:right w:w="0" w:type="dxa"/>
            </w:tcMar>
          </w:tcPr>
          <w:p w14:paraId="05B3B3A7" w14:textId="77777777" w:rsidR="00AB33EC" w:rsidRPr="005523A4" w:rsidRDefault="00AB33EC" w:rsidP="00E9699B">
            <w:pPr>
              <w:spacing w:before="100" w:beforeAutospacing="1" w:after="40"/>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 xml:space="preserve">Opening balance 1 July </w:t>
            </w:r>
          </w:p>
        </w:tc>
        <w:tc>
          <w:tcPr>
            <w:tcW w:w="567" w:type="dxa"/>
            <w:tcBorders>
              <w:top w:val="nil"/>
              <w:bottom w:val="nil"/>
            </w:tcBorders>
            <w:noWrap/>
            <w:tcMar>
              <w:left w:w="0" w:type="dxa"/>
              <w:right w:w="0" w:type="dxa"/>
            </w:tcMar>
            <w:vAlign w:val="bottom"/>
          </w:tcPr>
          <w:p w14:paraId="59FFC231" w14:textId="77777777" w:rsidR="00AB33EC" w:rsidRPr="005523A4" w:rsidRDefault="00AB33EC" w:rsidP="00E9699B">
            <w:pPr>
              <w:spacing w:before="100" w:beforeAutospacing="1" w:after="4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43C9B84E" w14:textId="77777777" w:rsidR="00AB33EC" w:rsidRPr="005523A4" w:rsidRDefault="00AB33EC" w:rsidP="00E9699B">
            <w:pPr>
              <w:spacing w:before="100" w:beforeAutospacing="1" w:after="40"/>
              <w:jc w:val="right"/>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945</w:t>
            </w:r>
          </w:p>
        </w:tc>
        <w:tc>
          <w:tcPr>
            <w:tcW w:w="283" w:type="dxa"/>
            <w:tcBorders>
              <w:top w:val="nil"/>
              <w:bottom w:val="nil"/>
            </w:tcBorders>
            <w:noWrap/>
          </w:tcPr>
          <w:p w14:paraId="2CB04E65" w14:textId="77777777" w:rsidR="00AB33EC" w:rsidRPr="005523A4" w:rsidRDefault="00AB33EC" w:rsidP="00E9699B">
            <w:pPr>
              <w:spacing w:before="100" w:beforeAutospacing="1" w:after="4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auto"/>
            <w:noWrap/>
            <w:tcMar>
              <w:left w:w="0" w:type="dxa"/>
              <w:right w:w="113" w:type="dxa"/>
            </w:tcMar>
            <w:vAlign w:val="bottom"/>
          </w:tcPr>
          <w:p w14:paraId="02BC4C2A" w14:textId="77777777" w:rsidR="00AB33EC" w:rsidRPr="005523A4" w:rsidRDefault="00AB33EC" w:rsidP="00E9699B">
            <w:pPr>
              <w:spacing w:before="100" w:beforeAutospacing="1" w:after="40"/>
              <w:jc w:val="right"/>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309</w:t>
            </w:r>
          </w:p>
        </w:tc>
      </w:tr>
      <w:tr w:rsidR="00AB33EC" w:rsidRPr="003E75E2" w14:paraId="7BFB009C" w14:textId="77777777" w:rsidTr="00B721B7">
        <w:trPr>
          <w:trHeight w:val="20"/>
        </w:trPr>
        <w:tc>
          <w:tcPr>
            <w:tcW w:w="5529" w:type="dxa"/>
            <w:tcBorders>
              <w:top w:val="nil"/>
              <w:left w:val="nil"/>
              <w:bottom w:val="nil"/>
            </w:tcBorders>
            <w:noWrap/>
            <w:tcMar>
              <w:left w:w="0" w:type="dxa"/>
              <w:right w:w="0" w:type="dxa"/>
            </w:tcMar>
          </w:tcPr>
          <w:p w14:paraId="22B698F4" w14:textId="77777777" w:rsidR="00AB33EC" w:rsidRPr="005523A4" w:rsidRDefault="00AB33EC" w:rsidP="00E9699B">
            <w:pPr>
              <w:spacing w:before="100" w:beforeAutospacing="1" w:after="40"/>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Lease addition</w:t>
            </w:r>
          </w:p>
        </w:tc>
        <w:tc>
          <w:tcPr>
            <w:tcW w:w="567" w:type="dxa"/>
            <w:tcBorders>
              <w:top w:val="nil"/>
              <w:bottom w:val="nil"/>
            </w:tcBorders>
            <w:noWrap/>
            <w:tcMar>
              <w:left w:w="0" w:type="dxa"/>
              <w:right w:w="0" w:type="dxa"/>
            </w:tcMar>
            <w:vAlign w:val="bottom"/>
          </w:tcPr>
          <w:p w14:paraId="52168E04" w14:textId="77777777" w:rsidR="00AB33EC" w:rsidRPr="005523A4" w:rsidRDefault="00AB33EC" w:rsidP="00E9699B">
            <w:pPr>
              <w:spacing w:before="100" w:beforeAutospacing="1" w:after="4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465301B0" w14:textId="77777777" w:rsidR="00AB33EC" w:rsidRPr="005523A4" w:rsidRDefault="00AB33EC" w:rsidP="00E9699B">
            <w:pPr>
              <w:spacing w:before="100" w:beforeAutospacing="1" w:after="40"/>
              <w:jc w:val="right"/>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w:t>
            </w:r>
          </w:p>
        </w:tc>
        <w:tc>
          <w:tcPr>
            <w:tcW w:w="283" w:type="dxa"/>
            <w:tcBorders>
              <w:top w:val="nil"/>
              <w:bottom w:val="nil"/>
            </w:tcBorders>
            <w:noWrap/>
          </w:tcPr>
          <w:p w14:paraId="79749101" w14:textId="77777777" w:rsidR="00AB33EC" w:rsidRPr="005523A4" w:rsidRDefault="00AB33EC" w:rsidP="00E9699B">
            <w:pPr>
              <w:spacing w:before="100" w:beforeAutospacing="1" w:after="4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auto"/>
            <w:noWrap/>
            <w:tcMar>
              <w:left w:w="0" w:type="dxa"/>
              <w:right w:w="113" w:type="dxa"/>
            </w:tcMar>
            <w:vAlign w:val="bottom"/>
          </w:tcPr>
          <w:p w14:paraId="07EBCBED" w14:textId="77777777" w:rsidR="00AB33EC" w:rsidRPr="005523A4" w:rsidRDefault="00AB33EC" w:rsidP="00E9699B">
            <w:pPr>
              <w:spacing w:before="100" w:beforeAutospacing="1" w:after="40"/>
              <w:jc w:val="right"/>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951</w:t>
            </w:r>
          </w:p>
        </w:tc>
      </w:tr>
      <w:tr w:rsidR="00AB33EC" w:rsidRPr="003E75E2" w14:paraId="5AE8214C" w14:textId="77777777" w:rsidTr="00B721B7">
        <w:trPr>
          <w:trHeight w:val="20"/>
        </w:trPr>
        <w:tc>
          <w:tcPr>
            <w:tcW w:w="5529" w:type="dxa"/>
            <w:tcBorders>
              <w:top w:val="nil"/>
              <w:left w:val="nil"/>
              <w:bottom w:val="nil"/>
            </w:tcBorders>
            <w:noWrap/>
            <w:tcMar>
              <w:left w:w="0" w:type="dxa"/>
              <w:right w:w="0" w:type="dxa"/>
            </w:tcMar>
          </w:tcPr>
          <w:p w14:paraId="675365BE" w14:textId="77777777" w:rsidR="00AB33EC" w:rsidRPr="005523A4" w:rsidRDefault="00AB33EC" w:rsidP="00E9699B">
            <w:pPr>
              <w:spacing w:before="100" w:beforeAutospacing="1" w:after="40"/>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 xml:space="preserve">Less: Accumulated depreciation </w:t>
            </w:r>
          </w:p>
        </w:tc>
        <w:tc>
          <w:tcPr>
            <w:tcW w:w="567" w:type="dxa"/>
            <w:tcBorders>
              <w:top w:val="nil"/>
              <w:bottom w:val="nil"/>
            </w:tcBorders>
            <w:noWrap/>
            <w:tcMar>
              <w:left w:w="0" w:type="dxa"/>
              <w:right w:w="0" w:type="dxa"/>
            </w:tcMar>
            <w:vAlign w:val="bottom"/>
          </w:tcPr>
          <w:p w14:paraId="05731AA5" w14:textId="77777777" w:rsidR="00AB33EC" w:rsidRPr="005523A4" w:rsidRDefault="00AB33EC" w:rsidP="00E9699B">
            <w:pPr>
              <w:spacing w:before="100" w:beforeAutospacing="1" w:after="4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2BD1DFA5" w14:textId="77777777" w:rsidR="00AB33EC" w:rsidRPr="005523A4" w:rsidRDefault="00AB33EC" w:rsidP="00E9699B">
            <w:pPr>
              <w:spacing w:before="100" w:beforeAutospacing="1" w:after="40"/>
              <w:jc w:val="right"/>
              <w:rPr>
                <w:rFonts w:asciiTheme="minorHAnsi" w:eastAsia="Times New Roman" w:hAnsiTheme="minorHAnsi" w:cstheme="minorHAnsi"/>
                <w:bCs/>
                <w:color w:val="000000"/>
                <w:szCs w:val="18"/>
                <w:lang w:eastAsia="en-AU"/>
              </w:rPr>
            </w:pPr>
            <w:r>
              <w:rPr>
                <w:rFonts w:asciiTheme="minorHAnsi" w:eastAsia="Times New Roman" w:hAnsiTheme="minorHAnsi" w:cstheme="minorHAnsi"/>
                <w:bCs/>
                <w:color w:val="000000"/>
                <w:szCs w:val="18"/>
                <w:lang w:eastAsia="en-AU"/>
              </w:rPr>
              <w:t>(315)</w:t>
            </w:r>
          </w:p>
        </w:tc>
        <w:tc>
          <w:tcPr>
            <w:tcW w:w="283" w:type="dxa"/>
            <w:tcBorders>
              <w:top w:val="nil"/>
              <w:bottom w:val="nil"/>
            </w:tcBorders>
            <w:noWrap/>
          </w:tcPr>
          <w:p w14:paraId="2D7D7D28" w14:textId="77777777" w:rsidR="00AB33EC" w:rsidRPr="005523A4" w:rsidRDefault="00AB33EC" w:rsidP="00E9699B">
            <w:pPr>
              <w:spacing w:before="100" w:beforeAutospacing="1" w:after="4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auto"/>
            <w:noWrap/>
            <w:tcMar>
              <w:left w:w="0" w:type="dxa"/>
              <w:right w:w="113" w:type="dxa"/>
            </w:tcMar>
            <w:vAlign w:val="bottom"/>
          </w:tcPr>
          <w:p w14:paraId="4237348F" w14:textId="77777777" w:rsidR="00AB33EC" w:rsidRPr="005523A4" w:rsidRDefault="00AB33EC" w:rsidP="00E9699B">
            <w:pPr>
              <w:spacing w:before="100" w:beforeAutospacing="1" w:after="40"/>
              <w:jc w:val="right"/>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(315)</w:t>
            </w:r>
          </w:p>
        </w:tc>
      </w:tr>
      <w:tr w:rsidR="00AB33EC" w:rsidRPr="003E75E2" w14:paraId="18AC5980" w14:textId="77777777" w:rsidTr="00B721B7">
        <w:trPr>
          <w:trHeight w:val="20"/>
        </w:trPr>
        <w:tc>
          <w:tcPr>
            <w:tcW w:w="5529" w:type="dxa"/>
            <w:tcBorders>
              <w:top w:val="nil"/>
              <w:left w:val="nil"/>
              <w:bottom w:val="nil"/>
            </w:tcBorders>
            <w:noWrap/>
            <w:tcMar>
              <w:left w:w="0" w:type="dxa"/>
              <w:right w:w="0" w:type="dxa"/>
            </w:tcMar>
            <w:vAlign w:val="bottom"/>
          </w:tcPr>
          <w:p w14:paraId="1652482A" w14:textId="77777777" w:rsidR="00AB33EC" w:rsidRPr="005523A4" w:rsidRDefault="00AB33EC" w:rsidP="00E9699B">
            <w:pPr>
              <w:tabs>
                <w:tab w:val="left" w:pos="0"/>
              </w:tabs>
              <w:spacing w:before="100" w:beforeAutospacing="1" w:after="40"/>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Total</w:t>
            </w:r>
          </w:p>
        </w:tc>
        <w:tc>
          <w:tcPr>
            <w:tcW w:w="567" w:type="dxa"/>
            <w:tcBorders>
              <w:top w:val="nil"/>
              <w:bottom w:val="nil"/>
            </w:tcBorders>
            <w:noWrap/>
            <w:tcMar>
              <w:left w:w="0" w:type="dxa"/>
              <w:right w:w="0" w:type="dxa"/>
            </w:tcMar>
            <w:vAlign w:val="bottom"/>
          </w:tcPr>
          <w:p w14:paraId="6DA727C8" w14:textId="77777777" w:rsidR="00AB33EC" w:rsidRPr="005523A4" w:rsidRDefault="00AB33EC" w:rsidP="00E9699B">
            <w:pPr>
              <w:spacing w:before="100" w:beforeAutospacing="1" w:after="40"/>
              <w:jc w:val="center"/>
              <w:rPr>
                <w:rFonts w:asciiTheme="minorHAnsi" w:eastAsia="Times New Roman" w:hAnsiTheme="minorHAnsi" w:cstheme="minorHAnsi"/>
                <w:b/>
                <w:bCs/>
                <w:color w:val="000000"/>
                <w:szCs w:val="18"/>
                <w:lang w:eastAsia="en-AU"/>
              </w:rPr>
            </w:pPr>
          </w:p>
        </w:tc>
        <w:tc>
          <w:tcPr>
            <w:tcW w:w="1417" w:type="dxa"/>
            <w:tcBorders>
              <w:top w:val="single" w:sz="4" w:space="0" w:color="auto"/>
              <w:bottom w:val="double" w:sz="4" w:space="0" w:color="auto"/>
            </w:tcBorders>
            <w:shd w:val="clear" w:color="auto" w:fill="F1F1F2" w:themeFill="accent5" w:themeFillTint="33"/>
            <w:noWrap/>
            <w:tcMar>
              <w:left w:w="0" w:type="dxa"/>
              <w:right w:w="113" w:type="dxa"/>
            </w:tcMar>
            <w:vAlign w:val="bottom"/>
          </w:tcPr>
          <w:p w14:paraId="40AE0A29" w14:textId="77777777" w:rsidR="00AB33EC" w:rsidRPr="005523A4" w:rsidRDefault="00AB33EC" w:rsidP="00E9699B">
            <w:pPr>
              <w:spacing w:before="100" w:beforeAutospacing="1" w:after="40"/>
              <w:jc w:val="right"/>
              <w:rPr>
                <w:rFonts w:asciiTheme="minorHAnsi" w:eastAsia="Times New Roman" w:hAnsiTheme="minorHAnsi" w:cstheme="minorHAnsi"/>
                <w:b/>
                <w:bCs/>
                <w:iCs/>
                <w:color w:val="000000"/>
                <w:szCs w:val="18"/>
                <w:lang w:eastAsia="en-AU"/>
              </w:rPr>
            </w:pPr>
            <w:r>
              <w:rPr>
                <w:rFonts w:asciiTheme="minorHAnsi" w:eastAsia="Times New Roman" w:hAnsiTheme="minorHAnsi" w:cstheme="minorHAnsi"/>
                <w:b/>
                <w:bCs/>
                <w:iCs/>
                <w:color w:val="000000"/>
                <w:szCs w:val="18"/>
                <w:lang w:eastAsia="en-AU"/>
              </w:rPr>
              <w:t>630</w:t>
            </w:r>
          </w:p>
        </w:tc>
        <w:tc>
          <w:tcPr>
            <w:tcW w:w="283" w:type="dxa"/>
            <w:tcBorders>
              <w:top w:val="nil"/>
              <w:bottom w:val="nil"/>
            </w:tcBorders>
            <w:noWrap/>
          </w:tcPr>
          <w:p w14:paraId="6FC88CF3" w14:textId="77777777" w:rsidR="00AB33EC" w:rsidRPr="005523A4" w:rsidRDefault="00AB33EC" w:rsidP="00E9699B">
            <w:pPr>
              <w:spacing w:before="100" w:beforeAutospacing="1" w:after="40"/>
              <w:rPr>
                <w:rFonts w:asciiTheme="minorHAnsi" w:eastAsia="Times New Roman" w:hAnsiTheme="minorHAnsi" w:cstheme="minorHAnsi"/>
                <w:b/>
                <w:bCs/>
                <w:color w:val="000000"/>
                <w:szCs w:val="18"/>
              </w:rPr>
            </w:pPr>
          </w:p>
        </w:tc>
        <w:tc>
          <w:tcPr>
            <w:tcW w:w="1276" w:type="dxa"/>
            <w:tcBorders>
              <w:top w:val="single" w:sz="4" w:space="0" w:color="auto"/>
              <w:bottom w:val="double" w:sz="4" w:space="0" w:color="auto"/>
              <w:right w:val="nil"/>
            </w:tcBorders>
            <w:shd w:val="clear" w:color="auto" w:fill="auto"/>
            <w:noWrap/>
            <w:tcMar>
              <w:left w:w="0" w:type="dxa"/>
              <w:right w:w="113" w:type="dxa"/>
            </w:tcMar>
            <w:vAlign w:val="bottom"/>
          </w:tcPr>
          <w:p w14:paraId="7BD4401C" w14:textId="77777777" w:rsidR="00AB33EC" w:rsidRPr="005523A4" w:rsidRDefault="00AB33EC" w:rsidP="00E9699B">
            <w:pPr>
              <w:spacing w:before="100" w:beforeAutospacing="1" w:after="40"/>
              <w:jc w:val="right"/>
              <w:rPr>
                <w:rFonts w:asciiTheme="minorHAnsi" w:eastAsia="Times New Roman" w:hAnsiTheme="minorHAnsi" w:cstheme="minorHAnsi"/>
                <w:b/>
                <w:bCs/>
                <w:iCs/>
                <w:color w:val="000000"/>
                <w:szCs w:val="18"/>
                <w:lang w:eastAsia="en-AU"/>
              </w:rPr>
            </w:pPr>
            <w:r w:rsidRPr="005523A4">
              <w:rPr>
                <w:rFonts w:asciiTheme="minorHAnsi" w:eastAsia="Times New Roman" w:hAnsiTheme="minorHAnsi" w:cstheme="minorHAnsi"/>
                <w:b/>
                <w:bCs/>
                <w:iCs/>
                <w:color w:val="000000"/>
                <w:szCs w:val="18"/>
                <w:lang w:eastAsia="en-AU"/>
              </w:rPr>
              <w:t>945</w:t>
            </w:r>
          </w:p>
        </w:tc>
      </w:tr>
    </w:tbl>
    <w:p w14:paraId="26F2498F" w14:textId="77777777" w:rsidR="00AB33EC" w:rsidRPr="005523A4" w:rsidRDefault="00AB33EC" w:rsidP="00E9699B">
      <w:pPr>
        <w:spacing w:before="100" w:beforeAutospacing="1" w:after="40"/>
        <w:rPr>
          <w:rFonts w:asciiTheme="minorHAnsi" w:eastAsia="Calibri" w:hAnsiTheme="minorHAnsi" w:cstheme="minorHAnsi"/>
          <w:color w:val="000000"/>
          <w:sz w:val="16"/>
          <w:szCs w:val="16"/>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AB33EC" w:rsidRPr="003E75E2" w14:paraId="4A21ACF7" w14:textId="77777777" w:rsidTr="00E9699B">
        <w:trPr>
          <w:trHeight w:val="269"/>
        </w:trPr>
        <w:tc>
          <w:tcPr>
            <w:tcW w:w="5529" w:type="dxa"/>
            <w:tcBorders>
              <w:top w:val="nil"/>
              <w:left w:val="nil"/>
              <w:bottom w:val="nil"/>
            </w:tcBorders>
            <w:noWrap/>
            <w:tcMar>
              <w:left w:w="0" w:type="dxa"/>
              <w:right w:w="0" w:type="dxa"/>
            </w:tcMar>
            <w:vAlign w:val="bottom"/>
          </w:tcPr>
          <w:p w14:paraId="37FCC66C" w14:textId="77777777" w:rsidR="00AB33EC" w:rsidRPr="005523A4" w:rsidRDefault="00AB33EC" w:rsidP="00E9699B">
            <w:pPr>
              <w:tabs>
                <w:tab w:val="left" w:pos="0"/>
              </w:tabs>
              <w:spacing w:before="100" w:beforeAutospacing="1" w:after="40"/>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
                <w:bCs/>
                <w:color w:val="000000"/>
                <w:sz w:val="21"/>
                <w:szCs w:val="21"/>
                <w:lang w:eastAsia="en-AU"/>
              </w:rPr>
              <w:t>Lease Liability</w:t>
            </w:r>
          </w:p>
        </w:tc>
        <w:tc>
          <w:tcPr>
            <w:tcW w:w="567" w:type="dxa"/>
            <w:tcBorders>
              <w:top w:val="nil"/>
              <w:bottom w:val="nil"/>
            </w:tcBorders>
            <w:noWrap/>
            <w:tcMar>
              <w:left w:w="0" w:type="dxa"/>
              <w:right w:w="0" w:type="dxa"/>
            </w:tcMar>
            <w:vAlign w:val="bottom"/>
          </w:tcPr>
          <w:p w14:paraId="7754DE0B" w14:textId="77777777" w:rsidR="00AB33EC" w:rsidRPr="005523A4" w:rsidRDefault="00AB33EC" w:rsidP="00E9699B">
            <w:pPr>
              <w:spacing w:before="100" w:beforeAutospacing="1" w:after="4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0DD750C6" w14:textId="77777777" w:rsidR="00AB33EC" w:rsidRPr="005523A4" w:rsidRDefault="00AB33EC" w:rsidP="00E9699B">
            <w:pPr>
              <w:spacing w:before="100" w:beforeAutospacing="1" w:after="40"/>
              <w:jc w:val="right"/>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2024</w:t>
            </w:r>
          </w:p>
        </w:tc>
        <w:tc>
          <w:tcPr>
            <w:tcW w:w="283" w:type="dxa"/>
            <w:tcBorders>
              <w:top w:val="nil"/>
              <w:bottom w:val="nil"/>
            </w:tcBorders>
            <w:noWrap/>
          </w:tcPr>
          <w:p w14:paraId="18426A50" w14:textId="77777777" w:rsidR="00AB33EC" w:rsidRPr="005523A4" w:rsidRDefault="00AB33EC" w:rsidP="00E9699B">
            <w:pPr>
              <w:spacing w:before="100" w:beforeAutospacing="1" w:after="4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FFFFFF"/>
            <w:noWrap/>
            <w:tcMar>
              <w:left w:w="0" w:type="dxa"/>
              <w:right w:w="113" w:type="dxa"/>
            </w:tcMar>
            <w:vAlign w:val="bottom"/>
          </w:tcPr>
          <w:p w14:paraId="46F5433F" w14:textId="77777777" w:rsidR="00AB33EC" w:rsidRPr="005523A4" w:rsidRDefault="00AB33EC" w:rsidP="00E9699B">
            <w:pPr>
              <w:spacing w:before="100" w:beforeAutospacing="1" w:after="40"/>
              <w:jc w:val="right"/>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2023</w:t>
            </w:r>
          </w:p>
        </w:tc>
      </w:tr>
      <w:tr w:rsidR="00AB33EC" w:rsidRPr="003E75E2" w14:paraId="184DA195" w14:textId="77777777" w:rsidTr="00B721B7">
        <w:trPr>
          <w:trHeight w:val="20"/>
        </w:trPr>
        <w:tc>
          <w:tcPr>
            <w:tcW w:w="5529" w:type="dxa"/>
            <w:tcBorders>
              <w:top w:val="nil"/>
              <w:left w:val="nil"/>
              <w:bottom w:val="nil"/>
            </w:tcBorders>
            <w:noWrap/>
            <w:tcMar>
              <w:left w:w="0" w:type="dxa"/>
              <w:right w:w="0" w:type="dxa"/>
            </w:tcMar>
            <w:vAlign w:val="bottom"/>
          </w:tcPr>
          <w:p w14:paraId="08F55AD9" w14:textId="77777777" w:rsidR="00AB33EC" w:rsidRPr="005523A4" w:rsidRDefault="00AB33EC" w:rsidP="00E9699B">
            <w:pPr>
              <w:tabs>
                <w:tab w:val="left" w:pos="0"/>
              </w:tabs>
              <w:spacing w:before="100" w:beforeAutospacing="1" w:after="40"/>
              <w:rPr>
                <w:rFonts w:asciiTheme="minorHAnsi" w:eastAsia="Times New Roman" w:hAnsiTheme="minorHAnsi" w:cstheme="minorHAnsi"/>
                <w:bCs/>
                <w:color w:val="000000"/>
                <w:sz w:val="16"/>
                <w:szCs w:val="16"/>
                <w:lang w:eastAsia="en-AU"/>
              </w:rPr>
            </w:pPr>
          </w:p>
        </w:tc>
        <w:tc>
          <w:tcPr>
            <w:tcW w:w="567" w:type="dxa"/>
            <w:tcBorders>
              <w:top w:val="nil"/>
              <w:bottom w:val="nil"/>
            </w:tcBorders>
            <w:noWrap/>
            <w:tcMar>
              <w:left w:w="0" w:type="dxa"/>
              <w:right w:w="0" w:type="dxa"/>
            </w:tcMar>
            <w:vAlign w:val="bottom"/>
          </w:tcPr>
          <w:p w14:paraId="47AAE583" w14:textId="77777777" w:rsidR="00AB33EC" w:rsidRPr="005523A4" w:rsidRDefault="00AB33EC" w:rsidP="00E9699B">
            <w:pPr>
              <w:spacing w:before="100" w:beforeAutospacing="1" w:after="4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0233B2A7" w14:textId="77777777" w:rsidR="00AB33EC" w:rsidRPr="005523A4" w:rsidRDefault="00AB33EC" w:rsidP="00E9699B">
            <w:pPr>
              <w:spacing w:before="100" w:beforeAutospacing="1" w:after="40"/>
              <w:jc w:val="right"/>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$’000</w:t>
            </w:r>
          </w:p>
        </w:tc>
        <w:tc>
          <w:tcPr>
            <w:tcW w:w="283" w:type="dxa"/>
            <w:tcBorders>
              <w:top w:val="nil"/>
              <w:bottom w:val="nil"/>
            </w:tcBorders>
            <w:noWrap/>
          </w:tcPr>
          <w:p w14:paraId="14595EE7" w14:textId="77777777" w:rsidR="00AB33EC" w:rsidRPr="005523A4" w:rsidRDefault="00AB33EC" w:rsidP="00E9699B">
            <w:pPr>
              <w:spacing w:before="100" w:beforeAutospacing="1" w:after="4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FFFFFF"/>
            <w:noWrap/>
            <w:tcMar>
              <w:left w:w="0" w:type="dxa"/>
              <w:right w:w="113" w:type="dxa"/>
            </w:tcMar>
            <w:vAlign w:val="bottom"/>
          </w:tcPr>
          <w:p w14:paraId="439A7A2B" w14:textId="77777777" w:rsidR="00AB33EC" w:rsidRPr="005523A4" w:rsidRDefault="00AB33EC" w:rsidP="00E9699B">
            <w:pPr>
              <w:spacing w:before="100" w:beforeAutospacing="1" w:after="40"/>
              <w:jc w:val="right"/>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$’000</w:t>
            </w:r>
          </w:p>
        </w:tc>
      </w:tr>
      <w:tr w:rsidR="00AB33EC" w:rsidRPr="003E75E2" w14:paraId="63205101" w14:textId="77777777" w:rsidTr="00B721B7">
        <w:trPr>
          <w:trHeight w:val="20"/>
        </w:trPr>
        <w:tc>
          <w:tcPr>
            <w:tcW w:w="5529" w:type="dxa"/>
            <w:tcBorders>
              <w:top w:val="nil"/>
              <w:left w:val="nil"/>
              <w:bottom w:val="nil"/>
            </w:tcBorders>
            <w:noWrap/>
            <w:tcMar>
              <w:left w:w="0" w:type="dxa"/>
              <w:right w:w="0" w:type="dxa"/>
            </w:tcMar>
            <w:vAlign w:val="bottom"/>
          </w:tcPr>
          <w:p w14:paraId="753CA26C" w14:textId="77777777" w:rsidR="00AB33EC" w:rsidRPr="005523A4" w:rsidRDefault="00AB33EC" w:rsidP="00E9699B">
            <w:pPr>
              <w:spacing w:before="100" w:beforeAutospacing="1" w:after="40"/>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Current</w:t>
            </w:r>
          </w:p>
        </w:tc>
        <w:tc>
          <w:tcPr>
            <w:tcW w:w="567" w:type="dxa"/>
            <w:tcBorders>
              <w:top w:val="nil"/>
              <w:bottom w:val="nil"/>
            </w:tcBorders>
            <w:noWrap/>
            <w:tcMar>
              <w:left w:w="0" w:type="dxa"/>
              <w:right w:w="0" w:type="dxa"/>
            </w:tcMar>
            <w:vAlign w:val="bottom"/>
          </w:tcPr>
          <w:p w14:paraId="32300C83" w14:textId="77777777" w:rsidR="00AB33EC" w:rsidRPr="005523A4" w:rsidRDefault="00AB33EC" w:rsidP="00E9699B">
            <w:pPr>
              <w:spacing w:before="100" w:beforeAutospacing="1" w:after="4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785CBA0E" w14:textId="77777777" w:rsidR="00AB33EC" w:rsidRPr="005523A4" w:rsidRDefault="00AB33EC" w:rsidP="00E9699B">
            <w:pPr>
              <w:spacing w:before="100" w:beforeAutospacing="1" w:after="40"/>
              <w:jc w:val="right"/>
              <w:rPr>
                <w:rFonts w:asciiTheme="minorHAnsi" w:eastAsia="Times New Roman" w:hAnsiTheme="minorHAnsi" w:cstheme="minorHAnsi"/>
                <w:bCs/>
                <w:color w:val="000000"/>
                <w:szCs w:val="18"/>
                <w:lang w:eastAsia="en-AU"/>
              </w:rPr>
            </w:pPr>
          </w:p>
        </w:tc>
        <w:tc>
          <w:tcPr>
            <w:tcW w:w="283" w:type="dxa"/>
            <w:tcBorders>
              <w:top w:val="nil"/>
              <w:bottom w:val="nil"/>
            </w:tcBorders>
            <w:noWrap/>
          </w:tcPr>
          <w:p w14:paraId="185A9B55" w14:textId="77777777" w:rsidR="00AB33EC" w:rsidRPr="005523A4" w:rsidRDefault="00AB33EC" w:rsidP="00E9699B">
            <w:pPr>
              <w:spacing w:before="100" w:beforeAutospacing="1" w:after="4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FFFFFF"/>
            <w:noWrap/>
            <w:tcMar>
              <w:left w:w="0" w:type="dxa"/>
              <w:right w:w="113" w:type="dxa"/>
            </w:tcMar>
            <w:vAlign w:val="bottom"/>
          </w:tcPr>
          <w:p w14:paraId="6705C340" w14:textId="77777777" w:rsidR="00AB33EC" w:rsidRPr="005523A4" w:rsidRDefault="00AB33EC" w:rsidP="00E9699B">
            <w:pPr>
              <w:spacing w:before="100" w:beforeAutospacing="1" w:after="40"/>
              <w:jc w:val="right"/>
              <w:rPr>
                <w:rFonts w:asciiTheme="minorHAnsi" w:eastAsia="Times New Roman" w:hAnsiTheme="minorHAnsi" w:cstheme="minorHAnsi"/>
                <w:bCs/>
                <w:color w:val="000000"/>
                <w:szCs w:val="18"/>
                <w:lang w:eastAsia="en-AU"/>
              </w:rPr>
            </w:pPr>
          </w:p>
        </w:tc>
      </w:tr>
      <w:tr w:rsidR="00AB33EC" w:rsidRPr="003E75E2" w14:paraId="016B7EC4" w14:textId="77777777" w:rsidTr="00B721B7">
        <w:trPr>
          <w:trHeight w:val="20"/>
        </w:trPr>
        <w:tc>
          <w:tcPr>
            <w:tcW w:w="5529" w:type="dxa"/>
            <w:tcBorders>
              <w:top w:val="nil"/>
              <w:left w:val="nil"/>
              <w:bottom w:val="nil"/>
            </w:tcBorders>
            <w:noWrap/>
            <w:tcMar>
              <w:left w:w="0" w:type="dxa"/>
              <w:right w:w="0" w:type="dxa"/>
            </w:tcMar>
          </w:tcPr>
          <w:p w14:paraId="69D07CA3" w14:textId="77777777" w:rsidR="00AB33EC" w:rsidRPr="005523A4" w:rsidRDefault="00AB33EC" w:rsidP="00E9699B">
            <w:pPr>
              <w:spacing w:before="100" w:beforeAutospacing="1" w:after="40"/>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Finance lease liability¹</w:t>
            </w:r>
          </w:p>
        </w:tc>
        <w:tc>
          <w:tcPr>
            <w:tcW w:w="567" w:type="dxa"/>
            <w:tcBorders>
              <w:top w:val="nil"/>
              <w:bottom w:val="nil"/>
            </w:tcBorders>
            <w:noWrap/>
            <w:tcMar>
              <w:left w:w="0" w:type="dxa"/>
              <w:right w:w="0" w:type="dxa"/>
            </w:tcMar>
            <w:vAlign w:val="bottom"/>
          </w:tcPr>
          <w:p w14:paraId="7E4A5AEB" w14:textId="77777777" w:rsidR="00AB33EC" w:rsidRPr="005523A4" w:rsidRDefault="00AB33EC" w:rsidP="00E9699B">
            <w:pPr>
              <w:spacing w:before="100" w:beforeAutospacing="1" w:after="4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058EE42F" w14:textId="77777777" w:rsidR="00AB33EC" w:rsidRPr="005523A4" w:rsidRDefault="00AB33EC" w:rsidP="00E9699B">
            <w:pPr>
              <w:spacing w:before="100" w:beforeAutospacing="1" w:after="40"/>
              <w:jc w:val="right"/>
              <w:rPr>
                <w:rFonts w:asciiTheme="minorHAnsi" w:eastAsia="Times New Roman" w:hAnsiTheme="minorHAnsi" w:cstheme="minorHAnsi"/>
                <w:bCs/>
                <w:color w:val="000000"/>
                <w:szCs w:val="18"/>
                <w:lang w:eastAsia="en-AU"/>
              </w:rPr>
            </w:pPr>
            <w:r>
              <w:rPr>
                <w:rFonts w:asciiTheme="minorHAnsi" w:eastAsia="Times New Roman" w:hAnsiTheme="minorHAnsi" w:cstheme="minorHAnsi"/>
                <w:bCs/>
                <w:color w:val="000000"/>
                <w:szCs w:val="18"/>
                <w:lang w:eastAsia="en-AU"/>
              </w:rPr>
              <w:t>323</w:t>
            </w:r>
          </w:p>
        </w:tc>
        <w:tc>
          <w:tcPr>
            <w:tcW w:w="283" w:type="dxa"/>
            <w:tcBorders>
              <w:top w:val="nil"/>
              <w:bottom w:val="nil"/>
            </w:tcBorders>
            <w:noWrap/>
          </w:tcPr>
          <w:p w14:paraId="55D48776" w14:textId="77777777" w:rsidR="00AB33EC" w:rsidRPr="005523A4" w:rsidRDefault="00AB33EC" w:rsidP="00E9699B">
            <w:pPr>
              <w:spacing w:before="100" w:beforeAutospacing="1" w:after="4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FFFFFF"/>
            <w:noWrap/>
            <w:tcMar>
              <w:left w:w="0" w:type="dxa"/>
              <w:right w:w="113" w:type="dxa"/>
            </w:tcMar>
            <w:vAlign w:val="bottom"/>
          </w:tcPr>
          <w:p w14:paraId="555D9009" w14:textId="77777777" w:rsidR="00AB33EC" w:rsidRPr="005523A4" w:rsidRDefault="00AB33EC" w:rsidP="00E9699B">
            <w:pPr>
              <w:spacing w:before="100" w:beforeAutospacing="1" w:after="40"/>
              <w:jc w:val="right"/>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300</w:t>
            </w:r>
          </w:p>
        </w:tc>
      </w:tr>
      <w:tr w:rsidR="00AB33EC" w:rsidRPr="003E75E2" w14:paraId="6EF873F3" w14:textId="77777777" w:rsidTr="00E9699B">
        <w:trPr>
          <w:trHeight w:val="283"/>
        </w:trPr>
        <w:tc>
          <w:tcPr>
            <w:tcW w:w="5529" w:type="dxa"/>
            <w:tcBorders>
              <w:top w:val="nil"/>
              <w:left w:val="nil"/>
              <w:bottom w:val="nil"/>
            </w:tcBorders>
            <w:noWrap/>
            <w:tcMar>
              <w:left w:w="0" w:type="dxa"/>
              <w:right w:w="0" w:type="dxa"/>
            </w:tcMar>
            <w:vAlign w:val="bottom"/>
          </w:tcPr>
          <w:p w14:paraId="13EAE259" w14:textId="77777777" w:rsidR="00AB33EC" w:rsidRPr="005523A4" w:rsidRDefault="00AB33EC" w:rsidP="00E9699B">
            <w:pPr>
              <w:tabs>
                <w:tab w:val="left" w:pos="0"/>
              </w:tabs>
              <w:spacing w:before="100" w:beforeAutospacing="1" w:after="40"/>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 xml:space="preserve">Total </w:t>
            </w:r>
          </w:p>
        </w:tc>
        <w:tc>
          <w:tcPr>
            <w:tcW w:w="567" w:type="dxa"/>
            <w:tcBorders>
              <w:top w:val="nil"/>
              <w:bottom w:val="nil"/>
            </w:tcBorders>
            <w:noWrap/>
            <w:tcMar>
              <w:left w:w="0" w:type="dxa"/>
              <w:right w:w="0" w:type="dxa"/>
            </w:tcMar>
            <w:vAlign w:val="bottom"/>
          </w:tcPr>
          <w:p w14:paraId="34FA2C34" w14:textId="77777777" w:rsidR="00AB33EC" w:rsidRPr="005523A4" w:rsidRDefault="00AB33EC" w:rsidP="00E9699B">
            <w:pPr>
              <w:spacing w:before="100" w:beforeAutospacing="1" w:after="40"/>
              <w:jc w:val="center"/>
              <w:rPr>
                <w:rFonts w:asciiTheme="minorHAnsi" w:eastAsia="Times New Roman" w:hAnsiTheme="minorHAnsi" w:cstheme="minorHAnsi"/>
                <w:b/>
                <w:bCs/>
                <w:color w:val="000000"/>
                <w:szCs w:val="18"/>
                <w:lang w:eastAsia="en-AU"/>
              </w:rPr>
            </w:pPr>
          </w:p>
        </w:tc>
        <w:tc>
          <w:tcPr>
            <w:tcW w:w="1417" w:type="dxa"/>
            <w:tcBorders>
              <w:top w:val="single" w:sz="4" w:space="0" w:color="auto"/>
              <w:bottom w:val="single" w:sz="4" w:space="0" w:color="auto"/>
            </w:tcBorders>
            <w:shd w:val="clear" w:color="auto" w:fill="F1F1F2" w:themeFill="accent5" w:themeFillTint="33"/>
            <w:noWrap/>
            <w:tcMar>
              <w:left w:w="0" w:type="dxa"/>
              <w:right w:w="113" w:type="dxa"/>
            </w:tcMar>
            <w:vAlign w:val="bottom"/>
          </w:tcPr>
          <w:p w14:paraId="7C7E8AE2" w14:textId="77777777" w:rsidR="00AB33EC" w:rsidRPr="005523A4" w:rsidRDefault="00AB33EC" w:rsidP="00E9699B">
            <w:pPr>
              <w:spacing w:before="100" w:beforeAutospacing="1" w:after="40"/>
              <w:jc w:val="right"/>
              <w:rPr>
                <w:rFonts w:asciiTheme="minorHAnsi" w:eastAsia="Times New Roman" w:hAnsiTheme="minorHAnsi" w:cstheme="minorHAnsi"/>
                <w:b/>
                <w:bCs/>
                <w:iCs/>
                <w:color w:val="000000"/>
                <w:szCs w:val="18"/>
                <w:lang w:eastAsia="en-AU"/>
              </w:rPr>
            </w:pPr>
            <w:r>
              <w:rPr>
                <w:rFonts w:asciiTheme="minorHAnsi" w:eastAsia="Times New Roman" w:hAnsiTheme="minorHAnsi" w:cstheme="minorHAnsi"/>
                <w:b/>
                <w:bCs/>
                <w:iCs/>
                <w:color w:val="000000"/>
                <w:szCs w:val="18"/>
                <w:lang w:eastAsia="en-AU"/>
              </w:rPr>
              <w:t>323</w:t>
            </w:r>
          </w:p>
        </w:tc>
        <w:tc>
          <w:tcPr>
            <w:tcW w:w="283" w:type="dxa"/>
            <w:tcBorders>
              <w:top w:val="nil"/>
              <w:bottom w:val="nil"/>
            </w:tcBorders>
            <w:noWrap/>
          </w:tcPr>
          <w:p w14:paraId="1DA30D4E" w14:textId="77777777" w:rsidR="00AB33EC" w:rsidRPr="005523A4" w:rsidRDefault="00AB33EC" w:rsidP="00E9699B">
            <w:pPr>
              <w:spacing w:before="100" w:beforeAutospacing="1" w:after="40"/>
              <w:rPr>
                <w:rFonts w:asciiTheme="minorHAnsi" w:eastAsia="Times New Roman" w:hAnsiTheme="minorHAnsi" w:cstheme="minorHAnsi"/>
                <w:b/>
                <w:bCs/>
                <w:color w:val="000000"/>
                <w:szCs w:val="18"/>
              </w:rPr>
            </w:pPr>
          </w:p>
        </w:tc>
        <w:tc>
          <w:tcPr>
            <w:tcW w:w="1276" w:type="dxa"/>
            <w:tcBorders>
              <w:top w:val="single" w:sz="4" w:space="0" w:color="auto"/>
              <w:bottom w:val="single" w:sz="4" w:space="0" w:color="auto"/>
              <w:right w:val="nil"/>
            </w:tcBorders>
            <w:shd w:val="clear" w:color="auto" w:fill="FFFFFF"/>
            <w:noWrap/>
            <w:tcMar>
              <w:left w:w="0" w:type="dxa"/>
              <w:right w:w="113" w:type="dxa"/>
            </w:tcMar>
            <w:vAlign w:val="bottom"/>
          </w:tcPr>
          <w:p w14:paraId="13423BAF" w14:textId="77777777" w:rsidR="00AB33EC" w:rsidRPr="005523A4" w:rsidRDefault="00AB33EC" w:rsidP="00E9699B">
            <w:pPr>
              <w:spacing w:before="100" w:beforeAutospacing="1" w:after="40"/>
              <w:jc w:val="right"/>
              <w:rPr>
                <w:rFonts w:asciiTheme="minorHAnsi" w:eastAsia="Times New Roman" w:hAnsiTheme="minorHAnsi" w:cstheme="minorHAnsi"/>
                <w:b/>
                <w:bCs/>
                <w:iCs/>
                <w:color w:val="000000"/>
                <w:szCs w:val="18"/>
                <w:lang w:eastAsia="en-AU"/>
              </w:rPr>
            </w:pPr>
            <w:r w:rsidRPr="005523A4">
              <w:rPr>
                <w:rFonts w:asciiTheme="minorHAnsi" w:eastAsia="Times New Roman" w:hAnsiTheme="minorHAnsi" w:cstheme="minorHAnsi"/>
                <w:b/>
                <w:bCs/>
                <w:iCs/>
                <w:color w:val="000000"/>
                <w:szCs w:val="18"/>
                <w:lang w:eastAsia="en-AU"/>
              </w:rPr>
              <w:t>3</w:t>
            </w:r>
            <w:r>
              <w:rPr>
                <w:rFonts w:asciiTheme="minorHAnsi" w:eastAsia="Times New Roman" w:hAnsiTheme="minorHAnsi" w:cstheme="minorHAnsi"/>
                <w:b/>
                <w:bCs/>
                <w:iCs/>
                <w:color w:val="000000"/>
                <w:szCs w:val="18"/>
                <w:lang w:eastAsia="en-AU"/>
              </w:rPr>
              <w:t>0</w:t>
            </w:r>
            <w:r w:rsidRPr="005523A4">
              <w:rPr>
                <w:rFonts w:asciiTheme="minorHAnsi" w:eastAsia="Times New Roman" w:hAnsiTheme="minorHAnsi" w:cstheme="minorHAnsi"/>
                <w:b/>
                <w:bCs/>
                <w:iCs/>
                <w:color w:val="000000"/>
                <w:szCs w:val="18"/>
                <w:lang w:eastAsia="en-AU"/>
              </w:rPr>
              <w:t>0</w:t>
            </w:r>
          </w:p>
        </w:tc>
      </w:tr>
      <w:tr w:rsidR="00AB33EC" w:rsidRPr="003E75E2" w14:paraId="611BDE27" w14:textId="77777777" w:rsidTr="00B721B7">
        <w:trPr>
          <w:trHeight w:val="20"/>
        </w:trPr>
        <w:tc>
          <w:tcPr>
            <w:tcW w:w="5529" w:type="dxa"/>
            <w:tcBorders>
              <w:top w:val="nil"/>
              <w:left w:val="nil"/>
              <w:bottom w:val="nil"/>
            </w:tcBorders>
            <w:noWrap/>
            <w:tcMar>
              <w:left w:w="0" w:type="dxa"/>
              <w:right w:w="0" w:type="dxa"/>
            </w:tcMar>
            <w:vAlign w:val="bottom"/>
          </w:tcPr>
          <w:p w14:paraId="4C852724" w14:textId="77777777" w:rsidR="00AB33EC" w:rsidRPr="005523A4" w:rsidRDefault="00AB33EC" w:rsidP="00E9699B">
            <w:pPr>
              <w:tabs>
                <w:tab w:val="left" w:pos="0"/>
              </w:tabs>
              <w:spacing w:before="100" w:beforeAutospacing="1" w:after="40"/>
              <w:rPr>
                <w:rFonts w:asciiTheme="minorHAnsi" w:eastAsia="Times New Roman" w:hAnsiTheme="minorHAnsi" w:cstheme="minorHAnsi"/>
                <w:bCs/>
                <w:color w:val="000000"/>
                <w:sz w:val="16"/>
                <w:szCs w:val="16"/>
                <w:lang w:eastAsia="en-AU"/>
              </w:rPr>
            </w:pPr>
          </w:p>
        </w:tc>
        <w:tc>
          <w:tcPr>
            <w:tcW w:w="567" w:type="dxa"/>
            <w:tcBorders>
              <w:top w:val="nil"/>
              <w:bottom w:val="nil"/>
            </w:tcBorders>
            <w:noWrap/>
            <w:tcMar>
              <w:left w:w="0" w:type="dxa"/>
              <w:right w:w="0" w:type="dxa"/>
            </w:tcMar>
            <w:vAlign w:val="bottom"/>
          </w:tcPr>
          <w:p w14:paraId="2B3B5F47" w14:textId="77777777" w:rsidR="00AB33EC" w:rsidRPr="005523A4" w:rsidRDefault="00AB33EC" w:rsidP="00E9699B">
            <w:pPr>
              <w:spacing w:before="100" w:beforeAutospacing="1" w:after="40"/>
              <w:jc w:val="center"/>
              <w:rPr>
                <w:rFonts w:asciiTheme="minorHAnsi" w:eastAsia="Times New Roman" w:hAnsiTheme="minorHAnsi" w:cstheme="minorHAnsi"/>
                <w:bCs/>
                <w:color w:val="000000"/>
                <w:szCs w:val="18"/>
                <w:lang w:eastAsia="en-AU"/>
              </w:rPr>
            </w:pPr>
          </w:p>
        </w:tc>
        <w:tc>
          <w:tcPr>
            <w:tcW w:w="1417" w:type="dxa"/>
            <w:tcBorders>
              <w:top w:val="single" w:sz="4" w:space="0" w:color="auto"/>
              <w:bottom w:val="nil"/>
            </w:tcBorders>
            <w:shd w:val="clear" w:color="auto" w:fill="F1F1F2" w:themeFill="accent5" w:themeFillTint="33"/>
            <w:noWrap/>
            <w:tcMar>
              <w:left w:w="0" w:type="dxa"/>
              <w:right w:w="113" w:type="dxa"/>
            </w:tcMar>
            <w:vAlign w:val="bottom"/>
          </w:tcPr>
          <w:p w14:paraId="1FC30069" w14:textId="77777777" w:rsidR="00AB33EC" w:rsidRPr="005523A4" w:rsidRDefault="00AB33EC" w:rsidP="00E9699B">
            <w:pPr>
              <w:spacing w:before="100" w:beforeAutospacing="1" w:after="40"/>
              <w:jc w:val="right"/>
              <w:rPr>
                <w:rFonts w:asciiTheme="minorHAnsi" w:eastAsia="Times New Roman" w:hAnsiTheme="minorHAnsi" w:cstheme="minorHAnsi"/>
                <w:b/>
                <w:bCs/>
                <w:color w:val="000000"/>
                <w:szCs w:val="18"/>
                <w:lang w:eastAsia="en-AU"/>
              </w:rPr>
            </w:pPr>
          </w:p>
        </w:tc>
        <w:tc>
          <w:tcPr>
            <w:tcW w:w="283" w:type="dxa"/>
            <w:tcBorders>
              <w:top w:val="nil"/>
              <w:bottom w:val="nil"/>
            </w:tcBorders>
            <w:noWrap/>
          </w:tcPr>
          <w:p w14:paraId="16F378EA" w14:textId="77777777" w:rsidR="00AB33EC" w:rsidRPr="005523A4" w:rsidRDefault="00AB33EC" w:rsidP="00E9699B">
            <w:pPr>
              <w:spacing w:before="100" w:beforeAutospacing="1" w:after="40"/>
              <w:rPr>
                <w:rFonts w:asciiTheme="minorHAnsi" w:eastAsia="Times New Roman" w:hAnsiTheme="minorHAnsi" w:cstheme="minorHAnsi"/>
                <w:bCs/>
                <w:color w:val="000000"/>
                <w:szCs w:val="18"/>
              </w:rPr>
            </w:pPr>
          </w:p>
        </w:tc>
        <w:tc>
          <w:tcPr>
            <w:tcW w:w="1276" w:type="dxa"/>
            <w:tcBorders>
              <w:top w:val="single" w:sz="4" w:space="0" w:color="auto"/>
              <w:bottom w:val="nil"/>
              <w:right w:val="nil"/>
            </w:tcBorders>
            <w:shd w:val="clear" w:color="auto" w:fill="FFFFFF"/>
            <w:noWrap/>
            <w:tcMar>
              <w:left w:w="0" w:type="dxa"/>
              <w:right w:w="113" w:type="dxa"/>
            </w:tcMar>
            <w:vAlign w:val="bottom"/>
          </w:tcPr>
          <w:p w14:paraId="15726866" w14:textId="77777777" w:rsidR="00AB33EC" w:rsidRPr="005523A4" w:rsidRDefault="00AB33EC" w:rsidP="00E9699B">
            <w:pPr>
              <w:spacing w:before="100" w:beforeAutospacing="1" w:after="40"/>
              <w:jc w:val="right"/>
              <w:rPr>
                <w:rFonts w:asciiTheme="minorHAnsi" w:eastAsia="Times New Roman" w:hAnsiTheme="minorHAnsi" w:cstheme="minorHAnsi"/>
                <w:b/>
                <w:bCs/>
                <w:color w:val="000000"/>
                <w:szCs w:val="18"/>
                <w:lang w:eastAsia="en-AU"/>
              </w:rPr>
            </w:pPr>
          </w:p>
        </w:tc>
      </w:tr>
      <w:tr w:rsidR="00AB33EC" w:rsidRPr="003E75E2" w14:paraId="1F986E5A" w14:textId="77777777" w:rsidTr="00B721B7">
        <w:trPr>
          <w:trHeight w:val="20"/>
        </w:trPr>
        <w:tc>
          <w:tcPr>
            <w:tcW w:w="5529" w:type="dxa"/>
            <w:tcBorders>
              <w:top w:val="nil"/>
              <w:left w:val="nil"/>
              <w:bottom w:val="nil"/>
            </w:tcBorders>
            <w:noWrap/>
            <w:tcMar>
              <w:left w:w="0" w:type="dxa"/>
              <w:right w:w="0" w:type="dxa"/>
            </w:tcMar>
            <w:vAlign w:val="bottom"/>
          </w:tcPr>
          <w:p w14:paraId="05267ADA" w14:textId="77777777" w:rsidR="00AB33EC" w:rsidRPr="005523A4" w:rsidRDefault="00AB33EC" w:rsidP="00E9699B">
            <w:pPr>
              <w:spacing w:before="100" w:beforeAutospacing="1" w:after="40"/>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Non-Current</w:t>
            </w:r>
          </w:p>
        </w:tc>
        <w:tc>
          <w:tcPr>
            <w:tcW w:w="567" w:type="dxa"/>
            <w:tcBorders>
              <w:top w:val="nil"/>
              <w:bottom w:val="nil"/>
            </w:tcBorders>
            <w:noWrap/>
            <w:tcMar>
              <w:left w:w="0" w:type="dxa"/>
              <w:right w:w="0" w:type="dxa"/>
            </w:tcMar>
            <w:vAlign w:val="bottom"/>
          </w:tcPr>
          <w:p w14:paraId="3043BA43" w14:textId="77777777" w:rsidR="00AB33EC" w:rsidRPr="005523A4" w:rsidRDefault="00AB33EC" w:rsidP="00E9699B">
            <w:pPr>
              <w:spacing w:before="100" w:beforeAutospacing="1" w:after="4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314D779B" w14:textId="77777777" w:rsidR="00AB33EC" w:rsidRPr="005523A4" w:rsidRDefault="00AB33EC" w:rsidP="00E9699B">
            <w:pPr>
              <w:spacing w:before="100" w:beforeAutospacing="1" w:after="40"/>
              <w:jc w:val="right"/>
              <w:rPr>
                <w:rFonts w:asciiTheme="minorHAnsi" w:eastAsia="Times New Roman" w:hAnsiTheme="minorHAnsi" w:cstheme="minorHAnsi"/>
                <w:bCs/>
                <w:color w:val="000000"/>
                <w:szCs w:val="18"/>
                <w:lang w:eastAsia="en-AU"/>
              </w:rPr>
            </w:pPr>
          </w:p>
        </w:tc>
        <w:tc>
          <w:tcPr>
            <w:tcW w:w="283" w:type="dxa"/>
            <w:tcBorders>
              <w:top w:val="nil"/>
              <w:bottom w:val="nil"/>
            </w:tcBorders>
            <w:noWrap/>
          </w:tcPr>
          <w:p w14:paraId="03F231EE" w14:textId="77777777" w:rsidR="00AB33EC" w:rsidRPr="005523A4" w:rsidRDefault="00AB33EC" w:rsidP="00E9699B">
            <w:pPr>
              <w:spacing w:before="100" w:beforeAutospacing="1" w:after="4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FFFFFF"/>
            <w:noWrap/>
            <w:tcMar>
              <w:left w:w="0" w:type="dxa"/>
              <w:right w:w="113" w:type="dxa"/>
            </w:tcMar>
            <w:vAlign w:val="bottom"/>
          </w:tcPr>
          <w:p w14:paraId="7D7228E9" w14:textId="77777777" w:rsidR="00AB33EC" w:rsidRPr="005523A4" w:rsidRDefault="00AB33EC" w:rsidP="00E9699B">
            <w:pPr>
              <w:spacing w:before="100" w:beforeAutospacing="1" w:after="40"/>
              <w:jc w:val="right"/>
              <w:rPr>
                <w:rFonts w:asciiTheme="minorHAnsi" w:eastAsia="Times New Roman" w:hAnsiTheme="minorHAnsi" w:cstheme="minorHAnsi"/>
                <w:bCs/>
                <w:color w:val="000000"/>
                <w:szCs w:val="18"/>
                <w:lang w:eastAsia="en-AU"/>
              </w:rPr>
            </w:pPr>
          </w:p>
        </w:tc>
      </w:tr>
      <w:tr w:rsidR="00AB33EC" w:rsidRPr="003E75E2" w14:paraId="254CC914" w14:textId="77777777" w:rsidTr="00E9699B">
        <w:trPr>
          <w:trHeight w:val="311"/>
        </w:trPr>
        <w:tc>
          <w:tcPr>
            <w:tcW w:w="5529" w:type="dxa"/>
            <w:tcBorders>
              <w:top w:val="nil"/>
              <w:left w:val="nil"/>
              <w:bottom w:val="nil"/>
            </w:tcBorders>
            <w:noWrap/>
            <w:tcMar>
              <w:left w:w="0" w:type="dxa"/>
              <w:right w:w="0" w:type="dxa"/>
            </w:tcMar>
          </w:tcPr>
          <w:p w14:paraId="35CE4857" w14:textId="77777777" w:rsidR="00AB33EC" w:rsidRPr="005523A4" w:rsidRDefault="00AB33EC" w:rsidP="00E9699B">
            <w:pPr>
              <w:spacing w:before="100" w:beforeAutospacing="1" w:after="40"/>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Finance lease liability¹</w:t>
            </w:r>
          </w:p>
        </w:tc>
        <w:tc>
          <w:tcPr>
            <w:tcW w:w="567" w:type="dxa"/>
            <w:tcBorders>
              <w:top w:val="nil"/>
              <w:bottom w:val="nil"/>
            </w:tcBorders>
            <w:noWrap/>
            <w:tcMar>
              <w:left w:w="0" w:type="dxa"/>
              <w:right w:w="0" w:type="dxa"/>
            </w:tcMar>
            <w:vAlign w:val="bottom"/>
          </w:tcPr>
          <w:p w14:paraId="45B9FCAF" w14:textId="77777777" w:rsidR="00AB33EC" w:rsidRPr="005523A4" w:rsidRDefault="00AB33EC" w:rsidP="00E9699B">
            <w:pPr>
              <w:spacing w:before="100" w:beforeAutospacing="1" w:after="4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0B1F9F91" w14:textId="77777777" w:rsidR="00AB33EC" w:rsidRPr="005523A4" w:rsidRDefault="00AB33EC" w:rsidP="00E9699B">
            <w:pPr>
              <w:spacing w:before="100" w:beforeAutospacing="1" w:after="40"/>
              <w:jc w:val="right"/>
              <w:rPr>
                <w:rFonts w:asciiTheme="minorHAnsi" w:eastAsia="Times New Roman" w:hAnsiTheme="minorHAnsi" w:cstheme="minorHAnsi"/>
                <w:bCs/>
                <w:color w:val="000000"/>
                <w:szCs w:val="18"/>
                <w:lang w:eastAsia="en-AU"/>
              </w:rPr>
            </w:pPr>
            <w:r>
              <w:rPr>
                <w:rFonts w:asciiTheme="minorHAnsi" w:eastAsia="Times New Roman" w:hAnsiTheme="minorHAnsi" w:cstheme="minorHAnsi"/>
                <w:bCs/>
                <w:color w:val="000000"/>
                <w:szCs w:val="18"/>
                <w:lang w:eastAsia="en-AU"/>
              </w:rPr>
              <w:t>345</w:t>
            </w:r>
          </w:p>
        </w:tc>
        <w:tc>
          <w:tcPr>
            <w:tcW w:w="283" w:type="dxa"/>
            <w:tcBorders>
              <w:top w:val="nil"/>
              <w:bottom w:val="nil"/>
            </w:tcBorders>
            <w:noWrap/>
          </w:tcPr>
          <w:p w14:paraId="573936EB" w14:textId="77777777" w:rsidR="00AB33EC" w:rsidRPr="005523A4" w:rsidRDefault="00AB33EC" w:rsidP="00E9699B">
            <w:pPr>
              <w:spacing w:before="100" w:beforeAutospacing="1" w:after="4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FFFFFF"/>
            <w:noWrap/>
            <w:tcMar>
              <w:left w:w="0" w:type="dxa"/>
              <w:right w:w="113" w:type="dxa"/>
            </w:tcMar>
            <w:vAlign w:val="bottom"/>
          </w:tcPr>
          <w:p w14:paraId="48FCCCE2" w14:textId="77777777" w:rsidR="00AB33EC" w:rsidRPr="005523A4" w:rsidRDefault="00AB33EC" w:rsidP="00E9699B">
            <w:pPr>
              <w:spacing w:before="100" w:beforeAutospacing="1" w:after="40"/>
              <w:jc w:val="right"/>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668</w:t>
            </w:r>
          </w:p>
        </w:tc>
      </w:tr>
      <w:tr w:rsidR="00AB33EC" w:rsidRPr="003E75E2" w14:paraId="2DFBB463" w14:textId="77777777" w:rsidTr="00B721B7">
        <w:trPr>
          <w:trHeight w:val="20"/>
        </w:trPr>
        <w:tc>
          <w:tcPr>
            <w:tcW w:w="5529" w:type="dxa"/>
            <w:tcBorders>
              <w:top w:val="nil"/>
              <w:left w:val="nil"/>
              <w:bottom w:val="nil"/>
            </w:tcBorders>
            <w:noWrap/>
            <w:tcMar>
              <w:left w:w="0" w:type="dxa"/>
              <w:right w:w="0" w:type="dxa"/>
            </w:tcMar>
            <w:vAlign w:val="bottom"/>
          </w:tcPr>
          <w:p w14:paraId="0DCAC8FA" w14:textId="77777777" w:rsidR="00AB33EC" w:rsidRPr="005523A4" w:rsidRDefault="00AB33EC" w:rsidP="00E9699B">
            <w:pPr>
              <w:tabs>
                <w:tab w:val="left" w:pos="0"/>
              </w:tabs>
              <w:spacing w:before="100" w:beforeAutospacing="1" w:after="40"/>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Total</w:t>
            </w:r>
          </w:p>
        </w:tc>
        <w:tc>
          <w:tcPr>
            <w:tcW w:w="567" w:type="dxa"/>
            <w:tcBorders>
              <w:top w:val="nil"/>
              <w:bottom w:val="nil"/>
            </w:tcBorders>
            <w:noWrap/>
            <w:tcMar>
              <w:left w:w="0" w:type="dxa"/>
              <w:right w:w="0" w:type="dxa"/>
            </w:tcMar>
            <w:vAlign w:val="bottom"/>
          </w:tcPr>
          <w:p w14:paraId="378CE7F3" w14:textId="77777777" w:rsidR="00AB33EC" w:rsidRPr="005523A4" w:rsidRDefault="00AB33EC" w:rsidP="00E9699B">
            <w:pPr>
              <w:spacing w:before="100" w:beforeAutospacing="1" w:after="40"/>
              <w:jc w:val="center"/>
              <w:rPr>
                <w:rFonts w:asciiTheme="minorHAnsi" w:eastAsia="Times New Roman" w:hAnsiTheme="minorHAnsi" w:cstheme="minorHAnsi"/>
                <w:b/>
                <w:bCs/>
                <w:color w:val="000000"/>
                <w:szCs w:val="18"/>
                <w:lang w:eastAsia="en-AU"/>
              </w:rPr>
            </w:pPr>
          </w:p>
        </w:tc>
        <w:tc>
          <w:tcPr>
            <w:tcW w:w="1417" w:type="dxa"/>
            <w:tcBorders>
              <w:top w:val="single" w:sz="4" w:space="0" w:color="auto"/>
              <w:bottom w:val="double" w:sz="4" w:space="0" w:color="auto"/>
            </w:tcBorders>
            <w:shd w:val="clear" w:color="auto" w:fill="F1F1F2" w:themeFill="accent5" w:themeFillTint="33"/>
            <w:noWrap/>
            <w:tcMar>
              <w:left w:w="0" w:type="dxa"/>
              <w:right w:w="113" w:type="dxa"/>
            </w:tcMar>
            <w:vAlign w:val="bottom"/>
          </w:tcPr>
          <w:p w14:paraId="33AB39E8" w14:textId="77777777" w:rsidR="00AB33EC" w:rsidRPr="005523A4" w:rsidRDefault="00AB33EC" w:rsidP="00E9699B">
            <w:pPr>
              <w:spacing w:before="100" w:beforeAutospacing="1" w:after="40"/>
              <w:jc w:val="right"/>
              <w:rPr>
                <w:rFonts w:asciiTheme="minorHAnsi" w:eastAsia="Times New Roman" w:hAnsiTheme="minorHAnsi" w:cstheme="minorHAnsi"/>
                <w:b/>
                <w:bCs/>
                <w:iCs/>
                <w:color w:val="000000"/>
                <w:szCs w:val="18"/>
                <w:lang w:eastAsia="en-AU"/>
              </w:rPr>
            </w:pPr>
            <w:r>
              <w:rPr>
                <w:rFonts w:asciiTheme="minorHAnsi" w:eastAsia="Times New Roman" w:hAnsiTheme="minorHAnsi" w:cstheme="minorHAnsi"/>
                <w:b/>
                <w:bCs/>
                <w:iCs/>
                <w:color w:val="000000"/>
                <w:szCs w:val="18"/>
                <w:lang w:eastAsia="en-AU"/>
              </w:rPr>
              <w:t>345</w:t>
            </w:r>
          </w:p>
        </w:tc>
        <w:tc>
          <w:tcPr>
            <w:tcW w:w="283" w:type="dxa"/>
            <w:tcBorders>
              <w:top w:val="nil"/>
              <w:bottom w:val="nil"/>
            </w:tcBorders>
            <w:noWrap/>
          </w:tcPr>
          <w:p w14:paraId="4AD950F2" w14:textId="77777777" w:rsidR="00AB33EC" w:rsidRPr="005523A4" w:rsidRDefault="00AB33EC" w:rsidP="00E9699B">
            <w:pPr>
              <w:spacing w:before="100" w:beforeAutospacing="1" w:after="40"/>
              <w:rPr>
                <w:rFonts w:asciiTheme="minorHAnsi" w:eastAsia="Times New Roman" w:hAnsiTheme="minorHAnsi" w:cstheme="minorHAnsi"/>
                <w:b/>
                <w:bCs/>
                <w:color w:val="000000"/>
                <w:szCs w:val="18"/>
              </w:rPr>
            </w:pPr>
          </w:p>
        </w:tc>
        <w:tc>
          <w:tcPr>
            <w:tcW w:w="1276" w:type="dxa"/>
            <w:tcBorders>
              <w:top w:val="single" w:sz="4" w:space="0" w:color="auto"/>
              <w:bottom w:val="double" w:sz="4" w:space="0" w:color="auto"/>
              <w:right w:val="nil"/>
            </w:tcBorders>
            <w:shd w:val="clear" w:color="auto" w:fill="FFFFFF"/>
            <w:noWrap/>
            <w:tcMar>
              <w:left w:w="0" w:type="dxa"/>
              <w:right w:w="113" w:type="dxa"/>
            </w:tcMar>
            <w:vAlign w:val="bottom"/>
          </w:tcPr>
          <w:p w14:paraId="0E0341B0" w14:textId="77777777" w:rsidR="00AB33EC" w:rsidRPr="005523A4" w:rsidRDefault="00AB33EC" w:rsidP="00E9699B">
            <w:pPr>
              <w:spacing w:before="100" w:beforeAutospacing="1" w:after="40"/>
              <w:jc w:val="right"/>
              <w:rPr>
                <w:rFonts w:asciiTheme="minorHAnsi" w:eastAsia="Times New Roman" w:hAnsiTheme="minorHAnsi" w:cstheme="minorHAnsi"/>
                <w:b/>
                <w:bCs/>
                <w:iCs/>
                <w:color w:val="000000"/>
                <w:szCs w:val="18"/>
                <w:lang w:eastAsia="en-AU"/>
              </w:rPr>
            </w:pPr>
            <w:r w:rsidRPr="005523A4">
              <w:rPr>
                <w:rFonts w:asciiTheme="minorHAnsi" w:eastAsia="Times New Roman" w:hAnsiTheme="minorHAnsi" w:cstheme="minorHAnsi"/>
                <w:b/>
                <w:bCs/>
                <w:iCs/>
                <w:color w:val="000000"/>
                <w:szCs w:val="18"/>
                <w:lang w:eastAsia="en-AU"/>
              </w:rPr>
              <w:t>668</w:t>
            </w:r>
          </w:p>
        </w:tc>
      </w:tr>
    </w:tbl>
    <w:p w14:paraId="475A3E4E" w14:textId="3BBB8C8F" w:rsidR="00AB33EC" w:rsidRPr="005523A4" w:rsidRDefault="00AB33EC" w:rsidP="00AB33EC">
      <w:pPr>
        <w:spacing w:before="60"/>
        <w:ind w:left="284" w:hanging="284"/>
        <w:jc w:val="both"/>
        <w:rPr>
          <w:rFonts w:asciiTheme="minorHAnsi" w:eastAsia="Calibri" w:hAnsiTheme="minorHAnsi" w:cstheme="minorHAnsi"/>
          <w:color w:val="000000"/>
          <w:sz w:val="17"/>
          <w:szCs w:val="17"/>
        </w:rPr>
      </w:pPr>
      <w:r w:rsidRPr="005523A4">
        <w:rPr>
          <w:rFonts w:asciiTheme="minorHAnsi" w:eastAsia="Calibri" w:hAnsiTheme="minorHAnsi" w:cstheme="minorHAnsi"/>
          <w:color w:val="000000"/>
          <w:sz w:val="17"/>
          <w:szCs w:val="17"/>
          <w:lang w:eastAsia="en-AU"/>
        </w:rPr>
        <w:t xml:space="preserve">¹ </w:t>
      </w:r>
      <w:r w:rsidRPr="005523A4">
        <w:rPr>
          <w:rFonts w:asciiTheme="minorHAnsi" w:eastAsia="Calibri" w:hAnsiTheme="minorHAnsi" w:cstheme="minorHAnsi"/>
          <w:color w:val="000000"/>
          <w:sz w:val="17"/>
          <w:szCs w:val="17"/>
          <w:lang w:eastAsia="en-AU"/>
        </w:rPr>
        <w:tab/>
        <w:t>The CCC entered into a three-year office accommodation lease extension on 25 November 2022 for the period of 1 July 2023 to 30 Jun</w:t>
      </w:r>
      <w:r w:rsidR="00C420FC">
        <w:rPr>
          <w:rFonts w:asciiTheme="minorHAnsi" w:eastAsia="Calibri" w:hAnsiTheme="minorHAnsi" w:cstheme="minorHAnsi"/>
          <w:color w:val="000000"/>
          <w:sz w:val="17"/>
          <w:szCs w:val="17"/>
          <w:lang w:eastAsia="en-AU"/>
        </w:rPr>
        <w:t>e</w:t>
      </w:r>
      <w:r w:rsidRPr="005523A4">
        <w:rPr>
          <w:rFonts w:asciiTheme="minorHAnsi" w:eastAsia="Calibri" w:hAnsiTheme="minorHAnsi" w:cstheme="minorHAnsi"/>
          <w:color w:val="000000"/>
          <w:sz w:val="17"/>
          <w:szCs w:val="17"/>
          <w:lang w:eastAsia="en-AU"/>
        </w:rPr>
        <w:t xml:space="preserve"> 2026. </w:t>
      </w:r>
      <w:r w:rsidRPr="005523A4">
        <w:rPr>
          <w:rFonts w:asciiTheme="minorHAnsi" w:eastAsia="Calibri" w:hAnsiTheme="minorHAnsi" w:cstheme="minorHAnsi"/>
          <w:color w:val="000000"/>
          <w:sz w:val="17"/>
          <w:szCs w:val="17"/>
        </w:rPr>
        <w:t xml:space="preserve">The CCC re-valued its lease liability and Right-of-Use (RoU) asset under </w:t>
      </w:r>
      <w:r w:rsidRPr="005523A4">
        <w:rPr>
          <w:rFonts w:asciiTheme="minorHAnsi" w:eastAsia="Calibri" w:hAnsiTheme="minorHAnsi" w:cstheme="minorHAnsi"/>
          <w:i/>
          <w:iCs/>
          <w:color w:val="000000"/>
          <w:sz w:val="17"/>
          <w:szCs w:val="17"/>
        </w:rPr>
        <w:t>AASB 16 Leases</w:t>
      </w:r>
      <w:r w:rsidRPr="005523A4">
        <w:rPr>
          <w:rFonts w:asciiTheme="minorHAnsi" w:eastAsia="Calibri" w:hAnsiTheme="minorHAnsi" w:cstheme="minorHAnsi"/>
          <w:color w:val="000000"/>
          <w:sz w:val="17"/>
          <w:szCs w:val="17"/>
        </w:rPr>
        <w:t xml:space="preserve"> for the extension of lease. </w:t>
      </w:r>
    </w:p>
    <w:p w14:paraId="005691CC" w14:textId="77777777" w:rsidR="00AB33EC" w:rsidRPr="005975D4" w:rsidRDefault="00AB33EC" w:rsidP="005975D4">
      <w:pPr>
        <w:rPr>
          <w:rFonts w:asciiTheme="minorHAnsi" w:hAnsiTheme="minorHAnsi" w:cstheme="minorHAnsi"/>
          <w:b/>
          <w:bCs/>
          <w:i/>
          <w:iCs/>
        </w:rPr>
      </w:pPr>
      <w:r w:rsidRPr="005975D4">
        <w:rPr>
          <w:rFonts w:asciiTheme="minorHAnsi" w:hAnsiTheme="minorHAnsi" w:cstheme="minorHAnsi"/>
          <w:b/>
          <w:bCs/>
          <w:i/>
          <w:iCs/>
        </w:rPr>
        <w:t>Maturity analysis</w:t>
      </w:r>
    </w:p>
    <w:p w14:paraId="1423F92F" w14:textId="77777777" w:rsidR="00AB33EC" w:rsidRPr="005523A4" w:rsidRDefault="00AB33EC" w:rsidP="00AB33EC">
      <w:pPr>
        <w:spacing w:before="80"/>
        <w:rPr>
          <w:rFonts w:asciiTheme="minorHAnsi" w:eastAsia="Times New Roman" w:hAnsiTheme="minorHAnsi" w:cstheme="minorHAnsi"/>
          <w:color w:val="000000"/>
          <w:szCs w:val="20"/>
          <w:lang w:eastAsia="en-AU"/>
        </w:rPr>
      </w:pPr>
      <w:r w:rsidRPr="005523A4">
        <w:rPr>
          <w:rFonts w:asciiTheme="minorHAnsi" w:eastAsia="Times New Roman" w:hAnsiTheme="minorHAnsi" w:cstheme="minorHAnsi"/>
          <w:color w:val="000000"/>
          <w:szCs w:val="20"/>
          <w:lang w:eastAsia="en-AU"/>
        </w:rPr>
        <w:t xml:space="preserve">The following table shows the undiscounted value for CCC lease liabilities  </w:t>
      </w:r>
    </w:p>
    <w:tbl>
      <w:tblPr>
        <w:tblStyle w:val="GridTable2"/>
        <w:tblW w:w="9639" w:type="dxa"/>
        <w:tblLook w:val="04A0" w:firstRow="1" w:lastRow="0" w:firstColumn="1" w:lastColumn="0" w:noHBand="0" w:noVBand="1"/>
      </w:tblPr>
      <w:tblGrid>
        <w:gridCol w:w="1926"/>
        <w:gridCol w:w="964"/>
        <w:gridCol w:w="964"/>
        <w:gridCol w:w="964"/>
        <w:gridCol w:w="964"/>
        <w:gridCol w:w="964"/>
        <w:gridCol w:w="964"/>
        <w:gridCol w:w="964"/>
        <w:gridCol w:w="965"/>
      </w:tblGrid>
      <w:tr w:rsidR="00AB33EC" w:rsidRPr="005523A4" w14:paraId="6E6AE997" w14:textId="77777777" w:rsidTr="00A85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9"/>
            <w:tcBorders>
              <w:bottom w:val="nil"/>
            </w:tcBorders>
            <w:shd w:val="clear" w:color="auto" w:fill="auto"/>
            <w:vAlign w:val="center"/>
          </w:tcPr>
          <w:p w14:paraId="04453766" w14:textId="77777777" w:rsidR="00AB33EC" w:rsidRPr="005523A4" w:rsidRDefault="00AB33EC" w:rsidP="00E9699B">
            <w:pPr>
              <w:spacing w:after="40"/>
              <w:jc w:val="center"/>
              <w:outlineLvl w:val="0"/>
              <w:rPr>
                <w:rFonts w:asciiTheme="minorHAnsi" w:hAnsiTheme="minorHAnsi" w:cstheme="minorHAnsi"/>
                <w:color w:val="000000"/>
              </w:rPr>
            </w:pPr>
            <w:r w:rsidRPr="005523A4">
              <w:rPr>
                <w:rFonts w:asciiTheme="minorHAnsi" w:hAnsiTheme="minorHAnsi" w:cstheme="minorHAnsi"/>
                <w:color w:val="000000"/>
              </w:rPr>
              <w:t>Payable in</w:t>
            </w:r>
          </w:p>
        </w:tc>
      </w:tr>
      <w:tr w:rsidR="00AB33EC" w:rsidRPr="003E75E2" w14:paraId="69F817CC" w14:textId="77777777" w:rsidTr="00B7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Borders>
              <w:left w:val="single" w:sz="2" w:space="0" w:color="666666"/>
              <w:bottom w:val="nil"/>
              <w:right w:val="nil"/>
            </w:tcBorders>
            <w:shd w:val="clear" w:color="auto" w:fill="F1F1F2" w:themeFill="accent5" w:themeFillTint="33"/>
          </w:tcPr>
          <w:p w14:paraId="16904623" w14:textId="77777777" w:rsidR="00AB33EC" w:rsidRPr="005523A4" w:rsidRDefault="00AB33EC" w:rsidP="00B721B7">
            <w:pPr>
              <w:jc w:val="center"/>
              <w:outlineLvl w:val="0"/>
              <w:rPr>
                <w:rFonts w:asciiTheme="minorHAnsi" w:hAnsiTheme="minorHAnsi" w:cstheme="minorHAnsi"/>
                <w:color w:val="000000"/>
              </w:rPr>
            </w:pPr>
          </w:p>
        </w:tc>
        <w:tc>
          <w:tcPr>
            <w:tcW w:w="1928" w:type="dxa"/>
            <w:gridSpan w:val="2"/>
            <w:tcBorders>
              <w:bottom w:val="nil"/>
              <w:right w:val="single" w:sz="2" w:space="0" w:color="666666"/>
            </w:tcBorders>
            <w:shd w:val="clear" w:color="auto" w:fill="F1F1F2" w:themeFill="accent5" w:themeFillTint="33"/>
          </w:tcPr>
          <w:p w14:paraId="37DF5EFE" w14:textId="77777777" w:rsidR="00AB33EC" w:rsidRPr="005523A4" w:rsidRDefault="00AB33EC" w:rsidP="00B721B7">
            <w:pPr>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rPr>
            </w:pPr>
            <w:r w:rsidRPr="005523A4">
              <w:rPr>
                <w:rFonts w:asciiTheme="minorHAnsi" w:hAnsiTheme="minorHAnsi" w:cstheme="minorHAnsi"/>
                <w:b/>
                <w:bCs/>
                <w:color w:val="000000"/>
              </w:rPr>
              <w:t>&lt; 1 year</w:t>
            </w:r>
          </w:p>
        </w:tc>
        <w:tc>
          <w:tcPr>
            <w:tcW w:w="1928" w:type="dxa"/>
            <w:gridSpan w:val="2"/>
            <w:tcBorders>
              <w:left w:val="single" w:sz="2" w:space="0" w:color="666666"/>
              <w:bottom w:val="nil"/>
              <w:right w:val="single" w:sz="4" w:space="0" w:color="666666"/>
            </w:tcBorders>
            <w:shd w:val="clear" w:color="auto" w:fill="F1F1F2" w:themeFill="accent5" w:themeFillTint="33"/>
          </w:tcPr>
          <w:p w14:paraId="0F4C0B8C" w14:textId="77777777" w:rsidR="00AB33EC" w:rsidRPr="005523A4" w:rsidRDefault="00AB33EC" w:rsidP="00E9699B">
            <w:pPr>
              <w:spacing w:after="4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rPr>
            </w:pPr>
            <w:r w:rsidRPr="005523A4">
              <w:rPr>
                <w:rFonts w:asciiTheme="minorHAnsi" w:hAnsiTheme="minorHAnsi" w:cstheme="minorHAnsi"/>
                <w:b/>
                <w:bCs/>
                <w:color w:val="000000"/>
              </w:rPr>
              <w:t>1–5 years</w:t>
            </w:r>
          </w:p>
        </w:tc>
        <w:tc>
          <w:tcPr>
            <w:tcW w:w="1928" w:type="dxa"/>
            <w:gridSpan w:val="2"/>
            <w:tcBorders>
              <w:left w:val="single" w:sz="4" w:space="0" w:color="666666"/>
              <w:bottom w:val="nil"/>
              <w:right w:val="single" w:sz="4" w:space="0" w:color="666666"/>
            </w:tcBorders>
            <w:shd w:val="clear" w:color="auto" w:fill="F1F1F2" w:themeFill="accent5" w:themeFillTint="33"/>
          </w:tcPr>
          <w:p w14:paraId="7363A218" w14:textId="77777777" w:rsidR="00AB33EC" w:rsidRPr="005523A4" w:rsidRDefault="00AB33EC" w:rsidP="00E9699B">
            <w:pPr>
              <w:spacing w:after="4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rPr>
            </w:pPr>
            <w:r w:rsidRPr="005523A4">
              <w:rPr>
                <w:rFonts w:asciiTheme="minorHAnsi" w:hAnsiTheme="minorHAnsi" w:cstheme="minorHAnsi"/>
                <w:b/>
                <w:bCs/>
                <w:color w:val="000000"/>
              </w:rPr>
              <w:t>&gt; 5 years</w:t>
            </w:r>
          </w:p>
        </w:tc>
        <w:tc>
          <w:tcPr>
            <w:tcW w:w="1929" w:type="dxa"/>
            <w:gridSpan w:val="2"/>
            <w:tcBorders>
              <w:left w:val="single" w:sz="4" w:space="0" w:color="666666"/>
              <w:bottom w:val="nil"/>
              <w:right w:val="single" w:sz="4" w:space="0" w:color="666666"/>
            </w:tcBorders>
            <w:shd w:val="clear" w:color="auto" w:fill="F1F1F2" w:themeFill="accent5" w:themeFillTint="33"/>
          </w:tcPr>
          <w:p w14:paraId="504E6150" w14:textId="77777777" w:rsidR="00AB33EC" w:rsidRPr="005523A4" w:rsidRDefault="00AB33EC" w:rsidP="00E9699B">
            <w:pPr>
              <w:spacing w:after="4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rPr>
            </w:pPr>
            <w:r w:rsidRPr="005523A4">
              <w:rPr>
                <w:rFonts w:asciiTheme="minorHAnsi" w:hAnsiTheme="minorHAnsi" w:cstheme="minorHAnsi"/>
                <w:b/>
                <w:bCs/>
                <w:color w:val="000000"/>
              </w:rPr>
              <w:t>Total</w:t>
            </w:r>
          </w:p>
        </w:tc>
      </w:tr>
      <w:tr w:rsidR="00AB33EC" w:rsidRPr="003E75E2" w14:paraId="6E94F512" w14:textId="77777777" w:rsidTr="00B721B7">
        <w:tc>
          <w:tcPr>
            <w:cnfStyle w:val="001000000000" w:firstRow="0" w:lastRow="0" w:firstColumn="1" w:lastColumn="0" w:oddVBand="0" w:evenVBand="0" w:oddHBand="0" w:evenHBand="0" w:firstRowFirstColumn="0" w:firstRowLastColumn="0" w:lastRowFirstColumn="0" w:lastRowLastColumn="0"/>
            <w:tcW w:w="1926" w:type="dxa"/>
            <w:tcBorders>
              <w:top w:val="nil"/>
              <w:left w:val="single" w:sz="2" w:space="0" w:color="666666"/>
              <w:bottom w:val="nil"/>
            </w:tcBorders>
            <w:shd w:val="clear" w:color="auto" w:fill="F1F1F2" w:themeFill="accent5" w:themeFillTint="33"/>
          </w:tcPr>
          <w:p w14:paraId="6DB5CFDD" w14:textId="77777777" w:rsidR="00AB33EC" w:rsidRPr="005523A4" w:rsidRDefault="00AB33EC" w:rsidP="00B721B7">
            <w:pPr>
              <w:jc w:val="center"/>
              <w:outlineLvl w:val="0"/>
              <w:rPr>
                <w:rFonts w:asciiTheme="minorHAnsi" w:hAnsiTheme="minorHAnsi" w:cstheme="minorHAnsi"/>
                <w:color w:val="000000"/>
              </w:rPr>
            </w:pPr>
          </w:p>
        </w:tc>
        <w:tc>
          <w:tcPr>
            <w:tcW w:w="964" w:type="dxa"/>
            <w:tcBorders>
              <w:top w:val="nil"/>
              <w:bottom w:val="single" w:sz="2" w:space="0" w:color="666666"/>
            </w:tcBorders>
            <w:shd w:val="clear" w:color="auto" w:fill="F1F1F2" w:themeFill="accent5" w:themeFillTint="33"/>
          </w:tcPr>
          <w:p w14:paraId="72F43A8E" w14:textId="77777777" w:rsidR="00AB33EC" w:rsidRPr="005523A4" w:rsidRDefault="00AB33EC" w:rsidP="00B721B7">
            <w:pPr>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5523A4">
              <w:rPr>
                <w:rFonts w:asciiTheme="minorHAnsi" w:hAnsiTheme="minorHAnsi" w:cstheme="minorHAnsi"/>
                <w:b/>
                <w:bCs/>
                <w:color w:val="000000"/>
              </w:rPr>
              <w:t>2024</w:t>
            </w:r>
          </w:p>
        </w:tc>
        <w:tc>
          <w:tcPr>
            <w:tcW w:w="964" w:type="dxa"/>
            <w:tcBorders>
              <w:top w:val="nil"/>
              <w:bottom w:val="single" w:sz="2" w:space="0" w:color="666666"/>
              <w:right w:val="single" w:sz="2" w:space="0" w:color="666666"/>
            </w:tcBorders>
            <w:shd w:val="clear" w:color="auto" w:fill="auto"/>
          </w:tcPr>
          <w:p w14:paraId="1E7761BC" w14:textId="77777777" w:rsidR="00AB33EC" w:rsidRPr="005523A4" w:rsidRDefault="00AB33EC" w:rsidP="00B721B7">
            <w:pPr>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5523A4">
              <w:rPr>
                <w:rFonts w:asciiTheme="minorHAnsi" w:hAnsiTheme="minorHAnsi" w:cstheme="minorHAnsi"/>
                <w:b/>
                <w:bCs/>
                <w:color w:val="000000"/>
              </w:rPr>
              <w:t>2023</w:t>
            </w:r>
          </w:p>
        </w:tc>
        <w:tc>
          <w:tcPr>
            <w:tcW w:w="964" w:type="dxa"/>
            <w:tcBorders>
              <w:top w:val="nil"/>
              <w:left w:val="single" w:sz="2" w:space="0" w:color="666666"/>
              <w:bottom w:val="single" w:sz="2" w:space="0" w:color="666666"/>
            </w:tcBorders>
            <w:shd w:val="clear" w:color="auto" w:fill="F1F1F2" w:themeFill="accent5" w:themeFillTint="33"/>
          </w:tcPr>
          <w:p w14:paraId="64ED1E6B" w14:textId="77777777" w:rsidR="00AB33EC" w:rsidRPr="005523A4" w:rsidRDefault="00AB33EC" w:rsidP="00E9699B">
            <w:pPr>
              <w:spacing w:after="4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5523A4">
              <w:rPr>
                <w:rFonts w:asciiTheme="minorHAnsi" w:hAnsiTheme="minorHAnsi" w:cstheme="minorHAnsi"/>
                <w:b/>
                <w:bCs/>
                <w:color w:val="000000"/>
              </w:rPr>
              <w:t>2024</w:t>
            </w:r>
          </w:p>
        </w:tc>
        <w:tc>
          <w:tcPr>
            <w:tcW w:w="964" w:type="dxa"/>
            <w:tcBorders>
              <w:top w:val="nil"/>
              <w:bottom w:val="single" w:sz="2" w:space="0" w:color="666666"/>
              <w:right w:val="single" w:sz="4" w:space="0" w:color="666666"/>
            </w:tcBorders>
            <w:shd w:val="clear" w:color="auto" w:fill="auto"/>
          </w:tcPr>
          <w:p w14:paraId="77B4E6C1" w14:textId="77777777" w:rsidR="00AB33EC" w:rsidRPr="005523A4" w:rsidRDefault="00AB33EC" w:rsidP="00E9699B">
            <w:pPr>
              <w:spacing w:after="4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5523A4">
              <w:rPr>
                <w:rFonts w:asciiTheme="minorHAnsi" w:hAnsiTheme="minorHAnsi" w:cstheme="minorHAnsi"/>
                <w:b/>
                <w:bCs/>
                <w:color w:val="000000"/>
              </w:rPr>
              <w:t>2023</w:t>
            </w:r>
          </w:p>
        </w:tc>
        <w:tc>
          <w:tcPr>
            <w:tcW w:w="964" w:type="dxa"/>
            <w:tcBorders>
              <w:top w:val="nil"/>
              <w:left w:val="single" w:sz="4" w:space="0" w:color="666666"/>
              <w:bottom w:val="single" w:sz="2" w:space="0" w:color="666666"/>
            </w:tcBorders>
            <w:shd w:val="clear" w:color="auto" w:fill="F1F1F2" w:themeFill="accent5" w:themeFillTint="33"/>
          </w:tcPr>
          <w:p w14:paraId="72056BED" w14:textId="77777777" w:rsidR="00AB33EC" w:rsidRPr="005523A4" w:rsidRDefault="00AB33EC" w:rsidP="00E9699B">
            <w:pPr>
              <w:spacing w:after="4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5523A4">
              <w:rPr>
                <w:rFonts w:asciiTheme="minorHAnsi" w:hAnsiTheme="minorHAnsi" w:cstheme="minorHAnsi"/>
                <w:b/>
                <w:bCs/>
                <w:color w:val="000000"/>
              </w:rPr>
              <w:t>2024</w:t>
            </w:r>
          </w:p>
        </w:tc>
        <w:tc>
          <w:tcPr>
            <w:tcW w:w="964" w:type="dxa"/>
            <w:tcBorders>
              <w:top w:val="nil"/>
              <w:bottom w:val="single" w:sz="2" w:space="0" w:color="666666"/>
              <w:right w:val="single" w:sz="4" w:space="0" w:color="666666"/>
            </w:tcBorders>
            <w:shd w:val="clear" w:color="auto" w:fill="auto"/>
          </w:tcPr>
          <w:p w14:paraId="550A6001" w14:textId="77777777" w:rsidR="00AB33EC" w:rsidRPr="005523A4" w:rsidRDefault="00AB33EC" w:rsidP="00E9699B">
            <w:pPr>
              <w:spacing w:after="4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5523A4">
              <w:rPr>
                <w:rFonts w:asciiTheme="minorHAnsi" w:hAnsiTheme="minorHAnsi" w:cstheme="minorHAnsi"/>
                <w:b/>
                <w:bCs/>
                <w:color w:val="000000"/>
              </w:rPr>
              <w:t>2023</w:t>
            </w:r>
          </w:p>
        </w:tc>
        <w:tc>
          <w:tcPr>
            <w:tcW w:w="964" w:type="dxa"/>
            <w:tcBorders>
              <w:top w:val="nil"/>
              <w:left w:val="single" w:sz="4" w:space="0" w:color="666666"/>
              <w:bottom w:val="single" w:sz="2" w:space="0" w:color="666666"/>
            </w:tcBorders>
            <w:shd w:val="clear" w:color="auto" w:fill="F1F1F2" w:themeFill="accent5" w:themeFillTint="33"/>
          </w:tcPr>
          <w:p w14:paraId="0A11D86A" w14:textId="77777777" w:rsidR="00AB33EC" w:rsidRPr="005523A4" w:rsidRDefault="00AB33EC" w:rsidP="00E9699B">
            <w:pPr>
              <w:spacing w:after="4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5523A4">
              <w:rPr>
                <w:rFonts w:asciiTheme="minorHAnsi" w:hAnsiTheme="minorHAnsi" w:cstheme="minorHAnsi"/>
                <w:b/>
                <w:bCs/>
                <w:color w:val="000000"/>
              </w:rPr>
              <w:t>2024</w:t>
            </w:r>
          </w:p>
        </w:tc>
        <w:tc>
          <w:tcPr>
            <w:tcW w:w="965" w:type="dxa"/>
            <w:tcBorders>
              <w:top w:val="nil"/>
              <w:bottom w:val="single" w:sz="2" w:space="0" w:color="666666"/>
              <w:right w:val="single" w:sz="4" w:space="0" w:color="666666"/>
            </w:tcBorders>
            <w:shd w:val="clear" w:color="auto" w:fill="auto"/>
          </w:tcPr>
          <w:p w14:paraId="69A80A03" w14:textId="77777777" w:rsidR="00AB33EC" w:rsidRPr="005523A4" w:rsidRDefault="00AB33EC" w:rsidP="00E9699B">
            <w:pPr>
              <w:spacing w:after="4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rPr>
            </w:pPr>
            <w:r w:rsidRPr="005523A4">
              <w:rPr>
                <w:rFonts w:asciiTheme="minorHAnsi" w:hAnsiTheme="minorHAnsi" w:cstheme="minorHAnsi"/>
                <w:b/>
                <w:bCs/>
                <w:color w:val="000000"/>
              </w:rPr>
              <w:t>2023</w:t>
            </w:r>
          </w:p>
        </w:tc>
      </w:tr>
      <w:tr w:rsidR="004F021D" w:rsidRPr="003E75E2" w14:paraId="6CB3B99A" w14:textId="77777777" w:rsidTr="00B72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Borders>
              <w:top w:val="nil"/>
              <w:left w:val="single" w:sz="2" w:space="0" w:color="666666"/>
              <w:bottom w:val="nil"/>
              <w:right w:val="single" w:sz="4" w:space="0" w:color="666666"/>
            </w:tcBorders>
            <w:shd w:val="clear" w:color="auto" w:fill="F1F1F2" w:themeFill="accent5" w:themeFillTint="33"/>
          </w:tcPr>
          <w:p w14:paraId="638AA787" w14:textId="77777777" w:rsidR="00AB33EC" w:rsidRPr="005523A4" w:rsidRDefault="00AB33EC" w:rsidP="00B721B7">
            <w:pPr>
              <w:jc w:val="center"/>
              <w:outlineLvl w:val="0"/>
              <w:rPr>
                <w:rFonts w:asciiTheme="minorHAnsi" w:hAnsiTheme="minorHAnsi" w:cstheme="minorHAnsi"/>
                <w:color w:val="000000"/>
              </w:rPr>
            </w:pPr>
          </w:p>
        </w:tc>
        <w:tc>
          <w:tcPr>
            <w:tcW w:w="964" w:type="dxa"/>
            <w:tcBorders>
              <w:top w:val="nil"/>
              <w:left w:val="single" w:sz="4" w:space="0" w:color="666666"/>
              <w:bottom w:val="single" w:sz="2" w:space="0" w:color="666666"/>
            </w:tcBorders>
            <w:shd w:val="clear" w:color="auto" w:fill="F1F1F2" w:themeFill="accent5" w:themeFillTint="33"/>
          </w:tcPr>
          <w:p w14:paraId="5949C6C6" w14:textId="77777777" w:rsidR="00AB33EC" w:rsidRPr="005523A4" w:rsidRDefault="00AB33EC" w:rsidP="00B721B7">
            <w:pPr>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523A4">
              <w:rPr>
                <w:rFonts w:asciiTheme="minorHAnsi" w:hAnsiTheme="minorHAnsi" w:cstheme="minorHAnsi"/>
                <w:color w:val="000000"/>
              </w:rPr>
              <w:t>$’000</w:t>
            </w:r>
          </w:p>
        </w:tc>
        <w:tc>
          <w:tcPr>
            <w:tcW w:w="964" w:type="dxa"/>
            <w:tcBorders>
              <w:top w:val="nil"/>
              <w:bottom w:val="single" w:sz="2" w:space="0" w:color="666666"/>
              <w:right w:val="single" w:sz="2" w:space="0" w:color="666666"/>
            </w:tcBorders>
            <w:shd w:val="clear" w:color="auto" w:fill="auto"/>
          </w:tcPr>
          <w:p w14:paraId="7E5B86DF" w14:textId="77777777" w:rsidR="00AB33EC" w:rsidRPr="005523A4" w:rsidRDefault="00AB33EC" w:rsidP="00B721B7">
            <w:pPr>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523A4">
              <w:rPr>
                <w:rFonts w:asciiTheme="minorHAnsi" w:hAnsiTheme="minorHAnsi" w:cstheme="minorHAnsi"/>
                <w:color w:val="000000"/>
              </w:rPr>
              <w:t>$’000</w:t>
            </w:r>
          </w:p>
        </w:tc>
        <w:tc>
          <w:tcPr>
            <w:tcW w:w="964" w:type="dxa"/>
            <w:tcBorders>
              <w:top w:val="nil"/>
              <w:left w:val="single" w:sz="2" w:space="0" w:color="666666"/>
              <w:bottom w:val="single" w:sz="2" w:space="0" w:color="666666"/>
            </w:tcBorders>
            <w:shd w:val="clear" w:color="auto" w:fill="F1F1F2" w:themeFill="accent5" w:themeFillTint="33"/>
          </w:tcPr>
          <w:p w14:paraId="18521D43" w14:textId="77777777" w:rsidR="00AB33EC" w:rsidRPr="005523A4" w:rsidRDefault="00AB33EC" w:rsidP="00E9699B">
            <w:pPr>
              <w:spacing w:after="4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523A4">
              <w:rPr>
                <w:rFonts w:asciiTheme="minorHAnsi" w:hAnsiTheme="minorHAnsi" w:cstheme="minorHAnsi"/>
                <w:color w:val="000000"/>
              </w:rPr>
              <w:t>$’000</w:t>
            </w:r>
          </w:p>
        </w:tc>
        <w:tc>
          <w:tcPr>
            <w:tcW w:w="964" w:type="dxa"/>
            <w:tcBorders>
              <w:top w:val="nil"/>
              <w:bottom w:val="single" w:sz="2" w:space="0" w:color="666666"/>
              <w:right w:val="single" w:sz="4" w:space="0" w:color="666666"/>
            </w:tcBorders>
            <w:shd w:val="clear" w:color="auto" w:fill="auto"/>
          </w:tcPr>
          <w:p w14:paraId="21395DBF" w14:textId="77777777" w:rsidR="00AB33EC" w:rsidRPr="005523A4" w:rsidRDefault="00AB33EC" w:rsidP="00E9699B">
            <w:pPr>
              <w:spacing w:after="4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523A4">
              <w:rPr>
                <w:rFonts w:asciiTheme="minorHAnsi" w:hAnsiTheme="minorHAnsi" w:cstheme="minorHAnsi"/>
                <w:color w:val="000000"/>
              </w:rPr>
              <w:t>$’000</w:t>
            </w:r>
          </w:p>
        </w:tc>
        <w:tc>
          <w:tcPr>
            <w:tcW w:w="964" w:type="dxa"/>
            <w:tcBorders>
              <w:top w:val="nil"/>
              <w:left w:val="single" w:sz="4" w:space="0" w:color="666666"/>
              <w:bottom w:val="single" w:sz="2" w:space="0" w:color="666666"/>
            </w:tcBorders>
            <w:shd w:val="clear" w:color="auto" w:fill="F1F1F2" w:themeFill="accent5" w:themeFillTint="33"/>
          </w:tcPr>
          <w:p w14:paraId="30CE2A06" w14:textId="77777777" w:rsidR="00AB33EC" w:rsidRPr="005523A4" w:rsidRDefault="00AB33EC" w:rsidP="00E9699B">
            <w:pPr>
              <w:spacing w:after="4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523A4">
              <w:rPr>
                <w:rFonts w:asciiTheme="minorHAnsi" w:hAnsiTheme="minorHAnsi" w:cstheme="minorHAnsi"/>
                <w:color w:val="000000"/>
              </w:rPr>
              <w:t>$’000</w:t>
            </w:r>
          </w:p>
        </w:tc>
        <w:tc>
          <w:tcPr>
            <w:tcW w:w="964" w:type="dxa"/>
            <w:tcBorders>
              <w:top w:val="nil"/>
              <w:bottom w:val="single" w:sz="2" w:space="0" w:color="666666"/>
              <w:right w:val="single" w:sz="4" w:space="0" w:color="666666"/>
            </w:tcBorders>
            <w:shd w:val="clear" w:color="auto" w:fill="auto"/>
          </w:tcPr>
          <w:p w14:paraId="702F0683" w14:textId="77777777" w:rsidR="00AB33EC" w:rsidRPr="005523A4" w:rsidRDefault="00AB33EC" w:rsidP="00E9699B">
            <w:pPr>
              <w:spacing w:after="4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523A4">
              <w:rPr>
                <w:rFonts w:asciiTheme="minorHAnsi" w:hAnsiTheme="minorHAnsi" w:cstheme="minorHAnsi"/>
                <w:color w:val="000000"/>
              </w:rPr>
              <w:t>$’000</w:t>
            </w:r>
          </w:p>
        </w:tc>
        <w:tc>
          <w:tcPr>
            <w:tcW w:w="964" w:type="dxa"/>
            <w:tcBorders>
              <w:top w:val="nil"/>
              <w:left w:val="single" w:sz="4" w:space="0" w:color="666666"/>
              <w:bottom w:val="single" w:sz="2" w:space="0" w:color="666666"/>
            </w:tcBorders>
            <w:shd w:val="clear" w:color="auto" w:fill="F1F1F2" w:themeFill="accent5" w:themeFillTint="33"/>
          </w:tcPr>
          <w:p w14:paraId="5719C3BA" w14:textId="77777777" w:rsidR="00AB33EC" w:rsidRPr="005523A4" w:rsidRDefault="00AB33EC" w:rsidP="00E9699B">
            <w:pPr>
              <w:spacing w:after="4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523A4">
              <w:rPr>
                <w:rFonts w:asciiTheme="minorHAnsi" w:hAnsiTheme="minorHAnsi" w:cstheme="minorHAnsi"/>
                <w:color w:val="000000"/>
              </w:rPr>
              <w:t>$’000</w:t>
            </w:r>
          </w:p>
        </w:tc>
        <w:tc>
          <w:tcPr>
            <w:tcW w:w="965" w:type="dxa"/>
            <w:tcBorders>
              <w:top w:val="nil"/>
              <w:bottom w:val="single" w:sz="2" w:space="0" w:color="666666"/>
              <w:right w:val="single" w:sz="4" w:space="0" w:color="666666"/>
            </w:tcBorders>
            <w:shd w:val="clear" w:color="auto" w:fill="auto"/>
          </w:tcPr>
          <w:p w14:paraId="1276A564" w14:textId="77777777" w:rsidR="00AB33EC" w:rsidRPr="005523A4" w:rsidRDefault="00AB33EC" w:rsidP="00E9699B">
            <w:pPr>
              <w:spacing w:after="4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523A4">
              <w:rPr>
                <w:rFonts w:asciiTheme="minorHAnsi" w:hAnsiTheme="minorHAnsi" w:cstheme="minorHAnsi"/>
                <w:color w:val="000000"/>
              </w:rPr>
              <w:t>$’000</w:t>
            </w:r>
          </w:p>
        </w:tc>
      </w:tr>
      <w:tr w:rsidR="00AB33EC" w:rsidRPr="003E75E2" w14:paraId="054952C6" w14:textId="77777777" w:rsidTr="00B721B7">
        <w:tc>
          <w:tcPr>
            <w:cnfStyle w:val="001000000000" w:firstRow="0" w:lastRow="0" w:firstColumn="1" w:lastColumn="0" w:oddVBand="0" w:evenVBand="0" w:oddHBand="0" w:evenHBand="0" w:firstRowFirstColumn="0" w:firstRowLastColumn="0" w:lastRowFirstColumn="0" w:lastRowLastColumn="0"/>
            <w:tcW w:w="1926" w:type="dxa"/>
            <w:tcBorders>
              <w:top w:val="nil"/>
              <w:left w:val="single" w:sz="2" w:space="0" w:color="666666"/>
              <w:bottom w:val="double" w:sz="4" w:space="0" w:color="666666"/>
            </w:tcBorders>
            <w:shd w:val="clear" w:color="auto" w:fill="F1F1F2" w:themeFill="accent5" w:themeFillTint="33"/>
          </w:tcPr>
          <w:p w14:paraId="45E445B3" w14:textId="77777777" w:rsidR="00AB33EC" w:rsidRPr="005523A4" w:rsidRDefault="00AB33EC" w:rsidP="00B721B7">
            <w:pPr>
              <w:jc w:val="center"/>
              <w:outlineLvl w:val="0"/>
              <w:rPr>
                <w:rFonts w:asciiTheme="minorHAnsi" w:hAnsiTheme="minorHAnsi" w:cstheme="minorHAnsi"/>
                <w:color w:val="000000"/>
              </w:rPr>
            </w:pPr>
            <w:r w:rsidRPr="005523A4">
              <w:rPr>
                <w:rFonts w:asciiTheme="minorHAnsi" w:hAnsiTheme="minorHAnsi" w:cstheme="minorHAnsi"/>
                <w:color w:val="000000"/>
              </w:rPr>
              <w:t>Lease liability</w:t>
            </w:r>
          </w:p>
        </w:tc>
        <w:tc>
          <w:tcPr>
            <w:tcW w:w="964" w:type="dxa"/>
            <w:tcBorders>
              <w:bottom w:val="double" w:sz="4" w:space="0" w:color="666666"/>
            </w:tcBorders>
            <w:shd w:val="clear" w:color="auto" w:fill="F1F1F2" w:themeFill="accent5" w:themeFillTint="33"/>
          </w:tcPr>
          <w:p w14:paraId="6152CE80" w14:textId="77777777" w:rsidR="00AB33EC" w:rsidRPr="005523A4" w:rsidRDefault="00AB33EC" w:rsidP="00B721B7">
            <w:pPr>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rPr>
            </w:pPr>
            <w:r>
              <w:rPr>
                <w:rFonts w:asciiTheme="minorHAnsi" w:hAnsiTheme="minorHAnsi" w:cstheme="minorHAnsi"/>
                <w:b/>
                <w:color w:val="000000"/>
              </w:rPr>
              <w:t>341</w:t>
            </w:r>
          </w:p>
        </w:tc>
        <w:tc>
          <w:tcPr>
            <w:tcW w:w="964" w:type="dxa"/>
            <w:tcBorders>
              <w:bottom w:val="double" w:sz="4" w:space="0" w:color="666666"/>
              <w:right w:val="single" w:sz="2" w:space="0" w:color="666666"/>
            </w:tcBorders>
            <w:shd w:val="clear" w:color="auto" w:fill="auto"/>
          </w:tcPr>
          <w:p w14:paraId="40C8E29C" w14:textId="77777777" w:rsidR="00AB33EC" w:rsidRPr="005523A4" w:rsidRDefault="00AB33EC" w:rsidP="00B721B7">
            <w:pPr>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rPr>
            </w:pPr>
            <w:r w:rsidRPr="005523A4">
              <w:rPr>
                <w:rFonts w:asciiTheme="minorHAnsi" w:hAnsiTheme="minorHAnsi" w:cstheme="minorHAnsi"/>
                <w:b/>
                <w:color w:val="000000"/>
              </w:rPr>
              <w:t>331</w:t>
            </w:r>
          </w:p>
        </w:tc>
        <w:tc>
          <w:tcPr>
            <w:tcW w:w="964" w:type="dxa"/>
            <w:tcBorders>
              <w:left w:val="single" w:sz="2" w:space="0" w:color="666666"/>
              <w:bottom w:val="double" w:sz="4" w:space="0" w:color="666666"/>
            </w:tcBorders>
            <w:shd w:val="clear" w:color="auto" w:fill="F1F1F2" w:themeFill="accent5" w:themeFillTint="33"/>
          </w:tcPr>
          <w:p w14:paraId="75AA59E7" w14:textId="77777777" w:rsidR="00AB33EC" w:rsidRPr="005523A4" w:rsidRDefault="00AB33EC" w:rsidP="00E9699B">
            <w:pPr>
              <w:spacing w:after="4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rPr>
            </w:pPr>
            <w:r>
              <w:rPr>
                <w:rFonts w:asciiTheme="minorHAnsi" w:hAnsiTheme="minorHAnsi" w:cstheme="minorHAnsi"/>
                <w:b/>
                <w:color w:val="000000"/>
              </w:rPr>
              <w:t>352</w:t>
            </w:r>
          </w:p>
        </w:tc>
        <w:tc>
          <w:tcPr>
            <w:tcW w:w="964" w:type="dxa"/>
            <w:tcBorders>
              <w:bottom w:val="double" w:sz="4" w:space="0" w:color="666666"/>
              <w:right w:val="single" w:sz="4" w:space="0" w:color="666666"/>
            </w:tcBorders>
            <w:shd w:val="clear" w:color="auto" w:fill="auto"/>
          </w:tcPr>
          <w:p w14:paraId="2347EDF4" w14:textId="77777777" w:rsidR="00AB33EC" w:rsidRPr="005523A4" w:rsidRDefault="00AB33EC" w:rsidP="00E9699B">
            <w:pPr>
              <w:spacing w:after="4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rPr>
            </w:pPr>
            <w:r w:rsidRPr="005523A4">
              <w:rPr>
                <w:rFonts w:asciiTheme="minorHAnsi" w:hAnsiTheme="minorHAnsi" w:cstheme="minorHAnsi"/>
                <w:b/>
                <w:color w:val="000000"/>
              </w:rPr>
              <w:t>693</w:t>
            </w:r>
          </w:p>
        </w:tc>
        <w:tc>
          <w:tcPr>
            <w:tcW w:w="964" w:type="dxa"/>
            <w:tcBorders>
              <w:left w:val="single" w:sz="4" w:space="0" w:color="666666"/>
              <w:bottom w:val="double" w:sz="4" w:space="0" w:color="666666"/>
            </w:tcBorders>
            <w:shd w:val="clear" w:color="auto" w:fill="F1F1F2" w:themeFill="accent5" w:themeFillTint="33"/>
          </w:tcPr>
          <w:p w14:paraId="19806702" w14:textId="77777777" w:rsidR="00AB33EC" w:rsidRPr="005523A4" w:rsidRDefault="00AB33EC" w:rsidP="00E9699B">
            <w:pPr>
              <w:spacing w:after="4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rPr>
            </w:pPr>
            <w:r w:rsidRPr="005523A4">
              <w:rPr>
                <w:rFonts w:asciiTheme="minorHAnsi" w:hAnsiTheme="minorHAnsi" w:cstheme="minorHAnsi"/>
                <w:b/>
                <w:color w:val="000000"/>
              </w:rPr>
              <w:t>-</w:t>
            </w:r>
          </w:p>
        </w:tc>
        <w:tc>
          <w:tcPr>
            <w:tcW w:w="964" w:type="dxa"/>
            <w:tcBorders>
              <w:bottom w:val="double" w:sz="4" w:space="0" w:color="666666"/>
              <w:right w:val="single" w:sz="4" w:space="0" w:color="666666"/>
            </w:tcBorders>
            <w:shd w:val="clear" w:color="auto" w:fill="auto"/>
          </w:tcPr>
          <w:p w14:paraId="6DFC887F" w14:textId="77777777" w:rsidR="00AB33EC" w:rsidRPr="005523A4" w:rsidRDefault="00AB33EC" w:rsidP="00E9699B">
            <w:pPr>
              <w:spacing w:after="4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rPr>
            </w:pPr>
            <w:r w:rsidRPr="005523A4">
              <w:rPr>
                <w:rFonts w:asciiTheme="minorHAnsi" w:hAnsiTheme="minorHAnsi" w:cstheme="minorHAnsi"/>
                <w:b/>
                <w:color w:val="000000"/>
              </w:rPr>
              <w:t>-</w:t>
            </w:r>
          </w:p>
        </w:tc>
        <w:tc>
          <w:tcPr>
            <w:tcW w:w="964" w:type="dxa"/>
            <w:tcBorders>
              <w:left w:val="single" w:sz="4" w:space="0" w:color="666666"/>
              <w:bottom w:val="double" w:sz="4" w:space="0" w:color="666666"/>
            </w:tcBorders>
            <w:shd w:val="clear" w:color="auto" w:fill="F1F1F2" w:themeFill="accent5" w:themeFillTint="33"/>
          </w:tcPr>
          <w:p w14:paraId="0C0D6900" w14:textId="43C8B783" w:rsidR="00AB33EC" w:rsidRPr="005523A4" w:rsidRDefault="0086138C" w:rsidP="00E9699B">
            <w:pPr>
              <w:spacing w:after="4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rPr>
            </w:pPr>
            <w:r>
              <w:rPr>
                <w:rFonts w:asciiTheme="minorHAnsi" w:hAnsiTheme="minorHAnsi" w:cstheme="minorHAnsi"/>
                <w:b/>
                <w:color w:val="000000"/>
              </w:rPr>
              <w:t>6</w:t>
            </w:r>
            <w:r w:rsidR="00AB33EC">
              <w:rPr>
                <w:rFonts w:asciiTheme="minorHAnsi" w:hAnsiTheme="minorHAnsi" w:cstheme="minorHAnsi"/>
                <w:b/>
                <w:color w:val="000000"/>
              </w:rPr>
              <w:t>93</w:t>
            </w:r>
          </w:p>
        </w:tc>
        <w:tc>
          <w:tcPr>
            <w:tcW w:w="965" w:type="dxa"/>
            <w:tcBorders>
              <w:bottom w:val="double" w:sz="4" w:space="0" w:color="666666"/>
              <w:right w:val="single" w:sz="4" w:space="0" w:color="666666"/>
            </w:tcBorders>
            <w:shd w:val="clear" w:color="auto" w:fill="auto"/>
          </w:tcPr>
          <w:p w14:paraId="7981D806" w14:textId="77777777" w:rsidR="00AB33EC" w:rsidRPr="005523A4" w:rsidRDefault="00AB33EC" w:rsidP="00E9699B">
            <w:pPr>
              <w:spacing w:after="4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rPr>
            </w:pPr>
            <w:r w:rsidRPr="005523A4">
              <w:rPr>
                <w:rFonts w:asciiTheme="minorHAnsi" w:hAnsiTheme="minorHAnsi" w:cstheme="minorHAnsi"/>
                <w:b/>
                <w:color w:val="000000"/>
              </w:rPr>
              <w:t>1,024</w:t>
            </w:r>
          </w:p>
        </w:tc>
      </w:tr>
    </w:tbl>
    <w:p w14:paraId="773ECD77" w14:textId="77777777" w:rsidR="00E9699B" w:rsidRDefault="00E9699B">
      <w:pPr>
        <w:spacing w:before="120" w:after="0" w:line="260" w:lineRule="exact"/>
        <w:rPr>
          <w:rFonts w:asciiTheme="minorHAnsi" w:eastAsia="Times New Roman" w:hAnsiTheme="minorHAnsi" w:cstheme="minorHAnsi"/>
          <w:b/>
          <w:color w:val="000000"/>
          <w:sz w:val="23"/>
          <w:szCs w:val="20"/>
        </w:rPr>
      </w:pPr>
      <w:r>
        <w:rPr>
          <w:rFonts w:asciiTheme="minorHAnsi" w:eastAsia="Times New Roman" w:hAnsiTheme="minorHAnsi" w:cstheme="minorHAnsi"/>
          <w:b/>
          <w:color w:val="000000"/>
          <w:sz w:val="23"/>
          <w:szCs w:val="20"/>
        </w:rPr>
        <w:br w:type="page"/>
      </w:r>
    </w:p>
    <w:p w14:paraId="25EA1416" w14:textId="77777777" w:rsidR="00AB33EC" w:rsidRPr="005523A4" w:rsidRDefault="00AB33EC" w:rsidP="00AB33EC">
      <w:pPr>
        <w:outlineLvl w:val="0"/>
        <w:rPr>
          <w:rFonts w:asciiTheme="minorHAnsi" w:eastAsia="Times New Roman" w:hAnsiTheme="minorHAnsi" w:cstheme="minorHAnsi"/>
          <w:b/>
          <w:color w:val="000000"/>
          <w:sz w:val="23"/>
          <w:szCs w:val="20"/>
        </w:rPr>
      </w:pPr>
      <w:r w:rsidRPr="005523A4">
        <w:rPr>
          <w:rFonts w:asciiTheme="minorHAnsi" w:eastAsia="Times New Roman" w:hAnsiTheme="minorHAnsi" w:cstheme="minorHAnsi"/>
          <w:b/>
          <w:color w:val="000000"/>
          <w:sz w:val="23"/>
          <w:szCs w:val="20"/>
        </w:rPr>
        <w:t>Note 11:  Payables</w:t>
      </w:r>
    </w:p>
    <w:p w14:paraId="20116483" w14:textId="77777777" w:rsidR="00AB33EC" w:rsidRPr="005523A4" w:rsidRDefault="00AB33EC" w:rsidP="00AB33EC">
      <w:pPr>
        <w:spacing w:before="60"/>
        <w:rPr>
          <w:rFonts w:asciiTheme="minorHAnsi" w:eastAsia="Calibri" w:hAnsiTheme="minorHAnsi" w:cstheme="minorHAnsi"/>
          <w:color w:val="000000"/>
          <w:sz w:val="16"/>
          <w:szCs w:val="16"/>
        </w:rPr>
      </w:pPr>
    </w:p>
    <w:p w14:paraId="5649CB3B" w14:textId="77777777" w:rsidR="00AB33EC" w:rsidRPr="005523A4"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rPr>
          <w:rFonts w:asciiTheme="minorHAnsi" w:eastAsia="Times New Roman" w:hAnsiTheme="minorHAnsi" w:cstheme="minorHAnsi"/>
          <w:b/>
          <w:bCs/>
          <w:color w:val="000000"/>
          <w:sz w:val="21"/>
          <w:szCs w:val="20"/>
        </w:rPr>
      </w:pPr>
      <w:r w:rsidRPr="005523A4">
        <w:rPr>
          <w:rFonts w:asciiTheme="minorHAnsi" w:eastAsia="Times New Roman" w:hAnsiTheme="minorHAnsi" w:cstheme="minorHAnsi"/>
          <w:b/>
          <w:bCs/>
          <w:color w:val="000000"/>
          <w:sz w:val="21"/>
          <w:szCs w:val="20"/>
        </w:rPr>
        <w:t>Accounting Policy:</w:t>
      </w:r>
    </w:p>
    <w:p w14:paraId="680687DF" w14:textId="77777777" w:rsidR="00AB33EC" w:rsidRPr="005523A4" w:rsidRDefault="00AB33EC" w:rsidP="0037124B">
      <w:pPr>
        <w:pBdr>
          <w:top w:val="single" w:sz="4" w:space="1" w:color="414042" w:themeColor="text1"/>
          <w:left w:val="single" w:sz="4" w:space="4" w:color="414042" w:themeColor="text1"/>
          <w:bottom w:val="single" w:sz="4" w:space="1" w:color="414042" w:themeColor="text1"/>
          <w:right w:val="single" w:sz="4" w:space="4" w:color="414042" w:themeColor="text1"/>
        </w:pBdr>
        <w:spacing w:before="60"/>
        <w:rPr>
          <w:rFonts w:asciiTheme="minorHAnsi" w:eastAsia="Calibri" w:hAnsiTheme="minorHAnsi" w:cstheme="minorHAnsi"/>
          <w:color w:val="000000"/>
          <w:sz w:val="16"/>
          <w:szCs w:val="16"/>
        </w:rPr>
      </w:pPr>
      <w:r w:rsidRPr="005523A4">
        <w:rPr>
          <w:rFonts w:asciiTheme="minorHAnsi" w:eastAsia="Calibri" w:hAnsiTheme="minorHAnsi" w:cstheme="minorHAnsi"/>
          <w:b/>
          <w:i/>
          <w:color w:val="000000"/>
        </w:rPr>
        <w:t>Payables</w:t>
      </w:r>
      <w:r w:rsidRPr="005523A4">
        <w:rPr>
          <w:rFonts w:asciiTheme="minorHAnsi" w:eastAsia="Calibri" w:hAnsiTheme="minorHAnsi" w:cstheme="minorHAnsi"/>
          <w:color w:val="000000"/>
        </w:rPr>
        <w:t xml:space="preserve"> – The CCC recognises creditors upon receipt of the goods or services and are measured at the agreed purchase price or contract price including any trade and other discounts when goods and services ordered are received.  Amounts owing are unsecured and are generally settled on 30-day terms. While these are generally settled on 30-day terms, the CCC is currently paying its suppliers within 20-day payments terms in line with the Queensland Government’s On-time Payment Policy.</w:t>
      </w:r>
    </w:p>
    <w:p w14:paraId="5D97765D" w14:textId="77777777" w:rsidR="00AB33EC" w:rsidRPr="005523A4" w:rsidRDefault="00AB33EC" w:rsidP="00AB33EC">
      <w:pPr>
        <w:spacing w:before="60"/>
        <w:rPr>
          <w:rFonts w:asciiTheme="minorHAnsi" w:eastAsia="Calibri" w:hAnsiTheme="minorHAnsi" w:cstheme="minorHAnsi"/>
          <w:color w:val="000000"/>
          <w:sz w:val="16"/>
          <w:szCs w:val="16"/>
        </w:rPr>
      </w:pPr>
    </w:p>
    <w:p w14:paraId="16A4AD66" w14:textId="77777777" w:rsidR="00AB33EC" w:rsidRPr="005523A4" w:rsidRDefault="00AB33EC" w:rsidP="00AB33EC">
      <w:pPr>
        <w:rPr>
          <w:rFonts w:asciiTheme="minorHAnsi" w:eastAsia="Calibri" w:hAnsiTheme="minorHAnsi" w:cstheme="minorHAnsi"/>
          <w:color w:val="000000"/>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AB33EC" w:rsidRPr="003E75E2" w14:paraId="457732C4" w14:textId="77777777" w:rsidTr="00B721B7">
        <w:trPr>
          <w:trHeight w:val="20"/>
        </w:trPr>
        <w:tc>
          <w:tcPr>
            <w:tcW w:w="5529" w:type="dxa"/>
            <w:tcBorders>
              <w:top w:val="nil"/>
              <w:left w:val="nil"/>
              <w:bottom w:val="nil"/>
            </w:tcBorders>
            <w:noWrap/>
            <w:tcMar>
              <w:left w:w="0" w:type="dxa"/>
              <w:right w:w="0" w:type="dxa"/>
            </w:tcMar>
            <w:vAlign w:val="bottom"/>
          </w:tcPr>
          <w:p w14:paraId="469CCCD7" w14:textId="77777777" w:rsidR="00AB33EC" w:rsidRPr="005523A4" w:rsidRDefault="00AB33EC" w:rsidP="00E9699B">
            <w:pPr>
              <w:tabs>
                <w:tab w:val="left" w:pos="0"/>
              </w:tabs>
              <w:spacing w:after="60"/>
              <w:rPr>
                <w:rFonts w:asciiTheme="minorHAnsi" w:eastAsia="Times New Roman" w:hAnsiTheme="minorHAnsi" w:cstheme="minorHAnsi"/>
                <w:bCs/>
                <w:color w:val="000000"/>
                <w:szCs w:val="18"/>
                <w:lang w:eastAsia="en-AU"/>
              </w:rPr>
            </w:pPr>
          </w:p>
        </w:tc>
        <w:tc>
          <w:tcPr>
            <w:tcW w:w="567" w:type="dxa"/>
            <w:tcBorders>
              <w:top w:val="nil"/>
              <w:bottom w:val="nil"/>
            </w:tcBorders>
            <w:noWrap/>
            <w:tcMar>
              <w:left w:w="0" w:type="dxa"/>
              <w:right w:w="0" w:type="dxa"/>
            </w:tcMar>
            <w:vAlign w:val="bottom"/>
          </w:tcPr>
          <w:p w14:paraId="086B2315" w14:textId="77777777" w:rsidR="00AB33EC" w:rsidRPr="005523A4" w:rsidRDefault="00AB33EC" w:rsidP="00E9699B">
            <w:pPr>
              <w:spacing w:after="6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112DA157" w14:textId="77777777" w:rsidR="00AB33EC" w:rsidRPr="005523A4" w:rsidRDefault="00AB33EC" w:rsidP="00E9699B">
            <w:pPr>
              <w:spacing w:after="60"/>
              <w:jc w:val="right"/>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2024</w:t>
            </w:r>
          </w:p>
        </w:tc>
        <w:tc>
          <w:tcPr>
            <w:tcW w:w="283" w:type="dxa"/>
            <w:tcBorders>
              <w:top w:val="nil"/>
              <w:bottom w:val="nil"/>
            </w:tcBorders>
            <w:noWrap/>
          </w:tcPr>
          <w:p w14:paraId="1E934FBD" w14:textId="77777777" w:rsidR="00AB33EC" w:rsidRPr="005523A4" w:rsidRDefault="00AB33EC" w:rsidP="00E9699B">
            <w:pPr>
              <w:spacing w:after="6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FFFFFF"/>
            <w:noWrap/>
            <w:tcMar>
              <w:left w:w="0" w:type="dxa"/>
              <w:right w:w="113" w:type="dxa"/>
            </w:tcMar>
            <w:vAlign w:val="bottom"/>
          </w:tcPr>
          <w:p w14:paraId="1466C3EE" w14:textId="77777777" w:rsidR="00AB33EC" w:rsidRPr="005523A4" w:rsidRDefault="00AB33EC" w:rsidP="00E9699B">
            <w:pPr>
              <w:spacing w:after="60"/>
              <w:jc w:val="right"/>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2023</w:t>
            </w:r>
          </w:p>
        </w:tc>
      </w:tr>
      <w:tr w:rsidR="00AB33EC" w:rsidRPr="003E75E2" w14:paraId="1ED06F35" w14:textId="77777777" w:rsidTr="00B721B7">
        <w:trPr>
          <w:trHeight w:val="20"/>
        </w:trPr>
        <w:tc>
          <w:tcPr>
            <w:tcW w:w="5529" w:type="dxa"/>
            <w:tcBorders>
              <w:top w:val="nil"/>
              <w:left w:val="nil"/>
              <w:bottom w:val="nil"/>
            </w:tcBorders>
            <w:noWrap/>
            <w:tcMar>
              <w:left w:w="0" w:type="dxa"/>
              <w:right w:w="0" w:type="dxa"/>
            </w:tcMar>
            <w:vAlign w:val="bottom"/>
          </w:tcPr>
          <w:p w14:paraId="08E3509D" w14:textId="77777777" w:rsidR="00AB33EC" w:rsidRPr="005523A4" w:rsidRDefault="00AB33EC" w:rsidP="00E9699B">
            <w:pPr>
              <w:tabs>
                <w:tab w:val="left" w:pos="0"/>
              </w:tabs>
              <w:spacing w:after="60"/>
              <w:rPr>
                <w:rFonts w:asciiTheme="minorHAnsi" w:eastAsia="Times New Roman" w:hAnsiTheme="minorHAnsi" w:cstheme="minorHAnsi"/>
                <w:bCs/>
                <w:color w:val="000000"/>
                <w:sz w:val="16"/>
                <w:szCs w:val="16"/>
                <w:lang w:eastAsia="en-AU"/>
              </w:rPr>
            </w:pPr>
          </w:p>
        </w:tc>
        <w:tc>
          <w:tcPr>
            <w:tcW w:w="567" w:type="dxa"/>
            <w:tcBorders>
              <w:top w:val="nil"/>
              <w:bottom w:val="nil"/>
            </w:tcBorders>
            <w:noWrap/>
            <w:tcMar>
              <w:left w:w="0" w:type="dxa"/>
              <w:right w:w="0" w:type="dxa"/>
            </w:tcMar>
            <w:vAlign w:val="bottom"/>
          </w:tcPr>
          <w:p w14:paraId="13984E7C" w14:textId="77777777" w:rsidR="00AB33EC" w:rsidRPr="005523A4" w:rsidRDefault="00AB33EC" w:rsidP="00E9699B">
            <w:pPr>
              <w:spacing w:after="6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5507AE68" w14:textId="77777777" w:rsidR="00AB33EC" w:rsidRPr="005523A4" w:rsidRDefault="00AB33EC" w:rsidP="00E9699B">
            <w:pPr>
              <w:spacing w:after="60"/>
              <w:jc w:val="right"/>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$’000</w:t>
            </w:r>
          </w:p>
        </w:tc>
        <w:tc>
          <w:tcPr>
            <w:tcW w:w="283" w:type="dxa"/>
            <w:tcBorders>
              <w:top w:val="nil"/>
              <w:bottom w:val="nil"/>
            </w:tcBorders>
            <w:noWrap/>
          </w:tcPr>
          <w:p w14:paraId="22BAB0F0" w14:textId="77777777" w:rsidR="00AB33EC" w:rsidRPr="005523A4" w:rsidRDefault="00AB33EC" w:rsidP="00E9699B">
            <w:pPr>
              <w:spacing w:after="6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FFFFFF"/>
            <w:noWrap/>
            <w:tcMar>
              <w:left w:w="0" w:type="dxa"/>
              <w:right w:w="113" w:type="dxa"/>
            </w:tcMar>
            <w:vAlign w:val="bottom"/>
          </w:tcPr>
          <w:p w14:paraId="6F22A2E7" w14:textId="77777777" w:rsidR="00AB33EC" w:rsidRPr="005523A4" w:rsidRDefault="00AB33EC" w:rsidP="00E9699B">
            <w:pPr>
              <w:spacing w:after="60"/>
              <w:jc w:val="right"/>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$’000</w:t>
            </w:r>
          </w:p>
        </w:tc>
      </w:tr>
      <w:tr w:rsidR="00AB33EC" w:rsidRPr="003E75E2" w14:paraId="58523719" w14:textId="77777777" w:rsidTr="00B721B7">
        <w:trPr>
          <w:trHeight w:val="20"/>
        </w:trPr>
        <w:tc>
          <w:tcPr>
            <w:tcW w:w="5529" w:type="dxa"/>
            <w:tcBorders>
              <w:top w:val="nil"/>
              <w:left w:val="nil"/>
              <w:bottom w:val="nil"/>
            </w:tcBorders>
            <w:noWrap/>
            <w:tcMar>
              <w:left w:w="0" w:type="dxa"/>
              <w:right w:w="0" w:type="dxa"/>
            </w:tcMar>
          </w:tcPr>
          <w:p w14:paraId="3D46FE53" w14:textId="77777777" w:rsidR="00AB33EC" w:rsidRPr="005523A4" w:rsidRDefault="00AB33EC" w:rsidP="00E9699B">
            <w:pPr>
              <w:spacing w:after="60"/>
              <w:rPr>
                <w:rFonts w:asciiTheme="minorHAnsi" w:eastAsia="Times New Roman" w:hAnsiTheme="minorHAnsi" w:cstheme="minorHAnsi"/>
                <w:b/>
                <w:bCs/>
                <w:color w:val="000000"/>
                <w:szCs w:val="18"/>
                <w:lang w:eastAsia="en-AU"/>
              </w:rPr>
            </w:pPr>
          </w:p>
          <w:p w14:paraId="67978739" w14:textId="77777777" w:rsidR="00AB33EC" w:rsidRPr="005523A4" w:rsidRDefault="00AB33EC" w:rsidP="00E9699B">
            <w:pPr>
              <w:spacing w:after="60"/>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Contractual Payables</w:t>
            </w:r>
          </w:p>
        </w:tc>
        <w:tc>
          <w:tcPr>
            <w:tcW w:w="567" w:type="dxa"/>
            <w:tcBorders>
              <w:top w:val="nil"/>
              <w:bottom w:val="nil"/>
            </w:tcBorders>
            <w:noWrap/>
            <w:tcMar>
              <w:left w:w="0" w:type="dxa"/>
              <w:right w:w="0" w:type="dxa"/>
            </w:tcMar>
            <w:vAlign w:val="bottom"/>
          </w:tcPr>
          <w:p w14:paraId="3B2B8414" w14:textId="77777777" w:rsidR="00AB33EC" w:rsidRPr="005523A4" w:rsidRDefault="00AB33EC" w:rsidP="00E9699B">
            <w:pPr>
              <w:spacing w:after="6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0F76BC19" w14:textId="77777777" w:rsidR="00AB33EC" w:rsidRPr="005523A4" w:rsidRDefault="00AB33EC" w:rsidP="00E9699B">
            <w:pPr>
              <w:spacing w:after="60"/>
              <w:rPr>
                <w:rFonts w:asciiTheme="minorHAnsi" w:eastAsia="Times New Roman" w:hAnsiTheme="minorHAnsi" w:cstheme="minorHAnsi"/>
                <w:bCs/>
                <w:color w:val="000000"/>
                <w:szCs w:val="18"/>
                <w:lang w:eastAsia="en-AU"/>
              </w:rPr>
            </w:pPr>
          </w:p>
        </w:tc>
        <w:tc>
          <w:tcPr>
            <w:tcW w:w="283" w:type="dxa"/>
            <w:tcBorders>
              <w:top w:val="nil"/>
              <w:bottom w:val="nil"/>
            </w:tcBorders>
            <w:noWrap/>
          </w:tcPr>
          <w:p w14:paraId="591AD3D6" w14:textId="77777777" w:rsidR="00AB33EC" w:rsidRPr="005523A4" w:rsidRDefault="00AB33EC" w:rsidP="00E9699B">
            <w:pPr>
              <w:spacing w:after="6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FFFFFF"/>
            <w:noWrap/>
            <w:tcMar>
              <w:left w:w="0" w:type="dxa"/>
              <w:right w:w="113" w:type="dxa"/>
            </w:tcMar>
            <w:vAlign w:val="bottom"/>
          </w:tcPr>
          <w:p w14:paraId="753DA0E4" w14:textId="77777777" w:rsidR="00AB33EC" w:rsidRPr="005523A4" w:rsidRDefault="00AB33EC" w:rsidP="00E9699B">
            <w:pPr>
              <w:spacing w:after="60"/>
              <w:jc w:val="right"/>
              <w:rPr>
                <w:rFonts w:asciiTheme="minorHAnsi" w:eastAsia="Times New Roman" w:hAnsiTheme="minorHAnsi" w:cstheme="minorHAnsi"/>
                <w:bCs/>
                <w:color w:val="000000"/>
                <w:szCs w:val="18"/>
                <w:lang w:eastAsia="en-AU"/>
              </w:rPr>
            </w:pPr>
          </w:p>
        </w:tc>
      </w:tr>
      <w:tr w:rsidR="00AB33EC" w:rsidRPr="003E75E2" w14:paraId="5717DFBD" w14:textId="77777777" w:rsidTr="00B721B7">
        <w:trPr>
          <w:trHeight w:val="20"/>
        </w:trPr>
        <w:tc>
          <w:tcPr>
            <w:tcW w:w="5529" w:type="dxa"/>
            <w:tcBorders>
              <w:top w:val="nil"/>
              <w:left w:val="nil"/>
              <w:bottom w:val="nil"/>
            </w:tcBorders>
            <w:noWrap/>
            <w:tcMar>
              <w:left w:w="0" w:type="dxa"/>
              <w:right w:w="0" w:type="dxa"/>
            </w:tcMar>
          </w:tcPr>
          <w:p w14:paraId="6518A60D" w14:textId="77777777" w:rsidR="00AB33EC" w:rsidRPr="005523A4" w:rsidRDefault="00AB33EC" w:rsidP="00E9699B">
            <w:pPr>
              <w:spacing w:after="60"/>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Creditors</w:t>
            </w:r>
          </w:p>
        </w:tc>
        <w:tc>
          <w:tcPr>
            <w:tcW w:w="567" w:type="dxa"/>
            <w:tcBorders>
              <w:top w:val="nil"/>
              <w:bottom w:val="nil"/>
            </w:tcBorders>
            <w:noWrap/>
            <w:tcMar>
              <w:left w:w="0" w:type="dxa"/>
              <w:right w:w="0" w:type="dxa"/>
            </w:tcMar>
            <w:vAlign w:val="bottom"/>
          </w:tcPr>
          <w:p w14:paraId="7DA7371B" w14:textId="77777777" w:rsidR="00AB33EC" w:rsidRPr="005523A4" w:rsidRDefault="00AB33EC" w:rsidP="00E9699B">
            <w:pPr>
              <w:spacing w:after="6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12FA06B7" w14:textId="1CC8FE18" w:rsidR="00AB33EC" w:rsidRPr="005523A4" w:rsidRDefault="00AB33EC" w:rsidP="00E9699B">
            <w:pPr>
              <w:spacing w:after="60"/>
              <w:jc w:val="right"/>
              <w:rPr>
                <w:rFonts w:asciiTheme="minorHAnsi" w:eastAsia="Times New Roman" w:hAnsiTheme="minorHAnsi" w:cstheme="minorHAnsi"/>
                <w:bCs/>
                <w:color w:val="000000"/>
                <w:szCs w:val="18"/>
                <w:lang w:eastAsia="en-AU"/>
              </w:rPr>
            </w:pPr>
            <w:r>
              <w:rPr>
                <w:rFonts w:asciiTheme="minorHAnsi" w:eastAsia="Times New Roman" w:hAnsiTheme="minorHAnsi" w:cstheme="minorHAnsi"/>
                <w:bCs/>
                <w:color w:val="000000"/>
                <w:szCs w:val="18"/>
                <w:lang w:eastAsia="en-AU"/>
              </w:rPr>
              <w:t>1,1</w:t>
            </w:r>
            <w:r w:rsidR="006469ED">
              <w:rPr>
                <w:rFonts w:asciiTheme="minorHAnsi" w:eastAsia="Times New Roman" w:hAnsiTheme="minorHAnsi" w:cstheme="minorHAnsi"/>
                <w:bCs/>
                <w:color w:val="000000"/>
                <w:szCs w:val="18"/>
                <w:lang w:eastAsia="en-AU"/>
              </w:rPr>
              <w:t>0</w:t>
            </w:r>
            <w:r>
              <w:rPr>
                <w:rFonts w:asciiTheme="minorHAnsi" w:eastAsia="Times New Roman" w:hAnsiTheme="minorHAnsi" w:cstheme="minorHAnsi"/>
                <w:bCs/>
                <w:color w:val="000000"/>
                <w:szCs w:val="18"/>
                <w:lang w:eastAsia="en-AU"/>
              </w:rPr>
              <w:t>8</w:t>
            </w:r>
          </w:p>
        </w:tc>
        <w:tc>
          <w:tcPr>
            <w:tcW w:w="283" w:type="dxa"/>
            <w:tcBorders>
              <w:top w:val="nil"/>
              <w:bottom w:val="nil"/>
            </w:tcBorders>
            <w:noWrap/>
          </w:tcPr>
          <w:p w14:paraId="1CE0505B" w14:textId="77777777" w:rsidR="00AB33EC" w:rsidRPr="005523A4" w:rsidRDefault="00AB33EC" w:rsidP="00E9699B">
            <w:pPr>
              <w:spacing w:after="6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auto"/>
            <w:noWrap/>
            <w:tcMar>
              <w:left w:w="0" w:type="dxa"/>
              <w:right w:w="113" w:type="dxa"/>
            </w:tcMar>
            <w:vAlign w:val="bottom"/>
          </w:tcPr>
          <w:p w14:paraId="64777D89" w14:textId="77777777" w:rsidR="00AB33EC" w:rsidRPr="005523A4" w:rsidRDefault="00AB33EC" w:rsidP="00E9699B">
            <w:pPr>
              <w:spacing w:after="60"/>
              <w:jc w:val="right"/>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838</w:t>
            </w:r>
          </w:p>
        </w:tc>
      </w:tr>
      <w:tr w:rsidR="00AB33EC" w:rsidRPr="003E75E2" w14:paraId="063910D2" w14:textId="77777777" w:rsidTr="00B721B7">
        <w:trPr>
          <w:trHeight w:val="20"/>
        </w:trPr>
        <w:tc>
          <w:tcPr>
            <w:tcW w:w="5529" w:type="dxa"/>
            <w:tcBorders>
              <w:top w:val="nil"/>
              <w:left w:val="nil"/>
              <w:bottom w:val="nil"/>
            </w:tcBorders>
            <w:noWrap/>
            <w:tcMar>
              <w:left w:w="0" w:type="dxa"/>
              <w:right w:w="0" w:type="dxa"/>
            </w:tcMar>
          </w:tcPr>
          <w:p w14:paraId="49EF2FE0" w14:textId="77777777" w:rsidR="00AB33EC" w:rsidRPr="005523A4" w:rsidRDefault="00AB33EC" w:rsidP="00E9699B">
            <w:pPr>
              <w:spacing w:after="60"/>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Queensland Police Service</w:t>
            </w:r>
          </w:p>
        </w:tc>
        <w:tc>
          <w:tcPr>
            <w:tcW w:w="567" w:type="dxa"/>
            <w:tcBorders>
              <w:top w:val="nil"/>
              <w:bottom w:val="nil"/>
            </w:tcBorders>
            <w:noWrap/>
            <w:tcMar>
              <w:left w:w="0" w:type="dxa"/>
              <w:right w:w="0" w:type="dxa"/>
            </w:tcMar>
            <w:vAlign w:val="bottom"/>
          </w:tcPr>
          <w:p w14:paraId="780C7286" w14:textId="77777777" w:rsidR="00AB33EC" w:rsidRPr="005523A4" w:rsidRDefault="00AB33EC" w:rsidP="00E9699B">
            <w:pPr>
              <w:spacing w:after="60"/>
              <w:jc w:val="center"/>
              <w:rPr>
                <w:rFonts w:asciiTheme="minorHAnsi" w:eastAsia="Times New Roman" w:hAnsiTheme="minorHAnsi" w:cstheme="minorHAnsi"/>
                <w:bCs/>
                <w:color w:val="000000"/>
                <w:szCs w:val="18"/>
                <w:lang w:eastAsia="en-AU"/>
              </w:rPr>
            </w:pPr>
          </w:p>
        </w:tc>
        <w:tc>
          <w:tcPr>
            <w:tcW w:w="1417" w:type="dxa"/>
            <w:tcBorders>
              <w:top w:val="nil"/>
              <w:bottom w:val="single" w:sz="4" w:space="0" w:color="auto"/>
            </w:tcBorders>
            <w:shd w:val="clear" w:color="auto" w:fill="F1F1F2" w:themeFill="accent5" w:themeFillTint="33"/>
            <w:noWrap/>
            <w:tcMar>
              <w:left w:w="0" w:type="dxa"/>
              <w:right w:w="113" w:type="dxa"/>
            </w:tcMar>
            <w:vAlign w:val="bottom"/>
          </w:tcPr>
          <w:p w14:paraId="109269D5" w14:textId="77777777" w:rsidR="00AB33EC" w:rsidRPr="005523A4" w:rsidRDefault="00AB33EC" w:rsidP="00E9699B">
            <w:pPr>
              <w:spacing w:after="60"/>
              <w:jc w:val="right"/>
              <w:rPr>
                <w:rFonts w:asciiTheme="minorHAnsi" w:eastAsia="Times New Roman" w:hAnsiTheme="minorHAnsi" w:cstheme="minorHAnsi"/>
                <w:bCs/>
                <w:color w:val="000000"/>
                <w:szCs w:val="18"/>
                <w:lang w:eastAsia="en-AU"/>
              </w:rPr>
            </w:pPr>
            <w:r>
              <w:rPr>
                <w:rFonts w:asciiTheme="minorHAnsi" w:eastAsia="Times New Roman" w:hAnsiTheme="minorHAnsi" w:cstheme="minorHAnsi"/>
                <w:bCs/>
                <w:color w:val="000000"/>
                <w:szCs w:val="18"/>
                <w:lang w:eastAsia="en-AU"/>
              </w:rPr>
              <w:t>904</w:t>
            </w:r>
          </w:p>
        </w:tc>
        <w:tc>
          <w:tcPr>
            <w:tcW w:w="283" w:type="dxa"/>
            <w:tcBorders>
              <w:top w:val="nil"/>
              <w:bottom w:val="nil"/>
            </w:tcBorders>
            <w:noWrap/>
          </w:tcPr>
          <w:p w14:paraId="5BF2BA43" w14:textId="77777777" w:rsidR="00AB33EC" w:rsidRPr="005523A4" w:rsidRDefault="00AB33EC" w:rsidP="00E9699B">
            <w:pPr>
              <w:spacing w:after="60"/>
              <w:rPr>
                <w:rFonts w:asciiTheme="minorHAnsi" w:eastAsia="Times New Roman" w:hAnsiTheme="minorHAnsi" w:cstheme="minorHAnsi"/>
                <w:bCs/>
                <w:color w:val="000000"/>
                <w:szCs w:val="18"/>
              </w:rPr>
            </w:pPr>
          </w:p>
        </w:tc>
        <w:tc>
          <w:tcPr>
            <w:tcW w:w="1276" w:type="dxa"/>
            <w:tcBorders>
              <w:top w:val="nil"/>
              <w:bottom w:val="single" w:sz="4" w:space="0" w:color="auto"/>
              <w:right w:val="nil"/>
            </w:tcBorders>
            <w:shd w:val="clear" w:color="auto" w:fill="auto"/>
            <w:noWrap/>
            <w:tcMar>
              <w:left w:w="0" w:type="dxa"/>
              <w:right w:w="113" w:type="dxa"/>
            </w:tcMar>
            <w:vAlign w:val="bottom"/>
          </w:tcPr>
          <w:p w14:paraId="09E08ACA" w14:textId="77777777" w:rsidR="00AB33EC" w:rsidRPr="005523A4" w:rsidRDefault="00AB33EC" w:rsidP="00E9699B">
            <w:pPr>
              <w:spacing w:after="60"/>
              <w:jc w:val="right"/>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1,361</w:t>
            </w:r>
          </w:p>
        </w:tc>
      </w:tr>
      <w:tr w:rsidR="00AB33EC" w:rsidRPr="003E75E2" w14:paraId="6135A6D0" w14:textId="77777777" w:rsidTr="00B721B7">
        <w:trPr>
          <w:trHeight w:val="20"/>
        </w:trPr>
        <w:tc>
          <w:tcPr>
            <w:tcW w:w="5529" w:type="dxa"/>
            <w:tcBorders>
              <w:top w:val="nil"/>
              <w:left w:val="nil"/>
              <w:bottom w:val="nil"/>
            </w:tcBorders>
            <w:noWrap/>
            <w:tcMar>
              <w:left w:w="0" w:type="dxa"/>
              <w:right w:w="0" w:type="dxa"/>
            </w:tcMar>
          </w:tcPr>
          <w:p w14:paraId="56470CEC" w14:textId="77777777" w:rsidR="00AB33EC" w:rsidRPr="005523A4" w:rsidRDefault="00AB33EC" w:rsidP="00E9699B">
            <w:pPr>
              <w:spacing w:after="60"/>
              <w:rPr>
                <w:rFonts w:asciiTheme="minorHAnsi" w:eastAsia="Times New Roman" w:hAnsiTheme="minorHAnsi" w:cstheme="minorHAnsi"/>
                <w:b/>
                <w:bCs/>
                <w:color w:val="000000"/>
                <w:szCs w:val="18"/>
                <w:lang w:eastAsia="en-AU"/>
              </w:rPr>
            </w:pPr>
          </w:p>
        </w:tc>
        <w:tc>
          <w:tcPr>
            <w:tcW w:w="567" w:type="dxa"/>
            <w:tcBorders>
              <w:top w:val="nil"/>
              <w:bottom w:val="nil"/>
            </w:tcBorders>
            <w:noWrap/>
            <w:tcMar>
              <w:left w:w="0" w:type="dxa"/>
              <w:right w:w="0" w:type="dxa"/>
            </w:tcMar>
            <w:vAlign w:val="bottom"/>
          </w:tcPr>
          <w:p w14:paraId="7EC7A241" w14:textId="77777777" w:rsidR="00AB33EC" w:rsidRPr="005523A4" w:rsidRDefault="00AB33EC" w:rsidP="00E9699B">
            <w:pPr>
              <w:spacing w:after="60"/>
              <w:jc w:val="center"/>
              <w:rPr>
                <w:rFonts w:asciiTheme="minorHAnsi" w:eastAsia="Times New Roman" w:hAnsiTheme="minorHAnsi" w:cstheme="minorHAnsi"/>
                <w:b/>
                <w:bCs/>
                <w:color w:val="000000"/>
                <w:szCs w:val="18"/>
                <w:lang w:eastAsia="en-AU"/>
              </w:rPr>
            </w:pPr>
          </w:p>
        </w:tc>
        <w:tc>
          <w:tcPr>
            <w:tcW w:w="1417" w:type="dxa"/>
            <w:tcBorders>
              <w:top w:val="single" w:sz="4" w:space="0" w:color="auto"/>
              <w:bottom w:val="nil"/>
            </w:tcBorders>
            <w:shd w:val="clear" w:color="auto" w:fill="F1F1F2" w:themeFill="accent5" w:themeFillTint="33"/>
            <w:noWrap/>
            <w:tcMar>
              <w:left w:w="0" w:type="dxa"/>
              <w:right w:w="113" w:type="dxa"/>
            </w:tcMar>
            <w:vAlign w:val="bottom"/>
          </w:tcPr>
          <w:p w14:paraId="4BA8A6BA" w14:textId="77777777" w:rsidR="00AB33EC" w:rsidRPr="005523A4" w:rsidRDefault="00AB33EC" w:rsidP="00E9699B">
            <w:pPr>
              <w:spacing w:after="60"/>
              <w:jc w:val="right"/>
              <w:rPr>
                <w:rFonts w:asciiTheme="minorHAnsi" w:eastAsia="Times New Roman" w:hAnsiTheme="minorHAnsi" w:cstheme="minorHAnsi"/>
                <w:b/>
                <w:bCs/>
                <w:iCs/>
                <w:color w:val="000000"/>
                <w:szCs w:val="18"/>
                <w:lang w:eastAsia="en-AU"/>
              </w:rPr>
            </w:pPr>
            <w:r>
              <w:rPr>
                <w:rFonts w:asciiTheme="minorHAnsi" w:eastAsia="Times New Roman" w:hAnsiTheme="minorHAnsi" w:cstheme="minorHAnsi"/>
                <w:b/>
                <w:bCs/>
                <w:iCs/>
                <w:color w:val="000000"/>
                <w:szCs w:val="18"/>
                <w:lang w:eastAsia="en-AU"/>
              </w:rPr>
              <w:t>2,102</w:t>
            </w:r>
          </w:p>
        </w:tc>
        <w:tc>
          <w:tcPr>
            <w:tcW w:w="283" w:type="dxa"/>
            <w:tcBorders>
              <w:top w:val="nil"/>
              <w:bottom w:val="nil"/>
            </w:tcBorders>
            <w:noWrap/>
          </w:tcPr>
          <w:p w14:paraId="20110504" w14:textId="77777777" w:rsidR="00AB33EC" w:rsidRPr="005523A4" w:rsidRDefault="00AB33EC" w:rsidP="00E9699B">
            <w:pPr>
              <w:spacing w:after="60"/>
              <w:rPr>
                <w:rFonts w:asciiTheme="minorHAnsi" w:eastAsia="Times New Roman" w:hAnsiTheme="minorHAnsi" w:cstheme="minorHAnsi"/>
                <w:b/>
                <w:bCs/>
                <w:color w:val="000000"/>
                <w:szCs w:val="18"/>
              </w:rPr>
            </w:pPr>
          </w:p>
        </w:tc>
        <w:tc>
          <w:tcPr>
            <w:tcW w:w="1276" w:type="dxa"/>
            <w:tcBorders>
              <w:top w:val="single" w:sz="4" w:space="0" w:color="auto"/>
              <w:bottom w:val="nil"/>
              <w:right w:val="nil"/>
            </w:tcBorders>
            <w:shd w:val="clear" w:color="auto" w:fill="auto"/>
            <w:noWrap/>
            <w:tcMar>
              <w:left w:w="0" w:type="dxa"/>
              <w:right w:w="113" w:type="dxa"/>
            </w:tcMar>
            <w:vAlign w:val="bottom"/>
          </w:tcPr>
          <w:p w14:paraId="47FA1CF4" w14:textId="77777777" w:rsidR="00AB33EC" w:rsidRPr="005523A4" w:rsidRDefault="00AB33EC" w:rsidP="00E9699B">
            <w:pPr>
              <w:spacing w:after="60"/>
              <w:jc w:val="right"/>
              <w:rPr>
                <w:rFonts w:asciiTheme="minorHAnsi" w:eastAsia="Times New Roman" w:hAnsiTheme="minorHAnsi" w:cstheme="minorHAnsi"/>
                <w:b/>
                <w:bCs/>
                <w:iCs/>
                <w:color w:val="000000"/>
                <w:szCs w:val="18"/>
                <w:lang w:eastAsia="en-AU"/>
              </w:rPr>
            </w:pPr>
            <w:r w:rsidRPr="005523A4">
              <w:rPr>
                <w:rFonts w:asciiTheme="minorHAnsi" w:eastAsia="Times New Roman" w:hAnsiTheme="minorHAnsi" w:cstheme="minorHAnsi"/>
                <w:b/>
                <w:bCs/>
                <w:iCs/>
                <w:color w:val="000000"/>
                <w:szCs w:val="18"/>
                <w:lang w:eastAsia="en-AU"/>
              </w:rPr>
              <w:t>2,199</w:t>
            </w:r>
          </w:p>
        </w:tc>
      </w:tr>
      <w:tr w:rsidR="00AB33EC" w:rsidRPr="003E75E2" w14:paraId="35E54BEE" w14:textId="77777777" w:rsidTr="00B721B7">
        <w:trPr>
          <w:trHeight w:val="20"/>
        </w:trPr>
        <w:tc>
          <w:tcPr>
            <w:tcW w:w="5529" w:type="dxa"/>
            <w:tcBorders>
              <w:top w:val="nil"/>
              <w:left w:val="nil"/>
              <w:bottom w:val="nil"/>
            </w:tcBorders>
            <w:noWrap/>
            <w:tcMar>
              <w:left w:w="0" w:type="dxa"/>
              <w:right w:w="0" w:type="dxa"/>
            </w:tcMar>
          </w:tcPr>
          <w:p w14:paraId="624D6229" w14:textId="77777777" w:rsidR="00AB33EC" w:rsidRPr="005523A4" w:rsidRDefault="00AB33EC" w:rsidP="00E9699B">
            <w:pPr>
              <w:spacing w:after="60"/>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Statutory Payables</w:t>
            </w:r>
          </w:p>
        </w:tc>
        <w:tc>
          <w:tcPr>
            <w:tcW w:w="567" w:type="dxa"/>
            <w:tcBorders>
              <w:top w:val="nil"/>
              <w:bottom w:val="nil"/>
            </w:tcBorders>
            <w:noWrap/>
            <w:tcMar>
              <w:left w:w="0" w:type="dxa"/>
              <w:right w:w="0" w:type="dxa"/>
            </w:tcMar>
            <w:vAlign w:val="bottom"/>
          </w:tcPr>
          <w:p w14:paraId="4DBBAE9D" w14:textId="77777777" w:rsidR="00AB33EC" w:rsidRPr="005523A4" w:rsidRDefault="00AB33EC" w:rsidP="00E9699B">
            <w:pPr>
              <w:spacing w:after="6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34269035" w14:textId="77777777" w:rsidR="00AB33EC" w:rsidRPr="005523A4" w:rsidRDefault="00AB33EC" w:rsidP="00E9699B">
            <w:pPr>
              <w:spacing w:after="60"/>
              <w:jc w:val="right"/>
              <w:rPr>
                <w:rFonts w:asciiTheme="minorHAnsi" w:eastAsia="Times New Roman" w:hAnsiTheme="minorHAnsi" w:cstheme="minorHAnsi"/>
                <w:b/>
                <w:bCs/>
                <w:color w:val="000000"/>
                <w:szCs w:val="18"/>
                <w:lang w:eastAsia="en-AU"/>
              </w:rPr>
            </w:pPr>
          </w:p>
        </w:tc>
        <w:tc>
          <w:tcPr>
            <w:tcW w:w="283" w:type="dxa"/>
            <w:tcBorders>
              <w:top w:val="nil"/>
              <w:bottom w:val="nil"/>
            </w:tcBorders>
            <w:noWrap/>
          </w:tcPr>
          <w:p w14:paraId="46770C8F" w14:textId="77777777" w:rsidR="00AB33EC" w:rsidRPr="005523A4" w:rsidRDefault="00AB33EC" w:rsidP="00E9699B">
            <w:pPr>
              <w:spacing w:after="6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auto"/>
            <w:noWrap/>
            <w:tcMar>
              <w:left w:w="0" w:type="dxa"/>
              <w:right w:w="113" w:type="dxa"/>
            </w:tcMar>
            <w:vAlign w:val="bottom"/>
          </w:tcPr>
          <w:p w14:paraId="6029927A" w14:textId="77777777" w:rsidR="00AB33EC" w:rsidRPr="005523A4" w:rsidRDefault="00AB33EC" w:rsidP="00E9699B">
            <w:pPr>
              <w:spacing w:after="60"/>
              <w:jc w:val="right"/>
              <w:rPr>
                <w:rFonts w:asciiTheme="minorHAnsi" w:eastAsia="Times New Roman" w:hAnsiTheme="minorHAnsi" w:cstheme="minorHAnsi"/>
                <w:b/>
                <w:bCs/>
                <w:color w:val="000000"/>
                <w:szCs w:val="18"/>
                <w:lang w:eastAsia="en-AU"/>
              </w:rPr>
            </w:pPr>
          </w:p>
        </w:tc>
      </w:tr>
      <w:tr w:rsidR="00AB33EC" w:rsidRPr="003E75E2" w14:paraId="1AC0E9BE" w14:textId="77777777" w:rsidTr="00B721B7">
        <w:trPr>
          <w:trHeight w:val="20"/>
        </w:trPr>
        <w:tc>
          <w:tcPr>
            <w:tcW w:w="5529" w:type="dxa"/>
            <w:tcBorders>
              <w:top w:val="nil"/>
              <w:left w:val="nil"/>
              <w:bottom w:val="nil"/>
            </w:tcBorders>
            <w:noWrap/>
            <w:tcMar>
              <w:left w:w="0" w:type="dxa"/>
              <w:right w:w="0" w:type="dxa"/>
            </w:tcMar>
          </w:tcPr>
          <w:p w14:paraId="389EBBBC" w14:textId="77777777" w:rsidR="00AB33EC" w:rsidRPr="005523A4" w:rsidRDefault="00AB33EC" w:rsidP="00E9699B">
            <w:pPr>
              <w:spacing w:after="60"/>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Payroll Tax</w:t>
            </w:r>
          </w:p>
        </w:tc>
        <w:tc>
          <w:tcPr>
            <w:tcW w:w="567" w:type="dxa"/>
            <w:tcBorders>
              <w:top w:val="nil"/>
              <w:bottom w:val="nil"/>
            </w:tcBorders>
            <w:noWrap/>
            <w:tcMar>
              <w:left w:w="0" w:type="dxa"/>
              <w:right w:w="0" w:type="dxa"/>
            </w:tcMar>
            <w:vAlign w:val="bottom"/>
          </w:tcPr>
          <w:p w14:paraId="3C94DFB5" w14:textId="77777777" w:rsidR="00AB33EC" w:rsidRPr="005523A4" w:rsidRDefault="00AB33EC" w:rsidP="00E9699B">
            <w:pPr>
              <w:spacing w:after="6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3656F660" w14:textId="77777777" w:rsidR="00AB33EC" w:rsidRPr="005523A4" w:rsidRDefault="00AB33EC" w:rsidP="00E9699B">
            <w:pPr>
              <w:spacing w:after="60"/>
              <w:jc w:val="right"/>
              <w:rPr>
                <w:rFonts w:asciiTheme="minorHAnsi" w:eastAsia="Times New Roman" w:hAnsiTheme="minorHAnsi" w:cstheme="minorHAnsi"/>
                <w:bCs/>
                <w:color w:val="000000"/>
                <w:szCs w:val="18"/>
                <w:lang w:eastAsia="en-AU"/>
              </w:rPr>
            </w:pPr>
            <w:r>
              <w:rPr>
                <w:rFonts w:asciiTheme="minorHAnsi" w:eastAsia="Times New Roman" w:hAnsiTheme="minorHAnsi" w:cstheme="minorHAnsi"/>
                <w:bCs/>
                <w:color w:val="000000"/>
                <w:szCs w:val="18"/>
                <w:lang w:eastAsia="en-AU"/>
              </w:rPr>
              <w:t>144</w:t>
            </w:r>
          </w:p>
        </w:tc>
        <w:tc>
          <w:tcPr>
            <w:tcW w:w="283" w:type="dxa"/>
            <w:tcBorders>
              <w:top w:val="nil"/>
              <w:bottom w:val="nil"/>
            </w:tcBorders>
            <w:noWrap/>
          </w:tcPr>
          <w:p w14:paraId="41368FA0" w14:textId="77777777" w:rsidR="00AB33EC" w:rsidRPr="005523A4" w:rsidRDefault="00AB33EC" w:rsidP="00E9699B">
            <w:pPr>
              <w:spacing w:after="6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auto"/>
            <w:noWrap/>
            <w:tcMar>
              <w:left w:w="0" w:type="dxa"/>
              <w:right w:w="113" w:type="dxa"/>
            </w:tcMar>
            <w:vAlign w:val="bottom"/>
          </w:tcPr>
          <w:p w14:paraId="6530C34A" w14:textId="77777777" w:rsidR="00AB33EC" w:rsidRPr="005523A4" w:rsidRDefault="00AB33EC" w:rsidP="00E9699B">
            <w:pPr>
              <w:spacing w:after="60"/>
              <w:jc w:val="right"/>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122</w:t>
            </w:r>
          </w:p>
        </w:tc>
      </w:tr>
      <w:tr w:rsidR="00AB33EC" w:rsidRPr="003E75E2" w14:paraId="6422EFB6" w14:textId="77777777" w:rsidTr="00B721B7">
        <w:trPr>
          <w:trHeight w:val="20"/>
        </w:trPr>
        <w:tc>
          <w:tcPr>
            <w:tcW w:w="5529" w:type="dxa"/>
            <w:tcBorders>
              <w:top w:val="nil"/>
              <w:left w:val="nil"/>
              <w:bottom w:val="nil"/>
            </w:tcBorders>
            <w:noWrap/>
            <w:tcMar>
              <w:left w:w="0" w:type="dxa"/>
              <w:right w:w="0" w:type="dxa"/>
            </w:tcMar>
          </w:tcPr>
          <w:p w14:paraId="75D3DB29" w14:textId="77777777" w:rsidR="00AB33EC" w:rsidRPr="005523A4" w:rsidRDefault="00AB33EC" w:rsidP="00E9699B">
            <w:pPr>
              <w:spacing w:after="60"/>
              <w:rPr>
                <w:rFonts w:asciiTheme="minorHAnsi" w:eastAsia="Times New Roman" w:hAnsiTheme="minorHAnsi" w:cstheme="minorHAnsi"/>
                <w:bCs/>
                <w:color w:val="000000"/>
                <w:szCs w:val="18"/>
                <w:highlight w:val="yellow"/>
                <w:lang w:eastAsia="en-AU"/>
              </w:rPr>
            </w:pPr>
            <w:r w:rsidRPr="005523A4">
              <w:rPr>
                <w:rFonts w:asciiTheme="minorHAnsi" w:eastAsia="Times New Roman" w:hAnsiTheme="minorHAnsi" w:cstheme="minorHAnsi"/>
                <w:bCs/>
                <w:color w:val="000000"/>
                <w:szCs w:val="18"/>
                <w:lang w:eastAsia="en-AU"/>
              </w:rPr>
              <w:t xml:space="preserve">Fringe Benefits Tax </w:t>
            </w:r>
          </w:p>
        </w:tc>
        <w:tc>
          <w:tcPr>
            <w:tcW w:w="567" w:type="dxa"/>
            <w:tcBorders>
              <w:top w:val="nil"/>
              <w:bottom w:val="nil"/>
            </w:tcBorders>
            <w:noWrap/>
            <w:tcMar>
              <w:left w:w="0" w:type="dxa"/>
              <w:right w:w="0" w:type="dxa"/>
            </w:tcMar>
            <w:vAlign w:val="bottom"/>
          </w:tcPr>
          <w:p w14:paraId="5B8BBC7D" w14:textId="77777777" w:rsidR="00AB33EC" w:rsidRPr="005523A4" w:rsidRDefault="00AB33EC" w:rsidP="00E9699B">
            <w:pPr>
              <w:spacing w:after="60"/>
              <w:jc w:val="center"/>
              <w:rPr>
                <w:rFonts w:asciiTheme="minorHAnsi" w:eastAsia="Times New Roman" w:hAnsiTheme="minorHAnsi" w:cstheme="minorHAnsi"/>
                <w:bCs/>
                <w:color w:val="000000"/>
                <w:szCs w:val="18"/>
                <w:lang w:eastAsia="en-AU"/>
              </w:rPr>
            </w:pPr>
          </w:p>
        </w:tc>
        <w:tc>
          <w:tcPr>
            <w:tcW w:w="1417" w:type="dxa"/>
            <w:tcBorders>
              <w:top w:val="nil"/>
              <w:bottom w:val="single" w:sz="4" w:space="0" w:color="auto"/>
            </w:tcBorders>
            <w:shd w:val="clear" w:color="auto" w:fill="F1F1F2" w:themeFill="accent5" w:themeFillTint="33"/>
            <w:noWrap/>
            <w:tcMar>
              <w:left w:w="0" w:type="dxa"/>
              <w:right w:w="113" w:type="dxa"/>
            </w:tcMar>
            <w:vAlign w:val="bottom"/>
          </w:tcPr>
          <w:p w14:paraId="1ACAE659" w14:textId="77777777" w:rsidR="00AB33EC" w:rsidRPr="005523A4" w:rsidRDefault="00AB33EC" w:rsidP="00E9699B">
            <w:pPr>
              <w:spacing w:after="60"/>
              <w:jc w:val="right"/>
              <w:rPr>
                <w:rFonts w:asciiTheme="minorHAnsi" w:eastAsia="Times New Roman" w:hAnsiTheme="minorHAnsi" w:cstheme="minorHAnsi"/>
                <w:bCs/>
                <w:color w:val="000000"/>
                <w:szCs w:val="18"/>
                <w:lang w:eastAsia="en-AU"/>
              </w:rPr>
            </w:pPr>
            <w:r>
              <w:rPr>
                <w:rFonts w:asciiTheme="minorHAnsi" w:eastAsia="Times New Roman" w:hAnsiTheme="minorHAnsi" w:cstheme="minorHAnsi"/>
                <w:bCs/>
                <w:color w:val="000000"/>
                <w:szCs w:val="18"/>
                <w:lang w:eastAsia="en-AU"/>
              </w:rPr>
              <w:t>27</w:t>
            </w:r>
          </w:p>
        </w:tc>
        <w:tc>
          <w:tcPr>
            <w:tcW w:w="283" w:type="dxa"/>
            <w:tcBorders>
              <w:top w:val="nil"/>
              <w:bottom w:val="nil"/>
            </w:tcBorders>
            <w:noWrap/>
          </w:tcPr>
          <w:p w14:paraId="74F39D20" w14:textId="77777777" w:rsidR="00AB33EC" w:rsidRPr="005523A4" w:rsidRDefault="00AB33EC" w:rsidP="00E9699B">
            <w:pPr>
              <w:spacing w:after="60"/>
              <w:rPr>
                <w:rFonts w:asciiTheme="minorHAnsi" w:eastAsia="Times New Roman" w:hAnsiTheme="minorHAnsi" w:cstheme="minorHAnsi"/>
                <w:bCs/>
                <w:color w:val="000000"/>
                <w:szCs w:val="18"/>
              </w:rPr>
            </w:pPr>
          </w:p>
        </w:tc>
        <w:tc>
          <w:tcPr>
            <w:tcW w:w="1276" w:type="dxa"/>
            <w:tcBorders>
              <w:top w:val="nil"/>
              <w:bottom w:val="single" w:sz="4" w:space="0" w:color="auto"/>
              <w:right w:val="nil"/>
            </w:tcBorders>
            <w:shd w:val="clear" w:color="auto" w:fill="auto"/>
            <w:noWrap/>
            <w:tcMar>
              <w:left w:w="0" w:type="dxa"/>
              <w:right w:w="113" w:type="dxa"/>
            </w:tcMar>
            <w:vAlign w:val="bottom"/>
          </w:tcPr>
          <w:p w14:paraId="40DFC8B0" w14:textId="77777777" w:rsidR="00AB33EC" w:rsidRPr="005523A4" w:rsidRDefault="00AB33EC" w:rsidP="00E9699B">
            <w:pPr>
              <w:spacing w:after="60"/>
              <w:jc w:val="right"/>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30</w:t>
            </w:r>
          </w:p>
        </w:tc>
      </w:tr>
      <w:tr w:rsidR="00AB33EC" w:rsidRPr="003E75E2" w14:paraId="18236169" w14:textId="77777777" w:rsidTr="00B721B7">
        <w:trPr>
          <w:trHeight w:val="20"/>
        </w:trPr>
        <w:tc>
          <w:tcPr>
            <w:tcW w:w="5529" w:type="dxa"/>
            <w:tcBorders>
              <w:top w:val="nil"/>
              <w:left w:val="nil"/>
              <w:bottom w:val="nil"/>
            </w:tcBorders>
            <w:noWrap/>
            <w:tcMar>
              <w:left w:w="0" w:type="dxa"/>
              <w:right w:w="0" w:type="dxa"/>
            </w:tcMar>
            <w:vAlign w:val="bottom"/>
          </w:tcPr>
          <w:p w14:paraId="2B5308E9" w14:textId="77777777" w:rsidR="00AB33EC" w:rsidRPr="005523A4" w:rsidRDefault="00AB33EC" w:rsidP="00E9699B">
            <w:pPr>
              <w:tabs>
                <w:tab w:val="left" w:pos="0"/>
              </w:tabs>
              <w:spacing w:after="60"/>
              <w:rPr>
                <w:rFonts w:asciiTheme="minorHAnsi" w:eastAsia="Times New Roman" w:hAnsiTheme="minorHAnsi" w:cstheme="minorHAnsi"/>
                <w:b/>
                <w:bCs/>
                <w:color w:val="000000"/>
                <w:szCs w:val="18"/>
                <w:lang w:eastAsia="en-AU"/>
              </w:rPr>
            </w:pPr>
          </w:p>
        </w:tc>
        <w:tc>
          <w:tcPr>
            <w:tcW w:w="567" w:type="dxa"/>
            <w:tcBorders>
              <w:top w:val="nil"/>
              <w:bottom w:val="nil"/>
            </w:tcBorders>
            <w:noWrap/>
            <w:tcMar>
              <w:left w:w="0" w:type="dxa"/>
              <w:right w:w="0" w:type="dxa"/>
            </w:tcMar>
            <w:vAlign w:val="bottom"/>
          </w:tcPr>
          <w:p w14:paraId="2B89ACC9" w14:textId="77777777" w:rsidR="00AB33EC" w:rsidRPr="005523A4" w:rsidRDefault="00AB33EC" w:rsidP="00E9699B">
            <w:pPr>
              <w:spacing w:after="60"/>
              <w:jc w:val="center"/>
              <w:rPr>
                <w:rFonts w:asciiTheme="minorHAnsi" w:eastAsia="Times New Roman" w:hAnsiTheme="minorHAnsi" w:cstheme="minorHAnsi"/>
                <w:b/>
                <w:bCs/>
                <w:color w:val="000000"/>
                <w:szCs w:val="18"/>
                <w:lang w:eastAsia="en-AU"/>
              </w:rPr>
            </w:pPr>
          </w:p>
        </w:tc>
        <w:tc>
          <w:tcPr>
            <w:tcW w:w="1417" w:type="dxa"/>
            <w:tcBorders>
              <w:top w:val="single" w:sz="4" w:space="0" w:color="auto"/>
              <w:bottom w:val="nil"/>
            </w:tcBorders>
            <w:shd w:val="clear" w:color="auto" w:fill="F1F1F2" w:themeFill="accent5" w:themeFillTint="33"/>
            <w:noWrap/>
            <w:tcMar>
              <w:left w:w="0" w:type="dxa"/>
              <w:right w:w="113" w:type="dxa"/>
            </w:tcMar>
            <w:vAlign w:val="bottom"/>
          </w:tcPr>
          <w:p w14:paraId="5BB66233" w14:textId="77777777" w:rsidR="00AB33EC" w:rsidRPr="005523A4" w:rsidRDefault="00AB33EC" w:rsidP="00E9699B">
            <w:pPr>
              <w:spacing w:after="60"/>
              <w:jc w:val="right"/>
              <w:rPr>
                <w:rFonts w:asciiTheme="minorHAnsi" w:eastAsia="Times New Roman" w:hAnsiTheme="minorHAnsi" w:cstheme="minorHAnsi"/>
                <w:b/>
                <w:bCs/>
                <w:iCs/>
                <w:color w:val="000000"/>
                <w:szCs w:val="18"/>
                <w:lang w:eastAsia="en-AU"/>
              </w:rPr>
            </w:pPr>
            <w:r>
              <w:rPr>
                <w:rFonts w:asciiTheme="minorHAnsi" w:eastAsia="Times New Roman" w:hAnsiTheme="minorHAnsi" w:cstheme="minorHAnsi"/>
                <w:b/>
                <w:bCs/>
                <w:iCs/>
                <w:color w:val="000000"/>
                <w:szCs w:val="18"/>
                <w:lang w:eastAsia="en-AU"/>
              </w:rPr>
              <w:t>171</w:t>
            </w:r>
          </w:p>
        </w:tc>
        <w:tc>
          <w:tcPr>
            <w:tcW w:w="283" w:type="dxa"/>
            <w:tcBorders>
              <w:top w:val="nil"/>
              <w:bottom w:val="nil"/>
            </w:tcBorders>
            <w:noWrap/>
          </w:tcPr>
          <w:p w14:paraId="7EE22DCB" w14:textId="77777777" w:rsidR="00AB33EC" w:rsidRPr="005523A4" w:rsidRDefault="00AB33EC" w:rsidP="00E9699B">
            <w:pPr>
              <w:spacing w:after="60"/>
              <w:rPr>
                <w:rFonts w:asciiTheme="minorHAnsi" w:eastAsia="Times New Roman" w:hAnsiTheme="minorHAnsi" w:cstheme="minorHAnsi"/>
                <w:b/>
                <w:bCs/>
                <w:color w:val="000000"/>
                <w:szCs w:val="18"/>
              </w:rPr>
            </w:pPr>
          </w:p>
        </w:tc>
        <w:tc>
          <w:tcPr>
            <w:tcW w:w="1276" w:type="dxa"/>
            <w:tcBorders>
              <w:top w:val="single" w:sz="4" w:space="0" w:color="auto"/>
              <w:bottom w:val="nil"/>
              <w:right w:val="nil"/>
            </w:tcBorders>
            <w:shd w:val="clear" w:color="auto" w:fill="auto"/>
            <w:noWrap/>
            <w:tcMar>
              <w:left w:w="0" w:type="dxa"/>
              <w:right w:w="113" w:type="dxa"/>
            </w:tcMar>
            <w:vAlign w:val="bottom"/>
          </w:tcPr>
          <w:p w14:paraId="4603BAD5" w14:textId="77777777" w:rsidR="00AB33EC" w:rsidRPr="005523A4" w:rsidRDefault="00AB33EC" w:rsidP="00E9699B">
            <w:pPr>
              <w:spacing w:after="60"/>
              <w:jc w:val="right"/>
              <w:rPr>
                <w:rFonts w:asciiTheme="minorHAnsi" w:eastAsia="Times New Roman" w:hAnsiTheme="minorHAnsi" w:cstheme="minorHAnsi"/>
                <w:b/>
                <w:bCs/>
                <w:iCs/>
                <w:color w:val="000000"/>
                <w:szCs w:val="18"/>
                <w:lang w:eastAsia="en-AU"/>
              </w:rPr>
            </w:pPr>
            <w:r w:rsidRPr="005523A4">
              <w:rPr>
                <w:rFonts w:asciiTheme="minorHAnsi" w:eastAsia="Times New Roman" w:hAnsiTheme="minorHAnsi" w:cstheme="minorHAnsi"/>
                <w:b/>
                <w:bCs/>
                <w:iCs/>
                <w:color w:val="000000"/>
                <w:szCs w:val="18"/>
                <w:lang w:eastAsia="en-AU"/>
              </w:rPr>
              <w:t>152</w:t>
            </w:r>
          </w:p>
        </w:tc>
      </w:tr>
      <w:tr w:rsidR="00AB33EC" w:rsidRPr="003E75E2" w14:paraId="114221B9" w14:textId="77777777" w:rsidTr="00B721B7">
        <w:trPr>
          <w:trHeight w:val="20"/>
        </w:trPr>
        <w:tc>
          <w:tcPr>
            <w:tcW w:w="5529" w:type="dxa"/>
            <w:tcBorders>
              <w:top w:val="nil"/>
              <w:left w:val="nil"/>
              <w:bottom w:val="nil"/>
            </w:tcBorders>
            <w:noWrap/>
            <w:tcMar>
              <w:left w:w="0" w:type="dxa"/>
              <w:right w:w="0" w:type="dxa"/>
            </w:tcMar>
            <w:vAlign w:val="bottom"/>
          </w:tcPr>
          <w:p w14:paraId="205CBF6E" w14:textId="77777777" w:rsidR="00AB33EC" w:rsidRPr="005523A4" w:rsidRDefault="00AB33EC" w:rsidP="00E9699B">
            <w:pPr>
              <w:tabs>
                <w:tab w:val="left" w:pos="0"/>
              </w:tabs>
              <w:spacing w:after="60"/>
              <w:rPr>
                <w:rFonts w:asciiTheme="minorHAnsi" w:eastAsia="Times New Roman" w:hAnsiTheme="minorHAnsi" w:cstheme="minorHAnsi"/>
                <w:b/>
                <w:bCs/>
                <w:color w:val="000000"/>
                <w:szCs w:val="18"/>
                <w:lang w:eastAsia="en-AU"/>
              </w:rPr>
            </w:pPr>
          </w:p>
        </w:tc>
        <w:tc>
          <w:tcPr>
            <w:tcW w:w="567" w:type="dxa"/>
            <w:tcBorders>
              <w:top w:val="nil"/>
              <w:bottom w:val="nil"/>
            </w:tcBorders>
            <w:noWrap/>
            <w:tcMar>
              <w:left w:w="0" w:type="dxa"/>
              <w:right w:w="0" w:type="dxa"/>
            </w:tcMar>
            <w:vAlign w:val="bottom"/>
          </w:tcPr>
          <w:p w14:paraId="2128A0FA" w14:textId="77777777" w:rsidR="00AB33EC" w:rsidRPr="005523A4" w:rsidRDefault="00AB33EC" w:rsidP="00E9699B">
            <w:pPr>
              <w:spacing w:after="60"/>
              <w:jc w:val="center"/>
              <w:rPr>
                <w:rFonts w:asciiTheme="minorHAnsi" w:eastAsia="Times New Roman" w:hAnsiTheme="minorHAnsi" w:cstheme="minorHAnsi"/>
                <w:b/>
                <w:bCs/>
                <w:color w:val="000000"/>
                <w:szCs w:val="18"/>
                <w:lang w:eastAsia="en-AU"/>
              </w:rPr>
            </w:pPr>
          </w:p>
        </w:tc>
        <w:tc>
          <w:tcPr>
            <w:tcW w:w="1417" w:type="dxa"/>
            <w:tcBorders>
              <w:top w:val="nil"/>
              <w:bottom w:val="single" w:sz="4" w:space="0" w:color="auto"/>
            </w:tcBorders>
            <w:shd w:val="clear" w:color="auto" w:fill="F1F1F2" w:themeFill="accent5" w:themeFillTint="33"/>
            <w:noWrap/>
            <w:tcMar>
              <w:left w:w="0" w:type="dxa"/>
              <w:right w:w="113" w:type="dxa"/>
            </w:tcMar>
            <w:vAlign w:val="bottom"/>
          </w:tcPr>
          <w:p w14:paraId="2EB44B46" w14:textId="77777777" w:rsidR="00AB33EC" w:rsidRPr="005523A4" w:rsidRDefault="00AB33EC" w:rsidP="00E9699B">
            <w:pPr>
              <w:spacing w:after="60"/>
              <w:jc w:val="right"/>
              <w:rPr>
                <w:rFonts w:asciiTheme="minorHAnsi" w:eastAsia="Times New Roman" w:hAnsiTheme="minorHAnsi" w:cstheme="minorHAnsi"/>
                <w:b/>
                <w:bCs/>
                <w:iCs/>
                <w:color w:val="000000"/>
                <w:szCs w:val="18"/>
                <w:lang w:eastAsia="en-AU"/>
              </w:rPr>
            </w:pPr>
          </w:p>
        </w:tc>
        <w:tc>
          <w:tcPr>
            <w:tcW w:w="283" w:type="dxa"/>
            <w:tcBorders>
              <w:top w:val="nil"/>
              <w:bottom w:val="nil"/>
            </w:tcBorders>
            <w:noWrap/>
          </w:tcPr>
          <w:p w14:paraId="55B87599" w14:textId="77777777" w:rsidR="00AB33EC" w:rsidRPr="005523A4" w:rsidRDefault="00AB33EC" w:rsidP="00E9699B">
            <w:pPr>
              <w:spacing w:after="60"/>
              <w:rPr>
                <w:rFonts w:asciiTheme="minorHAnsi" w:eastAsia="Times New Roman" w:hAnsiTheme="minorHAnsi" w:cstheme="minorHAnsi"/>
                <w:b/>
                <w:bCs/>
                <w:color w:val="000000"/>
                <w:szCs w:val="18"/>
              </w:rPr>
            </w:pPr>
          </w:p>
        </w:tc>
        <w:tc>
          <w:tcPr>
            <w:tcW w:w="1276" w:type="dxa"/>
            <w:tcBorders>
              <w:top w:val="nil"/>
              <w:bottom w:val="single" w:sz="4" w:space="0" w:color="auto"/>
              <w:right w:val="nil"/>
            </w:tcBorders>
            <w:shd w:val="clear" w:color="auto" w:fill="auto"/>
            <w:noWrap/>
            <w:tcMar>
              <w:left w:w="0" w:type="dxa"/>
              <w:right w:w="113" w:type="dxa"/>
            </w:tcMar>
            <w:vAlign w:val="bottom"/>
          </w:tcPr>
          <w:p w14:paraId="20845F20" w14:textId="77777777" w:rsidR="00AB33EC" w:rsidRPr="005523A4" w:rsidRDefault="00AB33EC" w:rsidP="00E9699B">
            <w:pPr>
              <w:spacing w:after="60"/>
              <w:jc w:val="right"/>
              <w:rPr>
                <w:rFonts w:asciiTheme="minorHAnsi" w:eastAsia="Times New Roman" w:hAnsiTheme="minorHAnsi" w:cstheme="minorHAnsi"/>
                <w:b/>
                <w:bCs/>
                <w:iCs/>
                <w:color w:val="000000"/>
                <w:szCs w:val="18"/>
                <w:lang w:eastAsia="en-AU"/>
              </w:rPr>
            </w:pPr>
          </w:p>
        </w:tc>
      </w:tr>
      <w:tr w:rsidR="00AB33EC" w:rsidRPr="003E75E2" w14:paraId="0D3DF1E6" w14:textId="77777777" w:rsidTr="00B721B7">
        <w:trPr>
          <w:trHeight w:val="20"/>
        </w:trPr>
        <w:tc>
          <w:tcPr>
            <w:tcW w:w="5529" w:type="dxa"/>
            <w:tcBorders>
              <w:top w:val="nil"/>
              <w:left w:val="nil"/>
              <w:bottom w:val="nil"/>
            </w:tcBorders>
            <w:noWrap/>
            <w:tcMar>
              <w:left w:w="0" w:type="dxa"/>
              <w:right w:w="0" w:type="dxa"/>
            </w:tcMar>
            <w:vAlign w:val="bottom"/>
          </w:tcPr>
          <w:p w14:paraId="31147A8B" w14:textId="77777777" w:rsidR="00AB33EC" w:rsidRPr="005523A4" w:rsidRDefault="00AB33EC" w:rsidP="00E9699B">
            <w:pPr>
              <w:tabs>
                <w:tab w:val="left" w:pos="0"/>
              </w:tabs>
              <w:spacing w:after="60"/>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Total</w:t>
            </w:r>
          </w:p>
        </w:tc>
        <w:tc>
          <w:tcPr>
            <w:tcW w:w="567" w:type="dxa"/>
            <w:tcBorders>
              <w:top w:val="nil"/>
              <w:bottom w:val="nil"/>
            </w:tcBorders>
            <w:noWrap/>
            <w:tcMar>
              <w:left w:w="0" w:type="dxa"/>
              <w:right w:w="0" w:type="dxa"/>
            </w:tcMar>
            <w:vAlign w:val="bottom"/>
          </w:tcPr>
          <w:p w14:paraId="79ADF325" w14:textId="77777777" w:rsidR="00AB33EC" w:rsidRPr="005523A4" w:rsidRDefault="00AB33EC" w:rsidP="00E9699B">
            <w:pPr>
              <w:spacing w:after="60"/>
              <w:jc w:val="center"/>
              <w:rPr>
                <w:rFonts w:asciiTheme="minorHAnsi" w:eastAsia="Times New Roman" w:hAnsiTheme="minorHAnsi" w:cstheme="minorHAnsi"/>
                <w:b/>
                <w:bCs/>
                <w:color w:val="000000"/>
                <w:szCs w:val="18"/>
                <w:lang w:eastAsia="en-AU"/>
              </w:rPr>
            </w:pPr>
          </w:p>
        </w:tc>
        <w:tc>
          <w:tcPr>
            <w:tcW w:w="1417" w:type="dxa"/>
            <w:tcBorders>
              <w:top w:val="single" w:sz="4" w:space="0" w:color="auto"/>
              <w:bottom w:val="double" w:sz="4" w:space="0" w:color="auto"/>
            </w:tcBorders>
            <w:shd w:val="clear" w:color="auto" w:fill="F1F1F2" w:themeFill="accent5" w:themeFillTint="33"/>
            <w:noWrap/>
            <w:tcMar>
              <w:left w:w="0" w:type="dxa"/>
              <w:right w:w="113" w:type="dxa"/>
            </w:tcMar>
            <w:vAlign w:val="bottom"/>
          </w:tcPr>
          <w:p w14:paraId="2155CBAD" w14:textId="77777777" w:rsidR="00AB33EC" w:rsidRPr="005523A4" w:rsidRDefault="00AB33EC" w:rsidP="00E9699B">
            <w:pPr>
              <w:spacing w:after="60"/>
              <w:jc w:val="right"/>
              <w:rPr>
                <w:rFonts w:asciiTheme="minorHAnsi" w:eastAsia="Times New Roman" w:hAnsiTheme="minorHAnsi" w:cstheme="minorHAnsi"/>
                <w:b/>
                <w:bCs/>
                <w:iCs/>
                <w:color w:val="000000"/>
                <w:szCs w:val="18"/>
                <w:lang w:eastAsia="en-AU"/>
              </w:rPr>
            </w:pPr>
            <w:r>
              <w:rPr>
                <w:rFonts w:asciiTheme="minorHAnsi" w:eastAsia="Times New Roman" w:hAnsiTheme="minorHAnsi" w:cstheme="minorHAnsi"/>
                <w:b/>
                <w:bCs/>
                <w:iCs/>
                <w:color w:val="000000"/>
                <w:szCs w:val="18"/>
                <w:lang w:eastAsia="en-AU"/>
              </w:rPr>
              <w:t>2,183</w:t>
            </w:r>
          </w:p>
        </w:tc>
        <w:tc>
          <w:tcPr>
            <w:tcW w:w="283" w:type="dxa"/>
            <w:tcBorders>
              <w:top w:val="nil"/>
              <w:bottom w:val="nil"/>
            </w:tcBorders>
            <w:noWrap/>
          </w:tcPr>
          <w:p w14:paraId="737381CA" w14:textId="77777777" w:rsidR="00AB33EC" w:rsidRPr="005523A4" w:rsidRDefault="00AB33EC" w:rsidP="00E9699B">
            <w:pPr>
              <w:spacing w:after="60"/>
              <w:rPr>
                <w:rFonts w:asciiTheme="minorHAnsi" w:eastAsia="Times New Roman" w:hAnsiTheme="minorHAnsi" w:cstheme="minorHAnsi"/>
                <w:b/>
                <w:bCs/>
                <w:color w:val="000000"/>
                <w:szCs w:val="18"/>
              </w:rPr>
            </w:pPr>
          </w:p>
        </w:tc>
        <w:tc>
          <w:tcPr>
            <w:tcW w:w="1276" w:type="dxa"/>
            <w:tcBorders>
              <w:top w:val="single" w:sz="4" w:space="0" w:color="auto"/>
              <w:bottom w:val="double" w:sz="4" w:space="0" w:color="auto"/>
              <w:right w:val="nil"/>
            </w:tcBorders>
            <w:shd w:val="clear" w:color="auto" w:fill="auto"/>
            <w:noWrap/>
            <w:tcMar>
              <w:left w:w="0" w:type="dxa"/>
              <w:right w:w="113" w:type="dxa"/>
            </w:tcMar>
            <w:vAlign w:val="bottom"/>
          </w:tcPr>
          <w:p w14:paraId="31470956" w14:textId="77777777" w:rsidR="00AB33EC" w:rsidRPr="005523A4" w:rsidRDefault="00AB33EC" w:rsidP="00E9699B">
            <w:pPr>
              <w:spacing w:after="60"/>
              <w:jc w:val="right"/>
              <w:rPr>
                <w:rFonts w:asciiTheme="minorHAnsi" w:eastAsia="Times New Roman" w:hAnsiTheme="minorHAnsi" w:cstheme="minorHAnsi"/>
                <w:b/>
                <w:bCs/>
                <w:iCs/>
                <w:color w:val="000000"/>
                <w:szCs w:val="18"/>
                <w:lang w:eastAsia="en-AU"/>
              </w:rPr>
            </w:pPr>
            <w:r w:rsidRPr="005523A4">
              <w:rPr>
                <w:rFonts w:asciiTheme="minorHAnsi" w:eastAsia="Times New Roman" w:hAnsiTheme="minorHAnsi" w:cstheme="minorHAnsi"/>
                <w:b/>
                <w:bCs/>
                <w:iCs/>
                <w:color w:val="000000"/>
                <w:szCs w:val="18"/>
                <w:lang w:eastAsia="en-AU"/>
              </w:rPr>
              <w:t>2,351</w:t>
            </w:r>
          </w:p>
        </w:tc>
      </w:tr>
    </w:tbl>
    <w:p w14:paraId="1C75CD3D" w14:textId="77777777" w:rsidR="00AB33EC" w:rsidRPr="005523A4" w:rsidRDefault="00AB33EC" w:rsidP="00AB33EC">
      <w:pPr>
        <w:spacing w:before="60"/>
        <w:ind w:left="284" w:hanging="284"/>
        <w:rPr>
          <w:rFonts w:asciiTheme="minorHAnsi" w:eastAsia="Times New Roman" w:hAnsiTheme="minorHAnsi" w:cstheme="minorHAnsi"/>
          <w:color w:val="000000"/>
          <w:sz w:val="17"/>
          <w:szCs w:val="16"/>
          <w:vertAlign w:val="superscript"/>
          <w:lang w:eastAsia="en-AU"/>
        </w:rPr>
      </w:pPr>
    </w:p>
    <w:p w14:paraId="6E4F57FA" w14:textId="77777777" w:rsidR="00AB33EC" w:rsidRPr="005523A4" w:rsidRDefault="00AB33EC" w:rsidP="00AB33EC">
      <w:pPr>
        <w:rPr>
          <w:rFonts w:asciiTheme="minorHAnsi" w:eastAsia="Calibri" w:hAnsiTheme="minorHAnsi" w:cstheme="minorHAnsi"/>
          <w:color w:val="000000"/>
          <w:highlight w:val="yellow"/>
        </w:rPr>
      </w:pPr>
    </w:p>
    <w:p w14:paraId="74EF0236" w14:textId="77777777" w:rsidR="00AB33EC" w:rsidRPr="005523A4" w:rsidRDefault="00AB33EC" w:rsidP="00AB33EC">
      <w:pPr>
        <w:outlineLvl w:val="0"/>
        <w:rPr>
          <w:rFonts w:asciiTheme="minorHAnsi" w:eastAsia="Times New Roman" w:hAnsiTheme="minorHAnsi" w:cstheme="minorHAnsi"/>
          <w:b/>
          <w:color w:val="000000"/>
          <w:sz w:val="23"/>
          <w:szCs w:val="20"/>
        </w:rPr>
      </w:pPr>
      <w:r w:rsidRPr="005523A4">
        <w:rPr>
          <w:rFonts w:asciiTheme="minorHAnsi" w:eastAsia="Times New Roman" w:hAnsiTheme="minorHAnsi" w:cstheme="minorHAnsi"/>
          <w:b/>
          <w:color w:val="000000"/>
          <w:sz w:val="23"/>
          <w:szCs w:val="20"/>
        </w:rPr>
        <w:t>Note 12:  Accrued Employee Benefits</w:t>
      </w:r>
      <w:r w:rsidRPr="005523A4">
        <w:rPr>
          <w:rFonts w:asciiTheme="minorHAnsi" w:eastAsia="Times New Roman" w:hAnsiTheme="minorHAnsi" w:cstheme="minorHAnsi"/>
          <w:b/>
          <w:color w:val="000000"/>
          <w:sz w:val="17"/>
          <w:szCs w:val="17"/>
          <w:lang w:eastAsia="en-AU"/>
        </w:rPr>
        <w:t>*</w:t>
      </w:r>
    </w:p>
    <w:p w14:paraId="1034BD24" w14:textId="77777777" w:rsidR="00AB33EC" w:rsidRPr="005523A4" w:rsidRDefault="00AB33EC" w:rsidP="00E9699B">
      <w:pPr>
        <w:spacing w:after="60"/>
        <w:rPr>
          <w:rFonts w:asciiTheme="minorHAnsi" w:eastAsia="Calibri" w:hAnsiTheme="minorHAnsi" w:cstheme="minorHAnsi"/>
          <w:color w:val="000000"/>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AB33EC" w:rsidRPr="003E75E2" w14:paraId="1B973E08" w14:textId="77777777" w:rsidTr="00B721B7">
        <w:trPr>
          <w:trHeight w:val="20"/>
        </w:trPr>
        <w:tc>
          <w:tcPr>
            <w:tcW w:w="5529" w:type="dxa"/>
            <w:tcBorders>
              <w:top w:val="nil"/>
              <w:left w:val="nil"/>
              <w:bottom w:val="nil"/>
            </w:tcBorders>
            <w:noWrap/>
            <w:tcMar>
              <w:left w:w="0" w:type="dxa"/>
              <w:right w:w="0" w:type="dxa"/>
            </w:tcMar>
            <w:vAlign w:val="bottom"/>
          </w:tcPr>
          <w:p w14:paraId="5248DABB" w14:textId="77777777" w:rsidR="00AB33EC" w:rsidRPr="005523A4" w:rsidRDefault="00AB33EC" w:rsidP="00E9699B">
            <w:pPr>
              <w:tabs>
                <w:tab w:val="left" w:pos="0"/>
              </w:tabs>
              <w:spacing w:after="60"/>
              <w:rPr>
                <w:rFonts w:asciiTheme="minorHAnsi" w:eastAsia="Times New Roman" w:hAnsiTheme="minorHAnsi" w:cstheme="minorHAnsi"/>
                <w:bCs/>
                <w:color w:val="000000"/>
                <w:szCs w:val="18"/>
                <w:lang w:eastAsia="en-AU"/>
              </w:rPr>
            </w:pPr>
          </w:p>
        </w:tc>
        <w:tc>
          <w:tcPr>
            <w:tcW w:w="567" w:type="dxa"/>
            <w:tcBorders>
              <w:top w:val="nil"/>
              <w:bottom w:val="nil"/>
            </w:tcBorders>
            <w:noWrap/>
            <w:tcMar>
              <w:left w:w="0" w:type="dxa"/>
              <w:right w:w="0" w:type="dxa"/>
            </w:tcMar>
            <w:vAlign w:val="bottom"/>
          </w:tcPr>
          <w:p w14:paraId="4FFC0ACE" w14:textId="77777777" w:rsidR="00AB33EC" w:rsidRPr="005523A4" w:rsidRDefault="00AB33EC" w:rsidP="00E9699B">
            <w:pPr>
              <w:spacing w:after="6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133756A2" w14:textId="77777777" w:rsidR="00AB33EC" w:rsidRPr="005523A4" w:rsidRDefault="00AB33EC" w:rsidP="00E9699B">
            <w:pPr>
              <w:spacing w:after="60"/>
              <w:jc w:val="right"/>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2024</w:t>
            </w:r>
          </w:p>
        </w:tc>
        <w:tc>
          <w:tcPr>
            <w:tcW w:w="283" w:type="dxa"/>
            <w:tcBorders>
              <w:top w:val="nil"/>
              <w:bottom w:val="nil"/>
            </w:tcBorders>
            <w:noWrap/>
          </w:tcPr>
          <w:p w14:paraId="4D033781" w14:textId="77777777" w:rsidR="00AB33EC" w:rsidRPr="005523A4" w:rsidRDefault="00AB33EC" w:rsidP="00E9699B">
            <w:pPr>
              <w:spacing w:after="6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FFFFFF"/>
            <w:noWrap/>
            <w:tcMar>
              <w:left w:w="0" w:type="dxa"/>
              <w:right w:w="113" w:type="dxa"/>
            </w:tcMar>
            <w:vAlign w:val="bottom"/>
          </w:tcPr>
          <w:p w14:paraId="0F75219D" w14:textId="77777777" w:rsidR="00AB33EC" w:rsidRPr="005523A4" w:rsidRDefault="00AB33EC" w:rsidP="00E9699B">
            <w:pPr>
              <w:spacing w:after="60"/>
              <w:jc w:val="right"/>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2023</w:t>
            </w:r>
          </w:p>
        </w:tc>
      </w:tr>
      <w:tr w:rsidR="00AB33EC" w:rsidRPr="003E75E2" w14:paraId="49CE317A" w14:textId="77777777" w:rsidTr="00B721B7">
        <w:trPr>
          <w:trHeight w:val="20"/>
        </w:trPr>
        <w:tc>
          <w:tcPr>
            <w:tcW w:w="5529" w:type="dxa"/>
            <w:tcBorders>
              <w:top w:val="nil"/>
              <w:left w:val="nil"/>
              <w:bottom w:val="nil"/>
            </w:tcBorders>
            <w:noWrap/>
            <w:tcMar>
              <w:left w:w="0" w:type="dxa"/>
              <w:right w:w="0" w:type="dxa"/>
            </w:tcMar>
            <w:vAlign w:val="bottom"/>
          </w:tcPr>
          <w:p w14:paraId="14338303" w14:textId="77777777" w:rsidR="00AB33EC" w:rsidRPr="005523A4" w:rsidRDefault="00AB33EC" w:rsidP="00E9699B">
            <w:pPr>
              <w:tabs>
                <w:tab w:val="left" w:pos="0"/>
              </w:tabs>
              <w:spacing w:after="60"/>
              <w:rPr>
                <w:rFonts w:asciiTheme="minorHAnsi" w:eastAsia="Times New Roman" w:hAnsiTheme="minorHAnsi" w:cstheme="minorHAnsi"/>
                <w:bCs/>
                <w:color w:val="000000"/>
                <w:sz w:val="16"/>
                <w:szCs w:val="16"/>
                <w:lang w:eastAsia="en-AU"/>
              </w:rPr>
            </w:pPr>
          </w:p>
        </w:tc>
        <w:tc>
          <w:tcPr>
            <w:tcW w:w="567" w:type="dxa"/>
            <w:tcBorders>
              <w:top w:val="nil"/>
              <w:bottom w:val="nil"/>
            </w:tcBorders>
            <w:noWrap/>
            <w:tcMar>
              <w:left w:w="0" w:type="dxa"/>
              <w:right w:w="0" w:type="dxa"/>
            </w:tcMar>
            <w:vAlign w:val="bottom"/>
          </w:tcPr>
          <w:p w14:paraId="1735D638" w14:textId="77777777" w:rsidR="00AB33EC" w:rsidRPr="005523A4" w:rsidRDefault="00AB33EC" w:rsidP="00E9699B">
            <w:pPr>
              <w:spacing w:after="6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0767EACE" w14:textId="77777777" w:rsidR="00AB33EC" w:rsidRPr="005523A4" w:rsidRDefault="00AB33EC" w:rsidP="00E9699B">
            <w:pPr>
              <w:spacing w:after="60"/>
              <w:jc w:val="right"/>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$’000</w:t>
            </w:r>
          </w:p>
        </w:tc>
        <w:tc>
          <w:tcPr>
            <w:tcW w:w="283" w:type="dxa"/>
            <w:tcBorders>
              <w:top w:val="nil"/>
              <w:bottom w:val="nil"/>
            </w:tcBorders>
            <w:noWrap/>
          </w:tcPr>
          <w:p w14:paraId="38A786C0" w14:textId="77777777" w:rsidR="00AB33EC" w:rsidRPr="005523A4" w:rsidRDefault="00AB33EC" w:rsidP="00E9699B">
            <w:pPr>
              <w:spacing w:after="6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FFFFFF"/>
            <w:noWrap/>
            <w:tcMar>
              <w:left w:w="0" w:type="dxa"/>
              <w:right w:w="113" w:type="dxa"/>
            </w:tcMar>
            <w:vAlign w:val="bottom"/>
          </w:tcPr>
          <w:p w14:paraId="0DE94A25" w14:textId="77777777" w:rsidR="00AB33EC" w:rsidRPr="005523A4" w:rsidRDefault="00AB33EC" w:rsidP="00E9699B">
            <w:pPr>
              <w:spacing w:after="60"/>
              <w:jc w:val="right"/>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$’000</w:t>
            </w:r>
          </w:p>
        </w:tc>
      </w:tr>
      <w:tr w:rsidR="00AB33EC" w:rsidRPr="003E75E2" w14:paraId="7AB41154" w14:textId="77777777" w:rsidTr="00B721B7">
        <w:trPr>
          <w:trHeight w:val="20"/>
        </w:trPr>
        <w:tc>
          <w:tcPr>
            <w:tcW w:w="5529" w:type="dxa"/>
            <w:tcBorders>
              <w:top w:val="nil"/>
              <w:left w:val="nil"/>
              <w:bottom w:val="nil"/>
            </w:tcBorders>
            <w:noWrap/>
            <w:tcMar>
              <w:left w:w="0" w:type="dxa"/>
              <w:right w:w="0" w:type="dxa"/>
            </w:tcMar>
            <w:vAlign w:val="bottom"/>
          </w:tcPr>
          <w:p w14:paraId="064CEC77" w14:textId="77777777" w:rsidR="00AB33EC" w:rsidRPr="005523A4" w:rsidRDefault="00AB33EC" w:rsidP="00E9699B">
            <w:pPr>
              <w:spacing w:after="60"/>
              <w:rPr>
                <w:rFonts w:asciiTheme="minorHAnsi" w:eastAsia="Times New Roman" w:hAnsiTheme="minorHAnsi" w:cstheme="minorHAnsi"/>
                <w:bCs/>
                <w:color w:val="000000"/>
                <w:sz w:val="16"/>
                <w:szCs w:val="16"/>
                <w:lang w:eastAsia="en-AU"/>
              </w:rPr>
            </w:pPr>
          </w:p>
        </w:tc>
        <w:tc>
          <w:tcPr>
            <w:tcW w:w="567" w:type="dxa"/>
            <w:tcBorders>
              <w:top w:val="nil"/>
              <w:bottom w:val="nil"/>
            </w:tcBorders>
            <w:noWrap/>
            <w:tcMar>
              <w:left w:w="0" w:type="dxa"/>
              <w:right w:w="0" w:type="dxa"/>
            </w:tcMar>
            <w:vAlign w:val="bottom"/>
          </w:tcPr>
          <w:p w14:paraId="50184E39" w14:textId="77777777" w:rsidR="00AB33EC" w:rsidRPr="005523A4" w:rsidRDefault="00AB33EC" w:rsidP="00E9699B">
            <w:pPr>
              <w:spacing w:after="6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4F7DB500" w14:textId="77777777" w:rsidR="00AB33EC" w:rsidRPr="005523A4" w:rsidRDefault="00AB33EC" w:rsidP="00E9699B">
            <w:pPr>
              <w:spacing w:after="60"/>
              <w:jc w:val="right"/>
              <w:rPr>
                <w:rFonts w:asciiTheme="minorHAnsi" w:eastAsia="Times New Roman" w:hAnsiTheme="minorHAnsi" w:cstheme="minorHAnsi"/>
                <w:bCs/>
                <w:color w:val="000000"/>
                <w:szCs w:val="18"/>
                <w:lang w:eastAsia="en-AU"/>
              </w:rPr>
            </w:pPr>
          </w:p>
        </w:tc>
        <w:tc>
          <w:tcPr>
            <w:tcW w:w="283" w:type="dxa"/>
            <w:tcBorders>
              <w:top w:val="nil"/>
              <w:bottom w:val="nil"/>
            </w:tcBorders>
            <w:noWrap/>
          </w:tcPr>
          <w:p w14:paraId="2495A81A" w14:textId="77777777" w:rsidR="00AB33EC" w:rsidRPr="005523A4" w:rsidRDefault="00AB33EC" w:rsidP="00E9699B">
            <w:pPr>
              <w:spacing w:after="6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FFFFFF"/>
            <w:noWrap/>
            <w:tcMar>
              <w:left w:w="0" w:type="dxa"/>
              <w:right w:w="113" w:type="dxa"/>
            </w:tcMar>
            <w:vAlign w:val="bottom"/>
          </w:tcPr>
          <w:p w14:paraId="1C5EC4E4" w14:textId="77777777" w:rsidR="00AB33EC" w:rsidRPr="005523A4" w:rsidRDefault="00AB33EC" w:rsidP="00E9699B">
            <w:pPr>
              <w:spacing w:after="60"/>
              <w:jc w:val="right"/>
              <w:rPr>
                <w:rFonts w:asciiTheme="minorHAnsi" w:eastAsia="Times New Roman" w:hAnsiTheme="minorHAnsi" w:cstheme="minorHAnsi"/>
                <w:bCs/>
                <w:color w:val="000000"/>
                <w:szCs w:val="18"/>
                <w:lang w:eastAsia="en-AU"/>
              </w:rPr>
            </w:pPr>
          </w:p>
        </w:tc>
      </w:tr>
      <w:tr w:rsidR="00AB33EC" w:rsidRPr="003E75E2" w14:paraId="67642718" w14:textId="77777777" w:rsidTr="00B721B7">
        <w:trPr>
          <w:trHeight w:val="20"/>
        </w:trPr>
        <w:tc>
          <w:tcPr>
            <w:tcW w:w="5529" w:type="dxa"/>
            <w:tcBorders>
              <w:top w:val="nil"/>
              <w:left w:val="nil"/>
              <w:bottom w:val="nil"/>
            </w:tcBorders>
            <w:noWrap/>
            <w:tcMar>
              <w:left w:w="0" w:type="dxa"/>
              <w:right w:w="0" w:type="dxa"/>
            </w:tcMar>
          </w:tcPr>
          <w:p w14:paraId="6909ADB0" w14:textId="77777777" w:rsidR="00AB33EC" w:rsidRPr="005523A4" w:rsidRDefault="00AB33EC" w:rsidP="00E9699B">
            <w:pPr>
              <w:spacing w:after="60"/>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Wages outstanding</w:t>
            </w:r>
          </w:p>
        </w:tc>
        <w:tc>
          <w:tcPr>
            <w:tcW w:w="567" w:type="dxa"/>
            <w:tcBorders>
              <w:top w:val="nil"/>
              <w:bottom w:val="nil"/>
            </w:tcBorders>
            <w:noWrap/>
            <w:tcMar>
              <w:left w:w="0" w:type="dxa"/>
              <w:right w:w="0" w:type="dxa"/>
            </w:tcMar>
            <w:vAlign w:val="bottom"/>
          </w:tcPr>
          <w:p w14:paraId="3359219D" w14:textId="77777777" w:rsidR="00AB33EC" w:rsidRPr="005523A4" w:rsidRDefault="00AB33EC" w:rsidP="00E9699B">
            <w:pPr>
              <w:spacing w:after="6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7D6B545B" w14:textId="77777777" w:rsidR="00AB33EC" w:rsidRPr="005523A4" w:rsidRDefault="00AB33EC" w:rsidP="00E9699B">
            <w:pPr>
              <w:spacing w:after="60"/>
              <w:jc w:val="right"/>
              <w:rPr>
                <w:rFonts w:asciiTheme="minorHAnsi" w:eastAsia="Times New Roman" w:hAnsiTheme="minorHAnsi" w:cstheme="minorHAnsi"/>
                <w:bCs/>
                <w:color w:val="000000"/>
                <w:szCs w:val="18"/>
                <w:lang w:eastAsia="en-AU"/>
              </w:rPr>
            </w:pPr>
            <w:r>
              <w:rPr>
                <w:rFonts w:asciiTheme="minorHAnsi" w:eastAsia="Times New Roman" w:hAnsiTheme="minorHAnsi" w:cstheme="minorHAnsi"/>
                <w:bCs/>
                <w:color w:val="000000"/>
                <w:szCs w:val="18"/>
                <w:lang w:eastAsia="en-AU"/>
              </w:rPr>
              <w:t>47</w:t>
            </w:r>
          </w:p>
        </w:tc>
        <w:tc>
          <w:tcPr>
            <w:tcW w:w="283" w:type="dxa"/>
            <w:tcBorders>
              <w:top w:val="nil"/>
              <w:bottom w:val="nil"/>
            </w:tcBorders>
            <w:noWrap/>
          </w:tcPr>
          <w:p w14:paraId="19901C79" w14:textId="77777777" w:rsidR="00AB33EC" w:rsidRPr="005523A4" w:rsidRDefault="00AB33EC" w:rsidP="00E9699B">
            <w:pPr>
              <w:spacing w:after="6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auto"/>
            <w:noWrap/>
            <w:tcMar>
              <w:left w:w="0" w:type="dxa"/>
              <w:right w:w="113" w:type="dxa"/>
            </w:tcMar>
            <w:vAlign w:val="bottom"/>
          </w:tcPr>
          <w:p w14:paraId="48A119B6" w14:textId="77777777" w:rsidR="00AB33EC" w:rsidRPr="005523A4" w:rsidRDefault="00AB33EC" w:rsidP="00E9699B">
            <w:pPr>
              <w:spacing w:after="60"/>
              <w:jc w:val="right"/>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49</w:t>
            </w:r>
          </w:p>
        </w:tc>
      </w:tr>
      <w:tr w:rsidR="00AB33EC" w:rsidRPr="003E75E2" w14:paraId="7CED6798" w14:textId="77777777" w:rsidTr="00B721B7">
        <w:trPr>
          <w:trHeight w:val="20"/>
        </w:trPr>
        <w:tc>
          <w:tcPr>
            <w:tcW w:w="5529" w:type="dxa"/>
            <w:tcBorders>
              <w:top w:val="nil"/>
              <w:left w:val="nil"/>
              <w:bottom w:val="nil"/>
            </w:tcBorders>
            <w:noWrap/>
            <w:tcMar>
              <w:left w:w="0" w:type="dxa"/>
              <w:right w:w="0" w:type="dxa"/>
            </w:tcMar>
          </w:tcPr>
          <w:p w14:paraId="083CA49B" w14:textId="77777777" w:rsidR="00AB33EC" w:rsidRPr="005523A4" w:rsidRDefault="00AB33EC" w:rsidP="00E9699B">
            <w:pPr>
              <w:spacing w:after="60"/>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Annual leave levy payable</w:t>
            </w:r>
          </w:p>
        </w:tc>
        <w:tc>
          <w:tcPr>
            <w:tcW w:w="567" w:type="dxa"/>
            <w:tcBorders>
              <w:top w:val="nil"/>
              <w:bottom w:val="nil"/>
            </w:tcBorders>
            <w:noWrap/>
            <w:tcMar>
              <w:left w:w="0" w:type="dxa"/>
              <w:right w:w="0" w:type="dxa"/>
            </w:tcMar>
            <w:vAlign w:val="bottom"/>
          </w:tcPr>
          <w:p w14:paraId="19837C78" w14:textId="77777777" w:rsidR="00AB33EC" w:rsidRPr="005523A4" w:rsidRDefault="00AB33EC" w:rsidP="00E9699B">
            <w:pPr>
              <w:spacing w:after="6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644AB6DF" w14:textId="77777777" w:rsidR="00AB33EC" w:rsidRPr="005523A4" w:rsidRDefault="00AB33EC" w:rsidP="00E9699B">
            <w:pPr>
              <w:spacing w:after="60"/>
              <w:jc w:val="right"/>
              <w:rPr>
                <w:rFonts w:asciiTheme="minorHAnsi" w:eastAsia="Times New Roman" w:hAnsiTheme="minorHAnsi" w:cstheme="minorHAnsi"/>
                <w:bCs/>
                <w:color w:val="000000"/>
                <w:szCs w:val="18"/>
                <w:lang w:eastAsia="en-AU"/>
              </w:rPr>
            </w:pPr>
            <w:r>
              <w:rPr>
                <w:rFonts w:asciiTheme="minorHAnsi" w:eastAsia="Times New Roman" w:hAnsiTheme="minorHAnsi" w:cstheme="minorHAnsi"/>
                <w:bCs/>
                <w:color w:val="000000"/>
                <w:szCs w:val="18"/>
                <w:lang w:eastAsia="en-AU"/>
              </w:rPr>
              <w:t>929</w:t>
            </w:r>
          </w:p>
        </w:tc>
        <w:tc>
          <w:tcPr>
            <w:tcW w:w="283" w:type="dxa"/>
            <w:tcBorders>
              <w:top w:val="nil"/>
              <w:bottom w:val="nil"/>
            </w:tcBorders>
            <w:noWrap/>
          </w:tcPr>
          <w:p w14:paraId="21567A75" w14:textId="77777777" w:rsidR="00AB33EC" w:rsidRPr="005523A4" w:rsidRDefault="00AB33EC" w:rsidP="00E9699B">
            <w:pPr>
              <w:spacing w:after="6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auto"/>
            <w:noWrap/>
            <w:tcMar>
              <w:left w:w="0" w:type="dxa"/>
              <w:right w:w="113" w:type="dxa"/>
            </w:tcMar>
            <w:vAlign w:val="bottom"/>
          </w:tcPr>
          <w:p w14:paraId="0DA48E22" w14:textId="77777777" w:rsidR="00AB33EC" w:rsidRPr="005523A4" w:rsidRDefault="00AB33EC" w:rsidP="00E9699B">
            <w:pPr>
              <w:spacing w:after="60"/>
              <w:jc w:val="right"/>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716</w:t>
            </w:r>
          </w:p>
        </w:tc>
      </w:tr>
      <w:tr w:rsidR="00AB33EC" w:rsidRPr="003E75E2" w14:paraId="6A0D4CFD" w14:textId="77777777" w:rsidTr="00B721B7">
        <w:trPr>
          <w:trHeight w:val="20"/>
        </w:trPr>
        <w:tc>
          <w:tcPr>
            <w:tcW w:w="5529" w:type="dxa"/>
            <w:tcBorders>
              <w:top w:val="nil"/>
              <w:left w:val="nil"/>
              <w:bottom w:val="nil"/>
            </w:tcBorders>
            <w:noWrap/>
            <w:tcMar>
              <w:left w:w="0" w:type="dxa"/>
              <w:right w:w="0" w:type="dxa"/>
            </w:tcMar>
          </w:tcPr>
          <w:p w14:paraId="3AAC29BB" w14:textId="77777777" w:rsidR="00AB33EC" w:rsidRPr="005523A4" w:rsidRDefault="00AB33EC" w:rsidP="00E9699B">
            <w:pPr>
              <w:spacing w:after="60"/>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Long service leave levy payable</w:t>
            </w:r>
          </w:p>
        </w:tc>
        <w:tc>
          <w:tcPr>
            <w:tcW w:w="567" w:type="dxa"/>
            <w:tcBorders>
              <w:top w:val="nil"/>
              <w:bottom w:val="nil"/>
            </w:tcBorders>
            <w:noWrap/>
            <w:tcMar>
              <w:left w:w="0" w:type="dxa"/>
              <w:right w:w="0" w:type="dxa"/>
            </w:tcMar>
            <w:vAlign w:val="bottom"/>
          </w:tcPr>
          <w:p w14:paraId="79C9B9FB" w14:textId="77777777" w:rsidR="00AB33EC" w:rsidRPr="005523A4" w:rsidRDefault="00AB33EC" w:rsidP="00E9699B">
            <w:pPr>
              <w:spacing w:after="60"/>
              <w:jc w:val="center"/>
              <w:rPr>
                <w:rFonts w:asciiTheme="minorHAnsi" w:eastAsia="Times New Roman" w:hAnsiTheme="minorHAnsi" w:cstheme="minorHAnsi"/>
                <w:bCs/>
                <w:color w:val="000000"/>
                <w:szCs w:val="18"/>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4AF0C439" w14:textId="77777777" w:rsidR="00AB33EC" w:rsidRPr="005523A4" w:rsidRDefault="00AB33EC" w:rsidP="00E9699B">
            <w:pPr>
              <w:spacing w:after="60"/>
              <w:jc w:val="right"/>
              <w:rPr>
                <w:rFonts w:asciiTheme="minorHAnsi" w:eastAsia="Times New Roman" w:hAnsiTheme="minorHAnsi" w:cstheme="minorHAnsi"/>
                <w:bCs/>
                <w:color w:val="000000"/>
                <w:szCs w:val="18"/>
                <w:lang w:eastAsia="en-AU"/>
              </w:rPr>
            </w:pPr>
            <w:r>
              <w:rPr>
                <w:rFonts w:asciiTheme="minorHAnsi" w:eastAsia="Times New Roman" w:hAnsiTheme="minorHAnsi" w:cstheme="minorHAnsi"/>
                <w:bCs/>
                <w:color w:val="000000"/>
                <w:szCs w:val="18"/>
                <w:lang w:eastAsia="en-AU"/>
              </w:rPr>
              <w:t>223</w:t>
            </w:r>
          </w:p>
        </w:tc>
        <w:tc>
          <w:tcPr>
            <w:tcW w:w="283" w:type="dxa"/>
            <w:tcBorders>
              <w:top w:val="nil"/>
              <w:bottom w:val="nil"/>
            </w:tcBorders>
            <w:noWrap/>
          </w:tcPr>
          <w:p w14:paraId="11A4AA3B" w14:textId="77777777" w:rsidR="00AB33EC" w:rsidRPr="005523A4" w:rsidRDefault="00AB33EC" w:rsidP="00E9699B">
            <w:pPr>
              <w:spacing w:after="60"/>
              <w:rPr>
                <w:rFonts w:asciiTheme="minorHAnsi" w:eastAsia="Times New Roman" w:hAnsiTheme="minorHAnsi" w:cstheme="minorHAnsi"/>
                <w:bCs/>
                <w:color w:val="000000"/>
                <w:szCs w:val="18"/>
              </w:rPr>
            </w:pPr>
          </w:p>
        </w:tc>
        <w:tc>
          <w:tcPr>
            <w:tcW w:w="1276" w:type="dxa"/>
            <w:tcBorders>
              <w:top w:val="nil"/>
              <w:bottom w:val="nil"/>
              <w:right w:val="nil"/>
            </w:tcBorders>
            <w:shd w:val="clear" w:color="auto" w:fill="auto"/>
            <w:noWrap/>
            <w:tcMar>
              <w:left w:w="0" w:type="dxa"/>
              <w:right w:w="113" w:type="dxa"/>
            </w:tcMar>
            <w:vAlign w:val="bottom"/>
          </w:tcPr>
          <w:p w14:paraId="75236602" w14:textId="77777777" w:rsidR="00AB33EC" w:rsidRPr="005523A4" w:rsidRDefault="00AB33EC" w:rsidP="00E9699B">
            <w:pPr>
              <w:spacing w:after="60"/>
              <w:jc w:val="right"/>
              <w:rPr>
                <w:rFonts w:asciiTheme="minorHAnsi" w:eastAsia="Times New Roman" w:hAnsiTheme="minorHAnsi" w:cstheme="minorHAnsi"/>
                <w:bCs/>
                <w:color w:val="000000"/>
                <w:szCs w:val="18"/>
                <w:lang w:eastAsia="en-AU"/>
              </w:rPr>
            </w:pPr>
            <w:r w:rsidRPr="005523A4">
              <w:rPr>
                <w:rFonts w:asciiTheme="minorHAnsi" w:eastAsia="Times New Roman" w:hAnsiTheme="minorHAnsi" w:cstheme="minorHAnsi"/>
                <w:bCs/>
                <w:color w:val="000000"/>
                <w:szCs w:val="18"/>
                <w:lang w:eastAsia="en-AU"/>
              </w:rPr>
              <w:t>183</w:t>
            </w:r>
          </w:p>
        </w:tc>
      </w:tr>
      <w:tr w:rsidR="00AB33EC" w:rsidRPr="003E75E2" w14:paraId="2200AF7C" w14:textId="77777777" w:rsidTr="00B721B7">
        <w:trPr>
          <w:trHeight w:val="20"/>
        </w:trPr>
        <w:tc>
          <w:tcPr>
            <w:tcW w:w="5529" w:type="dxa"/>
            <w:tcBorders>
              <w:top w:val="nil"/>
              <w:left w:val="nil"/>
              <w:bottom w:val="nil"/>
            </w:tcBorders>
            <w:noWrap/>
            <w:tcMar>
              <w:left w:w="0" w:type="dxa"/>
              <w:right w:w="0" w:type="dxa"/>
            </w:tcMar>
            <w:vAlign w:val="bottom"/>
          </w:tcPr>
          <w:p w14:paraId="1B4F8644" w14:textId="77777777" w:rsidR="00AB33EC" w:rsidRPr="005523A4" w:rsidRDefault="00AB33EC" w:rsidP="00E9699B">
            <w:pPr>
              <w:tabs>
                <w:tab w:val="left" w:pos="0"/>
              </w:tabs>
              <w:spacing w:after="60"/>
              <w:rPr>
                <w:rFonts w:asciiTheme="minorHAnsi" w:eastAsia="Times New Roman" w:hAnsiTheme="minorHAnsi" w:cstheme="minorHAnsi"/>
                <w:b/>
                <w:bCs/>
                <w:color w:val="000000"/>
                <w:szCs w:val="18"/>
                <w:lang w:eastAsia="en-AU"/>
              </w:rPr>
            </w:pPr>
            <w:r w:rsidRPr="005523A4">
              <w:rPr>
                <w:rFonts w:asciiTheme="minorHAnsi" w:eastAsia="Times New Roman" w:hAnsiTheme="minorHAnsi" w:cstheme="minorHAnsi"/>
                <w:b/>
                <w:bCs/>
                <w:color w:val="000000"/>
                <w:szCs w:val="18"/>
                <w:lang w:eastAsia="en-AU"/>
              </w:rPr>
              <w:t>Total</w:t>
            </w:r>
          </w:p>
        </w:tc>
        <w:tc>
          <w:tcPr>
            <w:tcW w:w="567" w:type="dxa"/>
            <w:tcBorders>
              <w:top w:val="nil"/>
              <w:bottom w:val="nil"/>
            </w:tcBorders>
            <w:noWrap/>
            <w:tcMar>
              <w:left w:w="0" w:type="dxa"/>
              <w:right w:w="0" w:type="dxa"/>
            </w:tcMar>
            <w:vAlign w:val="bottom"/>
          </w:tcPr>
          <w:p w14:paraId="54DE97F3" w14:textId="77777777" w:rsidR="00AB33EC" w:rsidRPr="005523A4" w:rsidRDefault="00AB33EC" w:rsidP="00E9699B">
            <w:pPr>
              <w:spacing w:after="60"/>
              <w:jc w:val="center"/>
              <w:rPr>
                <w:rFonts w:asciiTheme="minorHAnsi" w:eastAsia="Times New Roman" w:hAnsiTheme="minorHAnsi" w:cstheme="minorHAnsi"/>
                <w:b/>
                <w:bCs/>
                <w:color w:val="000000"/>
                <w:szCs w:val="18"/>
                <w:lang w:eastAsia="en-AU"/>
              </w:rPr>
            </w:pPr>
          </w:p>
        </w:tc>
        <w:tc>
          <w:tcPr>
            <w:tcW w:w="1417" w:type="dxa"/>
            <w:tcBorders>
              <w:top w:val="single" w:sz="4" w:space="0" w:color="auto"/>
              <w:bottom w:val="double" w:sz="4" w:space="0" w:color="auto"/>
            </w:tcBorders>
            <w:shd w:val="clear" w:color="auto" w:fill="F1F1F2" w:themeFill="accent5" w:themeFillTint="33"/>
            <w:noWrap/>
            <w:tcMar>
              <w:left w:w="0" w:type="dxa"/>
              <w:right w:w="113" w:type="dxa"/>
            </w:tcMar>
            <w:vAlign w:val="bottom"/>
          </w:tcPr>
          <w:p w14:paraId="7A78166C" w14:textId="77777777" w:rsidR="00AB33EC" w:rsidRPr="005523A4" w:rsidRDefault="00AB33EC" w:rsidP="00E9699B">
            <w:pPr>
              <w:spacing w:after="60"/>
              <w:jc w:val="right"/>
              <w:rPr>
                <w:rFonts w:asciiTheme="minorHAnsi" w:eastAsia="Times New Roman" w:hAnsiTheme="minorHAnsi" w:cstheme="minorHAnsi"/>
                <w:b/>
                <w:bCs/>
                <w:iCs/>
                <w:color w:val="000000"/>
                <w:szCs w:val="18"/>
                <w:lang w:eastAsia="en-AU"/>
              </w:rPr>
            </w:pPr>
            <w:r>
              <w:rPr>
                <w:rFonts w:asciiTheme="minorHAnsi" w:eastAsia="Times New Roman" w:hAnsiTheme="minorHAnsi" w:cstheme="minorHAnsi"/>
                <w:b/>
                <w:bCs/>
                <w:iCs/>
                <w:color w:val="000000"/>
                <w:szCs w:val="18"/>
                <w:lang w:eastAsia="en-AU"/>
              </w:rPr>
              <w:t>1,199</w:t>
            </w:r>
          </w:p>
        </w:tc>
        <w:tc>
          <w:tcPr>
            <w:tcW w:w="283" w:type="dxa"/>
            <w:tcBorders>
              <w:top w:val="nil"/>
              <w:bottom w:val="nil"/>
            </w:tcBorders>
            <w:noWrap/>
          </w:tcPr>
          <w:p w14:paraId="6C012292" w14:textId="77777777" w:rsidR="00AB33EC" w:rsidRPr="005523A4" w:rsidRDefault="00AB33EC" w:rsidP="00E9699B">
            <w:pPr>
              <w:spacing w:after="60"/>
              <w:rPr>
                <w:rFonts w:asciiTheme="minorHAnsi" w:eastAsia="Times New Roman" w:hAnsiTheme="minorHAnsi" w:cstheme="minorHAnsi"/>
                <w:b/>
                <w:bCs/>
                <w:color w:val="000000"/>
                <w:szCs w:val="18"/>
              </w:rPr>
            </w:pPr>
          </w:p>
        </w:tc>
        <w:tc>
          <w:tcPr>
            <w:tcW w:w="1276" w:type="dxa"/>
            <w:tcBorders>
              <w:top w:val="single" w:sz="4" w:space="0" w:color="auto"/>
              <w:bottom w:val="double" w:sz="4" w:space="0" w:color="auto"/>
              <w:right w:val="nil"/>
            </w:tcBorders>
            <w:shd w:val="clear" w:color="auto" w:fill="auto"/>
            <w:noWrap/>
            <w:tcMar>
              <w:left w:w="0" w:type="dxa"/>
              <w:right w:w="113" w:type="dxa"/>
            </w:tcMar>
            <w:vAlign w:val="bottom"/>
          </w:tcPr>
          <w:p w14:paraId="02982644" w14:textId="77777777" w:rsidR="00AB33EC" w:rsidRPr="005523A4" w:rsidRDefault="00AB33EC" w:rsidP="00E9699B">
            <w:pPr>
              <w:spacing w:after="60"/>
              <w:jc w:val="right"/>
              <w:rPr>
                <w:rFonts w:asciiTheme="minorHAnsi" w:eastAsia="Times New Roman" w:hAnsiTheme="minorHAnsi" w:cstheme="minorHAnsi"/>
                <w:b/>
                <w:bCs/>
                <w:iCs/>
                <w:color w:val="000000"/>
                <w:szCs w:val="18"/>
                <w:lang w:eastAsia="en-AU"/>
              </w:rPr>
            </w:pPr>
            <w:r w:rsidRPr="005523A4">
              <w:rPr>
                <w:rFonts w:asciiTheme="minorHAnsi" w:eastAsia="Times New Roman" w:hAnsiTheme="minorHAnsi" w:cstheme="minorHAnsi"/>
                <w:b/>
                <w:bCs/>
                <w:iCs/>
                <w:color w:val="000000"/>
                <w:szCs w:val="18"/>
                <w:lang w:eastAsia="en-AU"/>
              </w:rPr>
              <w:t>948</w:t>
            </w:r>
          </w:p>
        </w:tc>
      </w:tr>
    </w:tbl>
    <w:p w14:paraId="0F58E50B" w14:textId="77777777" w:rsidR="00AB33EC" w:rsidRPr="005523A4" w:rsidRDefault="00AB33EC" w:rsidP="00AB33EC">
      <w:pPr>
        <w:rPr>
          <w:rFonts w:asciiTheme="minorHAnsi" w:eastAsia="Calibri" w:hAnsiTheme="minorHAnsi" w:cstheme="minorHAnsi"/>
          <w:color w:val="000000"/>
          <w:lang w:eastAsia="en-AU"/>
        </w:rPr>
      </w:pPr>
    </w:p>
    <w:p w14:paraId="60579BEE" w14:textId="77777777" w:rsidR="00AB33EC" w:rsidRPr="003E75E2" w:rsidRDefault="00AB33EC" w:rsidP="00AB33EC">
      <w:pPr>
        <w:tabs>
          <w:tab w:val="left" w:pos="284"/>
        </w:tabs>
        <w:rPr>
          <w:rFonts w:asciiTheme="minorHAnsi" w:eastAsia="Calibri" w:hAnsiTheme="minorHAnsi" w:cstheme="minorHAnsi"/>
          <w:color w:val="000000"/>
          <w:sz w:val="17"/>
          <w:szCs w:val="17"/>
          <w:lang w:eastAsia="en-AU"/>
        </w:rPr>
      </w:pPr>
      <w:r w:rsidRPr="005523A4">
        <w:rPr>
          <w:rFonts w:asciiTheme="minorHAnsi" w:eastAsia="Calibri" w:hAnsiTheme="minorHAnsi" w:cstheme="minorHAnsi"/>
          <w:color w:val="000000"/>
          <w:sz w:val="17"/>
          <w:szCs w:val="17"/>
          <w:lang w:eastAsia="en-AU"/>
        </w:rPr>
        <w:t>*</w:t>
      </w:r>
      <w:r w:rsidRPr="005523A4">
        <w:rPr>
          <w:rFonts w:asciiTheme="minorHAnsi" w:eastAsia="Calibri" w:hAnsiTheme="minorHAnsi" w:cstheme="minorHAnsi"/>
          <w:color w:val="000000"/>
          <w:sz w:val="17"/>
          <w:szCs w:val="17"/>
          <w:lang w:eastAsia="en-AU"/>
        </w:rPr>
        <w:tab/>
        <w:t>Refer Note 3 for employee expenses accounting policy</w:t>
      </w:r>
    </w:p>
    <w:p w14:paraId="1C05D780" w14:textId="77777777" w:rsidR="00AB33EC" w:rsidRPr="003E75E2" w:rsidRDefault="00AB33EC" w:rsidP="00AB33EC">
      <w:pPr>
        <w:spacing w:line="259" w:lineRule="auto"/>
        <w:rPr>
          <w:rFonts w:asciiTheme="minorHAnsi" w:eastAsia="Calibri" w:hAnsiTheme="minorHAnsi" w:cstheme="minorHAnsi"/>
          <w:color w:val="000000"/>
          <w:sz w:val="17"/>
          <w:szCs w:val="17"/>
          <w:lang w:eastAsia="en-AU"/>
        </w:rPr>
      </w:pPr>
      <w:r w:rsidRPr="003E75E2">
        <w:rPr>
          <w:rFonts w:asciiTheme="minorHAnsi" w:eastAsia="Calibri" w:hAnsiTheme="minorHAnsi" w:cstheme="minorHAnsi"/>
          <w:color w:val="000000"/>
          <w:sz w:val="17"/>
          <w:szCs w:val="17"/>
          <w:lang w:eastAsia="en-AU"/>
        </w:rPr>
        <w:br w:type="page"/>
      </w:r>
    </w:p>
    <w:p w14:paraId="2728FB67" w14:textId="77777777" w:rsidR="00AB33EC" w:rsidRPr="003E75E2" w:rsidRDefault="00AB33EC" w:rsidP="0037124B">
      <w:pPr>
        <w:pStyle w:val="Normal115pttextnospacebefore"/>
        <w:spacing w:line="240" w:lineRule="auto"/>
        <w:rPr>
          <w:rFonts w:cstheme="minorHAnsi"/>
          <w:color w:val="414042" w:themeColor="text1"/>
        </w:rPr>
      </w:pPr>
      <w:r w:rsidRPr="003E75E2">
        <w:rPr>
          <w:rFonts w:cstheme="minorHAnsi"/>
          <w:color w:val="414042" w:themeColor="text1"/>
        </w:rPr>
        <w:t>Note 13:  Provisions</w:t>
      </w:r>
    </w:p>
    <w:p w14:paraId="6A417735" w14:textId="77777777" w:rsidR="00AB33EC" w:rsidRPr="003E75E2" w:rsidRDefault="00AB33EC" w:rsidP="0037124B">
      <w:pPr>
        <w:rPr>
          <w:rFonts w:asciiTheme="minorHAnsi" w:hAnsiTheme="minorHAnsi" w:cstheme="minorHAnsi"/>
          <w:color w:val="414042" w:themeColor="text1"/>
          <w:highlight w:val="yellow"/>
        </w:rPr>
      </w:pPr>
    </w:p>
    <w:p w14:paraId="6C870F75" w14:textId="77777777" w:rsidR="00AB33EC" w:rsidRPr="003E75E2" w:rsidRDefault="00AB33EC" w:rsidP="0037124B">
      <w:pPr>
        <w:pStyle w:val="Policyheading"/>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color w:val="414042" w:themeColor="text1"/>
        </w:rPr>
      </w:pPr>
      <w:r w:rsidRPr="003E75E2">
        <w:rPr>
          <w:rFonts w:cstheme="minorHAnsi"/>
          <w:color w:val="414042" w:themeColor="text1"/>
        </w:rPr>
        <w:t>Accounting Policy:</w:t>
      </w:r>
    </w:p>
    <w:p w14:paraId="1468E83A" w14:textId="77777777" w:rsidR="00AB33EC" w:rsidRPr="003E75E2" w:rsidRDefault="00AB33EC" w:rsidP="0037124B">
      <w:pPr>
        <w:pStyle w:val="Policy1stpara"/>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color w:val="414042" w:themeColor="text1"/>
        </w:rPr>
      </w:pPr>
      <w:r w:rsidRPr="003E75E2">
        <w:rPr>
          <w:rFonts w:cstheme="minorHAnsi"/>
          <w:b/>
          <w:i/>
          <w:color w:val="414042" w:themeColor="text1"/>
        </w:rPr>
        <w:t>Recognition and Measurement</w:t>
      </w:r>
      <w:r w:rsidRPr="003E75E2">
        <w:rPr>
          <w:rFonts w:cstheme="minorHAnsi"/>
          <w:color w:val="414042" w:themeColor="text1"/>
        </w:rPr>
        <w:t xml:space="preserve"> – Provisions are recorded when the CCC has a present obligation, either legal or constructive, as a result of a past event, and the amount of the provision can be reliably measured. They are recognised at the amount expected at reporting date for which the obligation will be settled in a future period. </w:t>
      </w:r>
    </w:p>
    <w:p w14:paraId="17A1C221" w14:textId="77777777" w:rsidR="00AB33EC" w:rsidRPr="003E75E2" w:rsidRDefault="00AB33EC" w:rsidP="0037124B">
      <w:pPr>
        <w:pStyle w:val="Policy1stpara"/>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color w:val="414042" w:themeColor="text1"/>
          <w:szCs w:val="19"/>
        </w:rPr>
      </w:pPr>
      <w:r w:rsidRPr="003E75E2">
        <w:rPr>
          <w:rFonts w:cstheme="minorHAnsi"/>
          <w:color w:val="414042" w:themeColor="text1"/>
        </w:rPr>
        <w:t>The provision for restoration costs relate to clauses in lease agreements for office accommodation which require the CCC to restore a leased premises at the completion of the lease. As the settlement of the obligation is expected after 12 or more months, the provision has been discounted to reflect the present value of these obligations using a rate that reflects current market assessments and risks specific to the liability.</w:t>
      </w:r>
      <w:r w:rsidRPr="003E75E2">
        <w:rPr>
          <w:rFonts w:cstheme="minorHAnsi"/>
          <w:color w:val="414042" w:themeColor="text1"/>
          <w:sz w:val="16"/>
          <w:szCs w:val="16"/>
        </w:rPr>
        <w:t xml:space="preserve">  </w:t>
      </w:r>
      <w:r w:rsidRPr="003E75E2">
        <w:rPr>
          <w:rFonts w:cstheme="minorHAnsi"/>
          <w:color w:val="414042" w:themeColor="text1"/>
          <w:szCs w:val="19"/>
        </w:rPr>
        <w:t>The finance costs relate to unwinding of the discount on the provision.</w:t>
      </w:r>
    </w:p>
    <w:p w14:paraId="33A12349" w14:textId="77777777" w:rsidR="00AB33EC" w:rsidRPr="003E75E2" w:rsidRDefault="00AB33EC" w:rsidP="00AB33EC">
      <w:pPr>
        <w:rPr>
          <w:rFonts w:asciiTheme="minorHAnsi" w:hAnsiTheme="minorHAnsi" w:cstheme="minorHAnsi"/>
          <w:color w:val="414042" w:themeColor="text1"/>
          <w:highlight w:val="yellow"/>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AB33EC" w:rsidRPr="003E75E2" w14:paraId="521512BE" w14:textId="77777777" w:rsidTr="00B721B7">
        <w:trPr>
          <w:trHeight w:val="20"/>
        </w:trPr>
        <w:tc>
          <w:tcPr>
            <w:tcW w:w="5529" w:type="dxa"/>
            <w:tcBorders>
              <w:top w:val="nil"/>
              <w:left w:val="nil"/>
              <w:bottom w:val="nil"/>
            </w:tcBorders>
            <w:noWrap/>
            <w:tcMar>
              <w:left w:w="0" w:type="dxa"/>
              <w:right w:w="0" w:type="dxa"/>
            </w:tcMar>
            <w:vAlign w:val="bottom"/>
          </w:tcPr>
          <w:p w14:paraId="47D3834E"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p>
        </w:tc>
        <w:tc>
          <w:tcPr>
            <w:tcW w:w="567" w:type="dxa"/>
            <w:tcBorders>
              <w:top w:val="nil"/>
              <w:bottom w:val="nil"/>
            </w:tcBorders>
            <w:noWrap/>
            <w:tcMar>
              <w:left w:w="0" w:type="dxa"/>
              <w:right w:w="0" w:type="dxa"/>
            </w:tcMar>
            <w:vAlign w:val="bottom"/>
          </w:tcPr>
          <w:p w14:paraId="186134BC"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6430CB43" w14:textId="77777777" w:rsidR="00AB33EC" w:rsidRPr="003E75E2" w:rsidRDefault="00AB33EC" w:rsidP="00B721B7">
            <w:pPr>
              <w:pStyle w:val="Normaltabletext1stpararight"/>
              <w:spacing w:line="240" w:lineRule="auto"/>
              <w:rPr>
                <w:rFonts w:cstheme="minorHAnsi"/>
                <w:b/>
                <w:color w:val="414042" w:themeColor="text1"/>
                <w:lang w:eastAsia="en-AU"/>
              </w:rPr>
            </w:pPr>
          </w:p>
        </w:tc>
        <w:tc>
          <w:tcPr>
            <w:tcW w:w="283" w:type="dxa"/>
            <w:tcBorders>
              <w:top w:val="nil"/>
              <w:bottom w:val="nil"/>
            </w:tcBorders>
            <w:noWrap/>
          </w:tcPr>
          <w:p w14:paraId="3EF2C7AB"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02E2CE68" w14:textId="77777777" w:rsidR="00AB33EC" w:rsidRPr="003E75E2" w:rsidRDefault="00AB33EC" w:rsidP="00B721B7">
            <w:pPr>
              <w:pStyle w:val="Normaltabletext1stpararight"/>
              <w:spacing w:line="240" w:lineRule="auto"/>
              <w:rPr>
                <w:rFonts w:cstheme="minorHAnsi"/>
                <w:b/>
                <w:color w:val="414042" w:themeColor="text1"/>
                <w:lang w:eastAsia="en-AU"/>
              </w:rPr>
            </w:pPr>
          </w:p>
        </w:tc>
      </w:tr>
      <w:tr w:rsidR="00AB33EC" w:rsidRPr="003E75E2" w14:paraId="56EBA22D" w14:textId="77777777" w:rsidTr="00B721B7">
        <w:trPr>
          <w:trHeight w:val="20"/>
        </w:trPr>
        <w:tc>
          <w:tcPr>
            <w:tcW w:w="5529" w:type="dxa"/>
            <w:tcBorders>
              <w:top w:val="nil"/>
              <w:left w:val="nil"/>
              <w:bottom w:val="nil"/>
            </w:tcBorders>
            <w:noWrap/>
            <w:tcMar>
              <w:left w:w="0" w:type="dxa"/>
              <w:right w:w="0" w:type="dxa"/>
            </w:tcMar>
            <w:vAlign w:val="bottom"/>
          </w:tcPr>
          <w:p w14:paraId="0D7CEE40"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p>
        </w:tc>
        <w:tc>
          <w:tcPr>
            <w:tcW w:w="567" w:type="dxa"/>
            <w:tcBorders>
              <w:top w:val="nil"/>
              <w:bottom w:val="nil"/>
            </w:tcBorders>
            <w:noWrap/>
            <w:tcMar>
              <w:left w:w="0" w:type="dxa"/>
              <w:right w:w="0" w:type="dxa"/>
            </w:tcMar>
            <w:vAlign w:val="bottom"/>
          </w:tcPr>
          <w:p w14:paraId="0CCCD4F6"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29128E53"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2024</w:t>
            </w:r>
          </w:p>
        </w:tc>
        <w:tc>
          <w:tcPr>
            <w:tcW w:w="283" w:type="dxa"/>
            <w:tcBorders>
              <w:top w:val="nil"/>
              <w:bottom w:val="nil"/>
            </w:tcBorders>
            <w:noWrap/>
          </w:tcPr>
          <w:p w14:paraId="47EADF64"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1888E5FC"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2023</w:t>
            </w:r>
          </w:p>
        </w:tc>
      </w:tr>
      <w:tr w:rsidR="00AB33EC" w:rsidRPr="003E75E2" w14:paraId="10B398B8" w14:textId="77777777" w:rsidTr="00B721B7">
        <w:trPr>
          <w:trHeight w:val="20"/>
        </w:trPr>
        <w:tc>
          <w:tcPr>
            <w:tcW w:w="5529" w:type="dxa"/>
            <w:tcBorders>
              <w:top w:val="nil"/>
              <w:left w:val="nil"/>
              <w:bottom w:val="nil"/>
            </w:tcBorders>
            <w:noWrap/>
            <w:tcMar>
              <w:left w:w="0" w:type="dxa"/>
              <w:right w:w="0" w:type="dxa"/>
            </w:tcMar>
            <w:vAlign w:val="bottom"/>
          </w:tcPr>
          <w:p w14:paraId="28B989F1" w14:textId="77777777" w:rsidR="00AB33EC" w:rsidRPr="003E75E2" w:rsidRDefault="00AB33EC" w:rsidP="00B721B7">
            <w:pPr>
              <w:pStyle w:val="Normaltabletextleft"/>
              <w:tabs>
                <w:tab w:val="left" w:pos="0"/>
              </w:tabs>
              <w:spacing w:line="240" w:lineRule="auto"/>
              <w:rPr>
                <w:rFonts w:cstheme="minorHAnsi"/>
                <w:color w:val="414042" w:themeColor="text1"/>
                <w:sz w:val="16"/>
                <w:szCs w:val="16"/>
                <w:lang w:eastAsia="en-AU"/>
              </w:rPr>
            </w:pPr>
          </w:p>
        </w:tc>
        <w:tc>
          <w:tcPr>
            <w:tcW w:w="567" w:type="dxa"/>
            <w:tcBorders>
              <w:top w:val="nil"/>
              <w:bottom w:val="nil"/>
            </w:tcBorders>
            <w:noWrap/>
            <w:tcMar>
              <w:left w:w="0" w:type="dxa"/>
              <w:right w:w="0" w:type="dxa"/>
            </w:tcMar>
            <w:vAlign w:val="bottom"/>
          </w:tcPr>
          <w:p w14:paraId="70EDA41C"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67BDC3E6"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$’000</w:t>
            </w:r>
          </w:p>
        </w:tc>
        <w:tc>
          <w:tcPr>
            <w:tcW w:w="283" w:type="dxa"/>
            <w:tcBorders>
              <w:top w:val="nil"/>
              <w:bottom w:val="nil"/>
            </w:tcBorders>
            <w:noWrap/>
          </w:tcPr>
          <w:p w14:paraId="761146F6"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0FDC479A"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$’000</w:t>
            </w:r>
          </w:p>
        </w:tc>
      </w:tr>
      <w:tr w:rsidR="00AB33EC" w:rsidRPr="003E75E2" w14:paraId="393F21C4" w14:textId="77777777" w:rsidTr="00B721B7">
        <w:trPr>
          <w:trHeight w:val="20"/>
        </w:trPr>
        <w:tc>
          <w:tcPr>
            <w:tcW w:w="5529" w:type="dxa"/>
            <w:tcBorders>
              <w:top w:val="nil"/>
              <w:left w:val="nil"/>
              <w:bottom w:val="nil"/>
            </w:tcBorders>
            <w:noWrap/>
            <w:tcMar>
              <w:left w:w="0" w:type="dxa"/>
              <w:right w:w="0" w:type="dxa"/>
            </w:tcMar>
            <w:vAlign w:val="bottom"/>
          </w:tcPr>
          <w:p w14:paraId="54F6800B" w14:textId="77777777" w:rsidR="00AB33EC" w:rsidRPr="003E75E2" w:rsidRDefault="00AB33EC" w:rsidP="00B721B7">
            <w:pPr>
              <w:pStyle w:val="Normaltabletextleft"/>
              <w:spacing w:line="240" w:lineRule="auto"/>
              <w:rPr>
                <w:rFonts w:cstheme="minorHAnsi"/>
                <w:color w:val="414042" w:themeColor="text1"/>
                <w:sz w:val="16"/>
                <w:szCs w:val="16"/>
                <w:lang w:eastAsia="en-AU"/>
              </w:rPr>
            </w:pPr>
          </w:p>
        </w:tc>
        <w:tc>
          <w:tcPr>
            <w:tcW w:w="567" w:type="dxa"/>
            <w:tcBorders>
              <w:top w:val="nil"/>
              <w:bottom w:val="nil"/>
            </w:tcBorders>
            <w:noWrap/>
            <w:tcMar>
              <w:left w:w="0" w:type="dxa"/>
              <w:right w:w="0" w:type="dxa"/>
            </w:tcMar>
            <w:vAlign w:val="bottom"/>
          </w:tcPr>
          <w:p w14:paraId="0F9AFE7D" w14:textId="77777777" w:rsidR="00AB33EC" w:rsidRPr="003E75E2" w:rsidRDefault="00AB33EC" w:rsidP="00B721B7">
            <w:pPr>
              <w:pStyle w:val="Normaltabletextleft"/>
              <w:spacing w:line="240" w:lineRule="auto"/>
              <w:jc w:val="center"/>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4821C8BE" w14:textId="77777777" w:rsidR="00AB33EC" w:rsidRPr="003E75E2" w:rsidRDefault="00AB33EC" w:rsidP="00B721B7">
            <w:pPr>
              <w:pStyle w:val="Normaltabletextleft"/>
              <w:spacing w:line="240" w:lineRule="auto"/>
              <w:jc w:val="right"/>
              <w:rPr>
                <w:rFonts w:cstheme="minorHAnsi"/>
                <w:color w:val="414042" w:themeColor="text1"/>
                <w:lang w:eastAsia="en-AU"/>
              </w:rPr>
            </w:pPr>
          </w:p>
        </w:tc>
        <w:tc>
          <w:tcPr>
            <w:tcW w:w="283" w:type="dxa"/>
            <w:tcBorders>
              <w:top w:val="nil"/>
              <w:bottom w:val="nil"/>
            </w:tcBorders>
            <w:noWrap/>
          </w:tcPr>
          <w:p w14:paraId="531EF7DD"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6617C721" w14:textId="77777777" w:rsidR="00AB33EC" w:rsidRPr="003E75E2" w:rsidRDefault="00AB33EC" w:rsidP="00B721B7">
            <w:pPr>
              <w:pStyle w:val="Normaltabletextleft"/>
              <w:spacing w:line="240" w:lineRule="auto"/>
              <w:jc w:val="right"/>
              <w:rPr>
                <w:rFonts w:cstheme="minorHAnsi"/>
                <w:color w:val="414042" w:themeColor="text1"/>
                <w:lang w:eastAsia="en-AU"/>
              </w:rPr>
            </w:pPr>
          </w:p>
        </w:tc>
      </w:tr>
      <w:tr w:rsidR="00AB33EC" w:rsidRPr="003E75E2" w14:paraId="600EED47" w14:textId="77777777" w:rsidTr="00B721B7">
        <w:trPr>
          <w:trHeight w:val="20"/>
        </w:trPr>
        <w:tc>
          <w:tcPr>
            <w:tcW w:w="5529" w:type="dxa"/>
            <w:tcBorders>
              <w:top w:val="nil"/>
              <w:left w:val="nil"/>
              <w:bottom w:val="nil"/>
            </w:tcBorders>
            <w:noWrap/>
            <w:tcMar>
              <w:left w:w="0" w:type="dxa"/>
              <w:right w:w="0" w:type="dxa"/>
            </w:tcMar>
          </w:tcPr>
          <w:p w14:paraId="45FF41CE" w14:textId="77777777" w:rsidR="00AB33EC" w:rsidRPr="003E75E2" w:rsidRDefault="00AB33EC" w:rsidP="00B721B7">
            <w:pPr>
              <w:pStyle w:val="Normaltabletextleft"/>
              <w:spacing w:line="240" w:lineRule="auto"/>
              <w:rPr>
                <w:rFonts w:cstheme="minorHAnsi"/>
                <w:color w:val="414042" w:themeColor="text1"/>
                <w:lang w:eastAsia="en-AU"/>
              </w:rPr>
            </w:pPr>
          </w:p>
        </w:tc>
        <w:tc>
          <w:tcPr>
            <w:tcW w:w="567" w:type="dxa"/>
            <w:tcBorders>
              <w:top w:val="nil"/>
              <w:bottom w:val="nil"/>
            </w:tcBorders>
            <w:noWrap/>
            <w:tcMar>
              <w:left w:w="0" w:type="dxa"/>
              <w:right w:w="0" w:type="dxa"/>
            </w:tcMar>
            <w:vAlign w:val="bottom"/>
          </w:tcPr>
          <w:p w14:paraId="6C8C615D"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60800B58" w14:textId="77777777" w:rsidR="00AB33EC" w:rsidRPr="003E75E2" w:rsidRDefault="00AB33EC" w:rsidP="00B721B7">
            <w:pPr>
              <w:pStyle w:val="Normaltabletext1stpararight"/>
              <w:spacing w:line="240" w:lineRule="auto"/>
              <w:rPr>
                <w:rFonts w:cstheme="minorHAnsi"/>
                <w:color w:val="414042" w:themeColor="text1"/>
                <w:lang w:eastAsia="en-AU"/>
              </w:rPr>
            </w:pPr>
          </w:p>
        </w:tc>
        <w:tc>
          <w:tcPr>
            <w:tcW w:w="283" w:type="dxa"/>
            <w:tcBorders>
              <w:top w:val="nil"/>
              <w:bottom w:val="nil"/>
            </w:tcBorders>
            <w:noWrap/>
          </w:tcPr>
          <w:p w14:paraId="2B4011CD"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53F7AF5A" w14:textId="77777777" w:rsidR="00AB33EC" w:rsidRPr="003E75E2" w:rsidRDefault="00AB33EC" w:rsidP="00B721B7">
            <w:pPr>
              <w:pStyle w:val="Normaltabletext1stpararight"/>
              <w:spacing w:line="240" w:lineRule="auto"/>
              <w:rPr>
                <w:rFonts w:cstheme="minorHAnsi"/>
                <w:color w:val="414042" w:themeColor="text1"/>
                <w:lang w:eastAsia="en-AU"/>
              </w:rPr>
            </w:pPr>
          </w:p>
        </w:tc>
      </w:tr>
      <w:tr w:rsidR="00AB33EC" w:rsidRPr="003E75E2" w14:paraId="3541AE59" w14:textId="77777777" w:rsidTr="00B721B7">
        <w:trPr>
          <w:trHeight w:val="20"/>
        </w:trPr>
        <w:tc>
          <w:tcPr>
            <w:tcW w:w="5529" w:type="dxa"/>
            <w:tcBorders>
              <w:top w:val="nil"/>
              <w:left w:val="nil"/>
              <w:bottom w:val="nil"/>
            </w:tcBorders>
            <w:noWrap/>
            <w:tcMar>
              <w:left w:w="0" w:type="dxa"/>
              <w:right w:w="0" w:type="dxa"/>
            </w:tcMar>
          </w:tcPr>
          <w:p w14:paraId="37B1B7FA" w14:textId="77777777" w:rsidR="00AB33EC" w:rsidRPr="003E75E2" w:rsidRDefault="00AB33EC" w:rsidP="00B721B7">
            <w:pPr>
              <w:pStyle w:val="Normaltabletextleft"/>
              <w:spacing w:line="240" w:lineRule="auto"/>
              <w:rPr>
                <w:rFonts w:cstheme="minorHAnsi"/>
                <w:color w:val="414042" w:themeColor="text1"/>
                <w:lang w:eastAsia="en-AU"/>
              </w:rPr>
            </w:pPr>
            <w:r w:rsidRPr="003E75E2">
              <w:rPr>
                <w:rFonts w:cstheme="minorHAnsi"/>
                <w:color w:val="414042" w:themeColor="text1"/>
                <w:lang w:eastAsia="en-AU"/>
              </w:rPr>
              <w:t>Restoration costs</w:t>
            </w:r>
          </w:p>
        </w:tc>
        <w:tc>
          <w:tcPr>
            <w:tcW w:w="567" w:type="dxa"/>
            <w:tcBorders>
              <w:top w:val="nil"/>
              <w:bottom w:val="nil"/>
            </w:tcBorders>
            <w:noWrap/>
            <w:tcMar>
              <w:left w:w="0" w:type="dxa"/>
              <w:right w:w="0" w:type="dxa"/>
            </w:tcMar>
            <w:vAlign w:val="bottom"/>
          </w:tcPr>
          <w:p w14:paraId="37EBBCF9"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69BD7D69"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236</w:t>
            </w:r>
          </w:p>
        </w:tc>
        <w:tc>
          <w:tcPr>
            <w:tcW w:w="283" w:type="dxa"/>
            <w:tcBorders>
              <w:top w:val="nil"/>
              <w:bottom w:val="nil"/>
            </w:tcBorders>
            <w:noWrap/>
          </w:tcPr>
          <w:p w14:paraId="258126FF"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66C1D628"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257</w:t>
            </w:r>
          </w:p>
        </w:tc>
      </w:tr>
      <w:tr w:rsidR="00AB33EC" w:rsidRPr="003E75E2" w14:paraId="56B318F3" w14:textId="77777777" w:rsidTr="00B721B7">
        <w:trPr>
          <w:trHeight w:val="20"/>
        </w:trPr>
        <w:tc>
          <w:tcPr>
            <w:tcW w:w="5529" w:type="dxa"/>
            <w:tcBorders>
              <w:top w:val="nil"/>
              <w:left w:val="nil"/>
              <w:bottom w:val="nil"/>
            </w:tcBorders>
            <w:noWrap/>
            <w:tcMar>
              <w:left w:w="0" w:type="dxa"/>
              <w:right w:w="0" w:type="dxa"/>
            </w:tcMar>
            <w:vAlign w:val="bottom"/>
          </w:tcPr>
          <w:p w14:paraId="33CA62CD" w14:textId="77777777" w:rsidR="00AB33EC" w:rsidRPr="003E75E2" w:rsidRDefault="00AB33EC" w:rsidP="00B721B7">
            <w:pPr>
              <w:pStyle w:val="Normaltabletextleft"/>
              <w:tabs>
                <w:tab w:val="left" w:pos="0"/>
              </w:tabs>
              <w:spacing w:line="240" w:lineRule="auto"/>
              <w:rPr>
                <w:rFonts w:cstheme="minorHAnsi"/>
                <w:b/>
                <w:color w:val="414042" w:themeColor="text1"/>
                <w:lang w:eastAsia="en-AU"/>
              </w:rPr>
            </w:pPr>
            <w:r w:rsidRPr="003E75E2">
              <w:rPr>
                <w:rFonts w:cstheme="minorHAnsi"/>
                <w:b/>
                <w:color w:val="414042" w:themeColor="text1"/>
                <w:lang w:eastAsia="en-AU"/>
              </w:rPr>
              <w:t>Total</w:t>
            </w:r>
          </w:p>
        </w:tc>
        <w:tc>
          <w:tcPr>
            <w:tcW w:w="567" w:type="dxa"/>
            <w:tcBorders>
              <w:top w:val="nil"/>
              <w:bottom w:val="nil"/>
            </w:tcBorders>
            <w:noWrap/>
            <w:tcMar>
              <w:left w:w="0" w:type="dxa"/>
              <w:right w:w="0" w:type="dxa"/>
            </w:tcMar>
            <w:vAlign w:val="bottom"/>
          </w:tcPr>
          <w:p w14:paraId="763D1D79"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417" w:type="dxa"/>
            <w:tcBorders>
              <w:top w:val="single" w:sz="4" w:space="0" w:color="auto"/>
              <w:bottom w:val="double" w:sz="4" w:space="0" w:color="auto"/>
            </w:tcBorders>
            <w:shd w:val="clear" w:color="auto" w:fill="F1F1F2" w:themeFill="accent5" w:themeFillTint="33"/>
            <w:noWrap/>
            <w:tcMar>
              <w:left w:w="0" w:type="dxa"/>
              <w:right w:w="113" w:type="dxa"/>
            </w:tcMar>
            <w:vAlign w:val="bottom"/>
          </w:tcPr>
          <w:p w14:paraId="21A0A458" w14:textId="77777777" w:rsidR="00AB33EC" w:rsidRPr="003E75E2" w:rsidRDefault="00AB33EC" w:rsidP="00B721B7">
            <w:pPr>
              <w:pStyle w:val="Normaltabletext1stpararight"/>
              <w:spacing w:line="240" w:lineRule="auto"/>
              <w:rPr>
                <w:rFonts w:cstheme="minorHAnsi"/>
                <w:b/>
                <w:iCs/>
                <w:color w:val="414042" w:themeColor="text1"/>
                <w:lang w:eastAsia="en-AU"/>
              </w:rPr>
            </w:pPr>
            <w:r>
              <w:rPr>
                <w:rFonts w:cstheme="minorHAnsi"/>
                <w:b/>
                <w:iCs/>
                <w:color w:val="414042" w:themeColor="text1"/>
                <w:lang w:eastAsia="en-AU"/>
              </w:rPr>
              <w:t>236</w:t>
            </w:r>
          </w:p>
        </w:tc>
        <w:tc>
          <w:tcPr>
            <w:tcW w:w="283" w:type="dxa"/>
            <w:tcBorders>
              <w:top w:val="nil"/>
              <w:bottom w:val="nil"/>
            </w:tcBorders>
            <w:noWrap/>
          </w:tcPr>
          <w:p w14:paraId="2ACD8156" w14:textId="77777777" w:rsidR="00AB33EC" w:rsidRPr="003E75E2" w:rsidRDefault="00AB33EC" w:rsidP="00B721B7">
            <w:pPr>
              <w:pStyle w:val="Normaltabletextleft"/>
              <w:spacing w:line="240" w:lineRule="auto"/>
              <w:rPr>
                <w:rFonts w:cstheme="minorHAnsi"/>
                <w:b/>
                <w:color w:val="414042" w:themeColor="text1"/>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28E79104" w14:textId="77777777" w:rsidR="00AB33EC" w:rsidRPr="003E75E2" w:rsidRDefault="00AB33EC" w:rsidP="00B721B7">
            <w:pPr>
              <w:pStyle w:val="Normaltabletext1stpararight"/>
              <w:spacing w:line="240" w:lineRule="auto"/>
              <w:rPr>
                <w:rFonts w:cstheme="minorHAnsi"/>
                <w:b/>
                <w:iCs/>
                <w:color w:val="414042" w:themeColor="text1"/>
                <w:lang w:eastAsia="en-AU"/>
              </w:rPr>
            </w:pPr>
            <w:r w:rsidRPr="003E75E2">
              <w:rPr>
                <w:rFonts w:cstheme="minorHAnsi"/>
                <w:b/>
                <w:iCs/>
                <w:color w:val="414042" w:themeColor="text1"/>
                <w:lang w:eastAsia="en-AU"/>
              </w:rPr>
              <w:t>257</w:t>
            </w:r>
          </w:p>
        </w:tc>
      </w:tr>
    </w:tbl>
    <w:p w14:paraId="2FD0FB98" w14:textId="77777777" w:rsidR="00AB33EC" w:rsidRPr="003E75E2" w:rsidRDefault="00AB33EC" w:rsidP="00AB33EC">
      <w:pPr>
        <w:rPr>
          <w:rFonts w:asciiTheme="minorHAnsi" w:hAnsiTheme="minorHAnsi" w:cstheme="minorHAnsi"/>
          <w:color w:val="414042" w:themeColor="text1"/>
          <w:lang w:eastAsia="en-AU"/>
        </w:rPr>
      </w:pPr>
    </w:p>
    <w:p w14:paraId="7F50BD79" w14:textId="77777777" w:rsidR="00AB33EC" w:rsidRPr="003E75E2" w:rsidRDefault="00AB33EC" w:rsidP="00AB33EC">
      <w:pPr>
        <w:rPr>
          <w:rFonts w:asciiTheme="minorHAnsi" w:hAnsiTheme="minorHAnsi" w:cstheme="minorHAnsi"/>
          <w:color w:val="414042" w:themeColor="text1"/>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AB33EC" w:rsidRPr="003E75E2" w14:paraId="20B8F217" w14:textId="77777777" w:rsidTr="00B721B7">
        <w:trPr>
          <w:trHeight w:val="20"/>
        </w:trPr>
        <w:tc>
          <w:tcPr>
            <w:tcW w:w="5529" w:type="dxa"/>
            <w:tcBorders>
              <w:top w:val="nil"/>
              <w:left w:val="nil"/>
              <w:bottom w:val="nil"/>
            </w:tcBorders>
            <w:noWrap/>
            <w:tcMar>
              <w:left w:w="0" w:type="dxa"/>
              <w:right w:w="0" w:type="dxa"/>
            </w:tcMar>
            <w:vAlign w:val="bottom"/>
          </w:tcPr>
          <w:p w14:paraId="5781C131"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p>
        </w:tc>
        <w:tc>
          <w:tcPr>
            <w:tcW w:w="567" w:type="dxa"/>
            <w:tcBorders>
              <w:top w:val="nil"/>
              <w:bottom w:val="nil"/>
            </w:tcBorders>
            <w:noWrap/>
            <w:tcMar>
              <w:left w:w="0" w:type="dxa"/>
              <w:right w:w="0" w:type="dxa"/>
            </w:tcMar>
            <w:vAlign w:val="bottom"/>
          </w:tcPr>
          <w:p w14:paraId="27DD66EB"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73C21158" w14:textId="77777777" w:rsidR="00AB33EC" w:rsidRPr="003E75E2" w:rsidRDefault="00AB33EC" w:rsidP="00B721B7">
            <w:pPr>
              <w:pStyle w:val="Normaltabletext1stpararight"/>
              <w:spacing w:line="240" w:lineRule="auto"/>
              <w:rPr>
                <w:rFonts w:cstheme="minorHAnsi"/>
                <w:b/>
                <w:color w:val="414042" w:themeColor="text1"/>
                <w:lang w:eastAsia="en-AU"/>
              </w:rPr>
            </w:pPr>
          </w:p>
        </w:tc>
        <w:tc>
          <w:tcPr>
            <w:tcW w:w="283" w:type="dxa"/>
            <w:tcBorders>
              <w:top w:val="nil"/>
              <w:bottom w:val="nil"/>
            </w:tcBorders>
            <w:noWrap/>
          </w:tcPr>
          <w:p w14:paraId="77206436"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30B16693" w14:textId="77777777" w:rsidR="00AB33EC" w:rsidRPr="003E75E2" w:rsidRDefault="00AB33EC" w:rsidP="00B721B7">
            <w:pPr>
              <w:pStyle w:val="Normaltabletext1stpararight"/>
              <w:spacing w:line="240" w:lineRule="auto"/>
              <w:rPr>
                <w:rFonts w:cstheme="minorHAnsi"/>
                <w:b/>
                <w:color w:val="414042" w:themeColor="text1"/>
                <w:lang w:eastAsia="en-AU"/>
              </w:rPr>
            </w:pPr>
          </w:p>
        </w:tc>
      </w:tr>
      <w:tr w:rsidR="00AB33EC" w:rsidRPr="003E75E2" w14:paraId="1BDB9B60" w14:textId="77777777" w:rsidTr="00B721B7">
        <w:trPr>
          <w:trHeight w:val="20"/>
        </w:trPr>
        <w:tc>
          <w:tcPr>
            <w:tcW w:w="5529" w:type="dxa"/>
            <w:tcBorders>
              <w:top w:val="nil"/>
              <w:left w:val="nil"/>
              <w:bottom w:val="nil"/>
            </w:tcBorders>
            <w:noWrap/>
            <w:tcMar>
              <w:left w:w="0" w:type="dxa"/>
              <w:right w:w="0" w:type="dxa"/>
            </w:tcMar>
            <w:vAlign w:val="bottom"/>
          </w:tcPr>
          <w:p w14:paraId="722C2A47"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p>
        </w:tc>
        <w:tc>
          <w:tcPr>
            <w:tcW w:w="567" w:type="dxa"/>
            <w:tcBorders>
              <w:top w:val="nil"/>
              <w:bottom w:val="nil"/>
            </w:tcBorders>
            <w:noWrap/>
            <w:tcMar>
              <w:left w:w="0" w:type="dxa"/>
              <w:right w:w="0" w:type="dxa"/>
            </w:tcMar>
            <w:vAlign w:val="bottom"/>
          </w:tcPr>
          <w:p w14:paraId="235EE267"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0A203F98"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2024</w:t>
            </w:r>
          </w:p>
        </w:tc>
        <w:tc>
          <w:tcPr>
            <w:tcW w:w="283" w:type="dxa"/>
            <w:tcBorders>
              <w:top w:val="nil"/>
              <w:bottom w:val="nil"/>
            </w:tcBorders>
            <w:noWrap/>
          </w:tcPr>
          <w:p w14:paraId="12346A36"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7FDB51BC"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2023</w:t>
            </w:r>
          </w:p>
        </w:tc>
      </w:tr>
      <w:tr w:rsidR="00AB33EC" w:rsidRPr="003E75E2" w14:paraId="1583C99C" w14:textId="77777777" w:rsidTr="00B721B7">
        <w:trPr>
          <w:trHeight w:val="20"/>
        </w:trPr>
        <w:tc>
          <w:tcPr>
            <w:tcW w:w="5529" w:type="dxa"/>
            <w:tcBorders>
              <w:top w:val="nil"/>
              <w:left w:val="nil"/>
              <w:bottom w:val="nil"/>
            </w:tcBorders>
            <w:noWrap/>
            <w:tcMar>
              <w:left w:w="0" w:type="dxa"/>
              <w:right w:w="0" w:type="dxa"/>
            </w:tcMar>
            <w:vAlign w:val="bottom"/>
          </w:tcPr>
          <w:p w14:paraId="52E471F0" w14:textId="77777777" w:rsidR="00AB33EC" w:rsidRPr="003E75E2" w:rsidRDefault="00AB33EC" w:rsidP="00B721B7">
            <w:pPr>
              <w:pStyle w:val="Normaltabletextleft"/>
              <w:tabs>
                <w:tab w:val="left" w:pos="0"/>
              </w:tabs>
              <w:spacing w:line="240" w:lineRule="auto"/>
              <w:rPr>
                <w:rFonts w:cstheme="minorHAnsi"/>
                <w:color w:val="414042" w:themeColor="text1"/>
                <w:sz w:val="16"/>
                <w:szCs w:val="16"/>
                <w:lang w:eastAsia="en-AU"/>
              </w:rPr>
            </w:pPr>
          </w:p>
        </w:tc>
        <w:tc>
          <w:tcPr>
            <w:tcW w:w="567" w:type="dxa"/>
            <w:tcBorders>
              <w:top w:val="nil"/>
              <w:bottom w:val="nil"/>
            </w:tcBorders>
            <w:noWrap/>
            <w:tcMar>
              <w:left w:w="0" w:type="dxa"/>
              <w:right w:w="0" w:type="dxa"/>
            </w:tcMar>
            <w:vAlign w:val="bottom"/>
          </w:tcPr>
          <w:p w14:paraId="20F3E9A5"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4857102B"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$’000</w:t>
            </w:r>
          </w:p>
        </w:tc>
        <w:tc>
          <w:tcPr>
            <w:tcW w:w="283" w:type="dxa"/>
            <w:tcBorders>
              <w:top w:val="nil"/>
              <w:bottom w:val="nil"/>
            </w:tcBorders>
            <w:noWrap/>
          </w:tcPr>
          <w:p w14:paraId="4F14286C"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535F992A"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$’000</w:t>
            </w:r>
          </w:p>
        </w:tc>
      </w:tr>
      <w:tr w:rsidR="00AB33EC" w:rsidRPr="003E75E2" w14:paraId="5BEF4E8D" w14:textId="77777777" w:rsidTr="00B721B7">
        <w:trPr>
          <w:trHeight w:val="20"/>
        </w:trPr>
        <w:tc>
          <w:tcPr>
            <w:tcW w:w="5529" w:type="dxa"/>
            <w:tcBorders>
              <w:top w:val="nil"/>
              <w:left w:val="nil"/>
              <w:bottom w:val="nil"/>
            </w:tcBorders>
            <w:noWrap/>
            <w:tcMar>
              <w:left w:w="0" w:type="dxa"/>
              <w:right w:w="0" w:type="dxa"/>
            </w:tcMar>
            <w:vAlign w:val="bottom"/>
          </w:tcPr>
          <w:p w14:paraId="7BDA27FB" w14:textId="77777777" w:rsidR="00AB33EC" w:rsidRPr="003E75E2" w:rsidRDefault="00AB33EC" w:rsidP="00B721B7">
            <w:pPr>
              <w:pStyle w:val="Normaltabletextleft"/>
              <w:spacing w:line="240" w:lineRule="auto"/>
              <w:rPr>
                <w:rFonts w:cstheme="minorHAnsi"/>
                <w:color w:val="414042" w:themeColor="text1"/>
                <w:sz w:val="16"/>
                <w:szCs w:val="16"/>
                <w:lang w:eastAsia="en-AU"/>
              </w:rPr>
            </w:pPr>
          </w:p>
        </w:tc>
        <w:tc>
          <w:tcPr>
            <w:tcW w:w="567" w:type="dxa"/>
            <w:tcBorders>
              <w:top w:val="nil"/>
              <w:bottom w:val="nil"/>
            </w:tcBorders>
            <w:noWrap/>
            <w:tcMar>
              <w:left w:w="0" w:type="dxa"/>
              <w:right w:w="0" w:type="dxa"/>
            </w:tcMar>
            <w:vAlign w:val="bottom"/>
          </w:tcPr>
          <w:p w14:paraId="7B3CBEDE" w14:textId="77777777" w:rsidR="00AB33EC" w:rsidRPr="003E75E2" w:rsidRDefault="00AB33EC" w:rsidP="00B721B7">
            <w:pPr>
              <w:pStyle w:val="Normaltabletextleft"/>
              <w:spacing w:line="240" w:lineRule="auto"/>
              <w:jc w:val="center"/>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6473400F" w14:textId="77777777" w:rsidR="00AB33EC" w:rsidRPr="003E75E2" w:rsidRDefault="00AB33EC" w:rsidP="00B721B7">
            <w:pPr>
              <w:pStyle w:val="Normaltabletextleft"/>
              <w:spacing w:line="240" w:lineRule="auto"/>
              <w:jc w:val="right"/>
              <w:rPr>
                <w:rFonts w:cstheme="minorHAnsi"/>
                <w:color w:val="414042" w:themeColor="text1"/>
                <w:lang w:eastAsia="en-AU"/>
              </w:rPr>
            </w:pPr>
          </w:p>
        </w:tc>
        <w:tc>
          <w:tcPr>
            <w:tcW w:w="283" w:type="dxa"/>
            <w:tcBorders>
              <w:top w:val="nil"/>
              <w:bottom w:val="nil"/>
            </w:tcBorders>
            <w:noWrap/>
          </w:tcPr>
          <w:p w14:paraId="346D7191"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65AA93A7" w14:textId="77777777" w:rsidR="00AB33EC" w:rsidRPr="003E75E2" w:rsidRDefault="00AB33EC" w:rsidP="00B721B7">
            <w:pPr>
              <w:pStyle w:val="Normaltabletextleft"/>
              <w:spacing w:line="240" w:lineRule="auto"/>
              <w:jc w:val="right"/>
              <w:rPr>
                <w:rFonts w:cstheme="minorHAnsi"/>
                <w:color w:val="414042" w:themeColor="text1"/>
                <w:lang w:eastAsia="en-AU"/>
              </w:rPr>
            </w:pPr>
          </w:p>
        </w:tc>
      </w:tr>
      <w:tr w:rsidR="00AB33EC" w:rsidRPr="003E75E2" w14:paraId="00733277" w14:textId="77777777" w:rsidTr="00B721B7">
        <w:trPr>
          <w:trHeight w:val="20"/>
        </w:trPr>
        <w:tc>
          <w:tcPr>
            <w:tcW w:w="5529" w:type="dxa"/>
            <w:tcBorders>
              <w:top w:val="nil"/>
              <w:left w:val="nil"/>
              <w:bottom w:val="nil"/>
            </w:tcBorders>
            <w:noWrap/>
            <w:tcMar>
              <w:left w:w="0" w:type="dxa"/>
              <w:right w:w="0" w:type="dxa"/>
            </w:tcMar>
          </w:tcPr>
          <w:p w14:paraId="06A54BBF" w14:textId="77777777" w:rsidR="00AB33EC" w:rsidRPr="003E75E2" w:rsidRDefault="00AB33EC" w:rsidP="00B721B7">
            <w:pPr>
              <w:pStyle w:val="Normaltabletextleft"/>
              <w:spacing w:line="240" w:lineRule="auto"/>
              <w:rPr>
                <w:rFonts w:cstheme="minorHAnsi"/>
                <w:b/>
                <w:color w:val="414042" w:themeColor="text1"/>
                <w:lang w:eastAsia="en-AU"/>
              </w:rPr>
            </w:pPr>
            <w:r w:rsidRPr="003E75E2">
              <w:rPr>
                <w:rFonts w:cstheme="minorHAnsi"/>
                <w:b/>
                <w:color w:val="414042" w:themeColor="text1"/>
                <w:lang w:eastAsia="en-AU"/>
              </w:rPr>
              <w:t>Movements in provisions</w:t>
            </w:r>
          </w:p>
        </w:tc>
        <w:tc>
          <w:tcPr>
            <w:tcW w:w="567" w:type="dxa"/>
            <w:tcBorders>
              <w:top w:val="nil"/>
              <w:bottom w:val="nil"/>
            </w:tcBorders>
            <w:noWrap/>
            <w:tcMar>
              <w:left w:w="0" w:type="dxa"/>
              <w:right w:w="0" w:type="dxa"/>
            </w:tcMar>
            <w:vAlign w:val="bottom"/>
          </w:tcPr>
          <w:p w14:paraId="0E578DAB"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4FE2A433" w14:textId="77777777" w:rsidR="00AB33EC" w:rsidRPr="003E75E2" w:rsidRDefault="00AB33EC" w:rsidP="00B721B7">
            <w:pPr>
              <w:pStyle w:val="Normaltabletext1stpararight"/>
              <w:spacing w:line="240" w:lineRule="auto"/>
              <w:rPr>
                <w:rFonts w:cstheme="minorHAnsi"/>
                <w:color w:val="414042" w:themeColor="text1"/>
                <w:lang w:eastAsia="en-AU"/>
              </w:rPr>
            </w:pPr>
          </w:p>
        </w:tc>
        <w:tc>
          <w:tcPr>
            <w:tcW w:w="283" w:type="dxa"/>
            <w:tcBorders>
              <w:top w:val="nil"/>
              <w:bottom w:val="nil"/>
            </w:tcBorders>
            <w:noWrap/>
          </w:tcPr>
          <w:p w14:paraId="44C21284"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644D318F" w14:textId="77777777" w:rsidR="00AB33EC" w:rsidRPr="003E75E2" w:rsidRDefault="00AB33EC" w:rsidP="00B721B7">
            <w:pPr>
              <w:pStyle w:val="Normaltabletext1stpararight"/>
              <w:spacing w:line="240" w:lineRule="auto"/>
              <w:rPr>
                <w:rFonts w:cstheme="minorHAnsi"/>
                <w:color w:val="414042" w:themeColor="text1"/>
                <w:lang w:eastAsia="en-AU"/>
              </w:rPr>
            </w:pPr>
          </w:p>
        </w:tc>
      </w:tr>
      <w:tr w:rsidR="00AB33EC" w:rsidRPr="003E75E2" w14:paraId="599B5C3C" w14:textId="77777777" w:rsidTr="00B721B7">
        <w:trPr>
          <w:trHeight w:val="20"/>
        </w:trPr>
        <w:tc>
          <w:tcPr>
            <w:tcW w:w="5529" w:type="dxa"/>
            <w:tcBorders>
              <w:top w:val="nil"/>
              <w:left w:val="nil"/>
              <w:bottom w:val="nil"/>
            </w:tcBorders>
            <w:noWrap/>
            <w:tcMar>
              <w:left w:w="0" w:type="dxa"/>
              <w:right w:w="0" w:type="dxa"/>
            </w:tcMar>
          </w:tcPr>
          <w:p w14:paraId="5E63A7D7" w14:textId="77777777" w:rsidR="00AB33EC" w:rsidRPr="003E75E2" w:rsidRDefault="00AB33EC" w:rsidP="00B721B7">
            <w:pPr>
              <w:pStyle w:val="Normaltabletextleft"/>
              <w:spacing w:line="240" w:lineRule="auto"/>
              <w:rPr>
                <w:rFonts w:cstheme="minorHAnsi"/>
                <w:b/>
                <w:color w:val="414042" w:themeColor="text1"/>
                <w:lang w:eastAsia="en-AU"/>
              </w:rPr>
            </w:pPr>
            <w:r w:rsidRPr="003E75E2">
              <w:rPr>
                <w:rFonts w:cstheme="minorHAnsi"/>
                <w:b/>
                <w:color w:val="414042" w:themeColor="text1"/>
                <w:lang w:eastAsia="en-AU"/>
              </w:rPr>
              <w:t>Restoration Costs</w:t>
            </w:r>
          </w:p>
        </w:tc>
        <w:tc>
          <w:tcPr>
            <w:tcW w:w="567" w:type="dxa"/>
            <w:tcBorders>
              <w:top w:val="nil"/>
              <w:bottom w:val="nil"/>
            </w:tcBorders>
            <w:noWrap/>
            <w:tcMar>
              <w:left w:w="0" w:type="dxa"/>
              <w:right w:w="0" w:type="dxa"/>
            </w:tcMar>
            <w:vAlign w:val="bottom"/>
          </w:tcPr>
          <w:p w14:paraId="302ACE2E"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75348F4D" w14:textId="77777777" w:rsidR="00AB33EC" w:rsidRPr="003E75E2" w:rsidRDefault="00AB33EC" w:rsidP="00B721B7">
            <w:pPr>
              <w:pStyle w:val="Normaltabletext1stpararight"/>
              <w:spacing w:line="240" w:lineRule="auto"/>
              <w:rPr>
                <w:rFonts w:cstheme="minorHAnsi"/>
                <w:color w:val="414042" w:themeColor="text1"/>
                <w:lang w:eastAsia="en-AU"/>
              </w:rPr>
            </w:pPr>
          </w:p>
        </w:tc>
        <w:tc>
          <w:tcPr>
            <w:tcW w:w="283" w:type="dxa"/>
            <w:tcBorders>
              <w:top w:val="nil"/>
              <w:bottom w:val="nil"/>
            </w:tcBorders>
            <w:noWrap/>
          </w:tcPr>
          <w:p w14:paraId="7C6A7FF2"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FFFFFF" w:themeFill="background1"/>
            <w:noWrap/>
            <w:tcMar>
              <w:left w:w="0" w:type="dxa"/>
              <w:right w:w="113" w:type="dxa"/>
            </w:tcMar>
            <w:vAlign w:val="bottom"/>
          </w:tcPr>
          <w:p w14:paraId="1CBB543D" w14:textId="77777777" w:rsidR="00AB33EC" w:rsidRPr="003E75E2" w:rsidRDefault="00AB33EC" w:rsidP="00B721B7">
            <w:pPr>
              <w:pStyle w:val="Normaltabletext1stpararight"/>
              <w:spacing w:line="240" w:lineRule="auto"/>
              <w:rPr>
                <w:rFonts w:cstheme="minorHAnsi"/>
                <w:color w:val="414042" w:themeColor="text1"/>
                <w:lang w:eastAsia="en-AU"/>
              </w:rPr>
            </w:pPr>
          </w:p>
        </w:tc>
      </w:tr>
      <w:tr w:rsidR="00AB33EC" w:rsidRPr="003E75E2" w14:paraId="7EC86C65" w14:textId="77777777" w:rsidTr="00B721B7">
        <w:trPr>
          <w:trHeight w:val="20"/>
        </w:trPr>
        <w:tc>
          <w:tcPr>
            <w:tcW w:w="5529" w:type="dxa"/>
            <w:tcBorders>
              <w:top w:val="nil"/>
              <w:left w:val="nil"/>
              <w:bottom w:val="nil"/>
            </w:tcBorders>
            <w:noWrap/>
            <w:tcMar>
              <w:left w:w="0" w:type="dxa"/>
              <w:right w:w="0" w:type="dxa"/>
            </w:tcMar>
          </w:tcPr>
          <w:p w14:paraId="382E4CDA" w14:textId="77777777" w:rsidR="00AB33EC" w:rsidRPr="003E75E2" w:rsidRDefault="00AB33EC" w:rsidP="00B721B7">
            <w:pPr>
              <w:pStyle w:val="Normaltabletextleft"/>
              <w:spacing w:line="240" w:lineRule="auto"/>
              <w:rPr>
                <w:rFonts w:cstheme="minorHAnsi"/>
                <w:color w:val="414042" w:themeColor="text1"/>
                <w:lang w:eastAsia="en-AU"/>
              </w:rPr>
            </w:pPr>
            <w:r w:rsidRPr="003E75E2">
              <w:rPr>
                <w:rFonts w:cstheme="minorHAnsi"/>
                <w:color w:val="414042" w:themeColor="text1"/>
                <w:lang w:eastAsia="en-AU"/>
              </w:rPr>
              <w:t>Balance at 1 July</w:t>
            </w:r>
          </w:p>
        </w:tc>
        <w:tc>
          <w:tcPr>
            <w:tcW w:w="567" w:type="dxa"/>
            <w:tcBorders>
              <w:top w:val="nil"/>
              <w:bottom w:val="nil"/>
            </w:tcBorders>
            <w:noWrap/>
            <w:tcMar>
              <w:left w:w="0" w:type="dxa"/>
              <w:right w:w="0" w:type="dxa"/>
            </w:tcMar>
            <w:vAlign w:val="bottom"/>
          </w:tcPr>
          <w:p w14:paraId="634725FA"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3B88DF68"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257</w:t>
            </w:r>
          </w:p>
        </w:tc>
        <w:tc>
          <w:tcPr>
            <w:tcW w:w="283" w:type="dxa"/>
            <w:tcBorders>
              <w:top w:val="nil"/>
              <w:bottom w:val="nil"/>
            </w:tcBorders>
            <w:noWrap/>
          </w:tcPr>
          <w:p w14:paraId="0CEF6EBA"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58779628"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219</w:t>
            </w:r>
          </w:p>
        </w:tc>
      </w:tr>
      <w:tr w:rsidR="00AB33EC" w:rsidRPr="003E75E2" w14:paraId="40C054EF" w14:textId="77777777" w:rsidTr="00B721B7">
        <w:trPr>
          <w:trHeight w:val="20"/>
        </w:trPr>
        <w:tc>
          <w:tcPr>
            <w:tcW w:w="5529" w:type="dxa"/>
            <w:tcBorders>
              <w:top w:val="nil"/>
              <w:left w:val="nil"/>
              <w:bottom w:val="nil"/>
            </w:tcBorders>
            <w:noWrap/>
            <w:tcMar>
              <w:left w:w="0" w:type="dxa"/>
              <w:right w:w="0" w:type="dxa"/>
            </w:tcMar>
          </w:tcPr>
          <w:p w14:paraId="69F36629" w14:textId="77777777" w:rsidR="00AB33EC" w:rsidRPr="003E75E2" w:rsidRDefault="00AB33EC" w:rsidP="00B721B7">
            <w:pPr>
              <w:pStyle w:val="Normaltabletextleft"/>
              <w:spacing w:line="240" w:lineRule="auto"/>
              <w:rPr>
                <w:rFonts w:cstheme="minorHAnsi"/>
                <w:color w:val="414042" w:themeColor="text1"/>
                <w:lang w:eastAsia="en-AU"/>
              </w:rPr>
            </w:pPr>
            <w:r w:rsidRPr="003E75E2">
              <w:rPr>
                <w:rFonts w:cstheme="minorHAnsi"/>
                <w:color w:val="414042" w:themeColor="text1"/>
                <w:lang w:eastAsia="en-AU"/>
              </w:rPr>
              <w:t>Provision adjustment</w:t>
            </w:r>
          </w:p>
        </w:tc>
        <w:tc>
          <w:tcPr>
            <w:tcW w:w="567" w:type="dxa"/>
            <w:tcBorders>
              <w:top w:val="nil"/>
              <w:bottom w:val="nil"/>
            </w:tcBorders>
            <w:noWrap/>
            <w:tcMar>
              <w:left w:w="0" w:type="dxa"/>
              <w:right w:w="0" w:type="dxa"/>
            </w:tcMar>
            <w:vAlign w:val="bottom"/>
          </w:tcPr>
          <w:p w14:paraId="39A31C52"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41823F12"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(22)</w:t>
            </w:r>
          </w:p>
        </w:tc>
        <w:tc>
          <w:tcPr>
            <w:tcW w:w="283" w:type="dxa"/>
            <w:tcBorders>
              <w:top w:val="nil"/>
              <w:bottom w:val="nil"/>
            </w:tcBorders>
            <w:noWrap/>
          </w:tcPr>
          <w:p w14:paraId="3CBA61BE"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55448572"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32</w:t>
            </w:r>
          </w:p>
        </w:tc>
      </w:tr>
      <w:tr w:rsidR="00AB33EC" w:rsidRPr="003E75E2" w14:paraId="12F2493A" w14:textId="77777777" w:rsidTr="00B721B7">
        <w:trPr>
          <w:trHeight w:val="20"/>
        </w:trPr>
        <w:tc>
          <w:tcPr>
            <w:tcW w:w="5529" w:type="dxa"/>
            <w:tcBorders>
              <w:top w:val="nil"/>
              <w:left w:val="nil"/>
              <w:bottom w:val="nil"/>
            </w:tcBorders>
            <w:noWrap/>
            <w:tcMar>
              <w:left w:w="0" w:type="dxa"/>
              <w:right w:w="0" w:type="dxa"/>
            </w:tcMar>
          </w:tcPr>
          <w:p w14:paraId="2D872B98" w14:textId="77777777" w:rsidR="00AB33EC" w:rsidRPr="003E75E2" w:rsidRDefault="00AB33EC" w:rsidP="00B721B7">
            <w:pPr>
              <w:pStyle w:val="Normaltabletextleft"/>
              <w:spacing w:line="240" w:lineRule="auto"/>
              <w:rPr>
                <w:rFonts w:cstheme="minorHAnsi"/>
                <w:color w:val="414042" w:themeColor="text1"/>
                <w:lang w:eastAsia="en-AU"/>
              </w:rPr>
            </w:pPr>
            <w:r w:rsidRPr="003E75E2">
              <w:rPr>
                <w:rFonts w:cstheme="minorHAnsi"/>
                <w:color w:val="414042" w:themeColor="text1"/>
                <w:lang w:eastAsia="en-AU"/>
              </w:rPr>
              <w:t xml:space="preserve">Finance Costs  </w:t>
            </w:r>
          </w:p>
        </w:tc>
        <w:tc>
          <w:tcPr>
            <w:tcW w:w="567" w:type="dxa"/>
            <w:tcBorders>
              <w:top w:val="nil"/>
              <w:bottom w:val="nil"/>
            </w:tcBorders>
            <w:noWrap/>
            <w:tcMar>
              <w:left w:w="0" w:type="dxa"/>
              <w:right w:w="0" w:type="dxa"/>
            </w:tcMar>
            <w:vAlign w:val="bottom"/>
          </w:tcPr>
          <w:p w14:paraId="35A026BC"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417" w:type="dxa"/>
            <w:tcBorders>
              <w:top w:val="nil"/>
              <w:bottom w:val="nil"/>
            </w:tcBorders>
            <w:shd w:val="clear" w:color="auto" w:fill="F1F1F2" w:themeFill="accent5" w:themeFillTint="33"/>
            <w:noWrap/>
            <w:tcMar>
              <w:left w:w="0" w:type="dxa"/>
              <w:right w:w="113" w:type="dxa"/>
            </w:tcMar>
            <w:vAlign w:val="bottom"/>
          </w:tcPr>
          <w:p w14:paraId="5BFABCD5"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1</w:t>
            </w:r>
          </w:p>
        </w:tc>
        <w:tc>
          <w:tcPr>
            <w:tcW w:w="283" w:type="dxa"/>
            <w:tcBorders>
              <w:top w:val="nil"/>
              <w:bottom w:val="nil"/>
            </w:tcBorders>
            <w:noWrap/>
          </w:tcPr>
          <w:p w14:paraId="3D2B1C9C" w14:textId="77777777" w:rsidR="00AB33EC" w:rsidRPr="003E75E2" w:rsidRDefault="00AB33EC" w:rsidP="00B721B7">
            <w:pPr>
              <w:pStyle w:val="Normaltabletextleft"/>
              <w:spacing w:line="240" w:lineRule="auto"/>
              <w:rPr>
                <w:rFonts w:cstheme="minorHAnsi"/>
                <w:color w:val="414042" w:themeColor="text1"/>
              </w:rPr>
            </w:pPr>
          </w:p>
        </w:tc>
        <w:tc>
          <w:tcPr>
            <w:tcW w:w="1276" w:type="dxa"/>
            <w:tcBorders>
              <w:top w:val="nil"/>
              <w:bottom w:val="nil"/>
              <w:right w:val="nil"/>
            </w:tcBorders>
            <w:shd w:val="clear" w:color="auto" w:fill="auto"/>
            <w:noWrap/>
            <w:tcMar>
              <w:left w:w="0" w:type="dxa"/>
              <w:right w:w="113" w:type="dxa"/>
            </w:tcMar>
            <w:vAlign w:val="bottom"/>
          </w:tcPr>
          <w:p w14:paraId="39F54F5C"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6</w:t>
            </w:r>
          </w:p>
        </w:tc>
      </w:tr>
      <w:tr w:rsidR="00AB33EC" w:rsidRPr="003E75E2" w14:paraId="7B949A1D" w14:textId="77777777" w:rsidTr="00B721B7">
        <w:trPr>
          <w:trHeight w:val="20"/>
        </w:trPr>
        <w:tc>
          <w:tcPr>
            <w:tcW w:w="5529" w:type="dxa"/>
            <w:tcBorders>
              <w:top w:val="nil"/>
              <w:left w:val="nil"/>
              <w:bottom w:val="nil"/>
            </w:tcBorders>
            <w:noWrap/>
            <w:tcMar>
              <w:left w:w="0" w:type="dxa"/>
              <w:right w:w="0" w:type="dxa"/>
            </w:tcMar>
          </w:tcPr>
          <w:p w14:paraId="73EFF083" w14:textId="77777777" w:rsidR="00AB33EC" w:rsidRPr="003E75E2" w:rsidRDefault="00AB33EC" w:rsidP="00B721B7">
            <w:pPr>
              <w:pStyle w:val="Normaltabletextleft"/>
              <w:spacing w:line="240" w:lineRule="auto"/>
              <w:rPr>
                <w:rFonts w:cstheme="minorHAnsi"/>
                <w:b/>
                <w:color w:val="414042" w:themeColor="text1"/>
                <w:lang w:eastAsia="en-AU"/>
              </w:rPr>
            </w:pPr>
            <w:r w:rsidRPr="003E75E2">
              <w:rPr>
                <w:rFonts w:cstheme="minorHAnsi"/>
                <w:b/>
                <w:color w:val="414042" w:themeColor="text1"/>
                <w:lang w:eastAsia="en-AU"/>
              </w:rPr>
              <w:t>Balance at 30 June</w:t>
            </w:r>
          </w:p>
        </w:tc>
        <w:tc>
          <w:tcPr>
            <w:tcW w:w="567" w:type="dxa"/>
            <w:tcBorders>
              <w:top w:val="nil"/>
              <w:bottom w:val="nil"/>
            </w:tcBorders>
            <w:noWrap/>
            <w:tcMar>
              <w:left w:w="0" w:type="dxa"/>
              <w:right w:w="0" w:type="dxa"/>
            </w:tcMar>
            <w:vAlign w:val="bottom"/>
          </w:tcPr>
          <w:p w14:paraId="56EAC581"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417" w:type="dxa"/>
            <w:tcBorders>
              <w:top w:val="single" w:sz="4" w:space="0" w:color="auto"/>
              <w:bottom w:val="double" w:sz="4" w:space="0" w:color="auto"/>
            </w:tcBorders>
            <w:shd w:val="clear" w:color="auto" w:fill="F1F1F2" w:themeFill="accent5" w:themeFillTint="33"/>
            <w:noWrap/>
            <w:tcMar>
              <w:left w:w="0" w:type="dxa"/>
              <w:right w:w="113" w:type="dxa"/>
            </w:tcMar>
            <w:vAlign w:val="bottom"/>
          </w:tcPr>
          <w:p w14:paraId="07A7BFB5" w14:textId="77777777" w:rsidR="00AB33EC" w:rsidRPr="003E75E2" w:rsidRDefault="00AB33EC" w:rsidP="00B721B7">
            <w:pPr>
              <w:pStyle w:val="Normaltabletext1stpararight"/>
              <w:spacing w:line="240" w:lineRule="auto"/>
              <w:rPr>
                <w:rFonts w:cstheme="minorHAnsi"/>
                <w:b/>
                <w:iCs/>
                <w:color w:val="414042" w:themeColor="text1"/>
                <w:lang w:eastAsia="en-AU"/>
              </w:rPr>
            </w:pPr>
            <w:r>
              <w:rPr>
                <w:rFonts w:cstheme="minorHAnsi"/>
                <w:b/>
                <w:iCs/>
                <w:color w:val="414042" w:themeColor="text1"/>
                <w:lang w:eastAsia="en-AU"/>
              </w:rPr>
              <w:t>236</w:t>
            </w:r>
          </w:p>
        </w:tc>
        <w:tc>
          <w:tcPr>
            <w:tcW w:w="283" w:type="dxa"/>
            <w:tcBorders>
              <w:top w:val="nil"/>
              <w:bottom w:val="nil"/>
            </w:tcBorders>
            <w:noWrap/>
          </w:tcPr>
          <w:p w14:paraId="49722E10" w14:textId="77777777" w:rsidR="00AB33EC" w:rsidRPr="003E75E2" w:rsidRDefault="00AB33EC" w:rsidP="00B721B7">
            <w:pPr>
              <w:pStyle w:val="Normaltabletextleft"/>
              <w:spacing w:line="240" w:lineRule="auto"/>
              <w:rPr>
                <w:rFonts w:cstheme="minorHAnsi"/>
                <w:b/>
                <w:color w:val="414042" w:themeColor="text1"/>
              </w:rPr>
            </w:pPr>
          </w:p>
        </w:tc>
        <w:tc>
          <w:tcPr>
            <w:tcW w:w="1276" w:type="dxa"/>
            <w:tcBorders>
              <w:top w:val="single" w:sz="4" w:space="0" w:color="auto"/>
              <w:bottom w:val="double" w:sz="4" w:space="0" w:color="auto"/>
              <w:right w:val="nil"/>
            </w:tcBorders>
            <w:shd w:val="clear" w:color="auto" w:fill="auto"/>
            <w:noWrap/>
            <w:tcMar>
              <w:left w:w="0" w:type="dxa"/>
              <w:right w:w="113" w:type="dxa"/>
            </w:tcMar>
            <w:vAlign w:val="bottom"/>
          </w:tcPr>
          <w:p w14:paraId="3C5DF534" w14:textId="77777777" w:rsidR="00AB33EC" w:rsidRPr="003E75E2" w:rsidRDefault="00AB33EC" w:rsidP="00B721B7">
            <w:pPr>
              <w:pStyle w:val="Normaltabletext1stpararight"/>
              <w:spacing w:line="240" w:lineRule="auto"/>
              <w:rPr>
                <w:rFonts w:cstheme="minorHAnsi"/>
                <w:b/>
                <w:iCs/>
                <w:color w:val="414042" w:themeColor="text1"/>
                <w:lang w:eastAsia="en-AU"/>
              </w:rPr>
            </w:pPr>
            <w:r w:rsidRPr="003E75E2">
              <w:rPr>
                <w:rFonts w:cstheme="minorHAnsi"/>
                <w:b/>
                <w:iCs/>
                <w:color w:val="414042" w:themeColor="text1"/>
                <w:lang w:eastAsia="en-AU"/>
              </w:rPr>
              <w:t>257</w:t>
            </w:r>
          </w:p>
        </w:tc>
      </w:tr>
    </w:tbl>
    <w:p w14:paraId="0EE93CA7" w14:textId="77777777" w:rsidR="00AB33EC" w:rsidRPr="003E75E2" w:rsidRDefault="00AB33EC" w:rsidP="00AB33EC">
      <w:pPr>
        <w:rPr>
          <w:rFonts w:asciiTheme="minorHAnsi" w:hAnsiTheme="minorHAnsi" w:cstheme="minorHAnsi"/>
          <w:color w:val="414042" w:themeColor="text1"/>
          <w:highlight w:val="yellow"/>
        </w:rPr>
      </w:pPr>
    </w:p>
    <w:p w14:paraId="24C89EB9" w14:textId="77777777" w:rsidR="00AB33EC" w:rsidRPr="003E75E2" w:rsidRDefault="00AB33EC" w:rsidP="00AB33EC">
      <w:pPr>
        <w:spacing w:line="260" w:lineRule="exact"/>
        <w:rPr>
          <w:rFonts w:asciiTheme="minorHAnsi" w:hAnsiTheme="minorHAnsi" w:cstheme="minorHAnsi"/>
          <w:color w:val="414042" w:themeColor="text1"/>
          <w:highlight w:val="yellow"/>
        </w:rPr>
      </w:pPr>
      <w:r w:rsidRPr="003E75E2">
        <w:rPr>
          <w:rFonts w:asciiTheme="minorHAnsi" w:hAnsiTheme="minorHAnsi" w:cstheme="minorHAnsi"/>
          <w:color w:val="414042" w:themeColor="text1"/>
          <w:highlight w:val="yellow"/>
        </w:rPr>
        <w:br w:type="page"/>
      </w:r>
    </w:p>
    <w:p w14:paraId="3F7DE0B2" w14:textId="77777777" w:rsidR="00AB33EC" w:rsidRPr="003E75E2" w:rsidRDefault="00AB33EC" w:rsidP="0037124B">
      <w:pPr>
        <w:pStyle w:val="Normal115pttext"/>
        <w:spacing w:line="240" w:lineRule="auto"/>
        <w:rPr>
          <w:rFonts w:cstheme="minorHAnsi"/>
          <w:color w:val="414042" w:themeColor="text1"/>
        </w:rPr>
      </w:pPr>
      <w:r w:rsidRPr="003E75E2">
        <w:rPr>
          <w:rFonts w:cstheme="minorHAnsi"/>
          <w:color w:val="414042" w:themeColor="text1"/>
        </w:rPr>
        <w:t>Note 14:  Commitments for Expenditure</w:t>
      </w:r>
    </w:p>
    <w:p w14:paraId="5B21DD10" w14:textId="77777777" w:rsidR="00AB33EC" w:rsidRPr="003E75E2" w:rsidRDefault="00AB33EC" w:rsidP="0037124B">
      <w:pPr>
        <w:pStyle w:val="Normal1stpara"/>
        <w:spacing w:before="0" w:line="240" w:lineRule="auto"/>
        <w:rPr>
          <w:rFonts w:asciiTheme="minorHAnsi" w:hAnsiTheme="minorHAnsi" w:cstheme="minorHAnsi"/>
          <w:color w:val="414042" w:themeColor="text1"/>
          <w:sz w:val="16"/>
          <w:szCs w:val="16"/>
        </w:rPr>
      </w:pPr>
    </w:p>
    <w:p w14:paraId="3D2A84D5" w14:textId="77777777" w:rsidR="00AB33EC" w:rsidRPr="003E75E2" w:rsidRDefault="00AB33EC" w:rsidP="0037124B">
      <w:pPr>
        <w:pStyle w:val="Normal1stpara"/>
        <w:spacing w:line="240" w:lineRule="auto"/>
        <w:rPr>
          <w:rFonts w:asciiTheme="minorHAnsi" w:hAnsiTheme="minorHAnsi" w:cstheme="minorHAnsi"/>
          <w:color w:val="414042" w:themeColor="text1"/>
          <w:sz w:val="20"/>
          <w:szCs w:val="20"/>
        </w:rPr>
      </w:pPr>
      <w:r w:rsidRPr="003E75E2">
        <w:rPr>
          <w:rFonts w:asciiTheme="minorHAnsi" w:hAnsiTheme="minorHAnsi" w:cstheme="minorHAnsi"/>
          <w:color w:val="414042" w:themeColor="text1"/>
          <w:sz w:val="20"/>
          <w:szCs w:val="20"/>
        </w:rPr>
        <w:t>Commitments for future expenditure include capital commitments and material expenditure commitments arising from contracts. These future expenditures cease to be disclosed as commitments once the related liabilities are recognised in the statement of financial position. Commitments at reporting date are disclosed at their nominal value inclusive of anticipated GST and are payable as follows:</w:t>
      </w:r>
    </w:p>
    <w:p w14:paraId="2336A6F0" w14:textId="77777777" w:rsidR="00AB33EC" w:rsidRPr="003E75E2" w:rsidRDefault="00AB33EC" w:rsidP="00AB33EC">
      <w:pPr>
        <w:pStyle w:val="Normal1stpara"/>
        <w:spacing w:line="240" w:lineRule="auto"/>
        <w:jc w:val="both"/>
        <w:rPr>
          <w:rFonts w:asciiTheme="minorHAnsi" w:hAnsiTheme="minorHAnsi" w:cstheme="minorHAnsi"/>
          <w:color w:val="414042" w:themeColor="text1"/>
          <w:sz w:val="20"/>
          <w:szCs w:val="20"/>
        </w:rPr>
      </w:pPr>
    </w:p>
    <w:tbl>
      <w:tblPr>
        <w:tblW w:w="9214" w:type="dxa"/>
        <w:tblLayout w:type="fixed"/>
        <w:tblLook w:val="04A0" w:firstRow="1" w:lastRow="0" w:firstColumn="1" w:lastColumn="0" w:noHBand="0" w:noVBand="1"/>
      </w:tblPr>
      <w:tblGrid>
        <w:gridCol w:w="2268"/>
        <w:gridCol w:w="1157"/>
        <w:gridCol w:w="1158"/>
        <w:gridCol w:w="1158"/>
        <w:gridCol w:w="1157"/>
        <w:gridCol w:w="1158"/>
        <w:gridCol w:w="1158"/>
      </w:tblGrid>
      <w:tr w:rsidR="00AB33EC" w:rsidRPr="003E75E2" w14:paraId="45154120" w14:textId="77777777" w:rsidTr="00B721B7">
        <w:trPr>
          <w:trHeight w:val="210"/>
        </w:trPr>
        <w:tc>
          <w:tcPr>
            <w:tcW w:w="2268" w:type="dxa"/>
            <w:vMerge w:val="restart"/>
            <w:tcBorders>
              <w:top w:val="single" w:sz="8" w:space="0" w:color="auto"/>
              <w:left w:val="nil"/>
              <w:bottom w:val="single" w:sz="8" w:space="0" w:color="000000"/>
              <w:right w:val="single" w:sz="8" w:space="0" w:color="auto"/>
            </w:tcBorders>
            <w:shd w:val="clear" w:color="000000" w:fill="FFFFFF"/>
            <w:vAlign w:val="center"/>
            <w:hideMark/>
          </w:tcPr>
          <w:p w14:paraId="02AF0A93" w14:textId="77777777" w:rsidR="00AB33EC" w:rsidRPr="003E75E2" w:rsidRDefault="00AB33EC" w:rsidP="00B721B7">
            <w:pPr>
              <w:jc w:val="center"/>
              <w:rPr>
                <w:rFonts w:asciiTheme="minorHAnsi" w:eastAsia="Times New Roman" w:hAnsiTheme="minorHAnsi" w:cstheme="minorHAnsi"/>
                <w:color w:val="414042" w:themeColor="text1"/>
                <w:sz w:val="18"/>
                <w:szCs w:val="18"/>
                <w:lang w:eastAsia="en-AU"/>
              </w:rPr>
            </w:pPr>
            <w:r w:rsidRPr="003E75E2">
              <w:rPr>
                <w:rFonts w:asciiTheme="minorHAnsi" w:eastAsia="Times New Roman" w:hAnsiTheme="minorHAnsi" w:cstheme="minorHAnsi"/>
                <w:color w:val="414042" w:themeColor="text1"/>
                <w:sz w:val="18"/>
                <w:szCs w:val="18"/>
                <w:lang w:eastAsia="en-AU"/>
              </w:rPr>
              <w:t> </w:t>
            </w:r>
          </w:p>
        </w:tc>
        <w:tc>
          <w:tcPr>
            <w:tcW w:w="2315" w:type="dxa"/>
            <w:gridSpan w:val="2"/>
            <w:tcBorders>
              <w:top w:val="single" w:sz="8" w:space="0" w:color="auto"/>
              <w:left w:val="nil"/>
              <w:bottom w:val="nil"/>
              <w:right w:val="single" w:sz="8" w:space="0" w:color="000000"/>
            </w:tcBorders>
            <w:shd w:val="clear" w:color="000000" w:fill="FFFFFF"/>
            <w:vAlign w:val="center"/>
            <w:hideMark/>
          </w:tcPr>
          <w:p w14:paraId="10356486" w14:textId="77777777" w:rsidR="00AB33EC" w:rsidRPr="003E75E2" w:rsidRDefault="00AB33EC" w:rsidP="00B721B7">
            <w:pPr>
              <w:jc w:val="center"/>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Property</w:t>
            </w:r>
          </w:p>
        </w:tc>
        <w:tc>
          <w:tcPr>
            <w:tcW w:w="2315" w:type="dxa"/>
            <w:gridSpan w:val="2"/>
            <w:tcBorders>
              <w:top w:val="single" w:sz="8" w:space="0" w:color="auto"/>
              <w:left w:val="nil"/>
              <w:bottom w:val="nil"/>
              <w:right w:val="single" w:sz="8" w:space="0" w:color="000000"/>
            </w:tcBorders>
            <w:shd w:val="clear" w:color="000000" w:fill="FFFFFF"/>
            <w:vAlign w:val="center"/>
            <w:hideMark/>
          </w:tcPr>
          <w:p w14:paraId="6B5E2838" w14:textId="77777777" w:rsidR="00AB33EC" w:rsidRPr="003E75E2" w:rsidRDefault="00AB33EC" w:rsidP="00B721B7">
            <w:pPr>
              <w:jc w:val="center"/>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Capital</w:t>
            </w:r>
          </w:p>
        </w:tc>
        <w:tc>
          <w:tcPr>
            <w:tcW w:w="2316" w:type="dxa"/>
            <w:gridSpan w:val="2"/>
            <w:tcBorders>
              <w:top w:val="single" w:sz="8" w:space="0" w:color="auto"/>
              <w:left w:val="nil"/>
              <w:bottom w:val="nil"/>
              <w:right w:val="nil"/>
            </w:tcBorders>
            <w:shd w:val="clear" w:color="000000" w:fill="FFFFFF"/>
            <w:vAlign w:val="center"/>
            <w:hideMark/>
          </w:tcPr>
          <w:p w14:paraId="1639DE63" w14:textId="77777777" w:rsidR="00AB33EC" w:rsidRPr="003E75E2" w:rsidRDefault="00AB33EC" w:rsidP="00B721B7">
            <w:pPr>
              <w:jc w:val="center"/>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Total</w:t>
            </w:r>
          </w:p>
        </w:tc>
      </w:tr>
      <w:tr w:rsidR="00AB33EC" w:rsidRPr="003E75E2" w14:paraId="0EE38A8B" w14:textId="77777777" w:rsidTr="00B721B7">
        <w:trPr>
          <w:trHeight w:val="210"/>
        </w:trPr>
        <w:tc>
          <w:tcPr>
            <w:tcW w:w="2268" w:type="dxa"/>
            <w:vMerge/>
            <w:tcBorders>
              <w:top w:val="single" w:sz="8" w:space="0" w:color="auto"/>
              <w:left w:val="nil"/>
              <w:bottom w:val="single" w:sz="8" w:space="0" w:color="000000"/>
              <w:right w:val="single" w:sz="8" w:space="0" w:color="auto"/>
            </w:tcBorders>
            <w:vAlign w:val="center"/>
            <w:hideMark/>
          </w:tcPr>
          <w:p w14:paraId="5B703533" w14:textId="77777777" w:rsidR="00AB33EC" w:rsidRPr="003E75E2" w:rsidRDefault="00AB33EC" w:rsidP="00B721B7">
            <w:pPr>
              <w:rPr>
                <w:rFonts w:asciiTheme="minorHAnsi" w:eastAsia="Times New Roman" w:hAnsiTheme="minorHAnsi" w:cstheme="minorHAnsi"/>
                <w:color w:val="414042" w:themeColor="text1"/>
                <w:sz w:val="18"/>
                <w:szCs w:val="18"/>
                <w:lang w:eastAsia="en-AU"/>
              </w:rPr>
            </w:pPr>
          </w:p>
        </w:tc>
        <w:tc>
          <w:tcPr>
            <w:tcW w:w="2315" w:type="dxa"/>
            <w:gridSpan w:val="2"/>
            <w:tcBorders>
              <w:top w:val="nil"/>
              <w:left w:val="nil"/>
              <w:bottom w:val="single" w:sz="8" w:space="0" w:color="auto"/>
              <w:right w:val="single" w:sz="8" w:space="0" w:color="000000"/>
            </w:tcBorders>
            <w:shd w:val="clear" w:color="000000" w:fill="FFFFFF"/>
            <w:vAlign w:val="center"/>
            <w:hideMark/>
          </w:tcPr>
          <w:p w14:paraId="7AB5D7CA" w14:textId="77777777" w:rsidR="00AB33EC" w:rsidRPr="003E75E2" w:rsidRDefault="00AB33EC" w:rsidP="00B721B7">
            <w:pPr>
              <w:jc w:val="center"/>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Rentals¹</w:t>
            </w:r>
          </w:p>
        </w:tc>
        <w:tc>
          <w:tcPr>
            <w:tcW w:w="2315" w:type="dxa"/>
            <w:gridSpan w:val="2"/>
            <w:tcBorders>
              <w:top w:val="nil"/>
              <w:left w:val="nil"/>
              <w:bottom w:val="single" w:sz="8" w:space="0" w:color="auto"/>
              <w:right w:val="single" w:sz="8" w:space="0" w:color="000000"/>
            </w:tcBorders>
            <w:shd w:val="clear" w:color="000000" w:fill="FFFFFF"/>
            <w:vAlign w:val="center"/>
            <w:hideMark/>
          </w:tcPr>
          <w:p w14:paraId="2D2460A9" w14:textId="77777777" w:rsidR="00AB33EC" w:rsidRPr="003E75E2" w:rsidRDefault="00AB33EC" w:rsidP="00B721B7">
            <w:pPr>
              <w:jc w:val="center"/>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Expenditure</w:t>
            </w:r>
          </w:p>
        </w:tc>
        <w:tc>
          <w:tcPr>
            <w:tcW w:w="2316" w:type="dxa"/>
            <w:gridSpan w:val="2"/>
            <w:tcBorders>
              <w:top w:val="nil"/>
              <w:left w:val="nil"/>
              <w:bottom w:val="single" w:sz="8" w:space="0" w:color="auto"/>
              <w:right w:val="nil"/>
            </w:tcBorders>
            <w:shd w:val="clear" w:color="000000" w:fill="FFFFFF"/>
            <w:vAlign w:val="center"/>
            <w:hideMark/>
          </w:tcPr>
          <w:p w14:paraId="679D0C08" w14:textId="77777777" w:rsidR="00AB33EC" w:rsidRPr="003E75E2" w:rsidRDefault="00AB33EC" w:rsidP="00B721B7">
            <w:pPr>
              <w:jc w:val="center"/>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Commitments</w:t>
            </w:r>
          </w:p>
        </w:tc>
      </w:tr>
      <w:tr w:rsidR="00AB33EC" w:rsidRPr="003E75E2" w14:paraId="2280A35E" w14:textId="77777777" w:rsidTr="00B721B7">
        <w:trPr>
          <w:trHeight w:val="210"/>
        </w:trPr>
        <w:tc>
          <w:tcPr>
            <w:tcW w:w="2268" w:type="dxa"/>
            <w:vMerge/>
            <w:tcBorders>
              <w:top w:val="single" w:sz="8" w:space="0" w:color="auto"/>
              <w:left w:val="nil"/>
              <w:bottom w:val="single" w:sz="8" w:space="0" w:color="000000"/>
              <w:right w:val="single" w:sz="8" w:space="0" w:color="auto"/>
            </w:tcBorders>
            <w:vAlign w:val="center"/>
            <w:hideMark/>
          </w:tcPr>
          <w:p w14:paraId="4A469EBB" w14:textId="77777777" w:rsidR="00AB33EC" w:rsidRPr="003E75E2" w:rsidRDefault="00AB33EC" w:rsidP="00B721B7">
            <w:pPr>
              <w:rPr>
                <w:rFonts w:asciiTheme="minorHAnsi" w:eastAsia="Times New Roman" w:hAnsiTheme="minorHAnsi" w:cstheme="minorHAnsi"/>
                <w:color w:val="414042" w:themeColor="text1"/>
                <w:sz w:val="18"/>
                <w:szCs w:val="18"/>
                <w:lang w:eastAsia="en-AU"/>
              </w:rPr>
            </w:pPr>
          </w:p>
        </w:tc>
        <w:tc>
          <w:tcPr>
            <w:tcW w:w="1157" w:type="dxa"/>
            <w:tcBorders>
              <w:top w:val="nil"/>
              <w:left w:val="nil"/>
              <w:bottom w:val="nil"/>
              <w:right w:val="single" w:sz="8" w:space="0" w:color="auto"/>
            </w:tcBorders>
            <w:shd w:val="clear" w:color="auto" w:fill="F1F1F2" w:themeFill="accent5" w:themeFillTint="33"/>
            <w:vAlign w:val="center"/>
            <w:hideMark/>
          </w:tcPr>
          <w:p w14:paraId="12445A88" w14:textId="77777777" w:rsidR="00AB33EC" w:rsidRPr="003E75E2" w:rsidRDefault="00AB33EC" w:rsidP="00B721B7">
            <w:pPr>
              <w:jc w:val="center"/>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2024</w:t>
            </w:r>
          </w:p>
        </w:tc>
        <w:tc>
          <w:tcPr>
            <w:tcW w:w="1158" w:type="dxa"/>
            <w:tcBorders>
              <w:top w:val="nil"/>
              <w:left w:val="nil"/>
              <w:bottom w:val="nil"/>
              <w:right w:val="single" w:sz="8" w:space="0" w:color="auto"/>
            </w:tcBorders>
            <w:shd w:val="clear" w:color="000000" w:fill="FFFFFF"/>
            <w:vAlign w:val="center"/>
            <w:hideMark/>
          </w:tcPr>
          <w:p w14:paraId="6351CAC7" w14:textId="77777777" w:rsidR="00AB33EC" w:rsidRPr="003E75E2" w:rsidRDefault="00AB33EC" w:rsidP="00B721B7">
            <w:pPr>
              <w:jc w:val="center"/>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2023</w:t>
            </w:r>
          </w:p>
        </w:tc>
        <w:tc>
          <w:tcPr>
            <w:tcW w:w="1158" w:type="dxa"/>
            <w:tcBorders>
              <w:top w:val="nil"/>
              <w:left w:val="nil"/>
              <w:bottom w:val="nil"/>
              <w:right w:val="single" w:sz="8" w:space="0" w:color="auto"/>
            </w:tcBorders>
            <w:shd w:val="clear" w:color="auto" w:fill="F1F1F2" w:themeFill="accent5" w:themeFillTint="33"/>
            <w:vAlign w:val="center"/>
            <w:hideMark/>
          </w:tcPr>
          <w:p w14:paraId="53DD170C" w14:textId="77777777" w:rsidR="00AB33EC" w:rsidRPr="003E75E2" w:rsidRDefault="00AB33EC" w:rsidP="00B721B7">
            <w:pPr>
              <w:jc w:val="center"/>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2024</w:t>
            </w:r>
          </w:p>
        </w:tc>
        <w:tc>
          <w:tcPr>
            <w:tcW w:w="1157" w:type="dxa"/>
            <w:tcBorders>
              <w:top w:val="nil"/>
              <w:left w:val="nil"/>
              <w:bottom w:val="nil"/>
              <w:right w:val="single" w:sz="8" w:space="0" w:color="auto"/>
            </w:tcBorders>
            <w:shd w:val="clear" w:color="000000" w:fill="FFFFFF"/>
            <w:vAlign w:val="center"/>
            <w:hideMark/>
          </w:tcPr>
          <w:p w14:paraId="63CA10A2" w14:textId="77777777" w:rsidR="00AB33EC" w:rsidRPr="003E75E2" w:rsidRDefault="00AB33EC" w:rsidP="00B721B7">
            <w:pPr>
              <w:jc w:val="center"/>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2023</w:t>
            </w:r>
          </w:p>
        </w:tc>
        <w:tc>
          <w:tcPr>
            <w:tcW w:w="1158" w:type="dxa"/>
            <w:tcBorders>
              <w:top w:val="nil"/>
              <w:left w:val="nil"/>
              <w:bottom w:val="nil"/>
              <w:right w:val="nil"/>
            </w:tcBorders>
            <w:shd w:val="clear" w:color="auto" w:fill="F1F1F2" w:themeFill="accent5" w:themeFillTint="33"/>
            <w:vAlign w:val="center"/>
            <w:hideMark/>
          </w:tcPr>
          <w:p w14:paraId="59ECF88F" w14:textId="77777777" w:rsidR="00AB33EC" w:rsidRPr="003E75E2" w:rsidRDefault="00AB33EC" w:rsidP="00B721B7">
            <w:pPr>
              <w:jc w:val="center"/>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2024</w:t>
            </w:r>
          </w:p>
        </w:tc>
        <w:tc>
          <w:tcPr>
            <w:tcW w:w="1158" w:type="dxa"/>
            <w:tcBorders>
              <w:top w:val="nil"/>
              <w:left w:val="single" w:sz="8" w:space="0" w:color="auto"/>
              <w:bottom w:val="nil"/>
              <w:right w:val="nil"/>
            </w:tcBorders>
            <w:shd w:val="clear" w:color="000000" w:fill="FFFFFF"/>
            <w:vAlign w:val="center"/>
            <w:hideMark/>
          </w:tcPr>
          <w:p w14:paraId="73085A64" w14:textId="77777777" w:rsidR="00AB33EC" w:rsidRPr="003E75E2" w:rsidRDefault="00AB33EC" w:rsidP="00B721B7">
            <w:pPr>
              <w:jc w:val="center"/>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2023</w:t>
            </w:r>
          </w:p>
        </w:tc>
      </w:tr>
      <w:tr w:rsidR="00AB33EC" w:rsidRPr="003E75E2" w14:paraId="4190E1ED" w14:textId="77777777" w:rsidTr="00B721B7">
        <w:trPr>
          <w:trHeight w:val="210"/>
        </w:trPr>
        <w:tc>
          <w:tcPr>
            <w:tcW w:w="2268" w:type="dxa"/>
            <w:vMerge/>
            <w:tcBorders>
              <w:top w:val="single" w:sz="8" w:space="0" w:color="auto"/>
              <w:left w:val="nil"/>
              <w:bottom w:val="single" w:sz="8" w:space="0" w:color="000000"/>
              <w:right w:val="single" w:sz="8" w:space="0" w:color="auto"/>
            </w:tcBorders>
            <w:vAlign w:val="center"/>
            <w:hideMark/>
          </w:tcPr>
          <w:p w14:paraId="3C081C80" w14:textId="77777777" w:rsidR="00AB33EC" w:rsidRPr="003E75E2" w:rsidRDefault="00AB33EC" w:rsidP="00B721B7">
            <w:pPr>
              <w:rPr>
                <w:rFonts w:asciiTheme="minorHAnsi" w:eastAsia="Times New Roman" w:hAnsiTheme="minorHAnsi" w:cstheme="minorHAnsi"/>
                <w:color w:val="414042" w:themeColor="text1"/>
                <w:sz w:val="18"/>
                <w:szCs w:val="18"/>
                <w:lang w:eastAsia="en-AU"/>
              </w:rPr>
            </w:pPr>
          </w:p>
        </w:tc>
        <w:tc>
          <w:tcPr>
            <w:tcW w:w="1157" w:type="dxa"/>
            <w:tcBorders>
              <w:top w:val="nil"/>
              <w:left w:val="nil"/>
              <w:bottom w:val="single" w:sz="8" w:space="0" w:color="auto"/>
              <w:right w:val="single" w:sz="8" w:space="0" w:color="auto"/>
            </w:tcBorders>
            <w:shd w:val="clear" w:color="auto" w:fill="F1F1F2" w:themeFill="accent5" w:themeFillTint="33"/>
            <w:vAlign w:val="center"/>
            <w:hideMark/>
          </w:tcPr>
          <w:p w14:paraId="1E3A1BB1" w14:textId="77777777" w:rsidR="00AB33EC" w:rsidRPr="003E75E2" w:rsidRDefault="00AB33EC" w:rsidP="00B721B7">
            <w:pPr>
              <w:jc w:val="center"/>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$’000</w:t>
            </w:r>
          </w:p>
        </w:tc>
        <w:tc>
          <w:tcPr>
            <w:tcW w:w="1158" w:type="dxa"/>
            <w:tcBorders>
              <w:top w:val="nil"/>
              <w:left w:val="nil"/>
              <w:bottom w:val="single" w:sz="8" w:space="0" w:color="auto"/>
              <w:right w:val="single" w:sz="8" w:space="0" w:color="auto"/>
            </w:tcBorders>
            <w:shd w:val="clear" w:color="000000" w:fill="FFFFFF"/>
            <w:vAlign w:val="center"/>
            <w:hideMark/>
          </w:tcPr>
          <w:p w14:paraId="364509D4" w14:textId="77777777" w:rsidR="00AB33EC" w:rsidRPr="003E75E2" w:rsidRDefault="00AB33EC" w:rsidP="00B721B7">
            <w:pPr>
              <w:jc w:val="center"/>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$’000</w:t>
            </w:r>
          </w:p>
        </w:tc>
        <w:tc>
          <w:tcPr>
            <w:tcW w:w="1158" w:type="dxa"/>
            <w:tcBorders>
              <w:top w:val="nil"/>
              <w:left w:val="nil"/>
              <w:bottom w:val="single" w:sz="8" w:space="0" w:color="auto"/>
              <w:right w:val="single" w:sz="8" w:space="0" w:color="auto"/>
            </w:tcBorders>
            <w:shd w:val="clear" w:color="auto" w:fill="F1F1F2" w:themeFill="accent5" w:themeFillTint="33"/>
            <w:vAlign w:val="center"/>
            <w:hideMark/>
          </w:tcPr>
          <w:p w14:paraId="1196CA28" w14:textId="77777777" w:rsidR="00AB33EC" w:rsidRPr="003E75E2" w:rsidRDefault="00AB33EC" w:rsidP="00B721B7">
            <w:pPr>
              <w:jc w:val="center"/>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$’000</w:t>
            </w:r>
          </w:p>
        </w:tc>
        <w:tc>
          <w:tcPr>
            <w:tcW w:w="1157" w:type="dxa"/>
            <w:tcBorders>
              <w:top w:val="nil"/>
              <w:left w:val="nil"/>
              <w:bottom w:val="single" w:sz="8" w:space="0" w:color="auto"/>
              <w:right w:val="single" w:sz="8" w:space="0" w:color="auto"/>
            </w:tcBorders>
            <w:shd w:val="clear" w:color="000000" w:fill="FFFFFF"/>
            <w:vAlign w:val="center"/>
            <w:hideMark/>
          </w:tcPr>
          <w:p w14:paraId="60D62696" w14:textId="77777777" w:rsidR="00AB33EC" w:rsidRPr="003E75E2" w:rsidRDefault="00AB33EC" w:rsidP="00B721B7">
            <w:pPr>
              <w:jc w:val="center"/>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$’000</w:t>
            </w:r>
          </w:p>
        </w:tc>
        <w:tc>
          <w:tcPr>
            <w:tcW w:w="1158" w:type="dxa"/>
            <w:tcBorders>
              <w:top w:val="nil"/>
              <w:left w:val="nil"/>
              <w:bottom w:val="single" w:sz="8" w:space="0" w:color="auto"/>
              <w:right w:val="nil"/>
            </w:tcBorders>
            <w:shd w:val="clear" w:color="auto" w:fill="F1F1F2" w:themeFill="accent5" w:themeFillTint="33"/>
            <w:vAlign w:val="center"/>
            <w:hideMark/>
          </w:tcPr>
          <w:p w14:paraId="12934254" w14:textId="77777777" w:rsidR="00AB33EC" w:rsidRPr="003E75E2" w:rsidRDefault="00AB33EC" w:rsidP="00B721B7">
            <w:pPr>
              <w:jc w:val="center"/>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$’000</w:t>
            </w:r>
          </w:p>
        </w:tc>
        <w:tc>
          <w:tcPr>
            <w:tcW w:w="1158" w:type="dxa"/>
            <w:tcBorders>
              <w:top w:val="nil"/>
              <w:left w:val="single" w:sz="8" w:space="0" w:color="auto"/>
              <w:bottom w:val="single" w:sz="8" w:space="0" w:color="auto"/>
              <w:right w:val="nil"/>
            </w:tcBorders>
            <w:shd w:val="clear" w:color="000000" w:fill="FFFFFF"/>
            <w:vAlign w:val="center"/>
            <w:hideMark/>
          </w:tcPr>
          <w:p w14:paraId="36645154" w14:textId="77777777" w:rsidR="00AB33EC" w:rsidRPr="003E75E2" w:rsidRDefault="00AB33EC" w:rsidP="00B721B7">
            <w:pPr>
              <w:jc w:val="center"/>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$’000</w:t>
            </w:r>
          </w:p>
        </w:tc>
      </w:tr>
      <w:tr w:rsidR="00AB33EC" w:rsidRPr="003E75E2" w14:paraId="441DE181" w14:textId="77777777" w:rsidTr="00B721B7">
        <w:trPr>
          <w:trHeight w:val="360"/>
        </w:trPr>
        <w:tc>
          <w:tcPr>
            <w:tcW w:w="2268" w:type="dxa"/>
            <w:tcBorders>
              <w:top w:val="nil"/>
              <w:left w:val="nil"/>
              <w:bottom w:val="nil"/>
              <w:right w:val="single" w:sz="8" w:space="0" w:color="auto"/>
            </w:tcBorders>
            <w:shd w:val="clear" w:color="000000" w:fill="FFFFFF"/>
            <w:vAlign w:val="center"/>
            <w:hideMark/>
          </w:tcPr>
          <w:p w14:paraId="6E3815D7" w14:textId="77777777" w:rsidR="00AB33EC" w:rsidRPr="003E75E2" w:rsidRDefault="00AB33EC" w:rsidP="00B721B7">
            <w:pPr>
              <w:rPr>
                <w:rFonts w:asciiTheme="minorHAnsi" w:eastAsia="Times New Roman" w:hAnsiTheme="minorHAnsi" w:cstheme="minorHAnsi"/>
                <w:color w:val="414042" w:themeColor="text1"/>
                <w:sz w:val="18"/>
                <w:szCs w:val="18"/>
                <w:lang w:eastAsia="en-AU"/>
              </w:rPr>
            </w:pPr>
            <w:r w:rsidRPr="003E75E2">
              <w:rPr>
                <w:rFonts w:asciiTheme="minorHAnsi" w:eastAsia="Times New Roman" w:hAnsiTheme="minorHAnsi" w:cstheme="minorHAnsi"/>
                <w:color w:val="414042" w:themeColor="text1"/>
                <w:sz w:val="18"/>
                <w:szCs w:val="18"/>
                <w:lang w:eastAsia="en-AU"/>
              </w:rPr>
              <w:t>Not later than one year</w:t>
            </w:r>
          </w:p>
        </w:tc>
        <w:tc>
          <w:tcPr>
            <w:tcW w:w="1157" w:type="dxa"/>
            <w:tcBorders>
              <w:top w:val="nil"/>
              <w:left w:val="nil"/>
              <w:bottom w:val="single" w:sz="8" w:space="0" w:color="auto"/>
              <w:right w:val="single" w:sz="8" w:space="0" w:color="auto"/>
            </w:tcBorders>
            <w:shd w:val="clear" w:color="auto" w:fill="F1F1F2" w:themeFill="accent5" w:themeFillTint="33"/>
            <w:vAlign w:val="center"/>
          </w:tcPr>
          <w:p w14:paraId="78AAC3A6" w14:textId="77777777" w:rsidR="00AB33EC" w:rsidRPr="003E75E2" w:rsidRDefault="00AB33EC" w:rsidP="00B721B7">
            <w:pPr>
              <w:jc w:val="right"/>
              <w:rPr>
                <w:rFonts w:asciiTheme="minorHAnsi" w:eastAsia="Times New Roman" w:hAnsiTheme="minorHAnsi" w:cstheme="minorHAnsi"/>
                <w:color w:val="414042" w:themeColor="text1"/>
                <w:sz w:val="18"/>
                <w:szCs w:val="18"/>
                <w:lang w:eastAsia="en-AU"/>
              </w:rPr>
            </w:pPr>
            <w:r>
              <w:rPr>
                <w:rFonts w:asciiTheme="minorHAnsi" w:eastAsia="Times New Roman" w:hAnsiTheme="minorHAnsi" w:cstheme="minorHAnsi"/>
                <w:color w:val="414042" w:themeColor="text1"/>
                <w:sz w:val="18"/>
                <w:szCs w:val="18"/>
                <w:lang w:eastAsia="en-AU"/>
              </w:rPr>
              <w:t>4,388</w:t>
            </w:r>
          </w:p>
        </w:tc>
        <w:tc>
          <w:tcPr>
            <w:tcW w:w="1158" w:type="dxa"/>
            <w:tcBorders>
              <w:top w:val="nil"/>
              <w:left w:val="nil"/>
              <w:bottom w:val="single" w:sz="8" w:space="0" w:color="auto"/>
              <w:right w:val="single" w:sz="8" w:space="0" w:color="auto"/>
            </w:tcBorders>
            <w:shd w:val="clear" w:color="auto" w:fill="auto"/>
            <w:vAlign w:val="center"/>
            <w:hideMark/>
          </w:tcPr>
          <w:p w14:paraId="4A20C2E5" w14:textId="77777777" w:rsidR="00AB33EC" w:rsidRPr="003E75E2" w:rsidRDefault="00AB33EC" w:rsidP="00B721B7">
            <w:pPr>
              <w:jc w:val="right"/>
              <w:rPr>
                <w:rFonts w:asciiTheme="minorHAnsi" w:eastAsia="Times New Roman" w:hAnsiTheme="minorHAnsi" w:cstheme="minorHAnsi"/>
                <w:color w:val="414042" w:themeColor="text1"/>
                <w:sz w:val="18"/>
                <w:szCs w:val="18"/>
                <w:lang w:eastAsia="en-AU"/>
              </w:rPr>
            </w:pPr>
            <w:r w:rsidRPr="003E75E2">
              <w:rPr>
                <w:rFonts w:asciiTheme="minorHAnsi" w:eastAsia="Times New Roman" w:hAnsiTheme="minorHAnsi" w:cstheme="minorHAnsi"/>
                <w:color w:val="414042" w:themeColor="text1"/>
                <w:sz w:val="18"/>
                <w:szCs w:val="18"/>
                <w:lang w:eastAsia="en-AU"/>
              </w:rPr>
              <w:t>4,166</w:t>
            </w:r>
          </w:p>
        </w:tc>
        <w:tc>
          <w:tcPr>
            <w:tcW w:w="1158" w:type="dxa"/>
            <w:tcBorders>
              <w:top w:val="nil"/>
              <w:left w:val="nil"/>
              <w:bottom w:val="single" w:sz="8" w:space="0" w:color="auto"/>
              <w:right w:val="single" w:sz="8" w:space="0" w:color="auto"/>
            </w:tcBorders>
            <w:shd w:val="clear" w:color="auto" w:fill="F1F1F2" w:themeFill="accent5" w:themeFillTint="33"/>
            <w:vAlign w:val="center"/>
          </w:tcPr>
          <w:p w14:paraId="65E1B450" w14:textId="77777777" w:rsidR="00AB33EC" w:rsidRPr="003E75E2" w:rsidRDefault="00AB33EC" w:rsidP="00B721B7">
            <w:pPr>
              <w:jc w:val="right"/>
              <w:rPr>
                <w:rFonts w:asciiTheme="minorHAnsi" w:eastAsia="Times New Roman" w:hAnsiTheme="minorHAnsi" w:cstheme="minorHAnsi"/>
                <w:color w:val="414042" w:themeColor="text1"/>
                <w:sz w:val="18"/>
                <w:szCs w:val="18"/>
                <w:lang w:eastAsia="en-AU"/>
              </w:rPr>
            </w:pPr>
            <w:r>
              <w:rPr>
                <w:rFonts w:asciiTheme="minorHAnsi" w:eastAsia="Times New Roman" w:hAnsiTheme="minorHAnsi" w:cstheme="minorHAnsi"/>
                <w:color w:val="414042" w:themeColor="text1"/>
                <w:sz w:val="18"/>
                <w:szCs w:val="18"/>
                <w:lang w:eastAsia="en-AU"/>
              </w:rPr>
              <w:t>16</w:t>
            </w:r>
          </w:p>
        </w:tc>
        <w:tc>
          <w:tcPr>
            <w:tcW w:w="1157" w:type="dxa"/>
            <w:tcBorders>
              <w:top w:val="nil"/>
              <w:left w:val="nil"/>
              <w:bottom w:val="single" w:sz="8" w:space="0" w:color="auto"/>
              <w:right w:val="single" w:sz="8" w:space="0" w:color="auto"/>
            </w:tcBorders>
            <w:shd w:val="clear" w:color="000000" w:fill="FFFFFF"/>
            <w:vAlign w:val="center"/>
            <w:hideMark/>
          </w:tcPr>
          <w:p w14:paraId="1ECF5B33" w14:textId="77777777" w:rsidR="00AB33EC" w:rsidRPr="003E75E2" w:rsidRDefault="00AB33EC" w:rsidP="00B721B7">
            <w:pPr>
              <w:jc w:val="right"/>
              <w:rPr>
                <w:rFonts w:asciiTheme="minorHAnsi" w:eastAsia="Times New Roman" w:hAnsiTheme="minorHAnsi" w:cstheme="minorHAnsi"/>
                <w:color w:val="414042" w:themeColor="text1"/>
                <w:sz w:val="18"/>
                <w:szCs w:val="18"/>
                <w:lang w:eastAsia="en-AU"/>
              </w:rPr>
            </w:pPr>
            <w:r w:rsidRPr="003E75E2">
              <w:rPr>
                <w:rFonts w:asciiTheme="minorHAnsi" w:eastAsia="Times New Roman" w:hAnsiTheme="minorHAnsi" w:cstheme="minorHAnsi"/>
                <w:color w:val="414042" w:themeColor="text1"/>
                <w:sz w:val="18"/>
                <w:szCs w:val="18"/>
                <w:lang w:eastAsia="en-AU"/>
              </w:rPr>
              <w:t>16</w:t>
            </w:r>
          </w:p>
        </w:tc>
        <w:tc>
          <w:tcPr>
            <w:tcW w:w="1158" w:type="dxa"/>
            <w:tcBorders>
              <w:top w:val="nil"/>
              <w:left w:val="nil"/>
              <w:bottom w:val="single" w:sz="8" w:space="0" w:color="auto"/>
              <w:right w:val="single" w:sz="8" w:space="0" w:color="auto"/>
            </w:tcBorders>
            <w:shd w:val="clear" w:color="auto" w:fill="F1F1F2" w:themeFill="accent5" w:themeFillTint="33"/>
            <w:vAlign w:val="center"/>
          </w:tcPr>
          <w:p w14:paraId="13EA69DA" w14:textId="77777777" w:rsidR="00AB33EC" w:rsidRPr="003E75E2" w:rsidRDefault="00AB33EC" w:rsidP="00B721B7">
            <w:pPr>
              <w:jc w:val="right"/>
              <w:rPr>
                <w:rFonts w:asciiTheme="minorHAnsi" w:eastAsia="Times New Roman" w:hAnsiTheme="minorHAnsi" w:cstheme="minorHAnsi"/>
                <w:color w:val="414042" w:themeColor="text1"/>
                <w:sz w:val="18"/>
                <w:szCs w:val="18"/>
                <w:lang w:eastAsia="en-AU"/>
              </w:rPr>
            </w:pPr>
            <w:r>
              <w:rPr>
                <w:rFonts w:asciiTheme="minorHAnsi" w:eastAsia="Times New Roman" w:hAnsiTheme="minorHAnsi" w:cstheme="minorHAnsi"/>
                <w:color w:val="414042" w:themeColor="text1"/>
                <w:sz w:val="18"/>
                <w:szCs w:val="18"/>
                <w:lang w:eastAsia="en-AU"/>
              </w:rPr>
              <w:t>4,404</w:t>
            </w:r>
          </w:p>
        </w:tc>
        <w:tc>
          <w:tcPr>
            <w:tcW w:w="1158" w:type="dxa"/>
            <w:tcBorders>
              <w:top w:val="single" w:sz="8" w:space="0" w:color="auto"/>
              <w:left w:val="single" w:sz="8" w:space="0" w:color="auto"/>
              <w:bottom w:val="single" w:sz="8" w:space="0" w:color="auto"/>
              <w:right w:val="nil"/>
            </w:tcBorders>
            <w:shd w:val="clear" w:color="auto" w:fill="auto"/>
            <w:vAlign w:val="center"/>
            <w:hideMark/>
          </w:tcPr>
          <w:p w14:paraId="22EB9E1F" w14:textId="77777777" w:rsidR="00AB33EC" w:rsidRPr="003E75E2" w:rsidRDefault="00AB33EC" w:rsidP="00B721B7">
            <w:pPr>
              <w:jc w:val="right"/>
              <w:rPr>
                <w:rFonts w:asciiTheme="minorHAnsi" w:eastAsia="Times New Roman" w:hAnsiTheme="minorHAnsi" w:cstheme="minorHAnsi"/>
                <w:color w:val="414042" w:themeColor="text1"/>
                <w:sz w:val="18"/>
                <w:szCs w:val="18"/>
                <w:lang w:eastAsia="en-AU"/>
              </w:rPr>
            </w:pPr>
            <w:r w:rsidRPr="003E75E2">
              <w:rPr>
                <w:rFonts w:asciiTheme="minorHAnsi" w:eastAsia="Times New Roman" w:hAnsiTheme="minorHAnsi" w:cstheme="minorHAnsi"/>
                <w:color w:val="414042" w:themeColor="text1"/>
                <w:sz w:val="18"/>
                <w:szCs w:val="18"/>
                <w:lang w:eastAsia="en-AU"/>
              </w:rPr>
              <w:t>4,182</w:t>
            </w:r>
          </w:p>
        </w:tc>
      </w:tr>
      <w:tr w:rsidR="00AB33EC" w:rsidRPr="003E75E2" w14:paraId="3C1103AF" w14:textId="77777777" w:rsidTr="00B721B7">
        <w:trPr>
          <w:trHeight w:val="501"/>
        </w:trPr>
        <w:tc>
          <w:tcPr>
            <w:tcW w:w="2268" w:type="dxa"/>
            <w:tcBorders>
              <w:top w:val="single" w:sz="8" w:space="0" w:color="auto"/>
              <w:left w:val="nil"/>
              <w:bottom w:val="nil"/>
              <w:right w:val="single" w:sz="8" w:space="0" w:color="auto"/>
            </w:tcBorders>
            <w:shd w:val="clear" w:color="000000" w:fill="FFFFFF"/>
            <w:vAlign w:val="center"/>
            <w:hideMark/>
          </w:tcPr>
          <w:p w14:paraId="4960EE53" w14:textId="77777777" w:rsidR="00AB33EC" w:rsidRPr="003E75E2" w:rsidRDefault="00AB33EC" w:rsidP="00B721B7">
            <w:pPr>
              <w:rPr>
                <w:rFonts w:asciiTheme="minorHAnsi" w:eastAsia="Times New Roman" w:hAnsiTheme="minorHAnsi" w:cstheme="minorHAnsi"/>
                <w:color w:val="414042" w:themeColor="text1"/>
                <w:sz w:val="18"/>
                <w:szCs w:val="18"/>
                <w:lang w:eastAsia="en-AU"/>
              </w:rPr>
            </w:pPr>
            <w:r w:rsidRPr="003E75E2">
              <w:rPr>
                <w:rFonts w:asciiTheme="minorHAnsi" w:eastAsia="Times New Roman" w:hAnsiTheme="minorHAnsi" w:cstheme="minorHAnsi"/>
                <w:color w:val="414042" w:themeColor="text1"/>
                <w:sz w:val="18"/>
                <w:szCs w:val="18"/>
                <w:lang w:eastAsia="en-AU"/>
              </w:rPr>
              <w:t xml:space="preserve">Later than one year and </w:t>
            </w:r>
            <w:r w:rsidRPr="003E75E2">
              <w:rPr>
                <w:rFonts w:asciiTheme="minorHAnsi" w:eastAsia="Times New Roman" w:hAnsiTheme="minorHAnsi" w:cstheme="minorHAnsi"/>
                <w:color w:val="414042" w:themeColor="text1"/>
                <w:sz w:val="18"/>
                <w:szCs w:val="18"/>
                <w:lang w:eastAsia="en-AU"/>
              </w:rPr>
              <w:br/>
              <w:t>not later than five years</w:t>
            </w:r>
          </w:p>
        </w:tc>
        <w:tc>
          <w:tcPr>
            <w:tcW w:w="1157" w:type="dxa"/>
            <w:tcBorders>
              <w:top w:val="nil"/>
              <w:left w:val="nil"/>
              <w:bottom w:val="single" w:sz="8" w:space="0" w:color="auto"/>
              <w:right w:val="single" w:sz="8" w:space="0" w:color="auto"/>
            </w:tcBorders>
            <w:shd w:val="clear" w:color="auto" w:fill="F1F1F2" w:themeFill="accent5" w:themeFillTint="33"/>
            <w:vAlign w:val="center"/>
          </w:tcPr>
          <w:p w14:paraId="26A3C58A" w14:textId="77777777" w:rsidR="00AB33EC" w:rsidRPr="003E75E2" w:rsidRDefault="00AB33EC" w:rsidP="00B721B7">
            <w:pPr>
              <w:jc w:val="right"/>
              <w:rPr>
                <w:rFonts w:asciiTheme="minorHAnsi" w:eastAsia="Times New Roman" w:hAnsiTheme="minorHAnsi" w:cstheme="minorHAnsi"/>
                <w:color w:val="414042" w:themeColor="text1"/>
                <w:sz w:val="18"/>
                <w:szCs w:val="18"/>
                <w:lang w:eastAsia="en-AU"/>
              </w:rPr>
            </w:pPr>
            <w:r>
              <w:rPr>
                <w:rFonts w:asciiTheme="minorHAnsi" w:eastAsia="Times New Roman" w:hAnsiTheme="minorHAnsi" w:cstheme="minorHAnsi"/>
                <w:color w:val="414042" w:themeColor="text1"/>
                <w:sz w:val="18"/>
                <w:szCs w:val="18"/>
                <w:lang w:eastAsia="en-AU"/>
              </w:rPr>
              <w:t>4,618</w:t>
            </w:r>
          </w:p>
        </w:tc>
        <w:tc>
          <w:tcPr>
            <w:tcW w:w="1158" w:type="dxa"/>
            <w:tcBorders>
              <w:top w:val="nil"/>
              <w:left w:val="nil"/>
              <w:bottom w:val="single" w:sz="8" w:space="0" w:color="auto"/>
              <w:right w:val="single" w:sz="8" w:space="0" w:color="auto"/>
            </w:tcBorders>
            <w:shd w:val="clear" w:color="auto" w:fill="auto"/>
            <w:vAlign w:val="center"/>
            <w:hideMark/>
          </w:tcPr>
          <w:p w14:paraId="73DDFB5F" w14:textId="77777777" w:rsidR="00AB33EC" w:rsidRPr="003E75E2" w:rsidRDefault="00AB33EC" w:rsidP="00B721B7">
            <w:pPr>
              <w:jc w:val="right"/>
              <w:rPr>
                <w:rFonts w:asciiTheme="minorHAnsi" w:eastAsia="Times New Roman" w:hAnsiTheme="minorHAnsi" w:cstheme="minorHAnsi"/>
                <w:color w:val="414042" w:themeColor="text1"/>
                <w:sz w:val="18"/>
                <w:szCs w:val="18"/>
                <w:lang w:eastAsia="en-AU"/>
              </w:rPr>
            </w:pPr>
            <w:r w:rsidRPr="003E75E2">
              <w:rPr>
                <w:rFonts w:asciiTheme="minorHAnsi" w:eastAsia="Times New Roman" w:hAnsiTheme="minorHAnsi" w:cstheme="minorHAnsi"/>
                <w:color w:val="414042" w:themeColor="text1"/>
                <w:sz w:val="18"/>
                <w:szCs w:val="18"/>
                <w:lang w:eastAsia="en-AU"/>
              </w:rPr>
              <w:t>9,006</w:t>
            </w:r>
          </w:p>
        </w:tc>
        <w:tc>
          <w:tcPr>
            <w:tcW w:w="1158" w:type="dxa"/>
            <w:tcBorders>
              <w:top w:val="nil"/>
              <w:left w:val="nil"/>
              <w:bottom w:val="single" w:sz="8" w:space="0" w:color="auto"/>
              <w:right w:val="single" w:sz="8" w:space="0" w:color="auto"/>
            </w:tcBorders>
            <w:shd w:val="clear" w:color="auto" w:fill="F1F1F2" w:themeFill="accent5" w:themeFillTint="33"/>
            <w:vAlign w:val="center"/>
          </w:tcPr>
          <w:p w14:paraId="26016D37" w14:textId="77777777" w:rsidR="00AB33EC" w:rsidRPr="003E75E2" w:rsidRDefault="00AB33EC" w:rsidP="00B721B7">
            <w:pPr>
              <w:jc w:val="right"/>
              <w:rPr>
                <w:rFonts w:asciiTheme="minorHAnsi" w:eastAsia="Times New Roman" w:hAnsiTheme="minorHAnsi" w:cstheme="minorHAnsi"/>
                <w:color w:val="414042" w:themeColor="text1"/>
                <w:sz w:val="18"/>
                <w:szCs w:val="18"/>
                <w:lang w:eastAsia="en-AU"/>
              </w:rPr>
            </w:pPr>
            <w:r w:rsidRPr="003E75E2">
              <w:rPr>
                <w:rFonts w:asciiTheme="minorHAnsi" w:eastAsia="Times New Roman" w:hAnsiTheme="minorHAnsi" w:cstheme="minorHAnsi"/>
                <w:color w:val="414042" w:themeColor="text1"/>
                <w:sz w:val="18"/>
                <w:szCs w:val="18"/>
                <w:lang w:eastAsia="en-AU"/>
              </w:rPr>
              <w:t>-</w:t>
            </w:r>
          </w:p>
        </w:tc>
        <w:tc>
          <w:tcPr>
            <w:tcW w:w="1157" w:type="dxa"/>
            <w:tcBorders>
              <w:top w:val="nil"/>
              <w:left w:val="nil"/>
              <w:bottom w:val="single" w:sz="8" w:space="0" w:color="auto"/>
              <w:right w:val="single" w:sz="8" w:space="0" w:color="auto"/>
            </w:tcBorders>
            <w:shd w:val="clear" w:color="000000" w:fill="FFFFFF"/>
            <w:vAlign w:val="center"/>
            <w:hideMark/>
          </w:tcPr>
          <w:p w14:paraId="1FC79AA5" w14:textId="77777777" w:rsidR="00AB33EC" w:rsidRPr="003E75E2" w:rsidRDefault="00AB33EC" w:rsidP="00B721B7">
            <w:pPr>
              <w:jc w:val="right"/>
              <w:rPr>
                <w:rFonts w:asciiTheme="minorHAnsi" w:eastAsia="Times New Roman" w:hAnsiTheme="minorHAnsi" w:cstheme="minorHAnsi"/>
                <w:color w:val="414042" w:themeColor="text1"/>
                <w:sz w:val="18"/>
                <w:szCs w:val="18"/>
                <w:lang w:eastAsia="en-AU"/>
              </w:rPr>
            </w:pPr>
            <w:r w:rsidRPr="003E75E2">
              <w:rPr>
                <w:rFonts w:asciiTheme="minorHAnsi" w:eastAsia="Times New Roman" w:hAnsiTheme="minorHAnsi" w:cstheme="minorHAnsi"/>
                <w:color w:val="414042" w:themeColor="text1"/>
                <w:sz w:val="18"/>
                <w:szCs w:val="18"/>
                <w:lang w:eastAsia="en-AU"/>
              </w:rPr>
              <w:t>-</w:t>
            </w:r>
          </w:p>
        </w:tc>
        <w:tc>
          <w:tcPr>
            <w:tcW w:w="1158" w:type="dxa"/>
            <w:tcBorders>
              <w:top w:val="nil"/>
              <w:left w:val="nil"/>
              <w:bottom w:val="single" w:sz="8" w:space="0" w:color="auto"/>
              <w:right w:val="single" w:sz="8" w:space="0" w:color="auto"/>
            </w:tcBorders>
            <w:shd w:val="clear" w:color="auto" w:fill="F1F1F2" w:themeFill="accent5" w:themeFillTint="33"/>
            <w:vAlign w:val="center"/>
          </w:tcPr>
          <w:p w14:paraId="4784603E" w14:textId="77777777" w:rsidR="00AB33EC" w:rsidRPr="003E75E2" w:rsidRDefault="00AB33EC" w:rsidP="00B721B7">
            <w:pPr>
              <w:jc w:val="right"/>
              <w:rPr>
                <w:rFonts w:asciiTheme="minorHAnsi" w:eastAsia="Times New Roman" w:hAnsiTheme="minorHAnsi" w:cstheme="minorHAnsi"/>
                <w:color w:val="414042" w:themeColor="text1"/>
                <w:sz w:val="18"/>
                <w:szCs w:val="18"/>
                <w:lang w:eastAsia="en-AU"/>
              </w:rPr>
            </w:pPr>
            <w:r>
              <w:rPr>
                <w:rFonts w:asciiTheme="minorHAnsi" w:eastAsia="Times New Roman" w:hAnsiTheme="minorHAnsi" w:cstheme="minorHAnsi"/>
                <w:color w:val="414042" w:themeColor="text1"/>
                <w:sz w:val="18"/>
                <w:szCs w:val="18"/>
                <w:lang w:eastAsia="en-AU"/>
              </w:rPr>
              <w:t>4,618</w:t>
            </w:r>
          </w:p>
        </w:tc>
        <w:tc>
          <w:tcPr>
            <w:tcW w:w="1158" w:type="dxa"/>
            <w:tcBorders>
              <w:top w:val="single" w:sz="8" w:space="0" w:color="auto"/>
              <w:left w:val="single" w:sz="8" w:space="0" w:color="auto"/>
              <w:bottom w:val="single" w:sz="8" w:space="0" w:color="auto"/>
              <w:right w:val="nil"/>
            </w:tcBorders>
            <w:shd w:val="clear" w:color="auto" w:fill="auto"/>
            <w:vAlign w:val="center"/>
            <w:hideMark/>
          </w:tcPr>
          <w:p w14:paraId="3C6CFC1F" w14:textId="77777777" w:rsidR="00AB33EC" w:rsidRPr="003E75E2" w:rsidRDefault="00AB33EC" w:rsidP="00B721B7">
            <w:pPr>
              <w:jc w:val="right"/>
              <w:rPr>
                <w:rFonts w:asciiTheme="minorHAnsi" w:eastAsia="Times New Roman" w:hAnsiTheme="minorHAnsi" w:cstheme="minorHAnsi"/>
                <w:color w:val="414042" w:themeColor="text1"/>
                <w:sz w:val="18"/>
                <w:szCs w:val="18"/>
                <w:lang w:eastAsia="en-AU"/>
              </w:rPr>
            </w:pPr>
            <w:r w:rsidRPr="003E75E2">
              <w:rPr>
                <w:rFonts w:asciiTheme="minorHAnsi" w:eastAsia="Times New Roman" w:hAnsiTheme="minorHAnsi" w:cstheme="minorHAnsi"/>
                <w:color w:val="414042" w:themeColor="text1"/>
                <w:sz w:val="18"/>
                <w:szCs w:val="18"/>
                <w:lang w:eastAsia="en-AU"/>
              </w:rPr>
              <w:t>9,006</w:t>
            </w:r>
          </w:p>
        </w:tc>
      </w:tr>
      <w:tr w:rsidR="00AB33EC" w:rsidRPr="003E75E2" w14:paraId="43A8B7C0" w14:textId="77777777" w:rsidTr="00B721B7">
        <w:trPr>
          <w:trHeight w:val="360"/>
        </w:trPr>
        <w:tc>
          <w:tcPr>
            <w:tcW w:w="2268" w:type="dxa"/>
            <w:tcBorders>
              <w:top w:val="single" w:sz="8" w:space="0" w:color="auto"/>
              <w:left w:val="nil"/>
              <w:bottom w:val="double" w:sz="4" w:space="0" w:color="auto"/>
              <w:right w:val="single" w:sz="8" w:space="0" w:color="auto"/>
            </w:tcBorders>
            <w:shd w:val="clear" w:color="000000" w:fill="FFFFFF"/>
            <w:vAlign w:val="center"/>
            <w:hideMark/>
          </w:tcPr>
          <w:p w14:paraId="73C722EB" w14:textId="77777777" w:rsidR="00AB33EC" w:rsidRPr="003E75E2" w:rsidRDefault="00AB33EC" w:rsidP="00B721B7">
            <w:pPr>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Total</w:t>
            </w:r>
          </w:p>
        </w:tc>
        <w:tc>
          <w:tcPr>
            <w:tcW w:w="1157" w:type="dxa"/>
            <w:tcBorders>
              <w:top w:val="nil"/>
              <w:left w:val="nil"/>
              <w:bottom w:val="double" w:sz="6" w:space="0" w:color="auto"/>
              <w:right w:val="single" w:sz="8" w:space="0" w:color="auto"/>
            </w:tcBorders>
            <w:shd w:val="clear" w:color="auto" w:fill="F1F1F2" w:themeFill="accent5" w:themeFillTint="33"/>
            <w:vAlign w:val="center"/>
          </w:tcPr>
          <w:p w14:paraId="3993831D" w14:textId="77777777" w:rsidR="00AB33EC" w:rsidRPr="003E75E2" w:rsidRDefault="00AB33EC" w:rsidP="00B721B7">
            <w:pPr>
              <w:jc w:val="right"/>
              <w:rPr>
                <w:rFonts w:asciiTheme="minorHAnsi" w:eastAsia="Times New Roman" w:hAnsiTheme="minorHAnsi" w:cstheme="minorHAnsi"/>
                <w:b/>
                <w:bCs/>
                <w:color w:val="414042" w:themeColor="text1"/>
                <w:sz w:val="18"/>
                <w:szCs w:val="18"/>
                <w:lang w:eastAsia="en-AU"/>
              </w:rPr>
            </w:pPr>
            <w:r>
              <w:rPr>
                <w:rFonts w:asciiTheme="minorHAnsi" w:eastAsia="Times New Roman" w:hAnsiTheme="minorHAnsi" w:cstheme="minorHAnsi"/>
                <w:b/>
                <w:bCs/>
                <w:color w:val="414042" w:themeColor="text1"/>
                <w:sz w:val="18"/>
                <w:szCs w:val="18"/>
                <w:lang w:eastAsia="en-AU"/>
              </w:rPr>
              <w:t>9,006</w:t>
            </w:r>
          </w:p>
        </w:tc>
        <w:tc>
          <w:tcPr>
            <w:tcW w:w="1158" w:type="dxa"/>
            <w:tcBorders>
              <w:top w:val="nil"/>
              <w:left w:val="nil"/>
              <w:bottom w:val="double" w:sz="6" w:space="0" w:color="auto"/>
              <w:right w:val="single" w:sz="8" w:space="0" w:color="auto"/>
            </w:tcBorders>
            <w:shd w:val="clear" w:color="auto" w:fill="auto"/>
            <w:vAlign w:val="center"/>
            <w:hideMark/>
          </w:tcPr>
          <w:p w14:paraId="6B19BF2E" w14:textId="77777777" w:rsidR="00AB33EC" w:rsidRPr="003E75E2" w:rsidRDefault="00AB33EC" w:rsidP="00B721B7">
            <w:pPr>
              <w:jc w:val="right"/>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13,172</w:t>
            </w:r>
          </w:p>
        </w:tc>
        <w:tc>
          <w:tcPr>
            <w:tcW w:w="1158" w:type="dxa"/>
            <w:tcBorders>
              <w:top w:val="nil"/>
              <w:left w:val="nil"/>
              <w:bottom w:val="double" w:sz="6" w:space="0" w:color="auto"/>
              <w:right w:val="single" w:sz="8" w:space="0" w:color="auto"/>
            </w:tcBorders>
            <w:shd w:val="clear" w:color="auto" w:fill="F1F1F2" w:themeFill="accent5" w:themeFillTint="33"/>
            <w:vAlign w:val="center"/>
          </w:tcPr>
          <w:p w14:paraId="55C84B22" w14:textId="77777777" w:rsidR="00AB33EC" w:rsidRPr="003E75E2" w:rsidRDefault="00AB33EC" w:rsidP="00B721B7">
            <w:pPr>
              <w:jc w:val="right"/>
              <w:rPr>
                <w:rFonts w:asciiTheme="minorHAnsi" w:eastAsia="Times New Roman" w:hAnsiTheme="minorHAnsi" w:cstheme="minorHAnsi"/>
                <w:b/>
                <w:bCs/>
                <w:color w:val="414042" w:themeColor="text1"/>
                <w:sz w:val="18"/>
                <w:szCs w:val="18"/>
                <w:lang w:eastAsia="en-AU"/>
              </w:rPr>
            </w:pPr>
            <w:r>
              <w:rPr>
                <w:rFonts w:asciiTheme="minorHAnsi" w:eastAsia="Times New Roman" w:hAnsiTheme="minorHAnsi" w:cstheme="minorHAnsi"/>
                <w:b/>
                <w:bCs/>
                <w:color w:val="414042" w:themeColor="text1"/>
                <w:sz w:val="18"/>
                <w:szCs w:val="18"/>
                <w:lang w:eastAsia="en-AU"/>
              </w:rPr>
              <w:t>16</w:t>
            </w:r>
          </w:p>
        </w:tc>
        <w:tc>
          <w:tcPr>
            <w:tcW w:w="1157" w:type="dxa"/>
            <w:tcBorders>
              <w:top w:val="nil"/>
              <w:left w:val="nil"/>
              <w:bottom w:val="double" w:sz="6" w:space="0" w:color="auto"/>
              <w:right w:val="single" w:sz="8" w:space="0" w:color="auto"/>
            </w:tcBorders>
            <w:shd w:val="clear" w:color="000000" w:fill="FFFFFF"/>
            <w:vAlign w:val="center"/>
            <w:hideMark/>
          </w:tcPr>
          <w:p w14:paraId="7FF74844" w14:textId="77777777" w:rsidR="00AB33EC" w:rsidRPr="003E75E2" w:rsidRDefault="00AB33EC" w:rsidP="00B721B7">
            <w:pPr>
              <w:jc w:val="right"/>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16</w:t>
            </w:r>
          </w:p>
        </w:tc>
        <w:tc>
          <w:tcPr>
            <w:tcW w:w="1158" w:type="dxa"/>
            <w:tcBorders>
              <w:top w:val="nil"/>
              <w:left w:val="nil"/>
              <w:bottom w:val="double" w:sz="6" w:space="0" w:color="auto"/>
              <w:right w:val="single" w:sz="8" w:space="0" w:color="auto"/>
            </w:tcBorders>
            <w:shd w:val="clear" w:color="auto" w:fill="F1F1F2" w:themeFill="accent5" w:themeFillTint="33"/>
            <w:vAlign w:val="center"/>
          </w:tcPr>
          <w:p w14:paraId="4C9C4EA4" w14:textId="77777777" w:rsidR="00AB33EC" w:rsidRPr="003E75E2" w:rsidRDefault="00AB33EC" w:rsidP="00B721B7">
            <w:pPr>
              <w:jc w:val="right"/>
              <w:rPr>
                <w:rFonts w:asciiTheme="minorHAnsi" w:eastAsia="Times New Roman" w:hAnsiTheme="minorHAnsi" w:cstheme="minorHAnsi"/>
                <w:b/>
                <w:bCs/>
                <w:color w:val="414042" w:themeColor="text1"/>
                <w:sz w:val="18"/>
                <w:szCs w:val="18"/>
                <w:lang w:eastAsia="en-AU"/>
              </w:rPr>
            </w:pPr>
            <w:r>
              <w:rPr>
                <w:rFonts w:asciiTheme="minorHAnsi" w:eastAsia="Times New Roman" w:hAnsiTheme="minorHAnsi" w:cstheme="minorHAnsi"/>
                <w:b/>
                <w:bCs/>
                <w:color w:val="414042" w:themeColor="text1"/>
                <w:sz w:val="18"/>
                <w:szCs w:val="18"/>
                <w:lang w:eastAsia="en-AU"/>
              </w:rPr>
              <w:t>9,022</w:t>
            </w:r>
          </w:p>
        </w:tc>
        <w:tc>
          <w:tcPr>
            <w:tcW w:w="1158" w:type="dxa"/>
            <w:tcBorders>
              <w:top w:val="single" w:sz="8" w:space="0" w:color="auto"/>
              <w:left w:val="nil"/>
              <w:bottom w:val="double" w:sz="6" w:space="0" w:color="auto"/>
            </w:tcBorders>
            <w:shd w:val="clear" w:color="auto" w:fill="auto"/>
            <w:vAlign w:val="center"/>
            <w:hideMark/>
          </w:tcPr>
          <w:p w14:paraId="2381BFD3" w14:textId="77777777" w:rsidR="00AB33EC" w:rsidRPr="003E75E2" w:rsidRDefault="00AB33EC" w:rsidP="00B721B7">
            <w:pPr>
              <w:jc w:val="right"/>
              <w:rPr>
                <w:rFonts w:asciiTheme="minorHAnsi" w:eastAsia="Times New Roman" w:hAnsiTheme="minorHAnsi" w:cstheme="minorHAnsi"/>
                <w:b/>
                <w:bCs/>
                <w:color w:val="414042" w:themeColor="text1"/>
                <w:sz w:val="18"/>
                <w:szCs w:val="18"/>
                <w:lang w:eastAsia="en-AU"/>
              </w:rPr>
            </w:pPr>
            <w:r w:rsidRPr="003E75E2">
              <w:rPr>
                <w:rFonts w:asciiTheme="minorHAnsi" w:eastAsia="Times New Roman" w:hAnsiTheme="minorHAnsi" w:cstheme="minorHAnsi"/>
                <w:b/>
                <w:bCs/>
                <w:color w:val="414042" w:themeColor="text1"/>
                <w:sz w:val="18"/>
                <w:szCs w:val="18"/>
                <w:lang w:eastAsia="en-AU"/>
              </w:rPr>
              <w:t>13,188</w:t>
            </w:r>
          </w:p>
        </w:tc>
      </w:tr>
    </w:tbl>
    <w:p w14:paraId="3A9E2022" w14:textId="77777777" w:rsidR="00AB33EC" w:rsidRPr="003E75E2" w:rsidRDefault="00AB33EC" w:rsidP="00AB33EC">
      <w:pPr>
        <w:pStyle w:val="Noteswithhangingindent"/>
        <w:spacing w:line="240" w:lineRule="auto"/>
        <w:rPr>
          <w:rFonts w:cstheme="minorHAnsi"/>
        </w:rPr>
      </w:pPr>
      <w:r w:rsidRPr="003E75E2">
        <w:rPr>
          <w:rFonts w:cstheme="minorHAnsi"/>
          <w:vertAlign w:val="superscript"/>
        </w:rPr>
        <w:t>1</w:t>
      </w:r>
      <w:r w:rsidRPr="003E75E2">
        <w:rPr>
          <w:rFonts w:cstheme="minorHAnsi"/>
        </w:rPr>
        <w:tab/>
        <w:t xml:space="preserve">Property rentals for office accommodation are non-cancellable and have a renewal option that is exercisable at market prices. Lease payments are generally fixed, and no lease arrangements create restrictions on other financing transactions. </w:t>
      </w:r>
    </w:p>
    <w:p w14:paraId="5F439AF5" w14:textId="77777777" w:rsidR="00AB33EC" w:rsidRPr="003E75E2" w:rsidRDefault="00AB33EC" w:rsidP="00AB33EC">
      <w:pPr>
        <w:rPr>
          <w:rFonts w:asciiTheme="minorHAnsi" w:hAnsiTheme="minorHAnsi" w:cstheme="minorHAnsi"/>
          <w:color w:val="414042" w:themeColor="text1"/>
          <w:highlight w:val="yellow"/>
        </w:rPr>
      </w:pPr>
    </w:p>
    <w:p w14:paraId="3F9C8458" w14:textId="77777777" w:rsidR="00AB33EC" w:rsidRPr="003E75E2" w:rsidRDefault="00AB33EC" w:rsidP="0037124B">
      <w:pPr>
        <w:pStyle w:val="Normal115pttext"/>
        <w:spacing w:after="160" w:line="240" w:lineRule="auto"/>
        <w:rPr>
          <w:rFonts w:cstheme="minorHAnsi"/>
          <w:color w:val="414042" w:themeColor="text1"/>
        </w:rPr>
      </w:pPr>
      <w:r w:rsidRPr="003E75E2">
        <w:rPr>
          <w:rFonts w:cstheme="minorHAnsi"/>
          <w:color w:val="414042" w:themeColor="text1"/>
        </w:rPr>
        <w:t>Note 15:  Contingencies</w:t>
      </w:r>
    </w:p>
    <w:p w14:paraId="48F90648" w14:textId="77777777" w:rsidR="00AB33EC" w:rsidRPr="003E75E2" w:rsidRDefault="00AB33EC" w:rsidP="0037124B">
      <w:pPr>
        <w:pStyle w:val="Policyheading"/>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color w:val="414042" w:themeColor="text1"/>
        </w:rPr>
      </w:pPr>
      <w:r w:rsidRPr="003E75E2">
        <w:rPr>
          <w:rFonts w:cstheme="minorHAnsi"/>
          <w:color w:val="414042" w:themeColor="text1"/>
        </w:rPr>
        <w:t>Accounting Policy:</w:t>
      </w:r>
    </w:p>
    <w:p w14:paraId="1472CDF4" w14:textId="77777777" w:rsidR="00AB33EC"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color w:val="414042" w:themeColor="text1"/>
          <w:szCs w:val="19"/>
        </w:rPr>
      </w:pPr>
      <w:r w:rsidRPr="003E75E2">
        <w:rPr>
          <w:rFonts w:cstheme="minorHAnsi"/>
          <w:b/>
          <w:i/>
          <w:color w:val="414042" w:themeColor="text1"/>
          <w:szCs w:val="19"/>
        </w:rPr>
        <w:t>Recognition</w:t>
      </w:r>
      <w:r w:rsidRPr="003E75E2">
        <w:rPr>
          <w:rFonts w:cstheme="minorHAnsi"/>
          <w:b/>
          <w:color w:val="414042" w:themeColor="text1"/>
          <w:szCs w:val="19"/>
        </w:rPr>
        <w:t xml:space="preserve"> </w:t>
      </w:r>
      <w:r w:rsidRPr="003E75E2">
        <w:rPr>
          <w:rFonts w:cstheme="minorHAnsi"/>
          <w:color w:val="414042" w:themeColor="text1"/>
          <w:szCs w:val="19"/>
        </w:rPr>
        <w:t>– Contingent assets and liabilities are not recognised in the Statement of Financial Position, but are disclosed by way of a note and, if quantifiable, are measured at nominal value.</w:t>
      </w:r>
    </w:p>
    <w:p w14:paraId="1353BC4C" w14:textId="77777777" w:rsidR="00AB33EC" w:rsidRPr="003E75E2" w:rsidRDefault="00AB33EC" w:rsidP="00AB33EC">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color w:val="414042" w:themeColor="text1"/>
          <w:szCs w:val="19"/>
        </w:rPr>
      </w:pPr>
    </w:p>
    <w:p w14:paraId="0E6B5AFF" w14:textId="77777777" w:rsidR="00AB33EC" w:rsidRPr="003E75E2" w:rsidRDefault="00AB33EC" w:rsidP="00E9699B">
      <w:pPr>
        <w:spacing w:after="0"/>
        <w:rPr>
          <w:rFonts w:asciiTheme="minorHAnsi" w:hAnsiTheme="minorHAnsi" w:cstheme="minorHAnsi"/>
          <w:color w:val="414042" w:themeColor="text1"/>
          <w:highlight w:val="yellow"/>
        </w:rPr>
      </w:pPr>
    </w:p>
    <w:p w14:paraId="478EA2A2" w14:textId="77777777" w:rsidR="00AB33EC" w:rsidRPr="003E75E2" w:rsidRDefault="00AB33EC" w:rsidP="00AB33EC">
      <w:pPr>
        <w:rPr>
          <w:rFonts w:asciiTheme="minorHAnsi" w:hAnsiTheme="minorHAnsi" w:cstheme="minorHAnsi"/>
          <w:b/>
          <w:color w:val="414042" w:themeColor="text1"/>
          <w:sz w:val="21"/>
          <w:szCs w:val="21"/>
        </w:rPr>
      </w:pPr>
      <w:r w:rsidRPr="003E75E2">
        <w:rPr>
          <w:rFonts w:asciiTheme="minorHAnsi" w:hAnsiTheme="minorHAnsi" w:cstheme="minorHAnsi"/>
          <w:b/>
          <w:color w:val="414042" w:themeColor="text1"/>
          <w:sz w:val="21"/>
          <w:szCs w:val="21"/>
          <w:lang w:eastAsia="en-AU"/>
        </w:rPr>
        <w:t>Litigation in progress</w:t>
      </w:r>
    </w:p>
    <w:p w14:paraId="4601EAF5" w14:textId="77777777" w:rsidR="00AB33EC" w:rsidRPr="003E75E2" w:rsidRDefault="00AB33EC" w:rsidP="0037124B">
      <w:pPr>
        <w:pStyle w:val="Normal1stpara"/>
        <w:spacing w:line="240" w:lineRule="auto"/>
        <w:rPr>
          <w:rFonts w:asciiTheme="minorHAnsi" w:hAnsiTheme="minorHAnsi" w:cstheme="minorHAnsi"/>
          <w:color w:val="414042" w:themeColor="text1"/>
          <w:sz w:val="20"/>
          <w:szCs w:val="20"/>
        </w:rPr>
      </w:pPr>
      <w:r w:rsidRPr="003E75E2">
        <w:rPr>
          <w:rFonts w:asciiTheme="minorHAnsi" w:hAnsiTheme="minorHAnsi" w:cstheme="minorHAnsi"/>
          <w:color w:val="414042" w:themeColor="text1"/>
          <w:sz w:val="20"/>
          <w:szCs w:val="20"/>
        </w:rPr>
        <w:t>As at 30 June 2024,</w:t>
      </w:r>
      <w:r>
        <w:rPr>
          <w:rFonts w:asciiTheme="minorHAnsi" w:hAnsiTheme="minorHAnsi" w:cstheme="minorHAnsi"/>
          <w:color w:val="414042" w:themeColor="text1"/>
          <w:sz w:val="20"/>
          <w:szCs w:val="20"/>
        </w:rPr>
        <w:t xml:space="preserve"> 24</w:t>
      </w:r>
      <w:r w:rsidRPr="003E75E2">
        <w:rPr>
          <w:rFonts w:asciiTheme="minorHAnsi" w:hAnsiTheme="minorHAnsi" w:cstheme="minorHAnsi"/>
          <w:color w:val="414042" w:themeColor="text1"/>
          <w:sz w:val="20"/>
          <w:szCs w:val="20"/>
        </w:rPr>
        <w:t xml:space="preserve"> cases (2023: 25 cases) were ongoing before various courts, naming the CCC as either an applicant or respondent:</w:t>
      </w:r>
    </w:p>
    <w:tbl>
      <w:tblPr>
        <w:tblW w:w="9073"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850"/>
        <w:gridCol w:w="1276"/>
        <w:gridCol w:w="283"/>
        <w:gridCol w:w="1135"/>
      </w:tblGrid>
      <w:tr w:rsidR="00AB33EC" w:rsidRPr="003E75E2" w14:paraId="70A692F6" w14:textId="77777777" w:rsidTr="00B721B7">
        <w:trPr>
          <w:trHeight w:val="20"/>
        </w:trPr>
        <w:tc>
          <w:tcPr>
            <w:tcW w:w="5529" w:type="dxa"/>
            <w:tcBorders>
              <w:top w:val="nil"/>
              <w:left w:val="nil"/>
              <w:bottom w:val="nil"/>
            </w:tcBorders>
            <w:noWrap/>
            <w:tcMar>
              <w:left w:w="0" w:type="dxa"/>
              <w:right w:w="0" w:type="dxa"/>
            </w:tcMar>
            <w:vAlign w:val="bottom"/>
          </w:tcPr>
          <w:p w14:paraId="529F8521" w14:textId="77777777" w:rsidR="00AB33EC" w:rsidRPr="003E75E2" w:rsidRDefault="00AB33EC" w:rsidP="00B721B7">
            <w:pPr>
              <w:pStyle w:val="Normaltabletextleft"/>
              <w:tabs>
                <w:tab w:val="left" w:pos="0"/>
              </w:tabs>
              <w:spacing w:line="240" w:lineRule="auto"/>
              <w:rPr>
                <w:rFonts w:cstheme="minorHAnsi"/>
                <w:color w:val="414042" w:themeColor="text1"/>
                <w:lang w:eastAsia="en-AU"/>
              </w:rPr>
            </w:pPr>
          </w:p>
        </w:tc>
        <w:tc>
          <w:tcPr>
            <w:tcW w:w="850" w:type="dxa"/>
            <w:tcBorders>
              <w:top w:val="nil"/>
              <w:bottom w:val="nil"/>
            </w:tcBorders>
            <w:noWrap/>
            <w:tcMar>
              <w:left w:w="0" w:type="dxa"/>
              <w:right w:w="0" w:type="dxa"/>
            </w:tcMar>
            <w:vAlign w:val="bottom"/>
          </w:tcPr>
          <w:p w14:paraId="4CC331CF"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276" w:type="dxa"/>
            <w:tcBorders>
              <w:top w:val="nil"/>
              <w:bottom w:val="nil"/>
            </w:tcBorders>
            <w:shd w:val="clear" w:color="auto" w:fill="F1F1F2" w:themeFill="accent5" w:themeFillTint="33"/>
            <w:noWrap/>
            <w:tcMar>
              <w:left w:w="0" w:type="dxa"/>
              <w:right w:w="113" w:type="dxa"/>
            </w:tcMar>
            <w:vAlign w:val="bottom"/>
          </w:tcPr>
          <w:p w14:paraId="775A9E79" w14:textId="77777777" w:rsidR="00AB33EC" w:rsidRPr="003E75E2" w:rsidRDefault="00AB33EC" w:rsidP="00B721B7">
            <w:pPr>
              <w:pStyle w:val="Normaltabletext1stpararight"/>
              <w:spacing w:line="240" w:lineRule="auto"/>
              <w:ind w:left="-146"/>
              <w:rPr>
                <w:rFonts w:cstheme="minorHAnsi"/>
                <w:b/>
                <w:color w:val="414042" w:themeColor="text1"/>
                <w:lang w:eastAsia="en-AU"/>
              </w:rPr>
            </w:pPr>
            <w:r w:rsidRPr="003E75E2">
              <w:rPr>
                <w:rFonts w:cstheme="minorHAnsi"/>
                <w:b/>
                <w:color w:val="414042" w:themeColor="text1"/>
                <w:lang w:eastAsia="en-AU"/>
              </w:rPr>
              <w:t>2024</w:t>
            </w:r>
          </w:p>
        </w:tc>
        <w:tc>
          <w:tcPr>
            <w:tcW w:w="283" w:type="dxa"/>
            <w:tcBorders>
              <w:top w:val="nil"/>
              <w:bottom w:val="nil"/>
            </w:tcBorders>
            <w:noWrap/>
          </w:tcPr>
          <w:p w14:paraId="6A7E84B6" w14:textId="77777777" w:rsidR="00AB33EC" w:rsidRPr="003E75E2" w:rsidRDefault="00AB33EC" w:rsidP="00B721B7">
            <w:pPr>
              <w:pStyle w:val="Normaltabletextleft"/>
              <w:spacing w:line="240" w:lineRule="auto"/>
              <w:rPr>
                <w:rFonts w:cstheme="minorHAnsi"/>
                <w:color w:val="414042" w:themeColor="text1"/>
              </w:rPr>
            </w:pPr>
          </w:p>
        </w:tc>
        <w:tc>
          <w:tcPr>
            <w:tcW w:w="1135" w:type="dxa"/>
            <w:tcBorders>
              <w:top w:val="nil"/>
              <w:bottom w:val="nil"/>
              <w:right w:val="nil"/>
            </w:tcBorders>
            <w:shd w:val="clear" w:color="auto" w:fill="FFFFFF" w:themeFill="background1"/>
            <w:noWrap/>
            <w:tcMar>
              <w:left w:w="0" w:type="dxa"/>
              <w:right w:w="113" w:type="dxa"/>
            </w:tcMar>
            <w:vAlign w:val="bottom"/>
          </w:tcPr>
          <w:p w14:paraId="12B62498"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2023</w:t>
            </w:r>
          </w:p>
        </w:tc>
      </w:tr>
      <w:tr w:rsidR="00AB33EC" w:rsidRPr="003E75E2" w14:paraId="68C137CD" w14:textId="77777777" w:rsidTr="00B721B7">
        <w:trPr>
          <w:trHeight w:val="20"/>
        </w:trPr>
        <w:tc>
          <w:tcPr>
            <w:tcW w:w="5529" w:type="dxa"/>
            <w:tcBorders>
              <w:top w:val="nil"/>
              <w:left w:val="nil"/>
              <w:bottom w:val="nil"/>
            </w:tcBorders>
            <w:noWrap/>
            <w:tcMar>
              <w:left w:w="0" w:type="dxa"/>
              <w:right w:w="0" w:type="dxa"/>
            </w:tcMar>
            <w:vAlign w:val="bottom"/>
          </w:tcPr>
          <w:p w14:paraId="4160ECF7" w14:textId="77777777" w:rsidR="00AB33EC" w:rsidRPr="003E75E2" w:rsidRDefault="00AB33EC" w:rsidP="00B721B7">
            <w:pPr>
              <w:pStyle w:val="Normaltabletextleft"/>
              <w:tabs>
                <w:tab w:val="left" w:pos="0"/>
              </w:tabs>
              <w:spacing w:line="240" w:lineRule="auto"/>
              <w:rPr>
                <w:rFonts w:cstheme="minorHAnsi"/>
                <w:color w:val="414042" w:themeColor="text1"/>
                <w:sz w:val="16"/>
                <w:szCs w:val="16"/>
                <w:lang w:eastAsia="en-AU"/>
              </w:rPr>
            </w:pPr>
          </w:p>
        </w:tc>
        <w:tc>
          <w:tcPr>
            <w:tcW w:w="850" w:type="dxa"/>
            <w:tcBorders>
              <w:top w:val="nil"/>
              <w:bottom w:val="nil"/>
            </w:tcBorders>
            <w:noWrap/>
            <w:tcMar>
              <w:left w:w="0" w:type="dxa"/>
              <w:right w:w="0" w:type="dxa"/>
            </w:tcMar>
            <w:vAlign w:val="bottom"/>
          </w:tcPr>
          <w:p w14:paraId="3E6F947A"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276" w:type="dxa"/>
            <w:tcBorders>
              <w:top w:val="nil"/>
              <w:bottom w:val="nil"/>
            </w:tcBorders>
            <w:shd w:val="clear" w:color="auto" w:fill="F1F1F2" w:themeFill="accent5" w:themeFillTint="33"/>
            <w:noWrap/>
            <w:tcMar>
              <w:left w:w="0" w:type="dxa"/>
              <w:right w:w="113" w:type="dxa"/>
            </w:tcMar>
            <w:vAlign w:val="bottom"/>
          </w:tcPr>
          <w:p w14:paraId="599FD081"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Number of Cases</w:t>
            </w:r>
          </w:p>
        </w:tc>
        <w:tc>
          <w:tcPr>
            <w:tcW w:w="283" w:type="dxa"/>
            <w:tcBorders>
              <w:top w:val="nil"/>
              <w:bottom w:val="nil"/>
            </w:tcBorders>
            <w:noWrap/>
          </w:tcPr>
          <w:p w14:paraId="630EC9F1" w14:textId="77777777" w:rsidR="00AB33EC" w:rsidRPr="003E75E2" w:rsidRDefault="00AB33EC" w:rsidP="00B721B7">
            <w:pPr>
              <w:pStyle w:val="Normaltabletextleft"/>
              <w:spacing w:line="240" w:lineRule="auto"/>
              <w:rPr>
                <w:rFonts w:cstheme="minorHAnsi"/>
                <w:color w:val="414042" w:themeColor="text1"/>
              </w:rPr>
            </w:pPr>
          </w:p>
        </w:tc>
        <w:tc>
          <w:tcPr>
            <w:tcW w:w="1135" w:type="dxa"/>
            <w:tcBorders>
              <w:top w:val="nil"/>
              <w:bottom w:val="nil"/>
              <w:right w:val="nil"/>
            </w:tcBorders>
            <w:shd w:val="clear" w:color="auto" w:fill="FFFFFF" w:themeFill="background1"/>
            <w:noWrap/>
            <w:tcMar>
              <w:left w:w="0" w:type="dxa"/>
              <w:right w:w="113" w:type="dxa"/>
            </w:tcMar>
            <w:vAlign w:val="bottom"/>
          </w:tcPr>
          <w:p w14:paraId="4965FDAA"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Number of Cases</w:t>
            </w:r>
          </w:p>
        </w:tc>
      </w:tr>
      <w:tr w:rsidR="00AB33EC" w:rsidRPr="003E75E2" w14:paraId="0A3B3975" w14:textId="77777777" w:rsidTr="00B721B7">
        <w:trPr>
          <w:trHeight w:val="20"/>
        </w:trPr>
        <w:tc>
          <w:tcPr>
            <w:tcW w:w="5529" w:type="dxa"/>
            <w:tcBorders>
              <w:top w:val="nil"/>
              <w:left w:val="nil"/>
              <w:bottom w:val="nil"/>
            </w:tcBorders>
            <w:noWrap/>
            <w:tcMar>
              <w:left w:w="0" w:type="dxa"/>
              <w:right w:w="0" w:type="dxa"/>
            </w:tcMar>
            <w:vAlign w:val="bottom"/>
          </w:tcPr>
          <w:p w14:paraId="57869388" w14:textId="77777777" w:rsidR="00AB33EC" w:rsidRPr="003E75E2" w:rsidRDefault="00AB33EC" w:rsidP="00B721B7">
            <w:pPr>
              <w:pStyle w:val="Normaltabletextleft"/>
              <w:spacing w:line="240" w:lineRule="auto"/>
              <w:rPr>
                <w:rFonts w:cstheme="minorHAnsi"/>
                <w:color w:val="414042" w:themeColor="text1"/>
                <w:sz w:val="16"/>
                <w:szCs w:val="16"/>
                <w:lang w:eastAsia="en-AU"/>
              </w:rPr>
            </w:pPr>
          </w:p>
        </w:tc>
        <w:tc>
          <w:tcPr>
            <w:tcW w:w="850" w:type="dxa"/>
            <w:tcBorders>
              <w:top w:val="nil"/>
              <w:bottom w:val="nil"/>
            </w:tcBorders>
            <w:noWrap/>
            <w:tcMar>
              <w:left w:w="0" w:type="dxa"/>
              <w:right w:w="0" w:type="dxa"/>
            </w:tcMar>
            <w:vAlign w:val="bottom"/>
          </w:tcPr>
          <w:p w14:paraId="60D69D00" w14:textId="77777777" w:rsidR="00AB33EC" w:rsidRPr="003E75E2" w:rsidRDefault="00AB33EC" w:rsidP="00B721B7">
            <w:pPr>
              <w:pStyle w:val="Normaltabletextleft"/>
              <w:spacing w:line="240" w:lineRule="auto"/>
              <w:jc w:val="center"/>
              <w:rPr>
                <w:rFonts w:cstheme="minorHAnsi"/>
                <w:color w:val="414042" w:themeColor="text1"/>
                <w:lang w:eastAsia="en-AU"/>
              </w:rPr>
            </w:pPr>
          </w:p>
        </w:tc>
        <w:tc>
          <w:tcPr>
            <w:tcW w:w="1276" w:type="dxa"/>
            <w:tcBorders>
              <w:top w:val="nil"/>
              <w:bottom w:val="nil"/>
            </w:tcBorders>
            <w:shd w:val="clear" w:color="auto" w:fill="F1F1F2" w:themeFill="accent5" w:themeFillTint="33"/>
            <w:noWrap/>
            <w:tcMar>
              <w:left w:w="0" w:type="dxa"/>
              <w:right w:w="113" w:type="dxa"/>
            </w:tcMar>
            <w:vAlign w:val="bottom"/>
          </w:tcPr>
          <w:p w14:paraId="2451E59D" w14:textId="77777777" w:rsidR="00AB33EC" w:rsidRPr="003E75E2" w:rsidRDefault="00AB33EC" w:rsidP="00B721B7">
            <w:pPr>
              <w:pStyle w:val="Normaltabletextleft"/>
              <w:spacing w:line="240" w:lineRule="auto"/>
              <w:jc w:val="right"/>
              <w:rPr>
                <w:rFonts w:cstheme="minorHAnsi"/>
                <w:color w:val="414042" w:themeColor="text1"/>
                <w:lang w:eastAsia="en-AU"/>
              </w:rPr>
            </w:pPr>
          </w:p>
        </w:tc>
        <w:tc>
          <w:tcPr>
            <w:tcW w:w="283" w:type="dxa"/>
            <w:tcBorders>
              <w:top w:val="nil"/>
              <w:bottom w:val="nil"/>
            </w:tcBorders>
            <w:noWrap/>
          </w:tcPr>
          <w:p w14:paraId="74E27EFD" w14:textId="77777777" w:rsidR="00AB33EC" w:rsidRPr="003E75E2" w:rsidRDefault="00AB33EC" w:rsidP="00B721B7">
            <w:pPr>
              <w:pStyle w:val="Normaltabletextleft"/>
              <w:spacing w:line="240" w:lineRule="auto"/>
              <w:rPr>
                <w:rFonts w:cstheme="minorHAnsi"/>
                <w:color w:val="414042" w:themeColor="text1"/>
              </w:rPr>
            </w:pPr>
          </w:p>
        </w:tc>
        <w:tc>
          <w:tcPr>
            <w:tcW w:w="1135" w:type="dxa"/>
            <w:tcBorders>
              <w:top w:val="nil"/>
              <w:bottom w:val="nil"/>
              <w:right w:val="nil"/>
            </w:tcBorders>
            <w:shd w:val="clear" w:color="auto" w:fill="FFFFFF" w:themeFill="background1"/>
            <w:noWrap/>
            <w:tcMar>
              <w:left w:w="0" w:type="dxa"/>
              <w:right w:w="113" w:type="dxa"/>
            </w:tcMar>
            <w:vAlign w:val="bottom"/>
          </w:tcPr>
          <w:p w14:paraId="302EB0A3" w14:textId="77777777" w:rsidR="00AB33EC" w:rsidRPr="003E75E2" w:rsidRDefault="00AB33EC" w:rsidP="00B721B7">
            <w:pPr>
              <w:pStyle w:val="Normaltabletextleft"/>
              <w:spacing w:line="240" w:lineRule="auto"/>
              <w:jc w:val="right"/>
              <w:rPr>
                <w:rFonts w:cstheme="minorHAnsi"/>
                <w:color w:val="414042" w:themeColor="text1"/>
                <w:lang w:eastAsia="en-AU"/>
              </w:rPr>
            </w:pPr>
          </w:p>
        </w:tc>
      </w:tr>
      <w:tr w:rsidR="00AB33EC" w:rsidRPr="003E75E2" w14:paraId="6D34CD8E" w14:textId="77777777" w:rsidTr="00B721B7">
        <w:trPr>
          <w:trHeight w:val="20"/>
        </w:trPr>
        <w:tc>
          <w:tcPr>
            <w:tcW w:w="5529" w:type="dxa"/>
            <w:tcBorders>
              <w:top w:val="nil"/>
              <w:left w:val="nil"/>
              <w:bottom w:val="nil"/>
            </w:tcBorders>
            <w:noWrap/>
            <w:tcMar>
              <w:left w:w="0" w:type="dxa"/>
              <w:right w:w="0" w:type="dxa"/>
            </w:tcMar>
            <w:vAlign w:val="bottom"/>
          </w:tcPr>
          <w:p w14:paraId="1D17E19F" w14:textId="77777777" w:rsidR="00AB33EC" w:rsidRPr="003E75E2" w:rsidRDefault="00AB33EC" w:rsidP="00B721B7">
            <w:pPr>
              <w:pStyle w:val="Normalindent1stpara"/>
              <w:spacing w:before="0" w:line="240" w:lineRule="auto"/>
              <w:ind w:left="0"/>
              <w:rPr>
                <w:rFonts w:cstheme="minorHAnsi"/>
                <w:color w:val="414042" w:themeColor="text1"/>
                <w:lang w:eastAsia="en-AU"/>
              </w:rPr>
            </w:pPr>
            <w:r w:rsidRPr="003E75E2">
              <w:rPr>
                <w:rFonts w:cstheme="minorHAnsi"/>
                <w:color w:val="414042" w:themeColor="text1"/>
                <w:lang w:eastAsia="en-AU"/>
              </w:rPr>
              <w:t>Court of Appeal/High Court</w:t>
            </w:r>
          </w:p>
        </w:tc>
        <w:tc>
          <w:tcPr>
            <w:tcW w:w="850" w:type="dxa"/>
            <w:tcBorders>
              <w:top w:val="nil"/>
              <w:bottom w:val="nil"/>
            </w:tcBorders>
            <w:noWrap/>
            <w:tcMar>
              <w:left w:w="0" w:type="dxa"/>
              <w:right w:w="0" w:type="dxa"/>
            </w:tcMar>
            <w:vAlign w:val="bottom"/>
          </w:tcPr>
          <w:p w14:paraId="3837595E"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276" w:type="dxa"/>
            <w:tcBorders>
              <w:top w:val="nil"/>
              <w:bottom w:val="nil"/>
            </w:tcBorders>
            <w:shd w:val="clear" w:color="auto" w:fill="F1F1F2" w:themeFill="accent5" w:themeFillTint="33"/>
            <w:noWrap/>
            <w:tcMar>
              <w:left w:w="0" w:type="dxa"/>
              <w:right w:w="113" w:type="dxa"/>
            </w:tcMar>
            <w:vAlign w:val="bottom"/>
          </w:tcPr>
          <w:p w14:paraId="3E6C455D"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w:t>
            </w:r>
          </w:p>
        </w:tc>
        <w:tc>
          <w:tcPr>
            <w:tcW w:w="283" w:type="dxa"/>
            <w:tcBorders>
              <w:top w:val="nil"/>
              <w:bottom w:val="nil"/>
            </w:tcBorders>
            <w:noWrap/>
          </w:tcPr>
          <w:p w14:paraId="5AADCEEF" w14:textId="77777777" w:rsidR="00AB33EC" w:rsidRPr="003E75E2" w:rsidRDefault="00AB33EC" w:rsidP="00B721B7">
            <w:pPr>
              <w:pStyle w:val="Normaltabletextleft"/>
              <w:spacing w:line="240" w:lineRule="auto"/>
              <w:rPr>
                <w:rFonts w:cstheme="minorHAnsi"/>
                <w:color w:val="414042" w:themeColor="text1"/>
              </w:rPr>
            </w:pPr>
          </w:p>
        </w:tc>
        <w:tc>
          <w:tcPr>
            <w:tcW w:w="1135" w:type="dxa"/>
            <w:tcBorders>
              <w:top w:val="nil"/>
              <w:bottom w:val="nil"/>
              <w:right w:val="nil"/>
            </w:tcBorders>
            <w:shd w:val="clear" w:color="auto" w:fill="FFFFFF" w:themeFill="background1"/>
            <w:noWrap/>
            <w:tcMar>
              <w:left w:w="0" w:type="dxa"/>
              <w:right w:w="113" w:type="dxa"/>
            </w:tcMar>
            <w:vAlign w:val="bottom"/>
          </w:tcPr>
          <w:p w14:paraId="58E891F8"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1</w:t>
            </w:r>
          </w:p>
        </w:tc>
      </w:tr>
      <w:tr w:rsidR="00AB33EC" w:rsidRPr="003E75E2" w14:paraId="2EDC3A97" w14:textId="77777777" w:rsidTr="00B721B7">
        <w:trPr>
          <w:trHeight w:val="20"/>
        </w:trPr>
        <w:tc>
          <w:tcPr>
            <w:tcW w:w="5529" w:type="dxa"/>
            <w:tcBorders>
              <w:top w:val="nil"/>
              <w:left w:val="nil"/>
              <w:bottom w:val="nil"/>
            </w:tcBorders>
            <w:noWrap/>
            <w:tcMar>
              <w:left w:w="0" w:type="dxa"/>
              <w:right w:w="0" w:type="dxa"/>
            </w:tcMar>
            <w:vAlign w:val="bottom"/>
          </w:tcPr>
          <w:p w14:paraId="1DBEA119" w14:textId="77777777" w:rsidR="00AB33EC" w:rsidRPr="003E75E2" w:rsidRDefault="00AB33EC" w:rsidP="00B721B7">
            <w:pPr>
              <w:pStyle w:val="Normalindent1stpara"/>
              <w:spacing w:before="0" w:line="240" w:lineRule="auto"/>
              <w:ind w:left="0"/>
              <w:rPr>
                <w:rFonts w:cstheme="minorHAnsi"/>
                <w:color w:val="414042" w:themeColor="text1"/>
                <w:lang w:eastAsia="en-AU"/>
              </w:rPr>
            </w:pPr>
            <w:r w:rsidRPr="003E75E2">
              <w:rPr>
                <w:rFonts w:cstheme="minorHAnsi"/>
                <w:color w:val="414042" w:themeColor="text1"/>
                <w:lang w:eastAsia="en-AU"/>
              </w:rPr>
              <w:t>Supreme Court</w:t>
            </w:r>
          </w:p>
        </w:tc>
        <w:tc>
          <w:tcPr>
            <w:tcW w:w="850" w:type="dxa"/>
            <w:tcBorders>
              <w:top w:val="nil"/>
              <w:bottom w:val="nil"/>
            </w:tcBorders>
            <w:noWrap/>
            <w:tcMar>
              <w:left w:w="0" w:type="dxa"/>
              <w:right w:w="0" w:type="dxa"/>
            </w:tcMar>
            <w:vAlign w:val="bottom"/>
          </w:tcPr>
          <w:p w14:paraId="3536EDC3"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276" w:type="dxa"/>
            <w:tcBorders>
              <w:top w:val="nil"/>
              <w:bottom w:val="nil"/>
            </w:tcBorders>
            <w:shd w:val="clear" w:color="auto" w:fill="F1F1F2" w:themeFill="accent5" w:themeFillTint="33"/>
            <w:noWrap/>
            <w:tcMar>
              <w:left w:w="0" w:type="dxa"/>
              <w:right w:w="113" w:type="dxa"/>
            </w:tcMar>
            <w:vAlign w:val="bottom"/>
          </w:tcPr>
          <w:p w14:paraId="174C15BA"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1</w:t>
            </w:r>
          </w:p>
        </w:tc>
        <w:tc>
          <w:tcPr>
            <w:tcW w:w="283" w:type="dxa"/>
            <w:tcBorders>
              <w:top w:val="nil"/>
              <w:bottom w:val="nil"/>
            </w:tcBorders>
            <w:noWrap/>
          </w:tcPr>
          <w:p w14:paraId="5CEA49C6" w14:textId="77777777" w:rsidR="00AB33EC" w:rsidRPr="003E75E2" w:rsidRDefault="00AB33EC" w:rsidP="00B721B7">
            <w:pPr>
              <w:pStyle w:val="Normaltabletextleft"/>
              <w:spacing w:line="240" w:lineRule="auto"/>
              <w:rPr>
                <w:rFonts w:cstheme="minorHAnsi"/>
                <w:color w:val="414042" w:themeColor="text1"/>
              </w:rPr>
            </w:pPr>
          </w:p>
        </w:tc>
        <w:tc>
          <w:tcPr>
            <w:tcW w:w="1135" w:type="dxa"/>
            <w:tcBorders>
              <w:top w:val="nil"/>
              <w:bottom w:val="nil"/>
              <w:right w:val="nil"/>
            </w:tcBorders>
            <w:shd w:val="clear" w:color="auto" w:fill="FFFFFF" w:themeFill="background1"/>
            <w:noWrap/>
            <w:tcMar>
              <w:left w:w="0" w:type="dxa"/>
              <w:right w:w="113" w:type="dxa"/>
            </w:tcMar>
            <w:vAlign w:val="bottom"/>
          </w:tcPr>
          <w:p w14:paraId="231D1C87"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3</w:t>
            </w:r>
          </w:p>
        </w:tc>
      </w:tr>
      <w:tr w:rsidR="00AB33EC" w:rsidRPr="003E75E2" w14:paraId="1EA7F158" w14:textId="77777777" w:rsidTr="00B721B7">
        <w:trPr>
          <w:trHeight w:val="20"/>
        </w:trPr>
        <w:tc>
          <w:tcPr>
            <w:tcW w:w="5529" w:type="dxa"/>
            <w:tcBorders>
              <w:top w:val="nil"/>
              <w:left w:val="nil"/>
              <w:bottom w:val="nil"/>
            </w:tcBorders>
            <w:noWrap/>
            <w:tcMar>
              <w:left w:w="0" w:type="dxa"/>
              <w:right w:w="0" w:type="dxa"/>
            </w:tcMar>
            <w:vAlign w:val="bottom"/>
          </w:tcPr>
          <w:p w14:paraId="51C07AA3" w14:textId="77777777" w:rsidR="00AB33EC" w:rsidRPr="003E75E2" w:rsidRDefault="00AB33EC" w:rsidP="00B721B7">
            <w:pPr>
              <w:pStyle w:val="Normalindent1stpara"/>
              <w:spacing w:before="0" w:line="240" w:lineRule="auto"/>
              <w:ind w:left="0"/>
              <w:rPr>
                <w:rFonts w:cstheme="minorHAnsi"/>
                <w:color w:val="414042" w:themeColor="text1"/>
                <w:lang w:eastAsia="en-AU"/>
              </w:rPr>
            </w:pPr>
            <w:r w:rsidRPr="003E75E2">
              <w:rPr>
                <w:rFonts w:cstheme="minorHAnsi"/>
                <w:color w:val="414042" w:themeColor="text1"/>
                <w:lang w:eastAsia="en-AU"/>
              </w:rPr>
              <w:t>District Court</w:t>
            </w:r>
          </w:p>
        </w:tc>
        <w:tc>
          <w:tcPr>
            <w:tcW w:w="850" w:type="dxa"/>
            <w:tcBorders>
              <w:top w:val="nil"/>
              <w:bottom w:val="nil"/>
            </w:tcBorders>
            <w:noWrap/>
            <w:tcMar>
              <w:left w:w="0" w:type="dxa"/>
              <w:right w:w="0" w:type="dxa"/>
            </w:tcMar>
            <w:vAlign w:val="bottom"/>
          </w:tcPr>
          <w:p w14:paraId="602D9980"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276" w:type="dxa"/>
            <w:tcBorders>
              <w:top w:val="nil"/>
              <w:bottom w:val="nil"/>
            </w:tcBorders>
            <w:shd w:val="clear" w:color="auto" w:fill="F1F1F2" w:themeFill="accent5" w:themeFillTint="33"/>
            <w:noWrap/>
            <w:tcMar>
              <w:left w:w="0" w:type="dxa"/>
              <w:right w:w="113" w:type="dxa"/>
            </w:tcMar>
            <w:vAlign w:val="bottom"/>
          </w:tcPr>
          <w:p w14:paraId="5066BEFB"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w:t>
            </w:r>
          </w:p>
        </w:tc>
        <w:tc>
          <w:tcPr>
            <w:tcW w:w="283" w:type="dxa"/>
            <w:tcBorders>
              <w:top w:val="nil"/>
              <w:bottom w:val="nil"/>
            </w:tcBorders>
            <w:noWrap/>
          </w:tcPr>
          <w:p w14:paraId="10B98A37" w14:textId="77777777" w:rsidR="00AB33EC" w:rsidRPr="003E75E2" w:rsidRDefault="00AB33EC" w:rsidP="00B721B7">
            <w:pPr>
              <w:pStyle w:val="Normaltabletextleft"/>
              <w:spacing w:line="240" w:lineRule="auto"/>
              <w:rPr>
                <w:rFonts w:cstheme="minorHAnsi"/>
                <w:color w:val="414042" w:themeColor="text1"/>
              </w:rPr>
            </w:pPr>
          </w:p>
        </w:tc>
        <w:tc>
          <w:tcPr>
            <w:tcW w:w="1135" w:type="dxa"/>
            <w:tcBorders>
              <w:top w:val="nil"/>
              <w:bottom w:val="nil"/>
              <w:right w:val="nil"/>
            </w:tcBorders>
            <w:shd w:val="clear" w:color="auto" w:fill="FFFFFF" w:themeFill="background1"/>
            <w:noWrap/>
            <w:tcMar>
              <w:left w:w="0" w:type="dxa"/>
              <w:right w:w="113" w:type="dxa"/>
            </w:tcMar>
            <w:vAlign w:val="bottom"/>
          </w:tcPr>
          <w:p w14:paraId="38F80A17"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1</w:t>
            </w:r>
          </w:p>
        </w:tc>
      </w:tr>
      <w:tr w:rsidR="00AB33EC" w:rsidRPr="003E75E2" w14:paraId="6523719D" w14:textId="77777777" w:rsidTr="00B721B7">
        <w:trPr>
          <w:trHeight w:val="20"/>
        </w:trPr>
        <w:tc>
          <w:tcPr>
            <w:tcW w:w="5529" w:type="dxa"/>
            <w:tcBorders>
              <w:top w:val="nil"/>
              <w:left w:val="nil"/>
              <w:bottom w:val="nil"/>
            </w:tcBorders>
            <w:noWrap/>
            <w:tcMar>
              <w:left w:w="0" w:type="dxa"/>
              <w:right w:w="0" w:type="dxa"/>
            </w:tcMar>
            <w:vAlign w:val="bottom"/>
          </w:tcPr>
          <w:p w14:paraId="2BE28068" w14:textId="77777777" w:rsidR="00AB33EC" w:rsidRPr="003E75E2" w:rsidRDefault="00AB33EC" w:rsidP="00B721B7">
            <w:pPr>
              <w:pStyle w:val="Normalindent1stpara"/>
              <w:spacing w:before="0" w:line="240" w:lineRule="auto"/>
              <w:ind w:left="0"/>
              <w:rPr>
                <w:rFonts w:cstheme="minorHAnsi"/>
                <w:color w:val="414042" w:themeColor="text1"/>
                <w:lang w:eastAsia="en-AU"/>
              </w:rPr>
            </w:pPr>
            <w:r w:rsidRPr="003E75E2">
              <w:rPr>
                <w:rFonts w:cstheme="minorHAnsi"/>
                <w:color w:val="414042" w:themeColor="text1"/>
                <w:lang w:eastAsia="en-AU"/>
              </w:rPr>
              <w:t>Magistrates Court</w:t>
            </w:r>
          </w:p>
        </w:tc>
        <w:tc>
          <w:tcPr>
            <w:tcW w:w="850" w:type="dxa"/>
            <w:tcBorders>
              <w:top w:val="nil"/>
              <w:bottom w:val="nil"/>
            </w:tcBorders>
            <w:noWrap/>
            <w:tcMar>
              <w:left w:w="0" w:type="dxa"/>
              <w:right w:w="0" w:type="dxa"/>
            </w:tcMar>
            <w:vAlign w:val="bottom"/>
          </w:tcPr>
          <w:p w14:paraId="2B64DB8B"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276" w:type="dxa"/>
            <w:tcBorders>
              <w:top w:val="nil"/>
              <w:bottom w:val="nil"/>
            </w:tcBorders>
            <w:shd w:val="clear" w:color="auto" w:fill="F1F1F2" w:themeFill="accent5" w:themeFillTint="33"/>
            <w:noWrap/>
            <w:tcMar>
              <w:left w:w="0" w:type="dxa"/>
              <w:right w:w="113" w:type="dxa"/>
            </w:tcMar>
            <w:vAlign w:val="bottom"/>
          </w:tcPr>
          <w:p w14:paraId="57471B17"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2</w:t>
            </w:r>
          </w:p>
        </w:tc>
        <w:tc>
          <w:tcPr>
            <w:tcW w:w="283" w:type="dxa"/>
            <w:tcBorders>
              <w:top w:val="nil"/>
              <w:bottom w:val="nil"/>
            </w:tcBorders>
            <w:noWrap/>
          </w:tcPr>
          <w:p w14:paraId="5DE73904" w14:textId="77777777" w:rsidR="00AB33EC" w:rsidRPr="003E75E2" w:rsidRDefault="00AB33EC" w:rsidP="00B721B7">
            <w:pPr>
              <w:pStyle w:val="Normaltabletextleft"/>
              <w:spacing w:line="240" w:lineRule="auto"/>
              <w:rPr>
                <w:rFonts w:cstheme="minorHAnsi"/>
                <w:color w:val="414042" w:themeColor="text1"/>
              </w:rPr>
            </w:pPr>
          </w:p>
        </w:tc>
        <w:tc>
          <w:tcPr>
            <w:tcW w:w="1135" w:type="dxa"/>
            <w:tcBorders>
              <w:top w:val="nil"/>
              <w:bottom w:val="nil"/>
              <w:right w:val="nil"/>
            </w:tcBorders>
            <w:shd w:val="clear" w:color="auto" w:fill="FFFFFF" w:themeFill="background1"/>
            <w:noWrap/>
            <w:tcMar>
              <w:left w:w="0" w:type="dxa"/>
              <w:right w:w="113" w:type="dxa"/>
            </w:tcMar>
            <w:vAlign w:val="bottom"/>
          </w:tcPr>
          <w:p w14:paraId="0A832B5E"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w:t>
            </w:r>
          </w:p>
        </w:tc>
      </w:tr>
      <w:tr w:rsidR="00AB33EC" w:rsidRPr="003E75E2" w14:paraId="5E24528E" w14:textId="77777777" w:rsidTr="00B721B7">
        <w:trPr>
          <w:trHeight w:val="20"/>
        </w:trPr>
        <w:tc>
          <w:tcPr>
            <w:tcW w:w="5529" w:type="dxa"/>
            <w:tcBorders>
              <w:top w:val="nil"/>
              <w:left w:val="nil"/>
              <w:bottom w:val="nil"/>
            </w:tcBorders>
            <w:noWrap/>
            <w:tcMar>
              <w:left w:w="0" w:type="dxa"/>
              <w:right w:w="0" w:type="dxa"/>
            </w:tcMar>
            <w:vAlign w:val="bottom"/>
          </w:tcPr>
          <w:p w14:paraId="1BCA8448" w14:textId="77777777" w:rsidR="00AB33EC" w:rsidRPr="003E75E2" w:rsidRDefault="00AB33EC" w:rsidP="00B721B7">
            <w:pPr>
              <w:pStyle w:val="Normalindent1stpara"/>
              <w:spacing w:before="0" w:line="240" w:lineRule="auto"/>
              <w:ind w:left="0"/>
              <w:rPr>
                <w:rFonts w:cstheme="minorHAnsi"/>
                <w:color w:val="414042" w:themeColor="text1"/>
                <w:lang w:eastAsia="en-AU"/>
              </w:rPr>
            </w:pPr>
            <w:r w:rsidRPr="003E75E2">
              <w:rPr>
                <w:rFonts w:cstheme="minorHAnsi"/>
                <w:color w:val="414042" w:themeColor="text1"/>
                <w:lang w:eastAsia="en-AU"/>
              </w:rPr>
              <w:t>Queensland Industrial Relation Commission (QIRC)</w:t>
            </w:r>
          </w:p>
        </w:tc>
        <w:tc>
          <w:tcPr>
            <w:tcW w:w="850" w:type="dxa"/>
            <w:tcBorders>
              <w:top w:val="nil"/>
              <w:bottom w:val="nil"/>
            </w:tcBorders>
            <w:noWrap/>
            <w:tcMar>
              <w:left w:w="0" w:type="dxa"/>
              <w:right w:w="0" w:type="dxa"/>
            </w:tcMar>
            <w:vAlign w:val="bottom"/>
          </w:tcPr>
          <w:p w14:paraId="43417561"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276" w:type="dxa"/>
            <w:tcBorders>
              <w:top w:val="nil"/>
              <w:bottom w:val="nil"/>
            </w:tcBorders>
            <w:shd w:val="clear" w:color="auto" w:fill="F1F1F2" w:themeFill="accent5" w:themeFillTint="33"/>
            <w:noWrap/>
            <w:tcMar>
              <w:left w:w="0" w:type="dxa"/>
              <w:right w:w="113" w:type="dxa"/>
            </w:tcMar>
            <w:vAlign w:val="bottom"/>
          </w:tcPr>
          <w:p w14:paraId="4140DF0F"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w:t>
            </w:r>
          </w:p>
        </w:tc>
        <w:tc>
          <w:tcPr>
            <w:tcW w:w="283" w:type="dxa"/>
            <w:tcBorders>
              <w:top w:val="nil"/>
              <w:bottom w:val="nil"/>
            </w:tcBorders>
            <w:noWrap/>
          </w:tcPr>
          <w:p w14:paraId="70BA0D9A" w14:textId="77777777" w:rsidR="00AB33EC" w:rsidRPr="003E75E2" w:rsidRDefault="00AB33EC" w:rsidP="00B721B7">
            <w:pPr>
              <w:pStyle w:val="Normaltabletextleft"/>
              <w:spacing w:line="240" w:lineRule="auto"/>
              <w:rPr>
                <w:rFonts w:cstheme="minorHAnsi"/>
                <w:color w:val="414042" w:themeColor="text1"/>
              </w:rPr>
            </w:pPr>
          </w:p>
        </w:tc>
        <w:tc>
          <w:tcPr>
            <w:tcW w:w="1135" w:type="dxa"/>
            <w:tcBorders>
              <w:top w:val="nil"/>
              <w:bottom w:val="nil"/>
              <w:right w:val="nil"/>
            </w:tcBorders>
            <w:shd w:val="clear" w:color="auto" w:fill="FFFFFF" w:themeFill="background1"/>
            <w:noWrap/>
            <w:tcMar>
              <w:left w:w="0" w:type="dxa"/>
              <w:right w:w="113" w:type="dxa"/>
            </w:tcMar>
            <w:vAlign w:val="bottom"/>
          </w:tcPr>
          <w:p w14:paraId="2CA8ADE7"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1</w:t>
            </w:r>
          </w:p>
        </w:tc>
      </w:tr>
      <w:tr w:rsidR="00AB33EC" w:rsidRPr="003E75E2" w14:paraId="75B8A5E6" w14:textId="77777777" w:rsidTr="00B721B7">
        <w:trPr>
          <w:trHeight w:val="20"/>
        </w:trPr>
        <w:tc>
          <w:tcPr>
            <w:tcW w:w="5529" w:type="dxa"/>
            <w:tcBorders>
              <w:top w:val="nil"/>
              <w:left w:val="nil"/>
              <w:bottom w:val="nil"/>
            </w:tcBorders>
            <w:noWrap/>
            <w:tcMar>
              <w:left w:w="0" w:type="dxa"/>
              <w:right w:w="0" w:type="dxa"/>
            </w:tcMar>
            <w:vAlign w:val="bottom"/>
          </w:tcPr>
          <w:p w14:paraId="327FF10C" w14:textId="77777777" w:rsidR="00AB33EC" w:rsidRPr="003E75E2" w:rsidRDefault="00AB33EC" w:rsidP="00B721B7">
            <w:pPr>
              <w:pStyle w:val="Normalindent1stpara"/>
              <w:spacing w:before="0" w:line="240" w:lineRule="auto"/>
              <w:ind w:left="0"/>
              <w:rPr>
                <w:rFonts w:cstheme="minorHAnsi"/>
                <w:color w:val="414042" w:themeColor="text1"/>
                <w:lang w:eastAsia="en-AU"/>
              </w:rPr>
            </w:pPr>
            <w:r w:rsidRPr="003E75E2">
              <w:rPr>
                <w:rFonts w:cstheme="minorHAnsi"/>
                <w:color w:val="414042" w:themeColor="text1"/>
                <w:lang w:eastAsia="en-AU"/>
              </w:rPr>
              <w:t>Queensland Civil and Administrative Tribunal (QCAT)</w:t>
            </w:r>
          </w:p>
        </w:tc>
        <w:tc>
          <w:tcPr>
            <w:tcW w:w="850" w:type="dxa"/>
            <w:tcBorders>
              <w:top w:val="nil"/>
              <w:bottom w:val="nil"/>
            </w:tcBorders>
            <w:noWrap/>
            <w:tcMar>
              <w:left w:w="0" w:type="dxa"/>
              <w:right w:w="0" w:type="dxa"/>
            </w:tcMar>
            <w:vAlign w:val="bottom"/>
          </w:tcPr>
          <w:p w14:paraId="714F1C91"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276" w:type="dxa"/>
            <w:tcBorders>
              <w:top w:val="nil"/>
              <w:bottom w:val="nil"/>
            </w:tcBorders>
            <w:shd w:val="clear" w:color="auto" w:fill="F1F1F2" w:themeFill="accent5" w:themeFillTint="33"/>
            <w:noWrap/>
            <w:tcMar>
              <w:left w:w="0" w:type="dxa"/>
              <w:right w:w="113" w:type="dxa"/>
            </w:tcMar>
            <w:vAlign w:val="bottom"/>
          </w:tcPr>
          <w:p w14:paraId="0307E442"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21</w:t>
            </w:r>
          </w:p>
        </w:tc>
        <w:tc>
          <w:tcPr>
            <w:tcW w:w="283" w:type="dxa"/>
            <w:tcBorders>
              <w:top w:val="nil"/>
              <w:bottom w:val="nil"/>
            </w:tcBorders>
            <w:noWrap/>
          </w:tcPr>
          <w:p w14:paraId="60CC7BEF" w14:textId="77777777" w:rsidR="00AB33EC" w:rsidRPr="003E75E2" w:rsidRDefault="00AB33EC" w:rsidP="00B721B7">
            <w:pPr>
              <w:pStyle w:val="Normaltabletextleft"/>
              <w:spacing w:line="240" w:lineRule="auto"/>
              <w:rPr>
                <w:rFonts w:cstheme="minorHAnsi"/>
                <w:color w:val="414042" w:themeColor="text1"/>
              </w:rPr>
            </w:pPr>
          </w:p>
        </w:tc>
        <w:tc>
          <w:tcPr>
            <w:tcW w:w="1135" w:type="dxa"/>
            <w:tcBorders>
              <w:top w:val="nil"/>
              <w:bottom w:val="nil"/>
              <w:right w:val="nil"/>
            </w:tcBorders>
            <w:shd w:val="clear" w:color="auto" w:fill="FFFFFF" w:themeFill="background1"/>
            <w:noWrap/>
            <w:tcMar>
              <w:left w:w="0" w:type="dxa"/>
              <w:right w:w="113" w:type="dxa"/>
            </w:tcMar>
            <w:vAlign w:val="bottom"/>
          </w:tcPr>
          <w:p w14:paraId="1FBB765E"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19</w:t>
            </w:r>
          </w:p>
        </w:tc>
      </w:tr>
      <w:tr w:rsidR="00AB33EC" w:rsidRPr="003E75E2" w14:paraId="40F0FAB0" w14:textId="77777777" w:rsidTr="00B721B7">
        <w:trPr>
          <w:trHeight w:val="20"/>
        </w:trPr>
        <w:tc>
          <w:tcPr>
            <w:tcW w:w="5529" w:type="dxa"/>
            <w:tcBorders>
              <w:top w:val="nil"/>
              <w:left w:val="nil"/>
              <w:bottom w:val="nil"/>
            </w:tcBorders>
            <w:noWrap/>
            <w:tcMar>
              <w:left w:w="0" w:type="dxa"/>
              <w:right w:w="0" w:type="dxa"/>
            </w:tcMar>
          </w:tcPr>
          <w:p w14:paraId="47C159C5" w14:textId="77777777" w:rsidR="00AB33EC" w:rsidRPr="003E75E2" w:rsidRDefault="00AB33EC" w:rsidP="00B721B7">
            <w:pPr>
              <w:pStyle w:val="Normaltabletextleft"/>
              <w:spacing w:line="240" w:lineRule="auto"/>
              <w:rPr>
                <w:rFonts w:cstheme="minorHAnsi"/>
                <w:b/>
                <w:color w:val="414042" w:themeColor="text1"/>
                <w:lang w:eastAsia="en-AU"/>
              </w:rPr>
            </w:pPr>
            <w:r w:rsidRPr="003E75E2">
              <w:rPr>
                <w:rFonts w:cstheme="minorHAnsi"/>
                <w:b/>
                <w:color w:val="414042" w:themeColor="text1"/>
                <w:lang w:eastAsia="en-AU"/>
              </w:rPr>
              <w:t>Total</w:t>
            </w:r>
          </w:p>
        </w:tc>
        <w:tc>
          <w:tcPr>
            <w:tcW w:w="850" w:type="dxa"/>
            <w:tcBorders>
              <w:top w:val="nil"/>
              <w:bottom w:val="nil"/>
            </w:tcBorders>
            <w:noWrap/>
            <w:tcMar>
              <w:left w:w="0" w:type="dxa"/>
              <w:right w:w="0" w:type="dxa"/>
            </w:tcMar>
            <w:vAlign w:val="bottom"/>
          </w:tcPr>
          <w:p w14:paraId="5F9DC616"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276" w:type="dxa"/>
            <w:tcBorders>
              <w:top w:val="single" w:sz="4" w:space="0" w:color="auto"/>
              <w:bottom w:val="double" w:sz="4" w:space="0" w:color="auto"/>
            </w:tcBorders>
            <w:shd w:val="clear" w:color="auto" w:fill="F1F1F2" w:themeFill="accent5" w:themeFillTint="33"/>
            <w:noWrap/>
            <w:tcMar>
              <w:left w:w="0" w:type="dxa"/>
              <w:right w:w="113" w:type="dxa"/>
            </w:tcMar>
            <w:vAlign w:val="bottom"/>
          </w:tcPr>
          <w:p w14:paraId="42C52CEF" w14:textId="77777777" w:rsidR="00AB33EC" w:rsidRPr="003E75E2" w:rsidRDefault="00AB33EC" w:rsidP="00B721B7">
            <w:pPr>
              <w:pStyle w:val="Normaltabletext1stpararight"/>
              <w:spacing w:line="240" w:lineRule="auto"/>
              <w:rPr>
                <w:rFonts w:cstheme="minorHAnsi"/>
                <w:b/>
                <w:iCs/>
                <w:color w:val="414042" w:themeColor="text1"/>
                <w:lang w:eastAsia="en-AU"/>
              </w:rPr>
            </w:pPr>
            <w:r>
              <w:rPr>
                <w:rFonts w:cstheme="minorHAnsi"/>
                <w:b/>
                <w:iCs/>
                <w:color w:val="414042" w:themeColor="text1"/>
                <w:lang w:eastAsia="en-AU"/>
              </w:rPr>
              <w:t>24</w:t>
            </w:r>
          </w:p>
        </w:tc>
        <w:tc>
          <w:tcPr>
            <w:tcW w:w="283" w:type="dxa"/>
            <w:tcBorders>
              <w:top w:val="nil"/>
              <w:bottom w:val="nil"/>
            </w:tcBorders>
            <w:noWrap/>
          </w:tcPr>
          <w:p w14:paraId="215998BB" w14:textId="77777777" w:rsidR="00AB33EC" w:rsidRPr="003E75E2" w:rsidRDefault="00AB33EC" w:rsidP="00B721B7">
            <w:pPr>
              <w:pStyle w:val="Normaltabletextleft"/>
              <w:spacing w:line="240" w:lineRule="auto"/>
              <w:rPr>
                <w:rFonts w:cstheme="minorHAnsi"/>
                <w:b/>
                <w:color w:val="414042" w:themeColor="text1"/>
              </w:rPr>
            </w:pPr>
          </w:p>
        </w:tc>
        <w:tc>
          <w:tcPr>
            <w:tcW w:w="1135"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0544F17D" w14:textId="77777777" w:rsidR="00AB33EC" w:rsidRPr="003E75E2" w:rsidRDefault="00AB33EC" w:rsidP="00B721B7">
            <w:pPr>
              <w:pStyle w:val="Normaltabletext1stpararight"/>
              <w:spacing w:line="240" w:lineRule="auto"/>
              <w:rPr>
                <w:rFonts w:cstheme="minorHAnsi"/>
                <w:b/>
                <w:iCs/>
                <w:color w:val="414042" w:themeColor="text1"/>
                <w:lang w:eastAsia="en-AU"/>
              </w:rPr>
            </w:pPr>
            <w:r w:rsidRPr="003E75E2">
              <w:rPr>
                <w:rFonts w:cstheme="minorHAnsi"/>
                <w:b/>
                <w:iCs/>
                <w:color w:val="414042" w:themeColor="text1"/>
                <w:lang w:eastAsia="en-AU"/>
              </w:rPr>
              <w:t>25</w:t>
            </w:r>
          </w:p>
        </w:tc>
      </w:tr>
    </w:tbl>
    <w:p w14:paraId="77CE0734" w14:textId="77777777" w:rsidR="00AB33EC" w:rsidRPr="003E75E2" w:rsidRDefault="00AB33EC" w:rsidP="00AB33EC">
      <w:pPr>
        <w:rPr>
          <w:rFonts w:asciiTheme="minorHAnsi" w:hAnsiTheme="minorHAnsi" w:cstheme="minorHAnsi"/>
          <w:color w:val="414042" w:themeColor="text1"/>
          <w:sz w:val="16"/>
          <w:szCs w:val="16"/>
          <w:lang w:eastAsia="en-AU"/>
        </w:rPr>
      </w:pPr>
    </w:p>
    <w:p w14:paraId="35F74ADB" w14:textId="77777777" w:rsidR="00AB33EC" w:rsidRPr="00194A9A" w:rsidRDefault="00AB33EC" w:rsidP="0037124B">
      <w:pPr>
        <w:rPr>
          <w:rFonts w:asciiTheme="minorHAnsi" w:hAnsiTheme="minorHAnsi" w:cstheme="minorHAnsi"/>
          <w:color w:val="414042" w:themeColor="text1"/>
          <w:szCs w:val="20"/>
          <w:lang w:eastAsia="en-AU"/>
        </w:rPr>
      </w:pPr>
      <w:r w:rsidRPr="00194A9A">
        <w:rPr>
          <w:rFonts w:asciiTheme="minorHAnsi" w:hAnsiTheme="minorHAnsi" w:cstheme="minorHAnsi"/>
          <w:color w:val="414042" w:themeColor="text1"/>
          <w:szCs w:val="20"/>
          <w:lang w:eastAsia="en-AU"/>
        </w:rPr>
        <w:t>It is not possible to make a reliable estimate of the final costs, if any, that could be</w:t>
      </w:r>
      <w:r w:rsidRPr="00194A9A">
        <w:rPr>
          <w:rFonts w:asciiTheme="minorHAnsi" w:hAnsiTheme="minorHAnsi" w:cstheme="minorHAnsi"/>
          <w:color w:val="414042" w:themeColor="text1"/>
          <w:szCs w:val="20"/>
        </w:rPr>
        <w:t xml:space="preserve"> </w:t>
      </w:r>
      <w:r w:rsidRPr="00194A9A">
        <w:rPr>
          <w:rFonts w:asciiTheme="minorHAnsi" w:hAnsiTheme="minorHAnsi" w:cstheme="minorHAnsi"/>
          <w:color w:val="414042" w:themeColor="text1"/>
          <w:szCs w:val="20"/>
          <w:lang w:eastAsia="en-AU"/>
        </w:rPr>
        <w:t>recovered or payable from these cases at this time.</w:t>
      </w:r>
    </w:p>
    <w:p w14:paraId="6AFF7BDD" w14:textId="77777777" w:rsidR="00AB33EC" w:rsidRPr="00194A9A" w:rsidRDefault="00AB33EC" w:rsidP="0037124B">
      <w:pPr>
        <w:rPr>
          <w:rFonts w:asciiTheme="minorHAnsi" w:hAnsiTheme="minorHAnsi" w:cstheme="minorHAnsi"/>
          <w:color w:val="414042" w:themeColor="text1"/>
          <w:szCs w:val="20"/>
          <w:lang w:eastAsia="en-AU"/>
        </w:rPr>
      </w:pPr>
      <w:r w:rsidRPr="00194A9A">
        <w:rPr>
          <w:rFonts w:asciiTheme="minorHAnsi" w:hAnsiTheme="minorHAnsi" w:cstheme="minorHAnsi"/>
          <w:color w:val="414042" w:themeColor="text1"/>
          <w:szCs w:val="20"/>
          <w:lang w:eastAsia="en-AU"/>
        </w:rPr>
        <w:t>The CCC is insured with the Queensland Government Insurance Fund (QGIF). Under the QGIF, the CCC would be able to claim back, less a $10,000 deduction, the amount paid to successful litigants. Although these matters are still under review, it is considered that any outcomes will not have a material financial impact on the information disclosed in these financial statements</w:t>
      </w:r>
      <w:r>
        <w:rPr>
          <w:rFonts w:asciiTheme="minorHAnsi" w:hAnsiTheme="minorHAnsi" w:cstheme="minorHAnsi"/>
          <w:color w:val="414042" w:themeColor="text1"/>
          <w:szCs w:val="20"/>
          <w:lang w:eastAsia="en-AU"/>
        </w:rPr>
        <w:t>.</w:t>
      </w:r>
    </w:p>
    <w:p w14:paraId="663FB1FD" w14:textId="77777777" w:rsidR="00AB33EC" w:rsidRPr="003E75E2" w:rsidRDefault="00AB33EC" w:rsidP="00AB33EC">
      <w:pPr>
        <w:pStyle w:val="Normal115pttext"/>
        <w:spacing w:line="240" w:lineRule="auto"/>
        <w:rPr>
          <w:rFonts w:cstheme="minorHAnsi"/>
          <w:color w:val="414042" w:themeColor="text1"/>
        </w:rPr>
      </w:pPr>
      <w:r w:rsidRPr="003E75E2">
        <w:rPr>
          <w:rFonts w:cstheme="minorHAnsi"/>
          <w:color w:val="414042" w:themeColor="text1"/>
        </w:rPr>
        <w:t>Note 16:  Financial Instruments</w:t>
      </w:r>
    </w:p>
    <w:p w14:paraId="62F35F25" w14:textId="77777777" w:rsidR="00AB33EC" w:rsidRPr="003E75E2" w:rsidRDefault="00AB33EC" w:rsidP="0037124B">
      <w:pPr>
        <w:pStyle w:val="Policyheading"/>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color w:val="414042" w:themeColor="text1"/>
        </w:rPr>
      </w:pPr>
      <w:r w:rsidRPr="003E75E2">
        <w:rPr>
          <w:rFonts w:cstheme="minorHAnsi"/>
          <w:color w:val="414042" w:themeColor="text1"/>
        </w:rPr>
        <w:t>Accounting Policy:</w:t>
      </w:r>
    </w:p>
    <w:p w14:paraId="2D95ECA1" w14:textId="77777777" w:rsidR="00AB33EC" w:rsidRPr="003E75E2" w:rsidRDefault="00AB33EC" w:rsidP="0037124B">
      <w:pPr>
        <w:pStyle w:val="Policyheading"/>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color w:val="414042" w:themeColor="text1"/>
        </w:rPr>
      </w:pPr>
    </w:p>
    <w:p w14:paraId="6BA39C53" w14:textId="60A40B16" w:rsidR="00AB33EC" w:rsidRPr="003E75E2" w:rsidRDefault="00AB33EC" w:rsidP="0037124B">
      <w:pPr>
        <w:pStyle w:val="Policy1stpara"/>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color w:val="414042" w:themeColor="text1"/>
        </w:rPr>
      </w:pPr>
      <w:r w:rsidRPr="003E75E2">
        <w:rPr>
          <w:rFonts w:cstheme="minorHAnsi"/>
          <w:b/>
          <w:i/>
          <w:color w:val="414042" w:themeColor="text1"/>
        </w:rPr>
        <w:t>Recognition</w:t>
      </w:r>
      <w:r w:rsidRPr="003E75E2">
        <w:rPr>
          <w:rFonts w:cstheme="minorHAnsi"/>
          <w:color w:val="414042" w:themeColor="text1"/>
        </w:rPr>
        <w:t xml:space="preserve"> –</w:t>
      </w:r>
    </w:p>
    <w:p w14:paraId="7EB1130F" w14:textId="77777777" w:rsidR="00AB33EC" w:rsidRPr="003E75E2"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color w:val="414042" w:themeColor="text1"/>
        </w:rPr>
      </w:pPr>
      <w:r w:rsidRPr="003E75E2">
        <w:rPr>
          <w:rFonts w:cstheme="minorHAnsi"/>
          <w:color w:val="414042" w:themeColor="text1"/>
        </w:rPr>
        <w:t>Financial assets and financial liabilities are recognised in the Statement of Financial Position when the CCC becomes party to the contractual provisions of the financial instrument.</w:t>
      </w:r>
    </w:p>
    <w:p w14:paraId="6A3530D7" w14:textId="77777777" w:rsidR="00AB33EC" w:rsidRPr="003E75E2"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color w:val="414042" w:themeColor="text1"/>
        </w:rPr>
      </w:pPr>
    </w:p>
    <w:p w14:paraId="159F94D4" w14:textId="77777777" w:rsidR="00AB33EC" w:rsidRPr="003E75E2" w:rsidRDefault="00AB33EC" w:rsidP="0037124B">
      <w:pPr>
        <w:pStyle w:val="Policy1stpara"/>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color w:val="414042" w:themeColor="text1"/>
        </w:rPr>
      </w:pPr>
      <w:r w:rsidRPr="003E75E2">
        <w:rPr>
          <w:rFonts w:cstheme="minorHAnsi"/>
          <w:b/>
          <w:i/>
          <w:color w:val="414042" w:themeColor="text1"/>
        </w:rPr>
        <w:t>Classification and Measurement</w:t>
      </w:r>
      <w:r w:rsidRPr="003E75E2">
        <w:rPr>
          <w:rFonts w:cstheme="minorHAnsi"/>
          <w:color w:val="414042" w:themeColor="text1"/>
        </w:rPr>
        <w:t xml:space="preserve"> – Financial instruments are classified and measured as follows:</w:t>
      </w:r>
    </w:p>
    <w:p w14:paraId="261D51FF" w14:textId="77777777" w:rsidR="00AB33EC" w:rsidRPr="003E75E2"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i/>
          <w:color w:val="414042" w:themeColor="text1"/>
        </w:rPr>
      </w:pPr>
    </w:p>
    <w:p w14:paraId="4DDF7A54" w14:textId="77777777" w:rsidR="00AB33EC"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i/>
          <w:color w:val="414042" w:themeColor="text1"/>
        </w:rPr>
      </w:pPr>
      <w:r w:rsidRPr="003E75E2">
        <w:rPr>
          <w:rFonts w:cstheme="minorHAnsi"/>
          <w:i/>
          <w:color w:val="414042" w:themeColor="text1"/>
        </w:rPr>
        <w:t>Financial Assets:</w:t>
      </w:r>
    </w:p>
    <w:p w14:paraId="1164C86D" w14:textId="77777777" w:rsidR="00AB33EC" w:rsidRPr="007F4EE7"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ind w:firstLine="720"/>
        <w:rPr>
          <w:rFonts w:cstheme="minorHAnsi"/>
          <w:i/>
          <w:color w:val="414042" w:themeColor="text1"/>
        </w:rPr>
      </w:pPr>
      <w:r w:rsidRPr="007F4EE7">
        <w:rPr>
          <w:rFonts w:cstheme="minorHAnsi"/>
          <w:i/>
          <w:color w:val="414042" w:themeColor="text1"/>
        </w:rPr>
        <w:t>Cash and cash equivalents – held at fair value through profit and loss</w:t>
      </w:r>
    </w:p>
    <w:p w14:paraId="6269C441" w14:textId="77777777" w:rsidR="00AB33EC"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ind w:firstLine="720"/>
        <w:rPr>
          <w:rFonts w:cstheme="minorHAnsi"/>
          <w:i/>
          <w:color w:val="414042" w:themeColor="text1"/>
        </w:rPr>
      </w:pPr>
      <w:r w:rsidRPr="007F4EE7">
        <w:rPr>
          <w:rFonts w:cstheme="minorHAnsi"/>
          <w:i/>
          <w:color w:val="414042" w:themeColor="text1"/>
        </w:rPr>
        <w:t>Contractual Receivables – held at amortised cost</w:t>
      </w:r>
    </w:p>
    <w:p w14:paraId="0E9AD678" w14:textId="77777777" w:rsidR="00AB33EC"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ind w:firstLine="720"/>
        <w:rPr>
          <w:rFonts w:cstheme="minorHAnsi"/>
          <w:i/>
          <w:color w:val="414042" w:themeColor="text1"/>
        </w:rPr>
      </w:pPr>
    </w:p>
    <w:p w14:paraId="65227FCD" w14:textId="77777777" w:rsidR="00AB33EC"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rPr>
          <w:rFonts w:cstheme="minorHAnsi"/>
          <w:i/>
          <w:color w:val="414042" w:themeColor="text1"/>
        </w:rPr>
      </w:pPr>
      <w:r w:rsidRPr="003E75E2">
        <w:rPr>
          <w:rFonts w:cstheme="minorHAnsi"/>
          <w:i/>
          <w:color w:val="414042" w:themeColor="text1"/>
        </w:rPr>
        <w:t>Financial Liabilities:</w:t>
      </w:r>
    </w:p>
    <w:p w14:paraId="778DBCE0" w14:textId="77777777" w:rsidR="00AB33EC" w:rsidRPr="007F4EE7"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ind w:firstLine="720"/>
        <w:rPr>
          <w:rFonts w:cstheme="minorHAnsi"/>
          <w:i/>
          <w:color w:val="414042" w:themeColor="text1"/>
        </w:rPr>
      </w:pPr>
      <w:r w:rsidRPr="007F4EE7">
        <w:rPr>
          <w:rFonts w:cstheme="minorHAnsi"/>
          <w:i/>
          <w:color w:val="414042" w:themeColor="text1"/>
        </w:rPr>
        <w:t>Contractual Payables – held at amortised cost</w:t>
      </w:r>
    </w:p>
    <w:p w14:paraId="1393E2AD" w14:textId="77777777" w:rsidR="00AB33EC" w:rsidRPr="003E75E2" w:rsidRDefault="00AB33EC" w:rsidP="0037124B">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ind w:firstLine="720"/>
        <w:rPr>
          <w:rFonts w:cstheme="minorHAnsi"/>
          <w:i/>
          <w:color w:val="414042" w:themeColor="text1"/>
        </w:rPr>
      </w:pPr>
      <w:r w:rsidRPr="007F4EE7">
        <w:rPr>
          <w:rFonts w:cstheme="minorHAnsi"/>
          <w:i/>
          <w:color w:val="414042" w:themeColor="text1"/>
        </w:rPr>
        <w:t>Lease Liabilities – held at amortised cost</w:t>
      </w:r>
    </w:p>
    <w:p w14:paraId="2B6BBFB8" w14:textId="77777777" w:rsidR="00AB33EC" w:rsidRPr="003E75E2" w:rsidRDefault="00AB33EC" w:rsidP="00AB33EC">
      <w:pPr>
        <w:pStyle w:val="Policyfollowingparas"/>
        <w:pBdr>
          <w:top w:val="single" w:sz="4" w:space="1" w:color="414042" w:themeColor="text1"/>
          <w:left w:val="single" w:sz="4" w:space="4" w:color="414042" w:themeColor="text1"/>
          <w:bottom w:val="single" w:sz="4" w:space="1" w:color="414042" w:themeColor="text1"/>
          <w:right w:val="single" w:sz="4" w:space="4" w:color="414042" w:themeColor="text1"/>
        </w:pBdr>
        <w:spacing w:line="240" w:lineRule="auto"/>
        <w:ind w:firstLine="720"/>
        <w:rPr>
          <w:rFonts w:cstheme="minorHAnsi"/>
          <w:i/>
          <w:color w:val="414042" w:themeColor="text1"/>
        </w:rPr>
      </w:pPr>
    </w:p>
    <w:p w14:paraId="5FA6CA83" w14:textId="77777777" w:rsidR="00AB33EC" w:rsidRPr="003E75E2" w:rsidRDefault="00AB33EC" w:rsidP="00AB33EC">
      <w:pPr>
        <w:rPr>
          <w:rFonts w:asciiTheme="minorHAnsi" w:hAnsiTheme="minorHAnsi" w:cstheme="minorHAnsi"/>
          <w:color w:val="414042" w:themeColor="text1"/>
          <w:highlight w:val="yellow"/>
        </w:rPr>
      </w:pPr>
    </w:p>
    <w:p w14:paraId="1CB3E72C" w14:textId="77777777" w:rsidR="00AB33EC" w:rsidRPr="003E75E2" w:rsidRDefault="00AB33EC" w:rsidP="0037124B">
      <w:pPr>
        <w:pStyle w:val="Normalhanginglist105pt"/>
        <w:spacing w:line="240" w:lineRule="auto"/>
        <w:rPr>
          <w:rFonts w:cstheme="minorHAnsi"/>
          <w:color w:val="414042" w:themeColor="text1"/>
        </w:rPr>
      </w:pPr>
      <w:bookmarkStart w:id="1545" w:name="_Hlk172732377"/>
      <w:r w:rsidRPr="003E75E2">
        <w:rPr>
          <w:rFonts w:cstheme="minorHAnsi"/>
          <w:color w:val="414042" w:themeColor="text1"/>
        </w:rPr>
        <w:t>(a)</w:t>
      </w:r>
      <w:r w:rsidRPr="003E75E2">
        <w:rPr>
          <w:rFonts w:cstheme="minorHAnsi"/>
          <w:color w:val="414042" w:themeColor="text1"/>
        </w:rPr>
        <w:tab/>
        <w:t>Categorisation of Financial Instruments</w:t>
      </w:r>
    </w:p>
    <w:bookmarkEnd w:id="1545"/>
    <w:p w14:paraId="3CB845D2" w14:textId="77777777" w:rsidR="00AB33EC" w:rsidRPr="003E75E2" w:rsidRDefault="00AB33EC" w:rsidP="0037124B">
      <w:pPr>
        <w:pStyle w:val="Normalindent1stpara"/>
        <w:spacing w:line="240" w:lineRule="auto"/>
        <w:rPr>
          <w:rFonts w:cstheme="minorHAnsi"/>
          <w:color w:val="414042" w:themeColor="text1"/>
        </w:rPr>
      </w:pPr>
      <w:r w:rsidRPr="003E75E2">
        <w:rPr>
          <w:rFonts w:cstheme="minorHAnsi"/>
          <w:color w:val="414042" w:themeColor="text1"/>
        </w:rPr>
        <w:t>The CCC has the following categories of financial assets and financial liabilities:</w:t>
      </w:r>
    </w:p>
    <w:p w14:paraId="045B6408" w14:textId="77777777" w:rsidR="00AB33EC" w:rsidRPr="003E75E2" w:rsidRDefault="00AB33EC" w:rsidP="00AB33EC">
      <w:pPr>
        <w:pStyle w:val="Normalindent1stpara"/>
        <w:spacing w:line="240" w:lineRule="auto"/>
        <w:rPr>
          <w:rFonts w:cstheme="minorHAnsi"/>
          <w:color w:val="414042" w:themeColor="text1"/>
        </w:rPr>
      </w:pPr>
    </w:p>
    <w:p w14:paraId="4119391C" w14:textId="77777777" w:rsidR="00AB33EC" w:rsidRPr="003E75E2" w:rsidRDefault="00AB33EC" w:rsidP="00AB33EC">
      <w:pPr>
        <w:pStyle w:val="Normalindent1stpara"/>
        <w:spacing w:line="240" w:lineRule="auto"/>
        <w:rPr>
          <w:rFonts w:cstheme="minorHAnsi"/>
          <w:color w:val="414042" w:themeColor="text1"/>
        </w:rPr>
      </w:pPr>
    </w:p>
    <w:tbl>
      <w:tblPr>
        <w:tblW w:w="9100" w:type="dxa"/>
        <w:tblBorders>
          <w:top w:val="double" w:sz="4" w:space="0" w:color="auto"/>
          <w:left w:val="double" w:sz="4" w:space="0" w:color="auto"/>
          <w:bottom w:val="double" w:sz="4" w:space="0" w:color="auto"/>
          <w:right w:val="double" w:sz="4" w:space="0" w:color="auto"/>
        </w:tblBorders>
        <w:tblLayout w:type="fixed"/>
        <w:tblCellMar>
          <w:left w:w="0" w:type="dxa"/>
        </w:tblCellMar>
        <w:tblLook w:val="0000" w:firstRow="0" w:lastRow="0" w:firstColumn="0" w:lastColumn="0" w:noHBand="0" w:noVBand="0"/>
      </w:tblPr>
      <w:tblGrid>
        <w:gridCol w:w="5812"/>
        <w:gridCol w:w="850"/>
        <w:gridCol w:w="1134"/>
        <w:gridCol w:w="170"/>
        <w:gridCol w:w="1134"/>
      </w:tblGrid>
      <w:tr w:rsidR="00AB33EC" w:rsidRPr="003E75E2" w14:paraId="47429931" w14:textId="77777777" w:rsidTr="00B721B7">
        <w:trPr>
          <w:trHeight w:val="20"/>
        </w:trPr>
        <w:tc>
          <w:tcPr>
            <w:tcW w:w="5812" w:type="dxa"/>
            <w:tcBorders>
              <w:top w:val="nil"/>
              <w:left w:val="nil"/>
              <w:bottom w:val="nil"/>
            </w:tcBorders>
            <w:noWrap/>
            <w:tcMar>
              <w:left w:w="0" w:type="dxa"/>
              <w:right w:w="0" w:type="dxa"/>
            </w:tcMar>
            <w:vAlign w:val="bottom"/>
          </w:tcPr>
          <w:p w14:paraId="7FB0B578" w14:textId="77777777" w:rsidR="00AB33EC" w:rsidRPr="003E75E2" w:rsidRDefault="00AB33EC" w:rsidP="00B721B7">
            <w:pPr>
              <w:pStyle w:val="Normalindent1stpara"/>
              <w:spacing w:before="0" w:line="240" w:lineRule="auto"/>
              <w:rPr>
                <w:rFonts w:cstheme="minorHAnsi"/>
                <w:color w:val="414042" w:themeColor="text1"/>
                <w:lang w:eastAsia="en-AU"/>
              </w:rPr>
            </w:pPr>
          </w:p>
        </w:tc>
        <w:tc>
          <w:tcPr>
            <w:tcW w:w="850" w:type="dxa"/>
            <w:tcBorders>
              <w:top w:val="nil"/>
              <w:bottom w:val="nil"/>
            </w:tcBorders>
            <w:noWrap/>
            <w:tcMar>
              <w:left w:w="0" w:type="dxa"/>
              <w:right w:w="0" w:type="dxa"/>
            </w:tcMar>
            <w:vAlign w:val="bottom"/>
          </w:tcPr>
          <w:p w14:paraId="392EB5AE" w14:textId="77777777" w:rsidR="00AB33EC" w:rsidRPr="003E75E2" w:rsidRDefault="00AB33EC" w:rsidP="00B721B7">
            <w:pPr>
              <w:pStyle w:val="Normaltabletextcentred"/>
              <w:spacing w:line="240" w:lineRule="auto"/>
              <w:rPr>
                <w:rFonts w:cstheme="minorHAnsi"/>
                <w:b/>
                <w:color w:val="414042" w:themeColor="text1"/>
                <w:lang w:eastAsia="en-AU"/>
              </w:rPr>
            </w:pPr>
            <w:r w:rsidRPr="003E75E2">
              <w:rPr>
                <w:rFonts w:cstheme="minorHAnsi"/>
                <w:b/>
                <w:color w:val="414042" w:themeColor="text1"/>
                <w:lang w:eastAsia="en-AU"/>
              </w:rPr>
              <w:t>Note</w:t>
            </w:r>
          </w:p>
        </w:tc>
        <w:tc>
          <w:tcPr>
            <w:tcW w:w="1134" w:type="dxa"/>
            <w:tcBorders>
              <w:top w:val="nil"/>
              <w:bottom w:val="nil"/>
            </w:tcBorders>
            <w:shd w:val="clear" w:color="auto" w:fill="F1F1F2" w:themeFill="accent5" w:themeFillTint="33"/>
            <w:noWrap/>
            <w:tcMar>
              <w:left w:w="0" w:type="dxa"/>
              <w:right w:w="113" w:type="dxa"/>
            </w:tcMar>
            <w:vAlign w:val="bottom"/>
          </w:tcPr>
          <w:p w14:paraId="4FFC9C11"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2024</w:t>
            </w:r>
          </w:p>
        </w:tc>
        <w:tc>
          <w:tcPr>
            <w:tcW w:w="170" w:type="dxa"/>
            <w:tcBorders>
              <w:top w:val="nil"/>
              <w:bottom w:val="nil"/>
            </w:tcBorders>
            <w:noWrap/>
            <w:tcMar>
              <w:left w:w="0" w:type="dxa"/>
              <w:right w:w="0" w:type="dxa"/>
            </w:tcMar>
            <w:vAlign w:val="bottom"/>
          </w:tcPr>
          <w:p w14:paraId="28FC196F"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134" w:type="dxa"/>
            <w:tcBorders>
              <w:top w:val="nil"/>
              <w:bottom w:val="nil"/>
              <w:right w:val="nil"/>
            </w:tcBorders>
            <w:noWrap/>
            <w:tcMar>
              <w:left w:w="0" w:type="dxa"/>
              <w:right w:w="113" w:type="dxa"/>
            </w:tcMar>
            <w:vAlign w:val="bottom"/>
          </w:tcPr>
          <w:p w14:paraId="6A688852"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2023</w:t>
            </w:r>
          </w:p>
        </w:tc>
      </w:tr>
      <w:tr w:rsidR="00AB33EC" w:rsidRPr="003E75E2" w14:paraId="0F1656EE" w14:textId="77777777" w:rsidTr="00B721B7">
        <w:trPr>
          <w:trHeight w:val="20"/>
        </w:trPr>
        <w:tc>
          <w:tcPr>
            <w:tcW w:w="5812" w:type="dxa"/>
            <w:tcBorders>
              <w:top w:val="nil"/>
              <w:left w:val="nil"/>
              <w:bottom w:val="nil"/>
            </w:tcBorders>
            <w:noWrap/>
            <w:tcMar>
              <w:left w:w="0" w:type="dxa"/>
              <w:right w:w="0" w:type="dxa"/>
            </w:tcMar>
            <w:vAlign w:val="bottom"/>
          </w:tcPr>
          <w:p w14:paraId="60FBB9C0" w14:textId="77777777" w:rsidR="00AB33EC" w:rsidRPr="003E75E2" w:rsidRDefault="00AB33EC" w:rsidP="00B721B7">
            <w:pPr>
              <w:pStyle w:val="Normalindent1stpara"/>
              <w:spacing w:before="0" w:line="240" w:lineRule="auto"/>
              <w:rPr>
                <w:rFonts w:cstheme="minorHAnsi"/>
                <w:b/>
                <w:color w:val="414042" w:themeColor="text1"/>
                <w:lang w:eastAsia="en-AU"/>
              </w:rPr>
            </w:pPr>
          </w:p>
        </w:tc>
        <w:tc>
          <w:tcPr>
            <w:tcW w:w="850" w:type="dxa"/>
            <w:tcBorders>
              <w:top w:val="nil"/>
              <w:bottom w:val="nil"/>
            </w:tcBorders>
            <w:noWrap/>
            <w:tcMar>
              <w:left w:w="0" w:type="dxa"/>
              <w:right w:w="0" w:type="dxa"/>
            </w:tcMar>
            <w:vAlign w:val="bottom"/>
          </w:tcPr>
          <w:p w14:paraId="3411E97F"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134" w:type="dxa"/>
            <w:tcBorders>
              <w:top w:val="nil"/>
              <w:bottom w:val="nil"/>
            </w:tcBorders>
            <w:shd w:val="clear" w:color="auto" w:fill="F1F1F2" w:themeFill="accent5" w:themeFillTint="33"/>
            <w:noWrap/>
            <w:tcMar>
              <w:left w:w="0" w:type="dxa"/>
              <w:right w:w="113" w:type="dxa"/>
            </w:tcMar>
            <w:vAlign w:val="bottom"/>
          </w:tcPr>
          <w:p w14:paraId="2E377272"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$’000</w:t>
            </w:r>
          </w:p>
        </w:tc>
        <w:tc>
          <w:tcPr>
            <w:tcW w:w="170" w:type="dxa"/>
            <w:tcBorders>
              <w:top w:val="nil"/>
              <w:bottom w:val="nil"/>
            </w:tcBorders>
            <w:noWrap/>
            <w:tcMar>
              <w:left w:w="0" w:type="dxa"/>
              <w:right w:w="0" w:type="dxa"/>
            </w:tcMar>
            <w:vAlign w:val="bottom"/>
          </w:tcPr>
          <w:p w14:paraId="202E59EE"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134" w:type="dxa"/>
            <w:tcBorders>
              <w:top w:val="nil"/>
              <w:bottom w:val="nil"/>
              <w:right w:val="nil"/>
            </w:tcBorders>
            <w:noWrap/>
            <w:tcMar>
              <w:left w:w="0" w:type="dxa"/>
              <w:right w:w="113" w:type="dxa"/>
            </w:tcMar>
            <w:vAlign w:val="bottom"/>
          </w:tcPr>
          <w:p w14:paraId="2D3CC31F"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$’000</w:t>
            </w:r>
          </w:p>
        </w:tc>
      </w:tr>
      <w:tr w:rsidR="00AB33EC" w:rsidRPr="003E75E2" w14:paraId="085CD290" w14:textId="77777777" w:rsidTr="00B721B7">
        <w:trPr>
          <w:trHeight w:val="20"/>
        </w:trPr>
        <w:tc>
          <w:tcPr>
            <w:tcW w:w="5812" w:type="dxa"/>
            <w:tcBorders>
              <w:top w:val="nil"/>
              <w:left w:val="nil"/>
              <w:bottom w:val="nil"/>
            </w:tcBorders>
            <w:noWrap/>
            <w:tcMar>
              <w:left w:w="0" w:type="dxa"/>
              <w:right w:w="0" w:type="dxa"/>
            </w:tcMar>
            <w:vAlign w:val="bottom"/>
          </w:tcPr>
          <w:p w14:paraId="671193B1" w14:textId="77777777" w:rsidR="00AB33EC" w:rsidRPr="003E75E2" w:rsidRDefault="00AB33EC" w:rsidP="00B721B7">
            <w:pPr>
              <w:pStyle w:val="Normalindent1stpara"/>
              <w:spacing w:before="0" w:line="240" w:lineRule="auto"/>
              <w:rPr>
                <w:rFonts w:cstheme="minorHAnsi"/>
                <w:color w:val="414042" w:themeColor="text1"/>
                <w:lang w:eastAsia="en-AU"/>
              </w:rPr>
            </w:pPr>
          </w:p>
        </w:tc>
        <w:tc>
          <w:tcPr>
            <w:tcW w:w="850" w:type="dxa"/>
            <w:tcBorders>
              <w:top w:val="nil"/>
              <w:bottom w:val="nil"/>
            </w:tcBorders>
            <w:noWrap/>
            <w:tcMar>
              <w:left w:w="0" w:type="dxa"/>
              <w:right w:w="0" w:type="dxa"/>
            </w:tcMar>
            <w:vAlign w:val="bottom"/>
          </w:tcPr>
          <w:p w14:paraId="285BE616"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134" w:type="dxa"/>
            <w:tcBorders>
              <w:top w:val="nil"/>
              <w:bottom w:val="nil"/>
            </w:tcBorders>
            <w:shd w:val="clear" w:color="auto" w:fill="F1F1F2" w:themeFill="accent5" w:themeFillTint="33"/>
            <w:noWrap/>
            <w:tcMar>
              <w:left w:w="0" w:type="dxa"/>
              <w:right w:w="0" w:type="dxa"/>
            </w:tcMar>
            <w:vAlign w:val="bottom"/>
          </w:tcPr>
          <w:p w14:paraId="6896AC56" w14:textId="77777777" w:rsidR="00AB33EC" w:rsidRPr="003E75E2" w:rsidRDefault="00AB33EC" w:rsidP="00B721B7">
            <w:pPr>
              <w:pStyle w:val="Normaltabletext1stpararight"/>
              <w:spacing w:line="240" w:lineRule="auto"/>
              <w:rPr>
                <w:rFonts w:cstheme="minorHAnsi"/>
                <w:color w:val="414042" w:themeColor="text1"/>
                <w:lang w:eastAsia="en-AU"/>
              </w:rPr>
            </w:pPr>
          </w:p>
        </w:tc>
        <w:tc>
          <w:tcPr>
            <w:tcW w:w="170" w:type="dxa"/>
            <w:tcBorders>
              <w:top w:val="nil"/>
              <w:bottom w:val="nil"/>
            </w:tcBorders>
            <w:noWrap/>
            <w:tcMar>
              <w:left w:w="0" w:type="dxa"/>
              <w:right w:w="0" w:type="dxa"/>
            </w:tcMar>
            <w:vAlign w:val="bottom"/>
          </w:tcPr>
          <w:p w14:paraId="775E50FB"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134" w:type="dxa"/>
            <w:tcBorders>
              <w:top w:val="nil"/>
              <w:bottom w:val="nil"/>
              <w:right w:val="nil"/>
            </w:tcBorders>
            <w:noWrap/>
            <w:tcMar>
              <w:left w:w="0" w:type="dxa"/>
              <w:right w:w="0" w:type="dxa"/>
            </w:tcMar>
          </w:tcPr>
          <w:p w14:paraId="7855A30B" w14:textId="77777777" w:rsidR="00AB33EC" w:rsidRPr="003E75E2" w:rsidRDefault="00AB33EC" w:rsidP="00B721B7">
            <w:pPr>
              <w:pStyle w:val="Normaltabletext1stpararight"/>
              <w:spacing w:line="240" w:lineRule="auto"/>
              <w:rPr>
                <w:rFonts w:cstheme="minorHAnsi"/>
                <w:color w:val="414042" w:themeColor="text1"/>
                <w:lang w:eastAsia="en-AU"/>
              </w:rPr>
            </w:pPr>
          </w:p>
        </w:tc>
      </w:tr>
      <w:tr w:rsidR="00AB33EC" w:rsidRPr="003E75E2" w14:paraId="0300BF34" w14:textId="77777777" w:rsidTr="00B721B7">
        <w:trPr>
          <w:trHeight w:val="20"/>
        </w:trPr>
        <w:tc>
          <w:tcPr>
            <w:tcW w:w="5812" w:type="dxa"/>
            <w:tcBorders>
              <w:top w:val="nil"/>
              <w:left w:val="nil"/>
              <w:bottom w:val="nil"/>
            </w:tcBorders>
            <w:noWrap/>
            <w:tcMar>
              <w:left w:w="0" w:type="dxa"/>
              <w:right w:w="0" w:type="dxa"/>
            </w:tcMar>
            <w:vAlign w:val="bottom"/>
          </w:tcPr>
          <w:p w14:paraId="6C0691A3" w14:textId="77777777" w:rsidR="00AB33EC" w:rsidRPr="003E75E2" w:rsidRDefault="00AB33EC" w:rsidP="00B721B7">
            <w:pPr>
              <w:pStyle w:val="Normalindent1stpara"/>
              <w:spacing w:before="0" w:line="240" w:lineRule="auto"/>
              <w:rPr>
                <w:rFonts w:cstheme="minorHAnsi"/>
                <w:b/>
                <w:color w:val="414042" w:themeColor="text1"/>
                <w:lang w:eastAsia="en-AU"/>
              </w:rPr>
            </w:pPr>
            <w:r w:rsidRPr="003E75E2">
              <w:rPr>
                <w:rFonts w:cstheme="minorHAnsi"/>
                <w:b/>
                <w:color w:val="414042" w:themeColor="text1"/>
                <w:lang w:eastAsia="en-AU"/>
              </w:rPr>
              <w:t>Financial assets</w:t>
            </w:r>
          </w:p>
        </w:tc>
        <w:tc>
          <w:tcPr>
            <w:tcW w:w="850" w:type="dxa"/>
            <w:tcBorders>
              <w:top w:val="nil"/>
              <w:bottom w:val="nil"/>
            </w:tcBorders>
            <w:noWrap/>
            <w:tcMar>
              <w:left w:w="0" w:type="dxa"/>
              <w:right w:w="0" w:type="dxa"/>
            </w:tcMar>
            <w:vAlign w:val="bottom"/>
          </w:tcPr>
          <w:p w14:paraId="530E0450"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134" w:type="dxa"/>
            <w:tcBorders>
              <w:top w:val="nil"/>
              <w:bottom w:val="nil"/>
            </w:tcBorders>
            <w:shd w:val="clear" w:color="auto" w:fill="F1F1F2" w:themeFill="accent5" w:themeFillTint="33"/>
            <w:noWrap/>
            <w:tcMar>
              <w:left w:w="0" w:type="dxa"/>
              <w:right w:w="0" w:type="dxa"/>
            </w:tcMar>
            <w:vAlign w:val="bottom"/>
          </w:tcPr>
          <w:p w14:paraId="5BC852B1" w14:textId="77777777" w:rsidR="00AB33EC" w:rsidRPr="003E75E2" w:rsidRDefault="00AB33EC" w:rsidP="00B721B7">
            <w:pPr>
              <w:pStyle w:val="Normaltabletext1stpararight"/>
              <w:spacing w:line="240" w:lineRule="auto"/>
              <w:rPr>
                <w:rFonts w:cstheme="minorHAnsi"/>
                <w:color w:val="414042" w:themeColor="text1"/>
                <w:lang w:eastAsia="en-AU"/>
              </w:rPr>
            </w:pPr>
          </w:p>
        </w:tc>
        <w:tc>
          <w:tcPr>
            <w:tcW w:w="170" w:type="dxa"/>
            <w:tcBorders>
              <w:top w:val="nil"/>
              <w:bottom w:val="nil"/>
            </w:tcBorders>
            <w:noWrap/>
            <w:tcMar>
              <w:left w:w="0" w:type="dxa"/>
              <w:right w:w="0" w:type="dxa"/>
            </w:tcMar>
            <w:vAlign w:val="bottom"/>
          </w:tcPr>
          <w:p w14:paraId="2F194424"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134" w:type="dxa"/>
            <w:tcBorders>
              <w:top w:val="nil"/>
              <w:bottom w:val="nil"/>
              <w:right w:val="nil"/>
            </w:tcBorders>
            <w:noWrap/>
            <w:tcMar>
              <w:left w:w="0" w:type="dxa"/>
              <w:right w:w="0" w:type="dxa"/>
            </w:tcMar>
          </w:tcPr>
          <w:p w14:paraId="7757EBDF" w14:textId="77777777" w:rsidR="00AB33EC" w:rsidRPr="003E75E2" w:rsidRDefault="00AB33EC" w:rsidP="00B721B7">
            <w:pPr>
              <w:pStyle w:val="Normaltabletext1stpararight"/>
              <w:spacing w:line="240" w:lineRule="auto"/>
              <w:rPr>
                <w:rFonts w:cstheme="minorHAnsi"/>
                <w:color w:val="414042" w:themeColor="text1"/>
                <w:lang w:eastAsia="en-AU"/>
              </w:rPr>
            </w:pPr>
          </w:p>
        </w:tc>
      </w:tr>
      <w:tr w:rsidR="00AB33EC" w:rsidRPr="003E75E2" w14:paraId="45604F29" w14:textId="77777777" w:rsidTr="00B721B7">
        <w:trPr>
          <w:trHeight w:val="20"/>
        </w:trPr>
        <w:tc>
          <w:tcPr>
            <w:tcW w:w="5812" w:type="dxa"/>
            <w:tcBorders>
              <w:top w:val="nil"/>
              <w:left w:val="nil"/>
              <w:bottom w:val="nil"/>
            </w:tcBorders>
            <w:noWrap/>
            <w:tcMar>
              <w:left w:w="0" w:type="dxa"/>
              <w:right w:w="0" w:type="dxa"/>
            </w:tcMar>
            <w:vAlign w:val="bottom"/>
          </w:tcPr>
          <w:p w14:paraId="4EB3E4AA" w14:textId="77777777" w:rsidR="00AB33EC" w:rsidRPr="003E75E2" w:rsidRDefault="00AB33EC" w:rsidP="00B721B7">
            <w:pPr>
              <w:pStyle w:val="Normalindent1stpara"/>
              <w:spacing w:before="0" w:line="240" w:lineRule="auto"/>
              <w:rPr>
                <w:rFonts w:cstheme="minorHAnsi"/>
                <w:color w:val="414042" w:themeColor="text1"/>
                <w:lang w:eastAsia="en-AU"/>
              </w:rPr>
            </w:pPr>
            <w:r w:rsidRPr="003E75E2">
              <w:rPr>
                <w:rFonts w:cstheme="minorHAnsi"/>
                <w:color w:val="414042" w:themeColor="text1"/>
                <w:lang w:eastAsia="en-AU"/>
              </w:rPr>
              <w:t>Cash and cash equivalents</w:t>
            </w:r>
          </w:p>
        </w:tc>
        <w:tc>
          <w:tcPr>
            <w:tcW w:w="850" w:type="dxa"/>
            <w:tcBorders>
              <w:top w:val="nil"/>
              <w:bottom w:val="nil"/>
            </w:tcBorders>
            <w:noWrap/>
            <w:tcMar>
              <w:left w:w="0" w:type="dxa"/>
              <w:right w:w="0" w:type="dxa"/>
            </w:tcMar>
            <w:vAlign w:val="bottom"/>
          </w:tcPr>
          <w:p w14:paraId="66581F21" w14:textId="77777777" w:rsidR="00AB33EC" w:rsidRPr="003E75E2" w:rsidRDefault="00AB33EC" w:rsidP="00B721B7">
            <w:pPr>
              <w:pStyle w:val="Normaltabletextcentred"/>
              <w:spacing w:line="240" w:lineRule="auto"/>
              <w:rPr>
                <w:rFonts w:cstheme="minorHAnsi"/>
                <w:color w:val="414042" w:themeColor="text1"/>
                <w:lang w:eastAsia="en-AU"/>
              </w:rPr>
            </w:pPr>
            <w:r w:rsidRPr="003E75E2">
              <w:rPr>
                <w:rFonts w:cstheme="minorHAnsi"/>
                <w:color w:val="414042" w:themeColor="text1"/>
                <w:lang w:eastAsia="en-AU"/>
              </w:rPr>
              <w:t>7</w:t>
            </w:r>
          </w:p>
        </w:tc>
        <w:tc>
          <w:tcPr>
            <w:tcW w:w="1134" w:type="dxa"/>
            <w:tcBorders>
              <w:top w:val="nil"/>
              <w:bottom w:val="nil"/>
            </w:tcBorders>
            <w:shd w:val="clear" w:color="auto" w:fill="F1F1F2" w:themeFill="accent5" w:themeFillTint="33"/>
            <w:noWrap/>
            <w:tcMar>
              <w:left w:w="0" w:type="dxa"/>
              <w:right w:w="113" w:type="dxa"/>
            </w:tcMar>
            <w:vAlign w:val="bottom"/>
          </w:tcPr>
          <w:p w14:paraId="5DAF2FDF"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25,931</w:t>
            </w:r>
          </w:p>
        </w:tc>
        <w:tc>
          <w:tcPr>
            <w:tcW w:w="170" w:type="dxa"/>
            <w:tcBorders>
              <w:top w:val="nil"/>
              <w:bottom w:val="nil"/>
            </w:tcBorders>
            <w:noWrap/>
            <w:tcMar>
              <w:left w:w="0" w:type="dxa"/>
              <w:right w:w="0" w:type="dxa"/>
            </w:tcMar>
            <w:vAlign w:val="bottom"/>
          </w:tcPr>
          <w:p w14:paraId="24CC53A8"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134" w:type="dxa"/>
            <w:tcBorders>
              <w:top w:val="nil"/>
              <w:bottom w:val="nil"/>
              <w:right w:val="nil"/>
            </w:tcBorders>
            <w:shd w:val="clear" w:color="auto" w:fill="auto"/>
            <w:noWrap/>
            <w:tcMar>
              <w:left w:w="0" w:type="dxa"/>
              <w:right w:w="113" w:type="dxa"/>
            </w:tcMar>
            <w:vAlign w:val="bottom"/>
          </w:tcPr>
          <w:p w14:paraId="4DB21F1C"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25,215</w:t>
            </w:r>
          </w:p>
        </w:tc>
      </w:tr>
      <w:tr w:rsidR="00AB33EC" w:rsidRPr="003E75E2" w14:paraId="1925AFDA" w14:textId="77777777" w:rsidTr="00B721B7">
        <w:trPr>
          <w:trHeight w:val="20"/>
        </w:trPr>
        <w:tc>
          <w:tcPr>
            <w:tcW w:w="5812" w:type="dxa"/>
            <w:tcBorders>
              <w:top w:val="nil"/>
              <w:left w:val="nil"/>
              <w:bottom w:val="nil"/>
            </w:tcBorders>
            <w:noWrap/>
            <w:tcMar>
              <w:left w:w="0" w:type="dxa"/>
              <w:right w:w="0" w:type="dxa"/>
            </w:tcMar>
            <w:vAlign w:val="bottom"/>
          </w:tcPr>
          <w:p w14:paraId="1AC9B781" w14:textId="77777777" w:rsidR="00AB33EC" w:rsidRPr="003E75E2" w:rsidRDefault="00AB33EC" w:rsidP="00B721B7">
            <w:pPr>
              <w:pStyle w:val="Normalindent1stpara"/>
              <w:spacing w:before="0" w:line="240" w:lineRule="auto"/>
              <w:rPr>
                <w:rFonts w:cstheme="minorHAnsi"/>
                <w:color w:val="414042" w:themeColor="text1"/>
                <w:lang w:eastAsia="en-AU"/>
              </w:rPr>
            </w:pPr>
            <w:r w:rsidRPr="003E75E2">
              <w:rPr>
                <w:rFonts w:cstheme="minorHAnsi"/>
                <w:color w:val="414042" w:themeColor="text1"/>
                <w:lang w:eastAsia="en-AU"/>
              </w:rPr>
              <w:t>Contractual receivables</w:t>
            </w:r>
          </w:p>
        </w:tc>
        <w:tc>
          <w:tcPr>
            <w:tcW w:w="850" w:type="dxa"/>
            <w:tcBorders>
              <w:top w:val="nil"/>
              <w:bottom w:val="nil"/>
            </w:tcBorders>
            <w:noWrap/>
            <w:tcMar>
              <w:left w:w="0" w:type="dxa"/>
              <w:right w:w="0" w:type="dxa"/>
            </w:tcMar>
            <w:vAlign w:val="bottom"/>
          </w:tcPr>
          <w:p w14:paraId="4791A103"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134" w:type="dxa"/>
            <w:tcBorders>
              <w:top w:val="nil"/>
              <w:bottom w:val="single" w:sz="4" w:space="0" w:color="auto"/>
            </w:tcBorders>
            <w:shd w:val="clear" w:color="auto" w:fill="F1F1F2" w:themeFill="accent5" w:themeFillTint="33"/>
            <w:noWrap/>
            <w:tcMar>
              <w:left w:w="0" w:type="dxa"/>
              <w:right w:w="113" w:type="dxa"/>
            </w:tcMar>
            <w:vAlign w:val="bottom"/>
          </w:tcPr>
          <w:p w14:paraId="38DABF11" w14:textId="77777777"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890</w:t>
            </w:r>
          </w:p>
        </w:tc>
        <w:tc>
          <w:tcPr>
            <w:tcW w:w="170" w:type="dxa"/>
            <w:tcBorders>
              <w:top w:val="nil"/>
              <w:bottom w:val="nil"/>
            </w:tcBorders>
            <w:noWrap/>
            <w:tcMar>
              <w:left w:w="0" w:type="dxa"/>
              <w:right w:w="0" w:type="dxa"/>
            </w:tcMar>
            <w:vAlign w:val="bottom"/>
          </w:tcPr>
          <w:p w14:paraId="3AE0B3E3"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134" w:type="dxa"/>
            <w:tcBorders>
              <w:top w:val="nil"/>
              <w:bottom w:val="single" w:sz="4" w:space="0" w:color="auto"/>
              <w:right w:val="nil"/>
            </w:tcBorders>
            <w:shd w:val="clear" w:color="auto" w:fill="auto"/>
            <w:noWrap/>
            <w:tcMar>
              <w:left w:w="0" w:type="dxa"/>
              <w:right w:w="113" w:type="dxa"/>
            </w:tcMar>
            <w:vAlign w:val="bottom"/>
          </w:tcPr>
          <w:p w14:paraId="5961D498"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757</w:t>
            </w:r>
          </w:p>
        </w:tc>
      </w:tr>
      <w:tr w:rsidR="00AB33EC" w:rsidRPr="003E75E2" w14:paraId="27136CF4" w14:textId="77777777" w:rsidTr="00B721B7">
        <w:trPr>
          <w:trHeight w:val="20"/>
        </w:trPr>
        <w:tc>
          <w:tcPr>
            <w:tcW w:w="5812" w:type="dxa"/>
            <w:tcBorders>
              <w:top w:val="nil"/>
              <w:left w:val="nil"/>
              <w:bottom w:val="nil"/>
            </w:tcBorders>
            <w:noWrap/>
            <w:tcMar>
              <w:left w:w="0" w:type="dxa"/>
              <w:right w:w="0" w:type="dxa"/>
            </w:tcMar>
            <w:vAlign w:val="bottom"/>
          </w:tcPr>
          <w:p w14:paraId="55D7EF7F" w14:textId="77777777" w:rsidR="00AB33EC" w:rsidRPr="003E75E2" w:rsidRDefault="00AB33EC" w:rsidP="00B721B7">
            <w:pPr>
              <w:pStyle w:val="Normalindent1stpara"/>
              <w:spacing w:before="0" w:line="240" w:lineRule="auto"/>
              <w:rPr>
                <w:rFonts w:cstheme="minorHAnsi"/>
                <w:b/>
                <w:color w:val="414042" w:themeColor="text1"/>
                <w:lang w:eastAsia="en-AU"/>
              </w:rPr>
            </w:pPr>
            <w:r w:rsidRPr="003E75E2">
              <w:rPr>
                <w:rFonts w:cstheme="minorHAnsi"/>
                <w:b/>
                <w:color w:val="414042" w:themeColor="text1"/>
                <w:lang w:eastAsia="en-AU"/>
              </w:rPr>
              <w:t>Total</w:t>
            </w:r>
          </w:p>
        </w:tc>
        <w:tc>
          <w:tcPr>
            <w:tcW w:w="850" w:type="dxa"/>
            <w:tcBorders>
              <w:top w:val="nil"/>
              <w:bottom w:val="nil"/>
            </w:tcBorders>
            <w:noWrap/>
            <w:tcMar>
              <w:left w:w="0" w:type="dxa"/>
              <w:right w:w="0" w:type="dxa"/>
            </w:tcMar>
            <w:vAlign w:val="bottom"/>
          </w:tcPr>
          <w:p w14:paraId="580BC8E8"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134" w:type="dxa"/>
            <w:tcBorders>
              <w:top w:val="single" w:sz="4" w:space="0" w:color="auto"/>
              <w:bottom w:val="double" w:sz="4" w:space="0" w:color="auto"/>
            </w:tcBorders>
            <w:shd w:val="clear" w:color="auto" w:fill="F1F1F2" w:themeFill="accent5" w:themeFillTint="33"/>
            <w:noWrap/>
            <w:tcMar>
              <w:left w:w="0" w:type="dxa"/>
              <w:right w:w="113" w:type="dxa"/>
            </w:tcMar>
            <w:vAlign w:val="bottom"/>
          </w:tcPr>
          <w:p w14:paraId="57274A17" w14:textId="77777777" w:rsidR="00AB33EC" w:rsidRPr="003E75E2" w:rsidRDefault="00AB33EC" w:rsidP="00B721B7">
            <w:pPr>
              <w:pStyle w:val="Normaltabletext1stpararight"/>
              <w:spacing w:line="240" w:lineRule="auto"/>
              <w:rPr>
                <w:rFonts w:cstheme="minorHAnsi"/>
                <w:b/>
                <w:color w:val="414042" w:themeColor="text1"/>
                <w:lang w:eastAsia="en-AU"/>
              </w:rPr>
            </w:pPr>
            <w:r>
              <w:rPr>
                <w:rFonts w:cstheme="minorHAnsi"/>
                <w:b/>
                <w:color w:val="414042" w:themeColor="text1"/>
                <w:lang w:eastAsia="en-AU"/>
              </w:rPr>
              <w:t>26,821</w:t>
            </w:r>
          </w:p>
        </w:tc>
        <w:tc>
          <w:tcPr>
            <w:tcW w:w="170" w:type="dxa"/>
            <w:tcBorders>
              <w:top w:val="nil"/>
              <w:bottom w:val="nil"/>
            </w:tcBorders>
            <w:noWrap/>
            <w:tcMar>
              <w:left w:w="0" w:type="dxa"/>
              <w:right w:w="0" w:type="dxa"/>
            </w:tcMar>
            <w:vAlign w:val="bottom"/>
          </w:tcPr>
          <w:p w14:paraId="19523E15"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134" w:type="dxa"/>
            <w:tcBorders>
              <w:top w:val="single" w:sz="4" w:space="0" w:color="auto"/>
              <w:bottom w:val="double" w:sz="4" w:space="0" w:color="auto"/>
              <w:right w:val="nil"/>
            </w:tcBorders>
            <w:shd w:val="clear" w:color="auto" w:fill="auto"/>
            <w:noWrap/>
            <w:tcMar>
              <w:left w:w="0" w:type="dxa"/>
              <w:right w:w="113" w:type="dxa"/>
            </w:tcMar>
            <w:vAlign w:val="bottom"/>
          </w:tcPr>
          <w:p w14:paraId="03246A6C"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25,972</w:t>
            </w:r>
          </w:p>
        </w:tc>
      </w:tr>
      <w:tr w:rsidR="00AB33EC" w:rsidRPr="003E75E2" w14:paraId="6EE6955D" w14:textId="77777777" w:rsidTr="00B721B7">
        <w:trPr>
          <w:trHeight w:val="20"/>
        </w:trPr>
        <w:tc>
          <w:tcPr>
            <w:tcW w:w="5812" w:type="dxa"/>
            <w:tcBorders>
              <w:top w:val="nil"/>
              <w:left w:val="nil"/>
              <w:bottom w:val="nil"/>
            </w:tcBorders>
            <w:noWrap/>
            <w:tcMar>
              <w:left w:w="0" w:type="dxa"/>
              <w:right w:w="0" w:type="dxa"/>
            </w:tcMar>
            <w:vAlign w:val="bottom"/>
          </w:tcPr>
          <w:p w14:paraId="2F479D91" w14:textId="77777777" w:rsidR="00AB33EC" w:rsidRPr="003E75E2" w:rsidRDefault="00AB33EC" w:rsidP="00B721B7">
            <w:pPr>
              <w:pStyle w:val="Normalindent1stpara"/>
              <w:spacing w:before="0" w:line="240" w:lineRule="auto"/>
              <w:rPr>
                <w:rFonts w:cstheme="minorHAnsi"/>
                <w:b/>
                <w:color w:val="414042" w:themeColor="text1"/>
                <w:lang w:eastAsia="en-AU"/>
              </w:rPr>
            </w:pPr>
            <w:r w:rsidRPr="003E75E2">
              <w:rPr>
                <w:rFonts w:cstheme="minorHAnsi"/>
                <w:b/>
                <w:color w:val="414042" w:themeColor="text1"/>
                <w:lang w:eastAsia="en-AU"/>
              </w:rPr>
              <w:t>Financial liabilities</w:t>
            </w:r>
          </w:p>
        </w:tc>
        <w:tc>
          <w:tcPr>
            <w:tcW w:w="850" w:type="dxa"/>
            <w:tcBorders>
              <w:top w:val="nil"/>
              <w:bottom w:val="nil"/>
            </w:tcBorders>
            <w:noWrap/>
            <w:tcMar>
              <w:left w:w="0" w:type="dxa"/>
              <w:right w:w="0" w:type="dxa"/>
            </w:tcMar>
            <w:vAlign w:val="bottom"/>
          </w:tcPr>
          <w:p w14:paraId="697494BF"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134" w:type="dxa"/>
            <w:tcBorders>
              <w:top w:val="nil"/>
              <w:bottom w:val="nil"/>
            </w:tcBorders>
            <w:shd w:val="clear" w:color="auto" w:fill="F1F1F2" w:themeFill="accent5" w:themeFillTint="33"/>
            <w:noWrap/>
            <w:tcMar>
              <w:left w:w="0" w:type="dxa"/>
              <w:right w:w="113" w:type="dxa"/>
            </w:tcMar>
            <w:vAlign w:val="bottom"/>
          </w:tcPr>
          <w:p w14:paraId="387B51C2" w14:textId="77777777" w:rsidR="00AB33EC" w:rsidRPr="003E75E2" w:rsidRDefault="00AB33EC" w:rsidP="00B721B7">
            <w:pPr>
              <w:pStyle w:val="Normaltabletext1stpararight"/>
              <w:spacing w:line="240" w:lineRule="auto"/>
              <w:rPr>
                <w:rFonts w:cstheme="minorHAnsi"/>
                <w:color w:val="414042" w:themeColor="text1"/>
                <w:lang w:eastAsia="en-AU"/>
              </w:rPr>
            </w:pPr>
          </w:p>
        </w:tc>
        <w:tc>
          <w:tcPr>
            <w:tcW w:w="170" w:type="dxa"/>
            <w:tcBorders>
              <w:top w:val="nil"/>
              <w:bottom w:val="nil"/>
            </w:tcBorders>
            <w:noWrap/>
            <w:tcMar>
              <w:left w:w="0" w:type="dxa"/>
              <w:right w:w="0" w:type="dxa"/>
            </w:tcMar>
            <w:vAlign w:val="bottom"/>
          </w:tcPr>
          <w:p w14:paraId="6DFC484E"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134" w:type="dxa"/>
            <w:tcBorders>
              <w:top w:val="nil"/>
              <w:bottom w:val="nil"/>
              <w:right w:val="nil"/>
            </w:tcBorders>
            <w:shd w:val="clear" w:color="auto" w:fill="auto"/>
            <w:noWrap/>
            <w:tcMar>
              <w:left w:w="0" w:type="dxa"/>
              <w:right w:w="113" w:type="dxa"/>
            </w:tcMar>
            <w:vAlign w:val="bottom"/>
          </w:tcPr>
          <w:p w14:paraId="026EC775" w14:textId="77777777" w:rsidR="00AB33EC" w:rsidRPr="003E75E2" w:rsidRDefault="00AB33EC" w:rsidP="00B721B7">
            <w:pPr>
              <w:pStyle w:val="Normaltabletext1stpararight"/>
              <w:spacing w:line="240" w:lineRule="auto"/>
              <w:rPr>
                <w:rFonts w:cstheme="minorHAnsi"/>
                <w:color w:val="414042" w:themeColor="text1"/>
                <w:lang w:eastAsia="en-AU"/>
              </w:rPr>
            </w:pPr>
          </w:p>
        </w:tc>
      </w:tr>
      <w:tr w:rsidR="00AB33EC" w:rsidRPr="003E75E2" w14:paraId="3B7C6237" w14:textId="77777777" w:rsidTr="00B721B7">
        <w:trPr>
          <w:trHeight w:val="20"/>
        </w:trPr>
        <w:tc>
          <w:tcPr>
            <w:tcW w:w="5812" w:type="dxa"/>
            <w:tcBorders>
              <w:top w:val="nil"/>
              <w:left w:val="nil"/>
              <w:bottom w:val="nil"/>
            </w:tcBorders>
            <w:noWrap/>
            <w:tcMar>
              <w:left w:w="0" w:type="dxa"/>
              <w:right w:w="0" w:type="dxa"/>
            </w:tcMar>
            <w:vAlign w:val="bottom"/>
          </w:tcPr>
          <w:p w14:paraId="1EFD0408" w14:textId="77777777" w:rsidR="00AB33EC" w:rsidRPr="003E75E2" w:rsidRDefault="00AB33EC" w:rsidP="00B721B7">
            <w:pPr>
              <w:pStyle w:val="Normalindent1stpara"/>
              <w:spacing w:before="0" w:line="240" w:lineRule="auto"/>
              <w:rPr>
                <w:rFonts w:cstheme="minorHAnsi"/>
                <w:color w:val="414042" w:themeColor="text1"/>
                <w:lang w:eastAsia="en-AU"/>
              </w:rPr>
            </w:pPr>
            <w:r w:rsidRPr="003E75E2">
              <w:rPr>
                <w:rFonts w:cstheme="minorHAnsi"/>
                <w:color w:val="414042" w:themeColor="text1"/>
                <w:lang w:eastAsia="en-AU"/>
              </w:rPr>
              <w:t>Contractual payables</w:t>
            </w:r>
          </w:p>
        </w:tc>
        <w:tc>
          <w:tcPr>
            <w:tcW w:w="850" w:type="dxa"/>
            <w:tcBorders>
              <w:top w:val="nil"/>
              <w:bottom w:val="nil"/>
            </w:tcBorders>
            <w:noWrap/>
            <w:tcMar>
              <w:left w:w="0" w:type="dxa"/>
              <w:right w:w="0" w:type="dxa"/>
            </w:tcMar>
            <w:vAlign w:val="bottom"/>
          </w:tcPr>
          <w:p w14:paraId="6B905908" w14:textId="77777777" w:rsidR="00AB33EC" w:rsidRPr="003E75E2" w:rsidRDefault="00AB33EC" w:rsidP="00B721B7">
            <w:pPr>
              <w:pStyle w:val="Normaltabletextcentred"/>
              <w:spacing w:line="240" w:lineRule="auto"/>
              <w:rPr>
                <w:rFonts w:cstheme="minorHAnsi"/>
                <w:color w:val="414042" w:themeColor="text1"/>
                <w:lang w:eastAsia="en-AU"/>
              </w:rPr>
            </w:pPr>
            <w:r w:rsidRPr="003E75E2">
              <w:rPr>
                <w:rFonts w:cstheme="minorHAnsi"/>
                <w:color w:val="414042" w:themeColor="text1"/>
                <w:lang w:eastAsia="en-AU"/>
              </w:rPr>
              <w:t>1</w:t>
            </w:r>
            <w:r>
              <w:rPr>
                <w:rFonts w:cstheme="minorHAnsi"/>
                <w:color w:val="414042" w:themeColor="text1"/>
                <w:lang w:eastAsia="en-AU"/>
              </w:rPr>
              <w:t>1</w:t>
            </w:r>
          </w:p>
        </w:tc>
        <w:tc>
          <w:tcPr>
            <w:tcW w:w="1134" w:type="dxa"/>
            <w:tcBorders>
              <w:top w:val="nil"/>
              <w:bottom w:val="nil"/>
            </w:tcBorders>
            <w:shd w:val="clear" w:color="auto" w:fill="F1F1F2" w:themeFill="accent5" w:themeFillTint="33"/>
            <w:noWrap/>
            <w:tcMar>
              <w:left w:w="0" w:type="dxa"/>
              <w:right w:w="113" w:type="dxa"/>
            </w:tcMar>
            <w:vAlign w:val="bottom"/>
          </w:tcPr>
          <w:p w14:paraId="1BB4759B" w14:textId="76ABFFF8"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2,</w:t>
            </w:r>
            <w:r w:rsidR="007E553A">
              <w:rPr>
                <w:rFonts w:cstheme="minorHAnsi"/>
                <w:color w:val="414042" w:themeColor="text1"/>
                <w:lang w:eastAsia="en-AU"/>
              </w:rPr>
              <w:t>01</w:t>
            </w:r>
            <w:r>
              <w:rPr>
                <w:rFonts w:cstheme="minorHAnsi"/>
                <w:color w:val="414042" w:themeColor="text1"/>
                <w:lang w:eastAsia="en-AU"/>
              </w:rPr>
              <w:t>2</w:t>
            </w:r>
          </w:p>
        </w:tc>
        <w:tc>
          <w:tcPr>
            <w:tcW w:w="170" w:type="dxa"/>
            <w:tcBorders>
              <w:top w:val="nil"/>
              <w:bottom w:val="nil"/>
            </w:tcBorders>
            <w:noWrap/>
            <w:tcMar>
              <w:left w:w="0" w:type="dxa"/>
              <w:right w:w="0" w:type="dxa"/>
            </w:tcMar>
            <w:vAlign w:val="bottom"/>
          </w:tcPr>
          <w:p w14:paraId="75106BC9"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134" w:type="dxa"/>
            <w:tcBorders>
              <w:top w:val="nil"/>
              <w:bottom w:val="nil"/>
              <w:right w:val="nil"/>
            </w:tcBorders>
            <w:shd w:val="clear" w:color="auto" w:fill="auto"/>
            <w:noWrap/>
            <w:tcMar>
              <w:left w:w="0" w:type="dxa"/>
              <w:right w:w="113" w:type="dxa"/>
            </w:tcMar>
            <w:vAlign w:val="bottom"/>
          </w:tcPr>
          <w:p w14:paraId="1203EBDE"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2,199</w:t>
            </w:r>
          </w:p>
        </w:tc>
      </w:tr>
      <w:tr w:rsidR="00AB33EC" w:rsidRPr="003E75E2" w14:paraId="6D60A13B" w14:textId="77777777" w:rsidTr="00B721B7">
        <w:trPr>
          <w:trHeight w:val="20"/>
        </w:trPr>
        <w:tc>
          <w:tcPr>
            <w:tcW w:w="5812" w:type="dxa"/>
            <w:tcBorders>
              <w:top w:val="nil"/>
              <w:left w:val="nil"/>
              <w:bottom w:val="nil"/>
            </w:tcBorders>
            <w:noWrap/>
            <w:tcMar>
              <w:left w:w="0" w:type="dxa"/>
              <w:right w:w="0" w:type="dxa"/>
            </w:tcMar>
            <w:vAlign w:val="bottom"/>
          </w:tcPr>
          <w:p w14:paraId="2DD0A528" w14:textId="77777777" w:rsidR="00AB33EC" w:rsidRPr="003E75E2" w:rsidRDefault="00AB33EC" w:rsidP="00B721B7">
            <w:pPr>
              <w:pStyle w:val="Normalindent1stpara"/>
              <w:spacing w:before="0" w:line="240" w:lineRule="auto"/>
              <w:rPr>
                <w:rFonts w:cstheme="minorHAnsi"/>
                <w:color w:val="414042" w:themeColor="text1"/>
                <w:lang w:eastAsia="en-AU"/>
              </w:rPr>
            </w:pPr>
            <w:r w:rsidRPr="003E75E2">
              <w:rPr>
                <w:rFonts w:cstheme="minorHAnsi"/>
                <w:color w:val="414042" w:themeColor="text1"/>
                <w:lang w:eastAsia="en-AU"/>
              </w:rPr>
              <w:t>Lease liabilities</w:t>
            </w:r>
          </w:p>
        </w:tc>
        <w:tc>
          <w:tcPr>
            <w:tcW w:w="850" w:type="dxa"/>
            <w:tcBorders>
              <w:top w:val="nil"/>
              <w:bottom w:val="nil"/>
            </w:tcBorders>
            <w:noWrap/>
            <w:tcMar>
              <w:left w:w="0" w:type="dxa"/>
              <w:right w:w="0" w:type="dxa"/>
            </w:tcMar>
            <w:vAlign w:val="bottom"/>
          </w:tcPr>
          <w:p w14:paraId="385CCCD1" w14:textId="77777777" w:rsidR="00AB33EC" w:rsidRPr="003E75E2" w:rsidRDefault="00AB33EC" w:rsidP="00B721B7">
            <w:pPr>
              <w:pStyle w:val="Normaltabletextcentred"/>
              <w:spacing w:line="240" w:lineRule="auto"/>
              <w:rPr>
                <w:rFonts w:cstheme="minorHAnsi"/>
                <w:color w:val="414042" w:themeColor="text1"/>
                <w:lang w:eastAsia="en-AU"/>
              </w:rPr>
            </w:pPr>
            <w:r w:rsidRPr="003E75E2">
              <w:rPr>
                <w:rFonts w:cstheme="minorHAnsi"/>
                <w:color w:val="414042" w:themeColor="text1"/>
                <w:lang w:eastAsia="en-AU"/>
              </w:rPr>
              <w:t>1</w:t>
            </w:r>
            <w:r>
              <w:rPr>
                <w:rFonts w:cstheme="minorHAnsi"/>
                <w:color w:val="414042" w:themeColor="text1"/>
                <w:lang w:eastAsia="en-AU"/>
              </w:rPr>
              <w:t>0</w:t>
            </w:r>
          </w:p>
        </w:tc>
        <w:tc>
          <w:tcPr>
            <w:tcW w:w="1134" w:type="dxa"/>
            <w:tcBorders>
              <w:top w:val="nil"/>
              <w:bottom w:val="nil"/>
            </w:tcBorders>
            <w:shd w:val="clear" w:color="auto" w:fill="F1F1F2" w:themeFill="accent5" w:themeFillTint="33"/>
            <w:noWrap/>
            <w:tcMar>
              <w:left w:w="0" w:type="dxa"/>
              <w:right w:w="113" w:type="dxa"/>
            </w:tcMar>
            <w:vAlign w:val="bottom"/>
          </w:tcPr>
          <w:p w14:paraId="5B2A4D3C" w14:textId="5779F2C1" w:rsidR="00AB33EC" w:rsidRPr="003E75E2" w:rsidRDefault="00AB33EC" w:rsidP="00B721B7">
            <w:pPr>
              <w:pStyle w:val="Normaltabletext1stpararight"/>
              <w:spacing w:line="240" w:lineRule="auto"/>
              <w:rPr>
                <w:rFonts w:cstheme="minorHAnsi"/>
                <w:color w:val="414042" w:themeColor="text1"/>
                <w:lang w:eastAsia="en-AU"/>
              </w:rPr>
            </w:pPr>
            <w:r>
              <w:rPr>
                <w:rFonts w:cstheme="minorHAnsi"/>
                <w:color w:val="414042" w:themeColor="text1"/>
                <w:lang w:eastAsia="en-AU"/>
              </w:rPr>
              <w:t>6</w:t>
            </w:r>
            <w:r w:rsidR="007E553A">
              <w:rPr>
                <w:rFonts w:cstheme="minorHAnsi"/>
                <w:color w:val="414042" w:themeColor="text1"/>
                <w:lang w:eastAsia="en-AU"/>
              </w:rPr>
              <w:t>6</w:t>
            </w:r>
            <w:r>
              <w:rPr>
                <w:rFonts w:cstheme="minorHAnsi"/>
                <w:color w:val="414042" w:themeColor="text1"/>
                <w:lang w:eastAsia="en-AU"/>
              </w:rPr>
              <w:t>8</w:t>
            </w:r>
          </w:p>
        </w:tc>
        <w:tc>
          <w:tcPr>
            <w:tcW w:w="170" w:type="dxa"/>
            <w:tcBorders>
              <w:top w:val="nil"/>
              <w:bottom w:val="nil"/>
            </w:tcBorders>
            <w:noWrap/>
            <w:tcMar>
              <w:left w:w="0" w:type="dxa"/>
              <w:right w:w="0" w:type="dxa"/>
            </w:tcMar>
            <w:vAlign w:val="bottom"/>
          </w:tcPr>
          <w:p w14:paraId="00E1D270" w14:textId="77777777" w:rsidR="00AB33EC" w:rsidRPr="003E75E2" w:rsidRDefault="00AB33EC" w:rsidP="00B721B7">
            <w:pPr>
              <w:pStyle w:val="Normaltabletextcentred"/>
              <w:spacing w:line="240" w:lineRule="auto"/>
              <w:rPr>
                <w:rFonts w:cstheme="minorHAnsi"/>
                <w:color w:val="414042" w:themeColor="text1"/>
                <w:lang w:eastAsia="en-AU"/>
              </w:rPr>
            </w:pPr>
          </w:p>
        </w:tc>
        <w:tc>
          <w:tcPr>
            <w:tcW w:w="1134" w:type="dxa"/>
            <w:tcBorders>
              <w:top w:val="nil"/>
              <w:bottom w:val="nil"/>
              <w:right w:val="nil"/>
            </w:tcBorders>
            <w:shd w:val="clear" w:color="auto" w:fill="auto"/>
            <w:noWrap/>
            <w:tcMar>
              <w:left w:w="0" w:type="dxa"/>
              <w:right w:w="113" w:type="dxa"/>
            </w:tcMar>
            <w:vAlign w:val="bottom"/>
          </w:tcPr>
          <w:p w14:paraId="7252CBC8" w14:textId="77777777" w:rsidR="00AB33EC" w:rsidRPr="003E75E2" w:rsidRDefault="00AB33EC" w:rsidP="00B721B7">
            <w:pPr>
              <w:pStyle w:val="Normaltabletext1stpararight"/>
              <w:spacing w:line="240" w:lineRule="auto"/>
              <w:rPr>
                <w:rFonts w:cstheme="minorHAnsi"/>
                <w:color w:val="414042" w:themeColor="text1"/>
                <w:lang w:eastAsia="en-AU"/>
              </w:rPr>
            </w:pPr>
            <w:r w:rsidRPr="003E75E2">
              <w:rPr>
                <w:rFonts w:cstheme="minorHAnsi"/>
                <w:color w:val="414042" w:themeColor="text1"/>
                <w:lang w:eastAsia="en-AU"/>
              </w:rPr>
              <w:t>968</w:t>
            </w:r>
          </w:p>
        </w:tc>
      </w:tr>
      <w:tr w:rsidR="00AB33EC" w:rsidRPr="003E75E2" w14:paraId="7276E052" w14:textId="77777777" w:rsidTr="00B721B7">
        <w:trPr>
          <w:trHeight w:val="20"/>
        </w:trPr>
        <w:tc>
          <w:tcPr>
            <w:tcW w:w="5812" w:type="dxa"/>
            <w:tcBorders>
              <w:top w:val="nil"/>
              <w:left w:val="nil"/>
              <w:bottom w:val="nil"/>
            </w:tcBorders>
            <w:noWrap/>
            <w:tcMar>
              <w:left w:w="0" w:type="dxa"/>
              <w:right w:w="0" w:type="dxa"/>
            </w:tcMar>
            <w:vAlign w:val="bottom"/>
          </w:tcPr>
          <w:p w14:paraId="2F163744" w14:textId="77777777" w:rsidR="00AB33EC" w:rsidRPr="003E75E2" w:rsidRDefault="00AB33EC" w:rsidP="00B721B7">
            <w:pPr>
              <w:pStyle w:val="Normalindent1stpara"/>
              <w:spacing w:before="0" w:line="240" w:lineRule="auto"/>
              <w:rPr>
                <w:rFonts w:cstheme="minorHAnsi"/>
                <w:b/>
                <w:color w:val="414042" w:themeColor="text1"/>
                <w:lang w:eastAsia="en-AU"/>
              </w:rPr>
            </w:pPr>
            <w:r w:rsidRPr="003E75E2">
              <w:rPr>
                <w:rFonts w:cstheme="minorHAnsi"/>
                <w:b/>
                <w:color w:val="414042" w:themeColor="text1"/>
                <w:lang w:eastAsia="en-AU"/>
              </w:rPr>
              <w:t>Total</w:t>
            </w:r>
          </w:p>
        </w:tc>
        <w:tc>
          <w:tcPr>
            <w:tcW w:w="850" w:type="dxa"/>
            <w:tcBorders>
              <w:top w:val="nil"/>
              <w:bottom w:val="nil"/>
            </w:tcBorders>
            <w:noWrap/>
            <w:tcMar>
              <w:left w:w="0" w:type="dxa"/>
              <w:right w:w="0" w:type="dxa"/>
            </w:tcMar>
            <w:vAlign w:val="bottom"/>
          </w:tcPr>
          <w:p w14:paraId="0252F5A9"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134" w:type="dxa"/>
            <w:tcBorders>
              <w:top w:val="single" w:sz="4" w:space="0" w:color="auto"/>
              <w:bottom w:val="double" w:sz="4" w:space="0" w:color="auto"/>
            </w:tcBorders>
            <w:shd w:val="clear" w:color="auto" w:fill="F1F1F2" w:themeFill="accent5" w:themeFillTint="33"/>
            <w:noWrap/>
            <w:tcMar>
              <w:left w:w="0" w:type="dxa"/>
              <w:right w:w="113" w:type="dxa"/>
            </w:tcMar>
            <w:vAlign w:val="bottom"/>
          </w:tcPr>
          <w:p w14:paraId="43A71296" w14:textId="333C337A" w:rsidR="00AB33EC" w:rsidRPr="003E75E2" w:rsidRDefault="00AB33EC" w:rsidP="00B721B7">
            <w:pPr>
              <w:pStyle w:val="Normaltabletext1stpararight"/>
              <w:spacing w:line="240" w:lineRule="auto"/>
              <w:rPr>
                <w:rFonts w:cstheme="minorHAnsi"/>
                <w:b/>
                <w:color w:val="414042" w:themeColor="text1"/>
                <w:lang w:eastAsia="en-AU"/>
              </w:rPr>
            </w:pPr>
            <w:r>
              <w:rPr>
                <w:rFonts w:cstheme="minorHAnsi"/>
                <w:b/>
                <w:color w:val="414042" w:themeColor="text1"/>
                <w:lang w:eastAsia="en-AU"/>
              </w:rPr>
              <w:t>2,</w:t>
            </w:r>
            <w:r w:rsidR="007E553A">
              <w:rPr>
                <w:rFonts w:cstheme="minorHAnsi"/>
                <w:b/>
                <w:color w:val="414042" w:themeColor="text1"/>
                <w:lang w:eastAsia="en-AU"/>
              </w:rPr>
              <w:t>68</w:t>
            </w:r>
            <w:r>
              <w:rPr>
                <w:rFonts w:cstheme="minorHAnsi"/>
                <w:b/>
                <w:color w:val="414042" w:themeColor="text1"/>
                <w:lang w:eastAsia="en-AU"/>
              </w:rPr>
              <w:t>0</w:t>
            </w:r>
          </w:p>
        </w:tc>
        <w:tc>
          <w:tcPr>
            <w:tcW w:w="170" w:type="dxa"/>
            <w:tcBorders>
              <w:top w:val="nil"/>
              <w:bottom w:val="nil"/>
            </w:tcBorders>
            <w:noWrap/>
            <w:tcMar>
              <w:left w:w="0" w:type="dxa"/>
              <w:right w:w="0" w:type="dxa"/>
            </w:tcMar>
            <w:vAlign w:val="bottom"/>
          </w:tcPr>
          <w:p w14:paraId="7B80D530" w14:textId="77777777" w:rsidR="00AB33EC" w:rsidRPr="003E75E2" w:rsidRDefault="00AB33EC" w:rsidP="00B721B7">
            <w:pPr>
              <w:pStyle w:val="Normaltabletextcentred"/>
              <w:spacing w:line="240" w:lineRule="auto"/>
              <w:rPr>
                <w:rFonts w:cstheme="minorHAnsi"/>
                <w:b/>
                <w:color w:val="414042" w:themeColor="text1"/>
                <w:lang w:eastAsia="en-AU"/>
              </w:rPr>
            </w:pPr>
          </w:p>
        </w:tc>
        <w:tc>
          <w:tcPr>
            <w:tcW w:w="1134" w:type="dxa"/>
            <w:tcBorders>
              <w:top w:val="single" w:sz="4" w:space="0" w:color="auto"/>
              <w:bottom w:val="double" w:sz="4" w:space="0" w:color="auto"/>
              <w:right w:val="nil"/>
            </w:tcBorders>
            <w:shd w:val="clear" w:color="auto" w:fill="auto"/>
            <w:noWrap/>
            <w:tcMar>
              <w:left w:w="0" w:type="dxa"/>
              <w:right w:w="113" w:type="dxa"/>
            </w:tcMar>
            <w:vAlign w:val="bottom"/>
          </w:tcPr>
          <w:p w14:paraId="187F9B56" w14:textId="77777777" w:rsidR="00AB33EC" w:rsidRPr="003E75E2" w:rsidRDefault="00AB33EC" w:rsidP="00B721B7">
            <w:pPr>
              <w:pStyle w:val="Normaltabletext1stpararight"/>
              <w:spacing w:line="240" w:lineRule="auto"/>
              <w:rPr>
                <w:rFonts w:cstheme="minorHAnsi"/>
                <w:b/>
                <w:color w:val="414042" w:themeColor="text1"/>
                <w:lang w:eastAsia="en-AU"/>
              </w:rPr>
            </w:pPr>
            <w:r w:rsidRPr="003E75E2">
              <w:rPr>
                <w:rFonts w:cstheme="minorHAnsi"/>
                <w:b/>
                <w:color w:val="414042" w:themeColor="text1"/>
                <w:lang w:eastAsia="en-AU"/>
              </w:rPr>
              <w:t>3,167</w:t>
            </w:r>
          </w:p>
        </w:tc>
      </w:tr>
    </w:tbl>
    <w:p w14:paraId="55889ED3" w14:textId="77777777" w:rsidR="00AB33EC" w:rsidRPr="003E75E2" w:rsidRDefault="00AB33EC" w:rsidP="00AB33EC">
      <w:pPr>
        <w:pStyle w:val="Normal1stpara"/>
        <w:spacing w:line="240" w:lineRule="auto"/>
        <w:rPr>
          <w:rFonts w:asciiTheme="minorHAnsi" w:hAnsiTheme="minorHAnsi" w:cstheme="minorHAnsi"/>
          <w:color w:val="414042" w:themeColor="text1"/>
        </w:rPr>
      </w:pPr>
    </w:p>
    <w:p w14:paraId="7541FA5D" w14:textId="77777777" w:rsidR="00AB33EC" w:rsidRPr="003E75E2" w:rsidRDefault="00AB33EC" w:rsidP="0037124B">
      <w:pPr>
        <w:pStyle w:val="Normalhanginglist105pt"/>
        <w:spacing w:line="240" w:lineRule="auto"/>
        <w:rPr>
          <w:rFonts w:cstheme="minorHAnsi"/>
          <w:color w:val="414042" w:themeColor="text1"/>
        </w:rPr>
      </w:pPr>
      <w:r w:rsidRPr="003E75E2">
        <w:rPr>
          <w:rFonts w:cstheme="minorHAnsi"/>
          <w:color w:val="414042" w:themeColor="text1"/>
        </w:rPr>
        <w:t>(b)</w:t>
      </w:r>
      <w:r w:rsidRPr="003E75E2">
        <w:rPr>
          <w:rFonts w:cstheme="minorHAnsi"/>
          <w:color w:val="414042" w:themeColor="text1"/>
        </w:rPr>
        <w:tab/>
        <w:t>Financial Risk Management</w:t>
      </w:r>
    </w:p>
    <w:p w14:paraId="7F2EA955" w14:textId="77777777" w:rsidR="00AB33EC" w:rsidRPr="003E75E2" w:rsidRDefault="00AB33EC" w:rsidP="0037124B">
      <w:pPr>
        <w:pStyle w:val="Normalindent1stpara"/>
        <w:spacing w:line="240" w:lineRule="auto"/>
        <w:rPr>
          <w:rFonts w:cstheme="minorHAnsi"/>
          <w:color w:val="414042" w:themeColor="text1"/>
          <w:lang w:eastAsia="en-AU"/>
        </w:rPr>
      </w:pPr>
    </w:p>
    <w:p w14:paraId="3C232348" w14:textId="77777777" w:rsidR="00AB33EC" w:rsidRPr="003E75E2" w:rsidRDefault="00AB33EC" w:rsidP="0037124B">
      <w:pPr>
        <w:pStyle w:val="Normalindent1stpara"/>
        <w:spacing w:line="240" w:lineRule="auto"/>
        <w:rPr>
          <w:rFonts w:cstheme="minorHAnsi"/>
          <w:color w:val="414042" w:themeColor="text1"/>
          <w:lang w:eastAsia="en-AU"/>
        </w:rPr>
      </w:pPr>
      <w:r w:rsidRPr="003E75E2">
        <w:rPr>
          <w:rFonts w:cstheme="minorHAnsi"/>
          <w:color w:val="414042" w:themeColor="text1"/>
          <w:lang w:eastAsia="en-AU"/>
        </w:rPr>
        <w:t xml:space="preserve">The CCC’s activities expose it to a variety of financial risks — interest rate risk, credit risk, liquidity risk and </w:t>
      </w:r>
      <w:r w:rsidRPr="003E75E2">
        <w:rPr>
          <w:rFonts w:cstheme="minorHAnsi"/>
          <w:color w:val="414042" w:themeColor="text1"/>
          <w:lang w:eastAsia="en-AU"/>
        </w:rPr>
        <w:br/>
        <w:t xml:space="preserve">market risk. </w:t>
      </w:r>
      <w:r w:rsidRPr="003E75E2">
        <w:rPr>
          <w:rFonts w:cstheme="minorHAnsi"/>
          <w:color w:val="414042" w:themeColor="text1"/>
        </w:rPr>
        <w:t>The CCC provides written principles for overall risk management as well as policies covering specific areas. These policies focus on the financial performance of the CCC. All financial risk is managed by the Corporate Services Division under policies approved by the Commission.</w:t>
      </w:r>
    </w:p>
    <w:p w14:paraId="2B0D4F4F" w14:textId="77777777" w:rsidR="00AB33EC" w:rsidRPr="003E75E2" w:rsidRDefault="00AB33EC" w:rsidP="00AB33EC">
      <w:pPr>
        <w:rPr>
          <w:rFonts w:asciiTheme="minorHAnsi" w:hAnsiTheme="minorHAnsi" w:cstheme="minorHAnsi"/>
          <w:lang w:eastAsia="en-AU"/>
        </w:rPr>
      </w:pPr>
    </w:p>
    <w:p w14:paraId="38A84E7C" w14:textId="77777777" w:rsidR="00AB33EC" w:rsidRDefault="00AB33EC" w:rsidP="00AB33EC">
      <w:pPr>
        <w:spacing w:line="259" w:lineRule="auto"/>
        <w:rPr>
          <w:rFonts w:asciiTheme="minorHAnsi" w:eastAsia="Times New Roman" w:hAnsiTheme="minorHAnsi" w:cstheme="minorHAnsi"/>
          <w:b/>
          <w:color w:val="000000"/>
          <w:sz w:val="23"/>
          <w:szCs w:val="20"/>
        </w:rPr>
      </w:pPr>
      <w:r>
        <w:rPr>
          <w:rFonts w:asciiTheme="minorHAnsi" w:eastAsia="Times New Roman" w:hAnsiTheme="minorHAnsi" w:cstheme="minorHAnsi"/>
          <w:b/>
          <w:color w:val="000000"/>
          <w:sz w:val="23"/>
          <w:szCs w:val="20"/>
        </w:rPr>
        <w:br w:type="page"/>
      </w:r>
    </w:p>
    <w:p w14:paraId="2BD7BB26" w14:textId="77777777" w:rsidR="00AB33EC" w:rsidRPr="005523A4" w:rsidRDefault="00AB33EC" w:rsidP="0037124B">
      <w:pPr>
        <w:outlineLvl w:val="0"/>
        <w:rPr>
          <w:rFonts w:asciiTheme="minorHAnsi" w:eastAsia="Times New Roman" w:hAnsiTheme="minorHAnsi" w:cstheme="minorHAnsi"/>
          <w:b/>
          <w:color w:val="000000"/>
          <w:sz w:val="23"/>
          <w:szCs w:val="20"/>
        </w:rPr>
      </w:pPr>
      <w:r w:rsidRPr="005523A4">
        <w:rPr>
          <w:rFonts w:asciiTheme="minorHAnsi" w:eastAsia="Times New Roman" w:hAnsiTheme="minorHAnsi" w:cstheme="minorHAnsi"/>
          <w:b/>
          <w:color w:val="000000"/>
          <w:sz w:val="23"/>
          <w:szCs w:val="20"/>
        </w:rPr>
        <w:t>Note 16:  Financial Instruments (cont’d)</w:t>
      </w:r>
    </w:p>
    <w:p w14:paraId="0E335AF4" w14:textId="77777777" w:rsidR="00AB33EC" w:rsidRPr="005523A4" w:rsidRDefault="00AB33EC" w:rsidP="0037124B">
      <w:pPr>
        <w:ind w:left="454" w:hanging="454"/>
        <w:rPr>
          <w:rFonts w:asciiTheme="minorHAnsi" w:eastAsia="Times New Roman" w:hAnsiTheme="minorHAnsi" w:cstheme="minorHAnsi"/>
          <w:b/>
          <w:bCs/>
          <w:color w:val="000000"/>
          <w:sz w:val="21"/>
          <w:szCs w:val="18"/>
          <w:lang w:eastAsia="en-AU"/>
        </w:rPr>
      </w:pPr>
      <w:r w:rsidRPr="005523A4">
        <w:rPr>
          <w:rFonts w:asciiTheme="minorHAnsi" w:eastAsia="Times New Roman" w:hAnsiTheme="minorHAnsi" w:cstheme="minorHAnsi"/>
          <w:b/>
          <w:bCs/>
          <w:color w:val="000000"/>
          <w:sz w:val="21"/>
          <w:szCs w:val="18"/>
          <w:lang w:eastAsia="en-AU"/>
        </w:rPr>
        <w:t>(b)</w:t>
      </w:r>
      <w:r w:rsidRPr="005523A4">
        <w:rPr>
          <w:rFonts w:asciiTheme="minorHAnsi" w:eastAsia="Times New Roman" w:hAnsiTheme="minorHAnsi" w:cstheme="minorHAnsi"/>
          <w:b/>
          <w:bCs/>
          <w:color w:val="000000"/>
          <w:sz w:val="21"/>
          <w:szCs w:val="18"/>
          <w:lang w:eastAsia="en-AU"/>
        </w:rPr>
        <w:tab/>
        <w:t>Financial Risk Management (cont’d)</w:t>
      </w:r>
    </w:p>
    <w:p w14:paraId="6334F451" w14:textId="77777777" w:rsidR="00AB33EC" w:rsidRPr="005523A4" w:rsidRDefault="00AB33EC" w:rsidP="0037124B">
      <w:pPr>
        <w:ind w:left="454" w:hanging="28"/>
        <w:rPr>
          <w:rFonts w:asciiTheme="minorHAnsi" w:eastAsia="Times New Roman" w:hAnsiTheme="minorHAnsi" w:cstheme="minorHAnsi"/>
          <w:b/>
          <w:bCs/>
          <w:i/>
          <w:color w:val="000000"/>
          <w:sz w:val="21"/>
          <w:szCs w:val="18"/>
          <w:lang w:eastAsia="en-AU"/>
        </w:rPr>
      </w:pPr>
      <w:r w:rsidRPr="005523A4">
        <w:rPr>
          <w:rFonts w:asciiTheme="minorHAnsi" w:eastAsia="Times New Roman" w:hAnsiTheme="minorHAnsi" w:cstheme="minorHAnsi"/>
          <w:b/>
          <w:bCs/>
          <w:i/>
          <w:color w:val="000000"/>
          <w:sz w:val="21"/>
          <w:szCs w:val="18"/>
          <w:lang w:eastAsia="en-AU"/>
        </w:rPr>
        <w:t>Credit Risk Exposure</w:t>
      </w:r>
    </w:p>
    <w:p w14:paraId="018DB1AE" w14:textId="77777777" w:rsidR="00AB33EC" w:rsidRPr="005523A4" w:rsidRDefault="00AB33EC" w:rsidP="0037124B">
      <w:pPr>
        <w:spacing w:before="40"/>
        <w:ind w:left="454"/>
        <w:rPr>
          <w:rFonts w:asciiTheme="minorHAnsi" w:eastAsia="Times New Roman" w:hAnsiTheme="minorHAnsi" w:cstheme="minorHAnsi"/>
          <w:color w:val="000000"/>
          <w:szCs w:val="18"/>
        </w:rPr>
      </w:pPr>
      <w:r w:rsidRPr="005523A4">
        <w:rPr>
          <w:rFonts w:asciiTheme="minorHAnsi" w:eastAsia="Times New Roman" w:hAnsiTheme="minorHAnsi" w:cstheme="minorHAnsi"/>
          <w:color w:val="000000"/>
          <w:szCs w:val="18"/>
          <w:lang w:eastAsia="en-AU"/>
        </w:rPr>
        <w:t>Credit risk exposure refers to the situation where the CCC may incur financial loss as a result of another party to a financial instrument failing to discharge its obligation. The CCC monitors e</w:t>
      </w:r>
      <w:r w:rsidRPr="005523A4">
        <w:rPr>
          <w:rFonts w:asciiTheme="minorHAnsi" w:eastAsia="Times New Roman" w:hAnsiTheme="minorHAnsi" w:cstheme="minorHAnsi"/>
          <w:color w:val="000000"/>
          <w:szCs w:val="18"/>
        </w:rPr>
        <w:t xml:space="preserve">xposure to credit risk on an ongoing basis. </w:t>
      </w:r>
    </w:p>
    <w:p w14:paraId="33E6030E" w14:textId="77777777" w:rsidR="00AB33EC" w:rsidRPr="005523A4" w:rsidRDefault="00AB33EC" w:rsidP="0037124B">
      <w:pPr>
        <w:spacing w:before="40"/>
        <w:ind w:left="454"/>
        <w:rPr>
          <w:rFonts w:asciiTheme="minorHAnsi" w:eastAsia="Times New Roman" w:hAnsiTheme="minorHAnsi" w:cstheme="minorHAnsi"/>
          <w:color w:val="000000"/>
          <w:szCs w:val="18"/>
        </w:rPr>
      </w:pPr>
      <w:r w:rsidRPr="005523A4">
        <w:rPr>
          <w:rFonts w:asciiTheme="minorHAnsi" w:eastAsia="Times New Roman" w:hAnsiTheme="minorHAnsi" w:cstheme="minorHAnsi"/>
          <w:color w:val="000000"/>
          <w:szCs w:val="18"/>
        </w:rPr>
        <w:t>The maximum exposure to credit risk at balance date in relation to each class of recognised financial assets is the gross carrying amount of those assets inclusive of any allowance for impairment. The CCC manages credit risk by ensuring that it invests in secure assets and monitors all funds owed on a regular basis. The following table represents the CCC’s maximum exposure to credit risk based on contractual amounts net of any allowances:</w:t>
      </w:r>
    </w:p>
    <w:p w14:paraId="714329D5" w14:textId="77777777" w:rsidR="00AB33EC" w:rsidRPr="005523A4" w:rsidRDefault="00AB33EC" w:rsidP="00AB33EC">
      <w:pPr>
        <w:spacing w:before="40"/>
        <w:ind w:left="454"/>
        <w:rPr>
          <w:rFonts w:asciiTheme="minorHAnsi" w:eastAsia="Times New Roman" w:hAnsiTheme="minorHAnsi" w:cstheme="minorHAnsi"/>
          <w:color w:val="000000"/>
          <w:szCs w:val="18"/>
        </w:rPr>
      </w:pPr>
    </w:p>
    <w:tbl>
      <w:tblPr>
        <w:tblW w:w="8817" w:type="dxa"/>
        <w:tblInd w:w="284" w:type="dxa"/>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5812"/>
        <w:gridCol w:w="596"/>
        <w:gridCol w:w="1134"/>
        <w:gridCol w:w="170"/>
        <w:gridCol w:w="1105"/>
      </w:tblGrid>
      <w:tr w:rsidR="00AB33EC" w:rsidRPr="003E75E2" w14:paraId="0A3C0264" w14:textId="77777777" w:rsidTr="00B721B7">
        <w:trPr>
          <w:trHeight w:val="20"/>
        </w:trPr>
        <w:tc>
          <w:tcPr>
            <w:tcW w:w="5812" w:type="dxa"/>
            <w:tcBorders>
              <w:top w:val="nil"/>
              <w:left w:val="nil"/>
              <w:bottom w:val="nil"/>
            </w:tcBorders>
            <w:noWrap/>
            <w:tcMar>
              <w:left w:w="0" w:type="dxa"/>
              <w:right w:w="0" w:type="dxa"/>
            </w:tcMar>
            <w:vAlign w:val="bottom"/>
          </w:tcPr>
          <w:p w14:paraId="38A8CD2C" w14:textId="77777777" w:rsidR="00AB33EC" w:rsidRPr="005523A4" w:rsidRDefault="00AB33EC" w:rsidP="00C5404E">
            <w:pPr>
              <w:ind w:left="147"/>
              <w:rPr>
                <w:rFonts w:asciiTheme="minorHAnsi" w:eastAsia="Times New Roman" w:hAnsiTheme="minorHAnsi" w:cstheme="minorHAnsi"/>
                <w:b/>
                <w:color w:val="000000"/>
                <w:szCs w:val="19"/>
              </w:rPr>
            </w:pPr>
            <w:r w:rsidRPr="005523A4">
              <w:rPr>
                <w:rFonts w:asciiTheme="minorHAnsi" w:eastAsia="Times New Roman" w:hAnsiTheme="minorHAnsi" w:cstheme="minorHAnsi"/>
                <w:b/>
                <w:color w:val="000000"/>
                <w:szCs w:val="19"/>
              </w:rPr>
              <w:t>Maximum Exposure to Credit Risk</w:t>
            </w:r>
          </w:p>
        </w:tc>
        <w:tc>
          <w:tcPr>
            <w:tcW w:w="596" w:type="dxa"/>
            <w:tcBorders>
              <w:top w:val="nil"/>
              <w:bottom w:val="nil"/>
            </w:tcBorders>
            <w:noWrap/>
            <w:tcMar>
              <w:left w:w="0" w:type="dxa"/>
              <w:right w:w="113" w:type="dxa"/>
            </w:tcMar>
          </w:tcPr>
          <w:p w14:paraId="3ED3EBB9" w14:textId="77777777" w:rsidR="00AB33EC" w:rsidRPr="005523A4" w:rsidRDefault="00AB33EC" w:rsidP="00B721B7">
            <w:pPr>
              <w:jc w:val="center"/>
              <w:rPr>
                <w:rFonts w:asciiTheme="minorHAnsi" w:eastAsia="Times New Roman" w:hAnsiTheme="minorHAnsi" w:cstheme="minorHAnsi"/>
                <w:b/>
                <w:bCs/>
                <w:color w:val="000000"/>
                <w:szCs w:val="19"/>
                <w:lang w:eastAsia="en-AU"/>
              </w:rPr>
            </w:pPr>
          </w:p>
        </w:tc>
        <w:tc>
          <w:tcPr>
            <w:tcW w:w="1134" w:type="dxa"/>
            <w:tcBorders>
              <w:top w:val="nil"/>
              <w:bottom w:val="nil"/>
            </w:tcBorders>
            <w:shd w:val="clear" w:color="auto" w:fill="F1F1F2" w:themeFill="accent5" w:themeFillTint="33"/>
            <w:noWrap/>
            <w:tcMar>
              <w:left w:w="0" w:type="dxa"/>
              <w:right w:w="113" w:type="dxa"/>
            </w:tcMar>
            <w:vAlign w:val="bottom"/>
          </w:tcPr>
          <w:p w14:paraId="6306F0C5" w14:textId="77777777" w:rsidR="00AB33EC" w:rsidRPr="005523A4" w:rsidRDefault="00AB33EC" w:rsidP="00B721B7">
            <w:pPr>
              <w:jc w:val="right"/>
              <w:rPr>
                <w:rFonts w:asciiTheme="minorHAnsi" w:eastAsia="Times New Roman" w:hAnsiTheme="minorHAnsi" w:cstheme="minorHAnsi"/>
                <w:b/>
                <w:bCs/>
                <w:color w:val="000000"/>
                <w:szCs w:val="19"/>
                <w:lang w:eastAsia="en-AU"/>
              </w:rPr>
            </w:pPr>
            <w:r w:rsidRPr="005523A4">
              <w:rPr>
                <w:rFonts w:asciiTheme="minorHAnsi" w:eastAsia="Times New Roman" w:hAnsiTheme="minorHAnsi" w:cstheme="minorHAnsi"/>
                <w:b/>
                <w:bCs/>
                <w:color w:val="000000"/>
                <w:szCs w:val="19"/>
                <w:lang w:eastAsia="en-AU"/>
              </w:rPr>
              <w:t>2024</w:t>
            </w:r>
          </w:p>
        </w:tc>
        <w:tc>
          <w:tcPr>
            <w:tcW w:w="170" w:type="dxa"/>
            <w:tcBorders>
              <w:top w:val="nil"/>
              <w:bottom w:val="nil"/>
            </w:tcBorders>
            <w:noWrap/>
            <w:tcMar>
              <w:left w:w="0" w:type="dxa"/>
              <w:right w:w="0" w:type="dxa"/>
            </w:tcMar>
            <w:vAlign w:val="bottom"/>
          </w:tcPr>
          <w:p w14:paraId="1C4FAA3B" w14:textId="77777777" w:rsidR="00AB33EC" w:rsidRPr="005523A4" w:rsidRDefault="00AB33EC" w:rsidP="00B721B7">
            <w:pPr>
              <w:jc w:val="center"/>
              <w:rPr>
                <w:rFonts w:asciiTheme="minorHAnsi" w:eastAsia="Times New Roman" w:hAnsiTheme="minorHAnsi" w:cstheme="minorHAnsi"/>
                <w:b/>
                <w:bCs/>
                <w:color w:val="000000"/>
                <w:szCs w:val="19"/>
                <w:lang w:eastAsia="en-AU"/>
              </w:rPr>
            </w:pPr>
          </w:p>
        </w:tc>
        <w:tc>
          <w:tcPr>
            <w:tcW w:w="1105" w:type="dxa"/>
            <w:tcBorders>
              <w:top w:val="nil"/>
              <w:bottom w:val="nil"/>
              <w:right w:val="nil"/>
            </w:tcBorders>
            <w:noWrap/>
            <w:tcMar>
              <w:left w:w="0" w:type="dxa"/>
              <w:right w:w="113" w:type="dxa"/>
            </w:tcMar>
            <w:vAlign w:val="bottom"/>
          </w:tcPr>
          <w:p w14:paraId="37426C28" w14:textId="77777777" w:rsidR="00AB33EC" w:rsidRPr="005523A4" w:rsidRDefault="00AB33EC" w:rsidP="00B721B7">
            <w:pPr>
              <w:jc w:val="right"/>
              <w:rPr>
                <w:rFonts w:asciiTheme="minorHAnsi" w:eastAsia="Times New Roman" w:hAnsiTheme="minorHAnsi" w:cstheme="minorHAnsi"/>
                <w:b/>
                <w:bCs/>
                <w:color w:val="000000"/>
                <w:szCs w:val="19"/>
                <w:lang w:eastAsia="en-AU"/>
              </w:rPr>
            </w:pPr>
            <w:r w:rsidRPr="005523A4">
              <w:rPr>
                <w:rFonts w:asciiTheme="minorHAnsi" w:eastAsia="Times New Roman" w:hAnsiTheme="minorHAnsi" w:cstheme="minorHAnsi"/>
                <w:b/>
                <w:bCs/>
                <w:color w:val="000000"/>
                <w:szCs w:val="19"/>
                <w:lang w:eastAsia="en-AU"/>
              </w:rPr>
              <w:t>2023</w:t>
            </w:r>
          </w:p>
        </w:tc>
      </w:tr>
      <w:tr w:rsidR="00AB33EC" w:rsidRPr="003E75E2" w14:paraId="62251074" w14:textId="77777777" w:rsidTr="00B721B7">
        <w:trPr>
          <w:trHeight w:val="20"/>
        </w:trPr>
        <w:tc>
          <w:tcPr>
            <w:tcW w:w="5812" w:type="dxa"/>
            <w:tcBorders>
              <w:top w:val="nil"/>
              <w:left w:val="nil"/>
              <w:bottom w:val="single" w:sz="4" w:space="0" w:color="auto"/>
            </w:tcBorders>
            <w:noWrap/>
            <w:tcMar>
              <w:left w:w="0" w:type="dxa"/>
              <w:bottom w:w="11" w:type="dxa"/>
              <w:right w:w="0" w:type="dxa"/>
            </w:tcMar>
            <w:vAlign w:val="bottom"/>
          </w:tcPr>
          <w:p w14:paraId="3B347139" w14:textId="77777777" w:rsidR="00AB33EC" w:rsidRPr="005523A4" w:rsidRDefault="00AB33EC" w:rsidP="00B721B7">
            <w:pPr>
              <w:ind w:left="142"/>
              <w:rPr>
                <w:rFonts w:asciiTheme="minorHAnsi" w:eastAsia="Times New Roman" w:hAnsiTheme="minorHAnsi" w:cstheme="minorHAnsi"/>
                <w:b/>
                <w:i/>
                <w:color w:val="000000"/>
                <w:szCs w:val="19"/>
              </w:rPr>
            </w:pPr>
            <w:r w:rsidRPr="005523A4">
              <w:rPr>
                <w:rFonts w:asciiTheme="minorHAnsi" w:eastAsia="Times New Roman" w:hAnsiTheme="minorHAnsi" w:cstheme="minorHAnsi"/>
                <w:b/>
                <w:i/>
                <w:color w:val="000000"/>
                <w:szCs w:val="19"/>
              </w:rPr>
              <w:t>Category:</w:t>
            </w:r>
          </w:p>
        </w:tc>
        <w:tc>
          <w:tcPr>
            <w:tcW w:w="596" w:type="dxa"/>
            <w:tcBorders>
              <w:top w:val="nil"/>
              <w:bottom w:val="single" w:sz="4" w:space="0" w:color="auto"/>
            </w:tcBorders>
            <w:noWrap/>
            <w:tcMar>
              <w:left w:w="0" w:type="dxa"/>
              <w:bottom w:w="11" w:type="dxa"/>
              <w:right w:w="0" w:type="dxa"/>
            </w:tcMar>
          </w:tcPr>
          <w:p w14:paraId="65E868B4" w14:textId="77777777" w:rsidR="00AB33EC" w:rsidRPr="005523A4" w:rsidRDefault="00AB33EC" w:rsidP="00B721B7">
            <w:pPr>
              <w:jc w:val="center"/>
              <w:rPr>
                <w:rFonts w:asciiTheme="minorHAnsi" w:eastAsia="Times New Roman" w:hAnsiTheme="minorHAnsi" w:cstheme="minorHAnsi"/>
                <w:b/>
                <w:bCs/>
                <w:color w:val="000000"/>
                <w:szCs w:val="19"/>
                <w:lang w:eastAsia="en-AU"/>
              </w:rPr>
            </w:pPr>
            <w:r w:rsidRPr="005523A4">
              <w:rPr>
                <w:rFonts w:asciiTheme="minorHAnsi" w:eastAsia="Times New Roman" w:hAnsiTheme="minorHAnsi" w:cstheme="minorHAnsi"/>
                <w:b/>
                <w:bCs/>
                <w:color w:val="000000"/>
                <w:szCs w:val="19"/>
                <w:lang w:eastAsia="en-AU"/>
              </w:rPr>
              <w:t>Note</w:t>
            </w:r>
          </w:p>
        </w:tc>
        <w:tc>
          <w:tcPr>
            <w:tcW w:w="1134" w:type="dxa"/>
            <w:tcBorders>
              <w:top w:val="nil"/>
              <w:bottom w:val="single" w:sz="4" w:space="0" w:color="auto"/>
            </w:tcBorders>
            <w:shd w:val="clear" w:color="auto" w:fill="F1F1F2" w:themeFill="accent5" w:themeFillTint="33"/>
            <w:noWrap/>
            <w:tcMar>
              <w:left w:w="0" w:type="dxa"/>
              <w:bottom w:w="11" w:type="dxa"/>
              <w:right w:w="113" w:type="dxa"/>
            </w:tcMar>
            <w:vAlign w:val="bottom"/>
          </w:tcPr>
          <w:p w14:paraId="2005A8CB" w14:textId="77777777" w:rsidR="00AB33EC" w:rsidRPr="005523A4" w:rsidRDefault="00AB33EC" w:rsidP="00B721B7">
            <w:pPr>
              <w:jc w:val="right"/>
              <w:rPr>
                <w:rFonts w:asciiTheme="minorHAnsi" w:eastAsia="Times New Roman" w:hAnsiTheme="minorHAnsi" w:cstheme="minorHAnsi"/>
                <w:b/>
                <w:bCs/>
                <w:color w:val="000000"/>
                <w:szCs w:val="19"/>
                <w:lang w:eastAsia="en-AU"/>
              </w:rPr>
            </w:pPr>
            <w:r w:rsidRPr="005523A4">
              <w:rPr>
                <w:rFonts w:asciiTheme="minorHAnsi" w:eastAsia="Times New Roman" w:hAnsiTheme="minorHAnsi" w:cstheme="minorHAnsi"/>
                <w:b/>
                <w:bCs/>
                <w:color w:val="000000"/>
                <w:szCs w:val="19"/>
                <w:lang w:eastAsia="en-AU"/>
              </w:rPr>
              <w:t>$’000</w:t>
            </w:r>
          </w:p>
        </w:tc>
        <w:tc>
          <w:tcPr>
            <w:tcW w:w="170" w:type="dxa"/>
            <w:tcBorders>
              <w:top w:val="nil"/>
              <w:bottom w:val="single" w:sz="4" w:space="0" w:color="auto"/>
            </w:tcBorders>
            <w:noWrap/>
            <w:tcMar>
              <w:left w:w="0" w:type="dxa"/>
              <w:bottom w:w="11" w:type="dxa"/>
              <w:right w:w="0" w:type="dxa"/>
            </w:tcMar>
            <w:vAlign w:val="bottom"/>
          </w:tcPr>
          <w:p w14:paraId="142940B3" w14:textId="77777777" w:rsidR="00AB33EC" w:rsidRPr="005523A4" w:rsidRDefault="00AB33EC" w:rsidP="00B721B7">
            <w:pPr>
              <w:jc w:val="center"/>
              <w:rPr>
                <w:rFonts w:asciiTheme="minorHAnsi" w:eastAsia="Times New Roman" w:hAnsiTheme="minorHAnsi" w:cstheme="minorHAnsi"/>
                <w:b/>
                <w:bCs/>
                <w:color w:val="000000"/>
                <w:szCs w:val="19"/>
                <w:lang w:eastAsia="en-AU"/>
              </w:rPr>
            </w:pPr>
          </w:p>
        </w:tc>
        <w:tc>
          <w:tcPr>
            <w:tcW w:w="1105" w:type="dxa"/>
            <w:tcBorders>
              <w:top w:val="nil"/>
              <w:bottom w:val="single" w:sz="4" w:space="0" w:color="auto"/>
              <w:right w:val="nil"/>
            </w:tcBorders>
            <w:noWrap/>
            <w:tcMar>
              <w:left w:w="0" w:type="dxa"/>
              <w:bottom w:w="11" w:type="dxa"/>
              <w:right w:w="113" w:type="dxa"/>
            </w:tcMar>
            <w:vAlign w:val="bottom"/>
          </w:tcPr>
          <w:p w14:paraId="0DA3DB69" w14:textId="77777777" w:rsidR="00AB33EC" w:rsidRPr="005523A4" w:rsidRDefault="00AB33EC" w:rsidP="00B721B7">
            <w:pPr>
              <w:jc w:val="right"/>
              <w:rPr>
                <w:rFonts w:asciiTheme="minorHAnsi" w:eastAsia="Times New Roman" w:hAnsiTheme="minorHAnsi" w:cstheme="minorHAnsi"/>
                <w:b/>
                <w:bCs/>
                <w:color w:val="000000"/>
                <w:szCs w:val="19"/>
                <w:lang w:eastAsia="en-AU"/>
              </w:rPr>
            </w:pPr>
            <w:r w:rsidRPr="005523A4">
              <w:rPr>
                <w:rFonts w:asciiTheme="minorHAnsi" w:eastAsia="Times New Roman" w:hAnsiTheme="minorHAnsi" w:cstheme="minorHAnsi"/>
                <w:b/>
                <w:bCs/>
                <w:color w:val="000000"/>
                <w:szCs w:val="19"/>
                <w:lang w:eastAsia="en-AU"/>
              </w:rPr>
              <w:t>$’000</w:t>
            </w:r>
          </w:p>
        </w:tc>
      </w:tr>
      <w:tr w:rsidR="00AB33EC" w:rsidRPr="003E75E2" w14:paraId="3A36BA89" w14:textId="77777777" w:rsidTr="00B721B7">
        <w:trPr>
          <w:trHeight w:val="20"/>
        </w:trPr>
        <w:tc>
          <w:tcPr>
            <w:tcW w:w="5812" w:type="dxa"/>
            <w:tcBorders>
              <w:top w:val="nil"/>
              <w:left w:val="nil"/>
              <w:bottom w:val="nil"/>
            </w:tcBorders>
            <w:noWrap/>
            <w:tcMar>
              <w:top w:w="0" w:type="dxa"/>
              <w:left w:w="0" w:type="dxa"/>
              <w:right w:w="0" w:type="dxa"/>
            </w:tcMar>
            <w:vAlign w:val="bottom"/>
          </w:tcPr>
          <w:p w14:paraId="42F50CA7" w14:textId="77777777" w:rsidR="00AB33EC" w:rsidRPr="005523A4" w:rsidRDefault="00AB33EC" w:rsidP="00B721B7">
            <w:pPr>
              <w:ind w:left="142"/>
              <w:rPr>
                <w:rFonts w:asciiTheme="minorHAnsi" w:eastAsia="Times New Roman" w:hAnsiTheme="minorHAnsi" w:cstheme="minorHAnsi"/>
                <w:color w:val="000000"/>
                <w:szCs w:val="19"/>
              </w:rPr>
            </w:pPr>
          </w:p>
        </w:tc>
        <w:tc>
          <w:tcPr>
            <w:tcW w:w="596" w:type="dxa"/>
            <w:tcBorders>
              <w:top w:val="nil"/>
              <w:bottom w:val="nil"/>
            </w:tcBorders>
            <w:noWrap/>
            <w:tcMar>
              <w:top w:w="0" w:type="dxa"/>
              <w:left w:w="0" w:type="dxa"/>
              <w:right w:w="0" w:type="dxa"/>
            </w:tcMar>
          </w:tcPr>
          <w:p w14:paraId="4DF34CB1" w14:textId="77777777" w:rsidR="00AB33EC" w:rsidRPr="005523A4" w:rsidRDefault="00AB33EC" w:rsidP="00B721B7">
            <w:pPr>
              <w:jc w:val="center"/>
              <w:rPr>
                <w:rFonts w:asciiTheme="minorHAnsi" w:eastAsia="Times New Roman" w:hAnsiTheme="minorHAnsi" w:cstheme="minorHAnsi"/>
                <w:bCs/>
                <w:color w:val="000000"/>
                <w:szCs w:val="19"/>
                <w:lang w:eastAsia="en-AU"/>
              </w:rPr>
            </w:pPr>
          </w:p>
        </w:tc>
        <w:tc>
          <w:tcPr>
            <w:tcW w:w="1134" w:type="dxa"/>
            <w:tcBorders>
              <w:top w:val="single" w:sz="4" w:space="0" w:color="auto"/>
              <w:bottom w:val="nil"/>
            </w:tcBorders>
            <w:shd w:val="clear" w:color="auto" w:fill="F1F1F2" w:themeFill="accent5" w:themeFillTint="33"/>
            <w:noWrap/>
            <w:tcMar>
              <w:top w:w="0" w:type="dxa"/>
              <w:left w:w="0" w:type="dxa"/>
              <w:right w:w="113" w:type="dxa"/>
            </w:tcMar>
            <w:vAlign w:val="bottom"/>
          </w:tcPr>
          <w:p w14:paraId="09D1FCF8" w14:textId="77777777" w:rsidR="00AB33EC" w:rsidRPr="005523A4" w:rsidRDefault="00AB33EC" w:rsidP="00B721B7">
            <w:pPr>
              <w:jc w:val="right"/>
              <w:rPr>
                <w:rFonts w:asciiTheme="minorHAnsi" w:eastAsia="Times New Roman" w:hAnsiTheme="minorHAnsi" w:cstheme="minorHAnsi"/>
                <w:bCs/>
                <w:color w:val="000000"/>
                <w:szCs w:val="19"/>
                <w:lang w:eastAsia="en-AU"/>
              </w:rPr>
            </w:pPr>
          </w:p>
        </w:tc>
        <w:tc>
          <w:tcPr>
            <w:tcW w:w="170" w:type="dxa"/>
            <w:tcBorders>
              <w:top w:val="single" w:sz="4" w:space="0" w:color="auto"/>
              <w:bottom w:val="nil"/>
            </w:tcBorders>
            <w:noWrap/>
            <w:tcMar>
              <w:top w:w="0" w:type="dxa"/>
              <w:left w:w="0" w:type="dxa"/>
              <w:right w:w="0" w:type="dxa"/>
            </w:tcMar>
            <w:vAlign w:val="bottom"/>
          </w:tcPr>
          <w:p w14:paraId="57E26154" w14:textId="77777777" w:rsidR="00AB33EC" w:rsidRPr="005523A4" w:rsidRDefault="00AB33EC" w:rsidP="00B721B7">
            <w:pPr>
              <w:jc w:val="center"/>
              <w:rPr>
                <w:rFonts w:asciiTheme="minorHAnsi" w:eastAsia="Times New Roman" w:hAnsiTheme="minorHAnsi" w:cstheme="minorHAnsi"/>
                <w:bCs/>
                <w:color w:val="000000"/>
                <w:szCs w:val="19"/>
                <w:lang w:eastAsia="en-AU"/>
              </w:rPr>
            </w:pPr>
          </w:p>
        </w:tc>
        <w:tc>
          <w:tcPr>
            <w:tcW w:w="1105" w:type="dxa"/>
            <w:tcBorders>
              <w:top w:val="single" w:sz="4" w:space="0" w:color="auto"/>
              <w:bottom w:val="nil"/>
              <w:right w:val="nil"/>
            </w:tcBorders>
            <w:noWrap/>
            <w:tcMar>
              <w:top w:w="0" w:type="dxa"/>
              <w:left w:w="0" w:type="dxa"/>
              <w:right w:w="113" w:type="dxa"/>
            </w:tcMar>
          </w:tcPr>
          <w:p w14:paraId="22BCA5F0" w14:textId="77777777" w:rsidR="00AB33EC" w:rsidRPr="005523A4" w:rsidRDefault="00AB33EC" w:rsidP="00B721B7">
            <w:pPr>
              <w:jc w:val="right"/>
              <w:rPr>
                <w:rFonts w:asciiTheme="minorHAnsi" w:eastAsia="Times New Roman" w:hAnsiTheme="minorHAnsi" w:cstheme="minorHAnsi"/>
                <w:bCs/>
                <w:color w:val="000000"/>
                <w:szCs w:val="19"/>
                <w:lang w:eastAsia="en-AU"/>
              </w:rPr>
            </w:pPr>
          </w:p>
        </w:tc>
      </w:tr>
      <w:tr w:rsidR="00AB33EC" w:rsidRPr="003E75E2" w14:paraId="26599B7C" w14:textId="77777777" w:rsidTr="00B721B7">
        <w:trPr>
          <w:trHeight w:val="20"/>
        </w:trPr>
        <w:tc>
          <w:tcPr>
            <w:tcW w:w="5812" w:type="dxa"/>
            <w:tcBorders>
              <w:top w:val="nil"/>
              <w:left w:val="nil"/>
              <w:bottom w:val="nil"/>
            </w:tcBorders>
            <w:noWrap/>
            <w:tcMar>
              <w:left w:w="0" w:type="dxa"/>
              <w:right w:w="0" w:type="dxa"/>
            </w:tcMar>
            <w:vAlign w:val="bottom"/>
          </w:tcPr>
          <w:p w14:paraId="609EE525" w14:textId="77777777" w:rsidR="00AB33EC" w:rsidRPr="005523A4" w:rsidRDefault="00AB33EC" w:rsidP="00B721B7">
            <w:pPr>
              <w:ind w:left="142"/>
              <w:rPr>
                <w:rFonts w:asciiTheme="minorHAnsi" w:eastAsia="Times New Roman" w:hAnsiTheme="minorHAnsi" w:cstheme="minorHAnsi"/>
                <w:b/>
                <w:color w:val="000000"/>
                <w:szCs w:val="19"/>
              </w:rPr>
            </w:pPr>
            <w:r w:rsidRPr="005523A4">
              <w:rPr>
                <w:rFonts w:asciiTheme="minorHAnsi" w:eastAsia="Times New Roman" w:hAnsiTheme="minorHAnsi" w:cstheme="minorHAnsi"/>
                <w:b/>
                <w:color w:val="000000"/>
                <w:szCs w:val="19"/>
              </w:rPr>
              <w:t>Financial Assets</w:t>
            </w:r>
          </w:p>
        </w:tc>
        <w:tc>
          <w:tcPr>
            <w:tcW w:w="596" w:type="dxa"/>
            <w:tcBorders>
              <w:top w:val="nil"/>
              <w:bottom w:val="nil"/>
            </w:tcBorders>
            <w:noWrap/>
            <w:tcMar>
              <w:left w:w="0" w:type="dxa"/>
              <w:right w:w="0" w:type="dxa"/>
            </w:tcMar>
          </w:tcPr>
          <w:p w14:paraId="4AC9B24E" w14:textId="77777777" w:rsidR="00AB33EC" w:rsidRPr="005523A4" w:rsidRDefault="00AB33EC" w:rsidP="00B721B7">
            <w:pPr>
              <w:jc w:val="center"/>
              <w:rPr>
                <w:rFonts w:asciiTheme="minorHAnsi" w:eastAsia="Times New Roman" w:hAnsiTheme="minorHAnsi" w:cstheme="minorHAnsi"/>
                <w:bCs/>
                <w:color w:val="000000"/>
                <w:szCs w:val="19"/>
                <w:lang w:eastAsia="en-AU"/>
              </w:rPr>
            </w:pPr>
          </w:p>
        </w:tc>
        <w:tc>
          <w:tcPr>
            <w:tcW w:w="1134" w:type="dxa"/>
            <w:tcBorders>
              <w:top w:val="nil"/>
              <w:bottom w:val="nil"/>
            </w:tcBorders>
            <w:shd w:val="clear" w:color="auto" w:fill="F1F1F2" w:themeFill="accent5" w:themeFillTint="33"/>
            <w:noWrap/>
            <w:tcMar>
              <w:left w:w="0" w:type="dxa"/>
              <w:right w:w="113" w:type="dxa"/>
            </w:tcMar>
            <w:vAlign w:val="bottom"/>
          </w:tcPr>
          <w:p w14:paraId="36CA2976" w14:textId="77777777" w:rsidR="00AB33EC" w:rsidRPr="005523A4" w:rsidRDefault="00AB33EC" w:rsidP="00B721B7">
            <w:pPr>
              <w:jc w:val="right"/>
              <w:rPr>
                <w:rFonts w:asciiTheme="minorHAnsi" w:eastAsia="Times New Roman" w:hAnsiTheme="minorHAnsi" w:cstheme="minorHAnsi"/>
                <w:bCs/>
                <w:color w:val="000000"/>
                <w:szCs w:val="19"/>
                <w:lang w:eastAsia="en-AU"/>
              </w:rPr>
            </w:pPr>
          </w:p>
        </w:tc>
        <w:tc>
          <w:tcPr>
            <w:tcW w:w="170" w:type="dxa"/>
            <w:tcBorders>
              <w:top w:val="nil"/>
              <w:bottom w:val="nil"/>
            </w:tcBorders>
            <w:noWrap/>
            <w:tcMar>
              <w:left w:w="0" w:type="dxa"/>
              <w:right w:w="0" w:type="dxa"/>
            </w:tcMar>
            <w:vAlign w:val="bottom"/>
          </w:tcPr>
          <w:p w14:paraId="04A56684" w14:textId="77777777" w:rsidR="00AB33EC" w:rsidRPr="005523A4" w:rsidRDefault="00AB33EC" w:rsidP="00B721B7">
            <w:pPr>
              <w:jc w:val="center"/>
              <w:rPr>
                <w:rFonts w:asciiTheme="minorHAnsi" w:eastAsia="Times New Roman" w:hAnsiTheme="minorHAnsi" w:cstheme="minorHAnsi"/>
                <w:bCs/>
                <w:color w:val="000000"/>
                <w:szCs w:val="19"/>
                <w:lang w:eastAsia="en-AU"/>
              </w:rPr>
            </w:pPr>
          </w:p>
        </w:tc>
        <w:tc>
          <w:tcPr>
            <w:tcW w:w="1105" w:type="dxa"/>
            <w:tcBorders>
              <w:top w:val="nil"/>
              <w:bottom w:val="nil"/>
              <w:right w:val="nil"/>
            </w:tcBorders>
            <w:noWrap/>
            <w:tcMar>
              <w:left w:w="0" w:type="dxa"/>
              <w:right w:w="113" w:type="dxa"/>
            </w:tcMar>
            <w:vAlign w:val="bottom"/>
          </w:tcPr>
          <w:p w14:paraId="585A96D7" w14:textId="77777777" w:rsidR="00AB33EC" w:rsidRPr="005523A4" w:rsidRDefault="00AB33EC" w:rsidP="00B721B7">
            <w:pPr>
              <w:jc w:val="right"/>
              <w:rPr>
                <w:rFonts w:asciiTheme="minorHAnsi" w:eastAsia="Times New Roman" w:hAnsiTheme="minorHAnsi" w:cstheme="minorHAnsi"/>
                <w:bCs/>
                <w:color w:val="000000"/>
                <w:szCs w:val="19"/>
                <w:lang w:eastAsia="en-AU"/>
              </w:rPr>
            </w:pPr>
          </w:p>
        </w:tc>
      </w:tr>
      <w:tr w:rsidR="00AB33EC" w:rsidRPr="003E75E2" w14:paraId="5ABC4EAA" w14:textId="77777777" w:rsidTr="00B721B7">
        <w:trPr>
          <w:trHeight w:val="20"/>
        </w:trPr>
        <w:tc>
          <w:tcPr>
            <w:tcW w:w="5812" w:type="dxa"/>
            <w:tcBorders>
              <w:top w:val="nil"/>
              <w:left w:val="nil"/>
              <w:bottom w:val="nil"/>
            </w:tcBorders>
            <w:noWrap/>
            <w:tcMar>
              <w:left w:w="0" w:type="dxa"/>
              <w:right w:w="0" w:type="dxa"/>
            </w:tcMar>
            <w:vAlign w:val="bottom"/>
          </w:tcPr>
          <w:p w14:paraId="56AEB4AB" w14:textId="77777777" w:rsidR="00AB33EC" w:rsidRPr="005523A4" w:rsidRDefault="00AB33EC" w:rsidP="00B721B7">
            <w:pPr>
              <w:ind w:left="142"/>
              <w:rPr>
                <w:rFonts w:asciiTheme="minorHAnsi" w:eastAsia="Times New Roman" w:hAnsiTheme="minorHAnsi" w:cstheme="minorHAnsi"/>
                <w:color w:val="000000"/>
                <w:szCs w:val="19"/>
              </w:rPr>
            </w:pPr>
            <w:r w:rsidRPr="005523A4">
              <w:rPr>
                <w:rFonts w:asciiTheme="minorHAnsi" w:eastAsia="Times New Roman" w:hAnsiTheme="minorHAnsi" w:cstheme="minorHAnsi"/>
                <w:color w:val="000000"/>
                <w:szCs w:val="19"/>
              </w:rPr>
              <w:t>Contractual receivables</w:t>
            </w:r>
          </w:p>
        </w:tc>
        <w:tc>
          <w:tcPr>
            <w:tcW w:w="596" w:type="dxa"/>
            <w:tcBorders>
              <w:top w:val="nil"/>
              <w:bottom w:val="nil"/>
            </w:tcBorders>
            <w:noWrap/>
            <w:tcMar>
              <w:left w:w="0" w:type="dxa"/>
              <w:right w:w="0" w:type="dxa"/>
            </w:tcMar>
          </w:tcPr>
          <w:p w14:paraId="0755EF0C" w14:textId="77777777" w:rsidR="00AB33EC" w:rsidRPr="005523A4" w:rsidRDefault="00AB33EC" w:rsidP="00B721B7">
            <w:pPr>
              <w:jc w:val="center"/>
              <w:rPr>
                <w:rFonts w:asciiTheme="minorHAnsi" w:eastAsia="Times New Roman" w:hAnsiTheme="minorHAnsi" w:cstheme="minorHAnsi"/>
                <w:bCs/>
                <w:color w:val="000000"/>
                <w:szCs w:val="19"/>
                <w:lang w:eastAsia="en-AU"/>
              </w:rPr>
            </w:pPr>
          </w:p>
        </w:tc>
        <w:tc>
          <w:tcPr>
            <w:tcW w:w="1134" w:type="dxa"/>
            <w:tcBorders>
              <w:top w:val="nil"/>
              <w:bottom w:val="nil"/>
            </w:tcBorders>
            <w:shd w:val="clear" w:color="auto" w:fill="F1F1F2" w:themeFill="accent5" w:themeFillTint="33"/>
            <w:noWrap/>
            <w:tcMar>
              <w:left w:w="0" w:type="dxa"/>
              <w:right w:w="113" w:type="dxa"/>
            </w:tcMar>
            <w:vAlign w:val="bottom"/>
          </w:tcPr>
          <w:p w14:paraId="06C05A8E" w14:textId="77777777" w:rsidR="00AB33EC" w:rsidRPr="005523A4" w:rsidRDefault="00AB33EC" w:rsidP="00B721B7">
            <w:pPr>
              <w:jc w:val="right"/>
              <w:rPr>
                <w:rFonts w:asciiTheme="minorHAnsi" w:eastAsia="Times New Roman" w:hAnsiTheme="minorHAnsi" w:cstheme="minorHAnsi"/>
                <w:bCs/>
                <w:color w:val="000000"/>
                <w:szCs w:val="19"/>
                <w:lang w:eastAsia="en-AU"/>
              </w:rPr>
            </w:pPr>
            <w:r>
              <w:rPr>
                <w:rFonts w:asciiTheme="minorHAnsi" w:eastAsia="Times New Roman" w:hAnsiTheme="minorHAnsi" w:cstheme="minorHAnsi"/>
                <w:bCs/>
                <w:color w:val="000000"/>
                <w:szCs w:val="19"/>
                <w:lang w:eastAsia="en-AU"/>
              </w:rPr>
              <w:t>890</w:t>
            </w:r>
          </w:p>
        </w:tc>
        <w:tc>
          <w:tcPr>
            <w:tcW w:w="170" w:type="dxa"/>
            <w:tcBorders>
              <w:top w:val="nil"/>
              <w:bottom w:val="nil"/>
            </w:tcBorders>
            <w:noWrap/>
            <w:tcMar>
              <w:left w:w="0" w:type="dxa"/>
              <w:right w:w="0" w:type="dxa"/>
            </w:tcMar>
            <w:vAlign w:val="bottom"/>
          </w:tcPr>
          <w:p w14:paraId="1C5EC019" w14:textId="77777777" w:rsidR="00AB33EC" w:rsidRPr="005523A4" w:rsidRDefault="00AB33EC" w:rsidP="00B721B7">
            <w:pPr>
              <w:jc w:val="center"/>
              <w:rPr>
                <w:rFonts w:asciiTheme="minorHAnsi" w:eastAsia="Times New Roman" w:hAnsiTheme="minorHAnsi" w:cstheme="minorHAnsi"/>
                <w:bCs/>
                <w:color w:val="000000"/>
                <w:szCs w:val="19"/>
                <w:lang w:eastAsia="en-AU"/>
              </w:rPr>
            </w:pPr>
          </w:p>
        </w:tc>
        <w:tc>
          <w:tcPr>
            <w:tcW w:w="1105" w:type="dxa"/>
            <w:tcBorders>
              <w:top w:val="nil"/>
              <w:bottom w:val="nil"/>
              <w:right w:val="nil"/>
            </w:tcBorders>
            <w:noWrap/>
            <w:tcMar>
              <w:left w:w="0" w:type="dxa"/>
              <w:right w:w="113" w:type="dxa"/>
            </w:tcMar>
            <w:vAlign w:val="bottom"/>
          </w:tcPr>
          <w:p w14:paraId="79FC2FA2" w14:textId="77777777" w:rsidR="00AB33EC" w:rsidRPr="005523A4" w:rsidRDefault="00AB33EC" w:rsidP="00B721B7">
            <w:pPr>
              <w:jc w:val="right"/>
              <w:rPr>
                <w:rFonts w:asciiTheme="minorHAnsi" w:eastAsia="Times New Roman" w:hAnsiTheme="minorHAnsi" w:cstheme="minorHAnsi"/>
                <w:bCs/>
                <w:color w:val="000000"/>
                <w:szCs w:val="19"/>
                <w:lang w:eastAsia="en-AU"/>
              </w:rPr>
            </w:pPr>
            <w:r w:rsidRPr="005523A4">
              <w:rPr>
                <w:rFonts w:asciiTheme="minorHAnsi" w:eastAsia="Times New Roman" w:hAnsiTheme="minorHAnsi" w:cstheme="minorHAnsi"/>
                <w:bCs/>
                <w:color w:val="000000"/>
                <w:szCs w:val="19"/>
                <w:lang w:eastAsia="en-AU"/>
              </w:rPr>
              <w:t>757</w:t>
            </w:r>
          </w:p>
        </w:tc>
      </w:tr>
      <w:tr w:rsidR="00AB33EC" w:rsidRPr="003E75E2" w14:paraId="36BD5F0B" w14:textId="77777777" w:rsidTr="00B721B7">
        <w:trPr>
          <w:trHeight w:val="20"/>
        </w:trPr>
        <w:tc>
          <w:tcPr>
            <w:tcW w:w="5812" w:type="dxa"/>
            <w:tcBorders>
              <w:top w:val="nil"/>
              <w:left w:val="nil"/>
              <w:bottom w:val="nil"/>
            </w:tcBorders>
            <w:noWrap/>
            <w:tcMar>
              <w:left w:w="0" w:type="dxa"/>
              <w:right w:w="0" w:type="dxa"/>
            </w:tcMar>
            <w:vAlign w:val="bottom"/>
          </w:tcPr>
          <w:p w14:paraId="0522B07F" w14:textId="77777777" w:rsidR="00AB33EC" w:rsidRPr="005523A4" w:rsidRDefault="00AB33EC" w:rsidP="00B721B7">
            <w:pPr>
              <w:ind w:left="142"/>
              <w:rPr>
                <w:rFonts w:asciiTheme="minorHAnsi" w:eastAsia="Times New Roman" w:hAnsiTheme="minorHAnsi" w:cstheme="minorHAnsi"/>
                <w:b/>
                <w:color w:val="000000"/>
                <w:szCs w:val="19"/>
              </w:rPr>
            </w:pPr>
            <w:r w:rsidRPr="005523A4">
              <w:rPr>
                <w:rFonts w:asciiTheme="minorHAnsi" w:eastAsia="Times New Roman" w:hAnsiTheme="minorHAnsi" w:cstheme="minorHAnsi"/>
                <w:b/>
                <w:color w:val="000000"/>
                <w:szCs w:val="19"/>
              </w:rPr>
              <w:t>Total</w:t>
            </w:r>
          </w:p>
        </w:tc>
        <w:tc>
          <w:tcPr>
            <w:tcW w:w="596" w:type="dxa"/>
            <w:tcBorders>
              <w:top w:val="nil"/>
              <w:bottom w:val="nil"/>
            </w:tcBorders>
            <w:noWrap/>
            <w:tcMar>
              <w:left w:w="0" w:type="dxa"/>
              <w:right w:w="0" w:type="dxa"/>
            </w:tcMar>
          </w:tcPr>
          <w:p w14:paraId="1ED9985C" w14:textId="77777777" w:rsidR="00AB33EC" w:rsidRPr="005523A4" w:rsidRDefault="00AB33EC" w:rsidP="00B721B7">
            <w:pPr>
              <w:jc w:val="center"/>
              <w:rPr>
                <w:rFonts w:asciiTheme="minorHAnsi" w:eastAsia="Times New Roman" w:hAnsiTheme="minorHAnsi" w:cstheme="minorHAnsi"/>
                <w:b/>
                <w:bCs/>
                <w:color w:val="000000"/>
                <w:szCs w:val="19"/>
                <w:lang w:eastAsia="en-AU"/>
              </w:rPr>
            </w:pPr>
          </w:p>
        </w:tc>
        <w:tc>
          <w:tcPr>
            <w:tcW w:w="1134" w:type="dxa"/>
            <w:tcBorders>
              <w:top w:val="single" w:sz="4" w:space="0" w:color="auto"/>
              <w:bottom w:val="double" w:sz="4" w:space="0" w:color="auto"/>
            </w:tcBorders>
            <w:shd w:val="clear" w:color="auto" w:fill="F1F1F2" w:themeFill="accent5" w:themeFillTint="33"/>
            <w:noWrap/>
            <w:tcMar>
              <w:left w:w="0" w:type="dxa"/>
              <w:right w:w="113" w:type="dxa"/>
            </w:tcMar>
            <w:vAlign w:val="bottom"/>
          </w:tcPr>
          <w:p w14:paraId="1CB6B8F2" w14:textId="77777777" w:rsidR="00AB33EC" w:rsidRPr="005523A4" w:rsidRDefault="00AB33EC" w:rsidP="00B721B7">
            <w:pPr>
              <w:jc w:val="right"/>
              <w:rPr>
                <w:rFonts w:asciiTheme="minorHAnsi" w:eastAsia="Times New Roman" w:hAnsiTheme="minorHAnsi" w:cstheme="minorHAnsi"/>
                <w:b/>
                <w:bCs/>
                <w:color w:val="000000"/>
                <w:szCs w:val="19"/>
                <w:lang w:eastAsia="en-AU"/>
              </w:rPr>
            </w:pPr>
            <w:r>
              <w:rPr>
                <w:rFonts w:asciiTheme="minorHAnsi" w:eastAsia="Times New Roman" w:hAnsiTheme="minorHAnsi" w:cstheme="minorHAnsi"/>
                <w:b/>
                <w:bCs/>
                <w:color w:val="000000"/>
                <w:szCs w:val="19"/>
                <w:lang w:eastAsia="en-AU"/>
              </w:rPr>
              <w:t>890</w:t>
            </w:r>
          </w:p>
        </w:tc>
        <w:tc>
          <w:tcPr>
            <w:tcW w:w="170" w:type="dxa"/>
            <w:tcBorders>
              <w:top w:val="nil"/>
              <w:bottom w:val="nil"/>
            </w:tcBorders>
            <w:noWrap/>
            <w:tcMar>
              <w:left w:w="0" w:type="dxa"/>
              <w:right w:w="0" w:type="dxa"/>
            </w:tcMar>
            <w:vAlign w:val="bottom"/>
          </w:tcPr>
          <w:p w14:paraId="28E1E63F" w14:textId="77777777" w:rsidR="00AB33EC" w:rsidRPr="005523A4" w:rsidRDefault="00AB33EC" w:rsidP="00B721B7">
            <w:pPr>
              <w:jc w:val="center"/>
              <w:rPr>
                <w:rFonts w:asciiTheme="minorHAnsi" w:eastAsia="Times New Roman" w:hAnsiTheme="minorHAnsi" w:cstheme="minorHAnsi"/>
                <w:b/>
                <w:bCs/>
                <w:color w:val="000000"/>
                <w:szCs w:val="19"/>
                <w:lang w:eastAsia="en-AU"/>
              </w:rPr>
            </w:pPr>
          </w:p>
        </w:tc>
        <w:tc>
          <w:tcPr>
            <w:tcW w:w="1105" w:type="dxa"/>
            <w:tcBorders>
              <w:top w:val="single" w:sz="4" w:space="0" w:color="auto"/>
              <w:bottom w:val="double" w:sz="4" w:space="0" w:color="auto"/>
              <w:right w:val="nil"/>
            </w:tcBorders>
            <w:noWrap/>
            <w:tcMar>
              <w:left w:w="0" w:type="dxa"/>
              <w:right w:w="113" w:type="dxa"/>
            </w:tcMar>
            <w:vAlign w:val="bottom"/>
          </w:tcPr>
          <w:p w14:paraId="7D4AB98D" w14:textId="77777777" w:rsidR="00AB33EC" w:rsidRPr="005523A4" w:rsidRDefault="00AB33EC" w:rsidP="00B721B7">
            <w:pPr>
              <w:jc w:val="right"/>
              <w:rPr>
                <w:rFonts w:asciiTheme="minorHAnsi" w:eastAsia="Times New Roman" w:hAnsiTheme="minorHAnsi" w:cstheme="minorHAnsi"/>
                <w:b/>
                <w:bCs/>
                <w:color w:val="000000"/>
                <w:szCs w:val="19"/>
                <w:lang w:eastAsia="en-AU"/>
              </w:rPr>
            </w:pPr>
            <w:r w:rsidRPr="005523A4">
              <w:rPr>
                <w:rFonts w:asciiTheme="minorHAnsi" w:eastAsia="Times New Roman" w:hAnsiTheme="minorHAnsi" w:cstheme="minorHAnsi"/>
                <w:b/>
                <w:bCs/>
                <w:color w:val="000000"/>
                <w:szCs w:val="19"/>
                <w:lang w:eastAsia="en-AU"/>
              </w:rPr>
              <w:t>757</w:t>
            </w:r>
          </w:p>
        </w:tc>
      </w:tr>
    </w:tbl>
    <w:p w14:paraId="19F3F68D" w14:textId="77777777" w:rsidR="00AB33EC" w:rsidRPr="005523A4" w:rsidRDefault="00AB33EC" w:rsidP="00AB33EC">
      <w:pPr>
        <w:spacing w:before="40"/>
        <w:ind w:left="454"/>
        <w:rPr>
          <w:rFonts w:asciiTheme="minorHAnsi" w:eastAsia="Times New Roman" w:hAnsiTheme="minorHAnsi" w:cstheme="minorHAnsi"/>
          <w:color w:val="000000"/>
          <w:szCs w:val="18"/>
        </w:rPr>
      </w:pPr>
    </w:p>
    <w:p w14:paraId="3F4632A0" w14:textId="77777777" w:rsidR="00AB33EC" w:rsidRPr="005523A4" w:rsidRDefault="00AB33EC" w:rsidP="0037124B">
      <w:pPr>
        <w:spacing w:before="40"/>
        <w:ind w:left="454" w:right="-144"/>
        <w:rPr>
          <w:rFonts w:asciiTheme="minorHAnsi" w:eastAsia="Times New Roman" w:hAnsiTheme="minorHAnsi" w:cstheme="minorHAnsi"/>
          <w:color w:val="000000"/>
          <w:szCs w:val="18"/>
        </w:rPr>
      </w:pPr>
      <w:r w:rsidRPr="005523A4">
        <w:rPr>
          <w:rFonts w:asciiTheme="minorHAnsi" w:eastAsia="Times New Roman" w:hAnsiTheme="minorHAnsi" w:cstheme="minorHAnsi"/>
          <w:color w:val="000000"/>
          <w:szCs w:val="18"/>
        </w:rPr>
        <w:t>No financial assets have had their terms renegotiated so as to prevent them from being past due or impaired.</w:t>
      </w:r>
    </w:p>
    <w:p w14:paraId="0310EED5" w14:textId="77777777" w:rsidR="00AB33EC" w:rsidRPr="005523A4" w:rsidRDefault="00AB33EC" w:rsidP="0037124B">
      <w:pPr>
        <w:ind w:left="454" w:right="-144"/>
        <w:rPr>
          <w:rFonts w:asciiTheme="minorHAnsi" w:eastAsia="Times New Roman" w:hAnsiTheme="minorHAnsi" w:cstheme="minorHAnsi"/>
          <w:color w:val="000000"/>
          <w:szCs w:val="18"/>
          <w:lang w:eastAsia="en-AU"/>
        </w:rPr>
      </w:pPr>
      <w:r w:rsidRPr="005523A4">
        <w:rPr>
          <w:rFonts w:asciiTheme="minorHAnsi" w:eastAsia="Times New Roman" w:hAnsiTheme="minorHAnsi" w:cstheme="minorHAnsi"/>
          <w:color w:val="000000"/>
          <w:szCs w:val="18"/>
          <w:lang w:eastAsia="en-AU"/>
        </w:rPr>
        <w:t>The CCC did not have any financial assets that were past due but not impaired in the current or previous period.</w:t>
      </w:r>
    </w:p>
    <w:p w14:paraId="1464C0E6" w14:textId="6BE6C371" w:rsidR="00AB33EC" w:rsidRPr="005523A4" w:rsidRDefault="00AB33EC" w:rsidP="0037124B">
      <w:pPr>
        <w:ind w:left="454" w:hanging="454"/>
        <w:rPr>
          <w:rFonts w:asciiTheme="minorHAnsi" w:eastAsia="Times New Roman" w:hAnsiTheme="minorHAnsi" w:cstheme="minorHAnsi"/>
          <w:b/>
          <w:bCs/>
          <w:color w:val="000000"/>
          <w:sz w:val="21"/>
          <w:szCs w:val="18"/>
          <w:lang w:eastAsia="en-AU"/>
        </w:rPr>
      </w:pPr>
      <w:r w:rsidRPr="005523A4">
        <w:rPr>
          <w:rFonts w:asciiTheme="minorHAnsi" w:eastAsia="Times New Roman" w:hAnsiTheme="minorHAnsi" w:cstheme="minorHAnsi"/>
          <w:b/>
          <w:bCs/>
          <w:color w:val="000000"/>
          <w:sz w:val="21"/>
          <w:szCs w:val="18"/>
          <w:lang w:eastAsia="en-AU"/>
        </w:rPr>
        <w:tab/>
      </w:r>
      <w:r w:rsidRPr="005523A4">
        <w:rPr>
          <w:rFonts w:asciiTheme="minorHAnsi" w:eastAsia="Times New Roman" w:hAnsiTheme="minorHAnsi" w:cstheme="minorHAnsi"/>
          <w:b/>
          <w:bCs/>
          <w:i/>
          <w:color w:val="000000"/>
          <w:sz w:val="21"/>
          <w:szCs w:val="18"/>
          <w:lang w:eastAsia="en-AU"/>
        </w:rPr>
        <w:t>Liquidity</w:t>
      </w:r>
      <w:r w:rsidRPr="005523A4">
        <w:rPr>
          <w:rFonts w:asciiTheme="minorHAnsi" w:eastAsia="Times New Roman" w:hAnsiTheme="minorHAnsi" w:cstheme="minorHAnsi"/>
          <w:b/>
          <w:bCs/>
          <w:color w:val="000000"/>
          <w:sz w:val="21"/>
          <w:szCs w:val="18"/>
          <w:lang w:eastAsia="en-AU"/>
        </w:rPr>
        <w:t xml:space="preserve"> </w:t>
      </w:r>
      <w:r w:rsidRPr="005523A4">
        <w:rPr>
          <w:rFonts w:asciiTheme="minorHAnsi" w:eastAsia="Times New Roman" w:hAnsiTheme="minorHAnsi" w:cstheme="minorHAnsi"/>
          <w:b/>
          <w:bCs/>
          <w:i/>
          <w:color w:val="000000"/>
          <w:sz w:val="21"/>
          <w:szCs w:val="18"/>
          <w:lang w:eastAsia="en-AU"/>
        </w:rPr>
        <w:t>Risk</w:t>
      </w:r>
    </w:p>
    <w:p w14:paraId="7848F777" w14:textId="77777777" w:rsidR="00AB33EC" w:rsidRPr="005523A4" w:rsidRDefault="00AB33EC" w:rsidP="0037124B">
      <w:pPr>
        <w:spacing w:before="40"/>
        <w:ind w:left="454"/>
        <w:rPr>
          <w:rFonts w:asciiTheme="minorHAnsi" w:eastAsia="Times New Roman" w:hAnsiTheme="minorHAnsi" w:cstheme="minorHAnsi"/>
          <w:color w:val="000000"/>
          <w:szCs w:val="18"/>
        </w:rPr>
      </w:pPr>
      <w:r w:rsidRPr="005523A4">
        <w:rPr>
          <w:rFonts w:asciiTheme="minorHAnsi" w:eastAsia="Times New Roman" w:hAnsiTheme="minorHAnsi" w:cstheme="minorHAnsi"/>
          <w:color w:val="000000"/>
          <w:szCs w:val="18"/>
        </w:rPr>
        <w:t>Liquidity risk refers to the situation where the CCC may encounter difficulty in meeting obligations associated with these financial liabilities that are settled by delivering cash or another financial asset.</w:t>
      </w:r>
    </w:p>
    <w:p w14:paraId="224A8E1D" w14:textId="77777777" w:rsidR="00AB33EC" w:rsidRPr="005523A4" w:rsidRDefault="00AB33EC" w:rsidP="0037124B">
      <w:pPr>
        <w:ind w:left="454"/>
        <w:rPr>
          <w:rFonts w:asciiTheme="minorHAnsi" w:eastAsia="Times New Roman" w:hAnsiTheme="minorHAnsi" w:cstheme="minorHAnsi"/>
          <w:color w:val="000000"/>
          <w:szCs w:val="18"/>
          <w:lang w:eastAsia="en-AU"/>
        </w:rPr>
      </w:pPr>
      <w:r w:rsidRPr="005523A4">
        <w:rPr>
          <w:rFonts w:asciiTheme="minorHAnsi" w:eastAsia="Times New Roman" w:hAnsiTheme="minorHAnsi" w:cstheme="minorHAnsi"/>
          <w:color w:val="000000"/>
          <w:szCs w:val="18"/>
          <w:lang w:eastAsia="en-AU"/>
        </w:rPr>
        <w:t xml:space="preserve">The CCC manages liquidity risk by ensuring the CCC has sufficient funds available to meet employee </w:t>
      </w:r>
      <w:r w:rsidRPr="005523A4">
        <w:rPr>
          <w:rFonts w:asciiTheme="minorHAnsi" w:eastAsia="Times New Roman" w:hAnsiTheme="minorHAnsi" w:cstheme="minorHAnsi"/>
          <w:color w:val="000000"/>
          <w:szCs w:val="18"/>
          <w:lang w:eastAsia="en-AU"/>
        </w:rPr>
        <w:br/>
        <w:t>and supplier obligations as they fall due. This is achieved by ensuring that sufficient levels of cash are held within the various bank accounts so as to match the expected duration of the various employee and supplier liabilities. The following table sets out the liquidity risk of financial liabilities held by the CCC.</w:t>
      </w:r>
    </w:p>
    <w:p w14:paraId="213AA802" w14:textId="77777777" w:rsidR="00AB33EC" w:rsidRPr="005523A4" w:rsidRDefault="00AB33EC" w:rsidP="00E9699B">
      <w:pPr>
        <w:spacing w:before="40" w:after="0"/>
        <w:ind w:left="454"/>
        <w:rPr>
          <w:rFonts w:asciiTheme="minorHAnsi" w:eastAsia="Times New Roman" w:hAnsiTheme="minorHAnsi" w:cstheme="minorHAnsi"/>
          <w:color w:val="000000"/>
          <w:szCs w:val="18"/>
        </w:rPr>
      </w:pPr>
    </w:p>
    <w:tbl>
      <w:tblPr>
        <w:tblW w:w="9074" w:type="dxa"/>
        <w:tblInd w:w="426" w:type="dxa"/>
        <w:tblLayout w:type="fixed"/>
        <w:tblCellMar>
          <w:left w:w="0" w:type="dxa"/>
        </w:tblCellMar>
        <w:tblLook w:val="01E0" w:firstRow="1" w:lastRow="1" w:firstColumn="1" w:lastColumn="1" w:noHBand="0" w:noVBand="0"/>
      </w:tblPr>
      <w:tblGrid>
        <w:gridCol w:w="1841"/>
        <w:gridCol w:w="427"/>
        <w:gridCol w:w="852"/>
        <w:gridCol w:w="851"/>
        <w:gridCol w:w="851"/>
        <w:gridCol w:w="850"/>
        <w:gridCol w:w="850"/>
        <w:gridCol w:w="851"/>
        <w:gridCol w:w="851"/>
        <w:gridCol w:w="850"/>
      </w:tblGrid>
      <w:tr w:rsidR="00AB33EC" w:rsidRPr="005523A4" w14:paraId="309D0E60" w14:textId="77777777" w:rsidTr="00B721B7">
        <w:trPr>
          <w:trHeight w:val="267"/>
        </w:trPr>
        <w:tc>
          <w:tcPr>
            <w:tcW w:w="1841" w:type="dxa"/>
            <w:tcMar>
              <w:left w:w="0" w:type="dxa"/>
              <w:right w:w="0" w:type="dxa"/>
            </w:tcMar>
          </w:tcPr>
          <w:p w14:paraId="624C146A" w14:textId="77777777" w:rsidR="00AB33EC" w:rsidRPr="005523A4" w:rsidRDefault="00AB33EC" w:rsidP="00E9699B">
            <w:pPr>
              <w:spacing w:after="60"/>
              <w:rPr>
                <w:rFonts w:asciiTheme="minorHAnsi" w:eastAsia="Calibri" w:hAnsiTheme="minorHAnsi" w:cstheme="minorHAnsi"/>
                <w:color w:val="000000"/>
                <w:szCs w:val="19"/>
              </w:rPr>
            </w:pPr>
          </w:p>
        </w:tc>
        <w:tc>
          <w:tcPr>
            <w:tcW w:w="427" w:type="dxa"/>
            <w:tcMar>
              <w:left w:w="0" w:type="dxa"/>
              <w:right w:w="0" w:type="dxa"/>
            </w:tcMar>
          </w:tcPr>
          <w:p w14:paraId="1BB80F7C" w14:textId="77777777" w:rsidR="00AB33EC" w:rsidRPr="005523A4" w:rsidRDefault="00AB33EC" w:rsidP="00E9699B">
            <w:pPr>
              <w:spacing w:after="60"/>
              <w:rPr>
                <w:rFonts w:asciiTheme="minorHAnsi" w:eastAsia="Calibri" w:hAnsiTheme="minorHAnsi" w:cstheme="minorHAnsi"/>
                <w:b/>
                <w:color w:val="000000"/>
                <w:szCs w:val="19"/>
              </w:rPr>
            </w:pPr>
          </w:p>
        </w:tc>
        <w:tc>
          <w:tcPr>
            <w:tcW w:w="5105" w:type="dxa"/>
            <w:gridSpan w:val="6"/>
          </w:tcPr>
          <w:p w14:paraId="7F36CDE0" w14:textId="77777777" w:rsidR="00AB33EC" w:rsidRPr="005523A4" w:rsidRDefault="00AB33EC" w:rsidP="00E9699B">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Payable in</w:t>
            </w:r>
          </w:p>
        </w:tc>
        <w:tc>
          <w:tcPr>
            <w:tcW w:w="1701" w:type="dxa"/>
            <w:gridSpan w:val="2"/>
            <w:vMerge w:val="restart"/>
            <w:tcBorders>
              <w:bottom w:val="single" w:sz="4" w:space="0" w:color="auto"/>
            </w:tcBorders>
            <w:tcMar>
              <w:left w:w="0" w:type="dxa"/>
              <w:bottom w:w="0" w:type="dxa"/>
              <w:right w:w="113" w:type="dxa"/>
            </w:tcMar>
            <w:vAlign w:val="bottom"/>
          </w:tcPr>
          <w:p w14:paraId="748515AA" w14:textId="77777777" w:rsidR="00AB33EC" w:rsidRPr="005523A4" w:rsidRDefault="00AB33EC" w:rsidP="00E9699B">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Total</w:t>
            </w:r>
          </w:p>
        </w:tc>
      </w:tr>
      <w:tr w:rsidR="00AB33EC" w:rsidRPr="005523A4" w14:paraId="6BF092A8" w14:textId="77777777" w:rsidTr="00B721B7">
        <w:trPr>
          <w:trHeight w:val="343"/>
        </w:trPr>
        <w:tc>
          <w:tcPr>
            <w:tcW w:w="1841" w:type="dxa"/>
            <w:tcMar>
              <w:left w:w="0" w:type="dxa"/>
              <w:right w:w="0" w:type="dxa"/>
            </w:tcMar>
          </w:tcPr>
          <w:p w14:paraId="143D36D8" w14:textId="77777777" w:rsidR="00AB33EC" w:rsidRPr="005523A4" w:rsidRDefault="00AB33EC" w:rsidP="00E9699B">
            <w:pPr>
              <w:spacing w:after="60"/>
              <w:jc w:val="center"/>
              <w:rPr>
                <w:rFonts w:asciiTheme="minorHAnsi" w:eastAsia="Calibri" w:hAnsiTheme="minorHAnsi" w:cstheme="minorHAnsi"/>
                <w:color w:val="000000"/>
                <w:szCs w:val="20"/>
              </w:rPr>
            </w:pPr>
          </w:p>
        </w:tc>
        <w:tc>
          <w:tcPr>
            <w:tcW w:w="427" w:type="dxa"/>
            <w:tcMar>
              <w:top w:w="57" w:type="dxa"/>
              <w:left w:w="0" w:type="dxa"/>
              <w:bottom w:w="57" w:type="dxa"/>
              <w:right w:w="0" w:type="dxa"/>
            </w:tcMar>
          </w:tcPr>
          <w:p w14:paraId="0B6DB844" w14:textId="77777777" w:rsidR="00AB33EC" w:rsidRPr="005523A4" w:rsidRDefault="00AB33EC" w:rsidP="00E9699B">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Note</w:t>
            </w:r>
          </w:p>
        </w:tc>
        <w:tc>
          <w:tcPr>
            <w:tcW w:w="1703" w:type="dxa"/>
            <w:gridSpan w:val="2"/>
            <w:tcBorders>
              <w:top w:val="single" w:sz="4" w:space="0" w:color="auto"/>
              <w:bottom w:val="single" w:sz="4" w:space="0" w:color="auto"/>
            </w:tcBorders>
            <w:tcMar>
              <w:top w:w="0" w:type="dxa"/>
              <w:left w:w="0" w:type="dxa"/>
              <w:bottom w:w="0" w:type="dxa"/>
              <w:right w:w="113" w:type="dxa"/>
            </w:tcMar>
          </w:tcPr>
          <w:p w14:paraId="0B42BA3C" w14:textId="77777777" w:rsidR="00AB33EC" w:rsidRPr="005523A4" w:rsidRDefault="00AB33EC" w:rsidP="00C5404E">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&lt; 1 year</w:t>
            </w:r>
          </w:p>
        </w:tc>
        <w:tc>
          <w:tcPr>
            <w:tcW w:w="1701" w:type="dxa"/>
            <w:gridSpan w:val="2"/>
            <w:tcBorders>
              <w:top w:val="single" w:sz="4" w:space="0" w:color="auto"/>
              <w:bottom w:val="single" w:sz="4" w:space="0" w:color="auto"/>
            </w:tcBorders>
            <w:tcMar>
              <w:top w:w="0" w:type="dxa"/>
              <w:left w:w="0" w:type="dxa"/>
              <w:bottom w:w="0" w:type="dxa"/>
              <w:right w:w="113" w:type="dxa"/>
            </w:tcMar>
          </w:tcPr>
          <w:p w14:paraId="19EF45BF" w14:textId="77777777" w:rsidR="00AB33EC" w:rsidRPr="005523A4" w:rsidRDefault="00AB33EC" w:rsidP="00C5404E">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1–5 years</w:t>
            </w:r>
          </w:p>
        </w:tc>
        <w:tc>
          <w:tcPr>
            <w:tcW w:w="1701" w:type="dxa"/>
            <w:gridSpan w:val="2"/>
            <w:tcBorders>
              <w:top w:val="single" w:sz="4" w:space="0" w:color="auto"/>
              <w:bottom w:val="single" w:sz="4" w:space="0" w:color="auto"/>
            </w:tcBorders>
            <w:tcMar>
              <w:top w:w="0" w:type="dxa"/>
              <w:left w:w="0" w:type="dxa"/>
              <w:bottom w:w="0" w:type="dxa"/>
              <w:right w:w="113" w:type="dxa"/>
            </w:tcMar>
          </w:tcPr>
          <w:p w14:paraId="0B5381D6" w14:textId="77777777" w:rsidR="00AB33EC" w:rsidRPr="005523A4" w:rsidRDefault="00AB33EC" w:rsidP="00C5404E">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&gt; 5 years</w:t>
            </w:r>
          </w:p>
        </w:tc>
        <w:tc>
          <w:tcPr>
            <w:tcW w:w="1701" w:type="dxa"/>
            <w:gridSpan w:val="2"/>
            <w:vMerge/>
            <w:tcBorders>
              <w:bottom w:val="single" w:sz="4" w:space="0" w:color="auto"/>
            </w:tcBorders>
            <w:tcMar>
              <w:top w:w="57" w:type="dxa"/>
              <w:left w:w="0" w:type="dxa"/>
              <w:bottom w:w="0" w:type="dxa"/>
              <w:right w:w="0" w:type="dxa"/>
            </w:tcMar>
            <w:vAlign w:val="bottom"/>
          </w:tcPr>
          <w:p w14:paraId="1DA8B33B" w14:textId="77777777" w:rsidR="00AB33EC" w:rsidRPr="005523A4" w:rsidRDefault="00AB33EC" w:rsidP="00E9699B">
            <w:pPr>
              <w:spacing w:after="60"/>
              <w:jc w:val="right"/>
              <w:rPr>
                <w:rFonts w:asciiTheme="minorHAnsi" w:eastAsia="Calibri" w:hAnsiTheme="minorHAnsi" w:cstheme="minorHAnsi"/>
                <w:b/>
                <w:color w:val="000000"/>
                <w:szCs w:val="20"/>
              </w:rPr>
            </w:pPr>
          </w:p>
        </w:tc>
      </w:tr>
      <w:tr w:rsidR="00AB33EC" w:rsidRPr="003E75E2" w14:paraId="5C37F29A" w14:textId="77777777" w:rsidTr="00B721B7">
        <w:tc>
          <w:tcPr>
            <w:tcW w:w="1841" w:type="dxa"/>
            <w:tcMar>
              <w:left w:w="0" w:type="dxa"/>
              <w:right w:w="0" w:type="dxa"/>
            </w:tcMar>
          </w:tcPr>
          <w:p w14:paraId="07372807" w14:textId="77777777" w:rsidR="00AB33EC" w:rsidRPr="005523A4" w:rsidRDefault="00AB33EC" w:rsidP="00E9699B">
            <w:pPr>
              <w:spacing w:after="60"/>
              <w:jc w:val="right"/>
              <w:rPr>
                <w:rFonts w:asciiTheme="minorHAnsi" w:eastAsia="Calibri" w:hAnsiTheme="minorHAnsi" w:cstheme="minorHAnsi"/>
                <w:b/>
                <w:color w:val="000000"/>
                <w:szCs w:val="20"/>
              </w:rPr>
            </w:pPr>
          </w:p>
        </w:tc>
        <w:tc>
          <w:tcPr>
            <w:tcW w:w="427" w:type="dxa"/>
            <w:tcMar>
              <w:left w:w="0" w:type="dxa"/>
              <w:right w:w="0" w:type="dxa"/>
            </w:tcMar>
          </w:tcPr>
          <w:p w14:paraId="6A0744B8" w14:textId="77777777" w:rsidR="00AB33EC" w:rsidRPr="005523A4" w:rsidRDefault="00AB33EC" w:rsidP="00E9699B">
            <w:pPr>
              <w:spacing w:after="60"/>
              <w:jc w:val="right"/>
              <w:rPr>
                <w:rFonts w:asciiTheme="minorHAnsi" w:eastAsia="Calibri" w:hAnsiTheme="minorHAnsi" w:cstheme="minorHAnsi"/>
                <w:b/>
                <w:color w:val="000000"/>
                <w:szCs w:val="20"/>
              </w:rPr>
            </w:pPr>
          </w:p>
        </w:tc>
        <w:tc>
          <w:tcPr>
            <w:tcW w:w="852" w:type="dxa"/>
            <w:tcBorders>
              <w:top w:val="single" w:sz="4" w:space="0" w:color="auto"/>
              <w:right w:val="single" w:sz="4" w:space="0" w:color="auto"/>
            </w:tcBorders>
            <w:shd w:val="clear" w:color="auto" w:fill="F1F1F2" w:themeFill="accent5" w:themeFillTint="33"/>
            <w:tcMar>
              <w:left w:w="0" w:type="dxa"/>
              <w:right w:w="0" w:type="dxa"/>
            </w:tcMar>
            <w:vAlign w:val="bottom"/>
          </w:tcPr>
          <w:p w14:paraId="33E43F2E" w14:textId="77777777" w:rsidR="00AB33EC" w:rsidRPr="005523A4" w:rsidRDefault="00AB33EC" w:rsidP="00E9699B">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2024</w:t>
            </w:r>
          </w:p>
        </w:tc>
        <w:tc>
          <w:tcPr>
            <w:tcW w:w="851" w:type="dxa"/>
            <w:tcBorders>
              <w:top w:val="single" w:sz="4" w:space="0" w:color="auto"/>
              <w:left w:val="single" w:sz="4" w:space="0" w:color="auto"/>
              <w:right w:val="single" w:sz="4" w:space="0" w:color="auto"/>
            </w:tcBorders>
            <w:shd w:val="clear" w:color="auto" w:fill="FFFFFF"/>
            <w:vAlign w:val="bottom"/>
          </w:tcPr>
          <w:p w14:paraId="5658969C" w14:textId="77777777" w:rsidR="00AB33EC" w:rsidRPr="005523A4" w:rsidRDefault="00AB33EC" w:rsidP="00E9699B">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2023</w:t>
            </w:r>
          </w:p>
        </w:tc>
        <w:tc>
          <w:tcPr>
            <w:tcW w:w="851" w:type="dxa"/>
            <w:tcBorders>
              <w:top w:val="single" w:sz="4" w:space="0" w:color="auto"/>
              <w:left w:val="single" w:sz="4" w:space="0" w:color="auto"/>
              <w:right w:val="single" w:sz="4" w:space="0" w:color="auto"/>
            </w:tcBorders>
            <w:shd w:val="clear" w:color="auto" w:fill="F1F1F2" w:themeFill="accent5" w:themeFillTint="33"/>
            <w:tcMar>
              <w:left w:w="0" w:type="dxa"/>
              <w:right w:w="0" w:type="dxa"/>
            </w:tcMar>
            <w:vAlign w:val="bottom"/>
          </w:tcPr>
          <w:p w14:paraId="1F96C2C7" w14:textId="77777777" w:rsidR="00AB33EC" w:rsidRPr="005523A4" w:rsidRDefault="00AB33EC" w:rsidP="00E9699B">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2024</w:t>
            </w:r>
          </w:p>
        </w:tc>
        <w:tc>
          <w:tcPr>
            <w:tcW w:w="850" w:type="dxa"/>
            <w:tcBorders>
              <w:top w:val="single" w:sz="4" w:space="0" w:color="auto"/>
              <w:left w:val="single" w:sz="4" w:space="0" w:color="auto"/>
              <w:right w:val="single" w:sz="4" w:space="0" w:color="auto"/>
            </w:tcBorders>
            <w:shd w:val="clear" w:color="auto" w:fill="FFFFFF"/>
            <w:vAlign w:val="bottom"/>
          </w:tcPr>
          <w:p w14:paraId="75BB198B" w14:textId="77777777" w:rsidR="00AB33EC" w:rsidRPr="005523A4" w:rsidRDefault="00AB33EC" w:rsidP="00E9699B">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2023</w:t>
            </w:r>
          </w:p>
        </w:tc>
        <w:tc>
          <w:tcPr>
            <w:tcW w:w="850" w:type="dxa"/>
            <w:tcBorders>
              <w:top w:val="single" w:sz="4" w:space="0" w:color="auto"/>
              <w:left w:val="single" w:sz="4" w:space="0" w:color="auto"/>
              <w:right w:val="single" w:sz="4" w:space="0" w:color="auto"/>
            </w:tcBorders>
            <w:shd w:val="clear" w:color="auto" w:fill="F1F1F2" w:themeFill="accent5" w:themeFillTint="33"/>
            <w:tcMar>
              <w:left w:w="0" w:type="dxa"/>
              <w:right w:w="0" w:type="dxa"/>
            </w:tcMar>
            <w:vAlign w:val="bottom"/>
          </w:tcPr>
          <w:p w14:paraId="25CFCDC1" w14:textId="77777777" w:rsidR="00AB33EC" w:rsidRPr="005523A4" w:rsidRDefault="00AB33EC" w:rsidP="00E9699B">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2024</w:t>
            </w:r>
          </w:p>
        </w:tc>
        <w:tc>
          <w:tcPr>
            <w:tcW w:w="851" w:type="dxa"/>
            <w:tcBorders>
              <w:top w:val="single" w:sz="4" w:space="0" w:color="auto"/>
              <w:right w:val="single" w:sz="4" w:space="0" w:color="auto"/>
            </w:tcBorders>
            <w:shd w:val="clear" w:color="auto" w:fill="FFFFFF"/>
            <w:vAlign w:val="bottom"/>
          </w:tcPr>
          <w:p w14:paraId="30151A17" w14:textId="77777777" w:rsidR="00AB33EC" w:rsidRPr="005523A4" w:rsidRDefault="00AB33EC" w:rsidP="00E9699B">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2023</w:t>
            </w:r>
          </w:p>
        </w:tc>
        <w:tc>
          <w:tcPr>
            <w:tcW w:w="851" w:type="dxa"/>
            <w:tcBorders>
              <w:top w:val="single" w:sz="4" w:space="0" w:color="auto"/>
              <w:left w:val="single" w:sz="4" w:space="0" w:color="auto"/>
            </w:tcBorders>
            <w:shd w:val="clear" w:color="auto" w:fill="F1F1F2" w:themeFill="accent5" w:themeFillTint="33"/>
            <w:tcMar>
              <w:left w:w="0" w:type="dxa"/>
              <w:right w:w="0" w:type="dxa"/>
            </w:tcMar>
            <w:vAlign w:val="bottom"/>
          </w:tcPr>
          <w:p w14:paraId="3496A7F1" w14:textId="77777777" w:rsidR="00AB33EC" w:rsidRPr="005523A4" w:rsidRDefault="00AB33EC" w:rsidP="00E9699B">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2024</w:t>
            </w:r>
          </w:p>
        </w:tc>
        <w:tc>
          <w:tcPr>
            <w:tcW w:w="850" w:type="dxa"/>
            <w:tcBorders>
              <w:top w:val="single" w:sz="4" w:space="0" w:color="auto"/>
              <w:left w:val="single" w:sz="4" w:space="0" w:color="auto"/>
            </w:tcBorders>
            <w:shd w:val="clear" w:color="auto" w:fill="FFFFFF"/>
            <w:vAlign w:val="bottom"/>
          </w:tcPr>
          <w:p w14:paraId="12B59C40" w14:textId="77777777" w:rsidR="00AB33EC" w:rsidRPr="005523A4" w:rsidRDefault="00AB33EC" w:rsidP="00E9699B">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2023</w:t>
            </w:r>
          </w:p>
        </w:tc>
      </w:tr>
      <w:tr w:rsidR="00AB33EC" w:rsidRPr="003E75E2" w14:paraId="312F71C9" w14:textId="77777777" w:rsidTr="00B721B7">
        <w:tc>
          <w:tcPr>
            <w:tcW w:w="1841" w:type="dxa"/>
            <w:tcMar>
              <w:left w:w="0" w:type="dxa"/>
              <w:right w:w="0" w:type="dxa"/>
            </w:tcMar>
          </w:tcPr>
          <w:p w14:paraId="6962F65A" w14:textId="77777777" w:rsidR="00AB33EC" w:rsidRPr="005523A4" w:rsidRDefault="00AB33EC" w:rsidP="00E9699B">
            <w:pPr>
              <w:spacing w:after="60"/>
              <w:jc w:val="right"/>
              <w:rPr>
                <w:rFonts w:asciiTheme="minorHAnsi" w:eastAsia="Calibri" w:hAnsiTheme="minorHAnsi" w:cstheme="minorHAnsi"/>
                <w:b/>
                <w:color w:val="000000"/>
                <w:szCs w:val="20"/>
              </w:rPr>
            </w:pPr>
          </w:p>
        </w:tc>
        <w:tc>
          <w:tcPr>
            <w:tcW w:w="427" w:type="dxa"/>
            <w:tcMar>
              <w:left w:w="0" w:type="dxa"/>
              <w:right w:w="0" w:type="dxa"/>
            </w:tcMar>
          </w:tcPr>
          <w:p w14:paraId="1491D6EE" w14:textId="77777777" w:rsidR="00AB33EC" w:rsidRPr="005523A4" w:rsidRDefault="00AB33EC" w:rsidP="00E9699B">
            <w:pPr>
              <w:spacing w:after="60"/>
              <w:jc w:val="right"/>
              <w:rPr>
                <w:rFonts w:asciiTheme="minorHAnsi" w:eastAsia="Calibri" w:hAnsiTheme="minorHAnsi" w:cstheme="minorHAnsi"/>
                <w:b/>
                <w:color w:val="000000"/>
                <w:szCs w:val="20"/>
              </w:rPr>
            </w:pPr>
          </w:p>
        </w:tc>
        <w:tc>
          <w:tcPr>
            <w:tcW w:w="852" w:type="dxa"/>
            <w:tcBorders>
              <w:bottom w:val="single" w:sz="4" w:space="0" w:color="auto"/>
              <w:right w:val="single" w:sz="4" w:space="0" w:color="auto"/>
            </w:tcBorders>
            <w:shd w:val="clear" w:color="auto" w:fill="F1F1F2" w:themeFill="accent5" w:themeFillTint="33"/>
            <w:tcMar>
              <w:left w:w="0" w:type="dxa"/>
              <w:right w:w="0" w:type="dxa"/>
            </w:tcMar>
            <w:vAlign w:val="bottom"/>
          </w:tcPr>
          <w:p w14:paraId="39EF2215" w14:textId="77777777" w:rsidR="00AB33EC" w:rsidRPr="005523A4" w:rsidRDefault="00AB33EC" w:rsidP="00E9699B">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$’000</w:t>
            </w:r>
          </w:p>
        </w:tc>
        <w:tc>
          <w:tcPr>
            <w:tcW w:w="851" w:type="dxa"/>
            <w:tcBorders>
              <w:left w:val="single" w:sz="4" w:space="0" w:color="auto"/>
              <w:bottom w:val="single" w:sz="4" w:space="0" w:color="auto"/>
              <w:right w:val="single" w:sz="4" w:space="0" w:color="auto"/>
            </w:tcBorders>
            <w:shd w:val="clear" w:color="auto" w:fill="FFFFFF"/>
            <w:vAlign w:val="bottom"/>
          </w:tcPr>
          <w:p w14:paraId="25FB4D42" w14:textId="77777777" w:rsidR="00AB33EC" w:rsidRPr="005523A4" w:rsidRDefault="00AB33EC" w:rsidP="00E9699B">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$’000</w:t>
            </w:r>
          </w:p>
        </w:tc>
        <w:tc>
          <w:tcPr>
            <w:tcW w:w="851" w:type="dxa"/>
            <w:tcBorders>
              <w:left w:val="single" w:sz="4" w:space="0" w:color="auto"/>
              <w:bottom w:val="single" w:sz="4" w:space="0" w:color="auto"/>
              <w:right w:val="single" w:sz="4" w:space="0" w:color="auto"/>
            </w:tcBorders>
            <w:shd w:val="clear" w:color="auto" w:fill="F1F1F2" w:themeFill="accent5" w:themeFillTint="33"/>
            <w:tcMar>
              <w:left w:w="0" w:type="dxa"/>
              <w:right w:w="0" w:type="dxa"/>
            </w:tcMar>
            <w:vAlign w:val="bottom"/>
          </w:tcPr>
          <w:p w14:paraId="34CF9759" w14:textId="77777777" w:rsidR="00AB33EC" w:rsidRPr="005523A4" w:rsidRDefault="00AB33EC" w:rsidP="00E9699B">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$’000</w:t>
            </w:r>
          </w:p>
        </w:tc>
        <w:tc>
          <w:tcPr>
            <w:tcW w:w="850" w:type="dxa"/>
            <w:tcBorders>
              <w:left w:val="single" w:sz="4" w:space="0" w:color="auto"/>
              <w:bottom w:val="single" w:sz="4" w:space="0" w:color="auto"/>
              <w:right w:val="single" w:sz="4" w:space="0" w:color="auto"/>
            </w:tcBorders>
            <w:shd w:val="clear" w:color="auto" w:fill="FFFFFF"/>
            <w:vAlign w:val="bottom"/>
          </w:tcPr>
          <w:p w14:paraId="1AEDF7EB" w14:textId="77777777" w:rsidR="00AB33EC" w:rsidRPr="005523A4" w:rsidRDefault="00AB33EC" w:rsidP="00E9699B">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$’000</w:t>
            </w:r>
          </w:p>
        </w:tc>
        <w:tc>
          <w:tcPr>
            <w:tcW w:w="850" w:type="dxa"/>
            <w:tcBorders>
              <w:left w:val="single" w:sz="4" w:space="0" w:color="auto"/>
              <w:bottom w:val="single" w:sz="4" w:space="0" w:color="auto"/>
              <w:right w:val="single" w:sz="4" w:space="0" w:color="auto"/>
            </w:tcBorders>
            <w:shd w:val="clear" w:color="auto" w:fill="F1F1F2" w:themeFill="accent5" w:themeFillTint="33"/>
            <w:tcMar>
              <w:left w:w="0" w:type="dxa"/>
              <w:right w:w="0" w:type="dxa"/>
            </w:tcMar>
            <w:vAlign w:val="bottom"/>
          </w:tcPr>
          <w:p w14:paraId="364CA9E5" w14:textId="77777777" w:rsidR="00AB33EC" w:rsidRPr="005523A4" w:rsidRDefault="00AB33EC" w:rsidP="00E9699B">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$’000</w:t>
            </w:r>
          </w:p>
        </w:tc>
        <w:tc>
          <w:tcPr>
            <w:tcW w:w="851" w:type="dxa"/>
            <w:tcBorders>
              <w:bottom w:val="single" w:sz="4" w:space="0" w:color="auto"/>
              <w:right w:val="single" w:sz="4" w:space="0" w:color="auto"/>
            </w:tcBorders>
            <w:shd w:val="clear" w:color="auto" w:fill="FFFFFF"/>
            <w:vAlign w:val="bottom"/>
          </w:tcPr>
          <w:p w14:paraId="361E8085" w14:textId="77777777" w:rsidR="00AB33EC" w:rsidRPr="005523A4" w:rsidRDefault="00AB33EC" w:rsidP="00E9699B">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$’000</w:t>
            </w:r>
          </w:p>
        </w:tc>
        <w:tc>
          <w:tcPr>
            <w:tcW w:w="851" w:type="dxa"/>
            <w:tcBorders>
              <w:left w:val="single" w:sz="4" w:space="0" w:color="auto"/>
              <w:bottom w:val="single" w:sz="4" w:space="0" w:color="auto"/>
            </w:tcBorders>
            <w:shd w:val="clear" w:color="auto" w:fill="F1F1F2" w:themeFill="accent5" w:themeFillTint="33"/>
            <w:tcMar>
              <w:left w:w="0" w:type="dxa"/>
              <w:right w:w="0" w:type="dxa"/>
            </w:tcMar>
            <w:vAlign w:val="bottom"/>
          </w:tcPr>
          <w:p w14:paraId="4B354F59" w14:textId="77777777" w:rsidR="00AB33EC" w:rsidRPr="005523A4" w:rsidRDefault="00AB33EC" w:rsidP="00E9699B">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$’000</w:t>
            </w:r>
          </w:p>
        </w:tc>
        <w:tc>
          <w:tcPr>
            <w:tcW w:w="850" w:type="dxa"/>
            <w:tcBorders>
              <w:left w:val="single" w:sz="4" w:space="0" w:color="auto"/>
              <w:bottom w:val="single" w:sz="4" w:space="0" w:color="auto"/>
            </w:tcBorders>
            <w:shd w:val="clear" w:color="auto" w:fill="FFFFFF"/>
            <w:vAlign w:val="bottom"/>
          </w:tcPr>
          <w:p w14:paraId="5731EBC9" w14:textId="77777777" w:rsidR="00AB33EC" w:rsidRPr="005523A4" w:rsidRDefault="00AB33EC" w:rsidP="00E9699B">
            <w:pPr>
              <w:spacing w:after="60"/>
              <w:jc w:val="center"/>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$’000</w:t>
            </w:r>
          </w:p>
        </w:tc>
      </w:tr>
      <w:tr w:rsidR="00AB33EC" w:rsidRPr="003E75E2" w14:paraId="66E02205" w14:textId="77777777" w:rsidTr="00B721B7">
        <w:trPr>
          <w:trHeight w:val="227"/>
        </w:trPr>
        <w:tc>
          <w:tcPr>
            <w:tcW w:w="1841" w:type="dxa"/>
            <w:tcMar>
              <w:left w:w="0" w:type="dxa"/>
              <w:right w:w="0" w:type="dxa"/>
            </w:tcMar>
          </w:tcPr>
          <w:p w14:paraId="042CF7DA" w14:textId="77777777" w:rsidR="00AB33EC" w:rsidRPr="005523A4" w:rsidRDefault="00AB33EC" w:rsidP="00E9699B">
            <w:pPr>
              <w:spacing w:after="60"/>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Financial liabilities</w:t>
            </w:r>
          </w:p>
        </w:tc>
        <w:tc>
          <w:tcPr>
            <w:tcW w:w="427" w:type="dxa"/>
            <w:tcMar>
              <w:left w:w="0" w:type="dxa"/>
              <w:right w:w="0" w:type="dxa"/>
            </w:tcMar>
          </w:tcPr>
          <w:p w14:paraId="4C2D12C7" w14:textId="77777777" w:rsidR="00AB33EC" w:rsidRPr="005523A4" w:rsidRDefault="00AB33EC" w:rsidP="00E9699B">
            <w:pPr>
              <w:spacing w:after="60"/>
              <w:rPr>
                <w:rFonts w:asciiTheme="minorHAnsi" w:eastAsia="Calibri" w:hAnsiTheme="minorHAnsi" w:cstheme="minorHAnsi"/>
                <w:b/>
                <w:color w:val="000000"/>
                <w:szCs w:val="20"/>
              </w:rPr>
            </w:pPr>
          </w:p>
        </w:tc>
        <w:tc>
          <w:tcPr>
            <w:tcW w:w="852" w:type="dxa"/>
            <w:tcBorders>
              <w:top w:val="single" w:sz="4" w:space="0" w:color="auto"/>
              <w:right w:val="single" w:sz="4" w:space="0" w:color="auto"/>
            </w:tcBorders>
            <w:shd w:val="clear" w:color="auto" w:fill="F1F1F2" w:themeFill="accent5" w:themeFillTint="33"/>
            <w:tcMar>
              <w:left w:w="0" w:type="dxa"/>
              <w:right w:w="0" w:type="dxa"/>
            </w:tcMar>
          </w:tcPr>
          <w:p w14:paraId="7836390D" w14:textId="77777777" w:rsidR="00AB33EC" w:rsidRPr="005523A4" w:rsidRDefault="00AB33EC" w:rsidP="00E9699B">
            <w:pPr>
              <w:spacing w:after="60"/>
              <w:rPr>
                <w:rFonts w:asciiTheme="minorHAnsi" w:eastAsia="Calibri" w:hAnsiTheme="minorHAnsi" w:cstheme="minorHAnsi"/>
                <w:b/>
                <w:color w:val="000000"/>
                <w:szCs w:val="20"/>
              </w:rPr>
            </w:pPr>
          </w:p>
        </w:tc>
        <w:tc>
          <w:tcPr>
            <w:tcW w:w="851" w:type="dxa"/>
            <w:tcBorders>
              <w:top w:val="single" w:sz="4" w:space="0" w:color="auto"/>
              <w:left w:val="single" w:sz="4" w:space="0" w:color="auto"/>
              <w:right w:val="single" w:sz="4" w:space="0" w:color="auto"/>
            </w:tcBorders>
            <w:shd w:val="clear" w:color="auto" w:fill="FFFFFF"/>
          </w:tcPr>
          <w:p w14:paraId="5337A2FB" w14:textId="77777777" w:rsidR="00AB33EC" w:rsidRPr="005523A4" w:rsidRDefault="00AB33EC" w:rsidP="00E9699B">
            <w:pPr>
              <w:spacing w:after="60"/>
              <w:rPr>
                <w:rFonts w:asciiTheme="minorHAnsi" w:eastAsia="Calibri" w:hAnsiTheme="minorHAnsi" w:cstheme="minorHAnsi"/>
                <w:b/>
                <w:color w:val="000000"/>
                <w:szCs w:val="20"/>
              </w:rPr>
            </w:pPr>
          </w:p>
        </w:tc>
        <w:tc>
          <w:tcPr>
            <w:tcW w:w="851" w:type="dxa"/>
            <w:tcBorders>
              <w:top w:val="single" w:sz="4" w:space="0" w:color="auto"/>
              <w:left w:val="single" w:sz="4" w:space="0" w:color="auto"/>
              <w:right w:val="single" w:sz="4" w:space="0" w:color="auto"/>
            </w:tcBorders>
            <w:shd w:val="clear" w:color="auto" w:fill="F1F1F2" w:themeFill="accent5" w:themeFillTint="33"/>
            <w:tcMar>
              <w:left w:w="0" w:type="dxa"/>
              <w:right w:w="0" w:type="dxa"/>
            </w:tcMar>
          </w:tcPr>
          <w:p w14:paraId="18744962" w14:textId="77777777" w:rsidR="00AB33EC" w:rsidRPr="005523A4" w:rsidRDefault="00AB33EC" w:rsidP="00E9699B">
            <w:pPr>
              <w:spacing w:after="60"/>
              <w:rPr>
                <w:rFonts w:asciiTheme="minorHAnsi" w:eastAsia="Calibri" w:hAnsiTheme="minorHAnsi" w:cstheme="minorHAnsi"/>
                <w:b/>
                <w:color w:val="000000"/>
                <w:szCs w:val="20"/>
              </w:rPr>
            </w:pPr>
          </w:p>
        </w:tc>
        <w:tc>
          <w:tcPr>
            <w:tcW w:w="850" w:type="dxa"/>
            <w:tcBorders>
              <w:top w:val="single" w:sz="4" w:space="0" w:color="auto"/>
              <w:left w:val="single" w:sz="4" w:space="0" w:color="auto"/>
              <w:right w:val="single" w:sz="4" w:space="0" w:color="auto"/>
            </w:tcBorders>
            <w:shd w:val="clear" w:color="auto" w:fill="FFFFFF"/>
          </w:tcPr>
          <w:p w14:paraId="402FF20B" w14:textId="77777777" w:rsidR="00AB33EC" w:rsidRPr="005523A4" w:rsidRDefault="00AB33EC" w:rsidP="00E9699B">
            <w:pPr>
              <w:spacing w:after="60"/>
              <w:rPr>
                <w:rFonts w:asciiTheme="minorHAnsi" w:eastAsia="Calibri" w:hAnsiTheme="minorHAnsi" w:cstheme="minorHAnsi"/>
                <w:b/>
                <w:color w:val="000000"/>
                <w:szCs w:val="20"/>
              </w:rPr>
            </w:pPr>
          </w:p>
        </w:tc>
        <w:tc>
          <w:tcPr>
            <w:tcW w:w="850" w:type="dxa"/>
            <w:tcBorders>
              <w:top w:val="single" w:sz="4" w:space="0" w:color="auto"/>
              <w:left w:val="single" w:sz="4" w:space="0" w:color="auto"/>
              <w:right w:val="single" w:sz="4" w:space="0" w:color="auto"/>
            </w:tcBorders>
            <w:shd w:val="clear" w:color="auto" w:fill="F1F1F2" w:themeFill="accent5" w:themeFillTint="33"/>
            <w:tcMar>
              <w:left w:w="0" w:type="dxa"/>
              <w:right w:w="0" w:type="dxa"/>
            </w:tcMar>
          </w:tcPr>
          <w:p w14:paraId="0A6567BE" w14:textId="77777777" w:rsidR="00AB33EC" w:rsidRPr="005523A4" w:rsidRDefault="00AB33EC" w:rsidP="00E9699B">
            <w:pPr>
              <w:spacing w:after="60"/>
              <w:rPr>
                <w:rFonts w:asciiTheme="minorHAnsi" w:eastAsia="Calibri" w:hAnsiTheme="minorHAnsi" w:cstheme="minorHAnsi"/>
                <w:b/>
                <w:color w:val="000000"/>
                <w:szCs w:val="20"/>
              </w:rPr>
            </w:pPr>
          </w:p>
        </w:tc>
        <w:tc>
          <w:tcPr>
            <w:tcW w:w="851" w:type="dxa"/>
            <w:tcBorders>
              <w:top w:val="single" w:sz="4" w:space="0" w:color="auto"/>
              <w:right w:val="single" w:sz="4" w:space="0" w:color="auto"/>
            </w:tcBorders>
            <w:shd w:val="clear" w:color="auto" w:fill="FFFFFF"/>
          </w:tcPr>
          <w:p w14:paraId="6F498C08" w14:textId="77777777" w:rsidR="00AB33EC" w:rsidRPr="005523A4" w:rsidRDefault="00AB33EC" w:rsidP="00E9699B">
            <w:pPr>
              <w:spacing w:after="60"/>
              <w:rPr>
                <w:rFonts w:asciiTheme="minorHAnsi" w:eastAsia="Calibri" w:hAnsiTheme="minorHAnsi" w:cstheme="minorHAnsi"/>
                <w:b/>
                <w:color w:val="000000"/>
                <w:szCs w:val="20"/>
              </w:rPr>
            </w:pPr>
          </w:p>
        </w:tc>
        <w:tc>
          <w:tcPr>
            <w:tcW w:w="851" w:type="dxa"/>
            <w:tcBorders>
              <w:top w:val="single" w:sz="4" w:space="0" w:color="auto"/>
              <w:left w:val="single" w:sz="4" w:space="0" w:color="auto"/>
            </w:tcBorders>
            <w:shd w:val="clear" w:color="auto" w:fill="F1F1F2" w:themeFill="accent5" w:themeFillTint="33"/>
            <w:tcMar>
              <w:left w:w="0" w:type="dxa"/>
              <w:right w:w="0" w:type="dxa"/>
            </w:tcMar>
          </w:tcPr>
          <w:p w14:paraId="738E0EF5" w14:textId="77777777" w:rsidR="00AB33EC" w:rsidRPr="005523A4" w:rsidRDefault="00AB33EC" w:rsidP="00E9699B">
            <w:pPr>
              <w:spacing w:after="60"/>
              <w:rPr>
                <w:rFonts w:asciiTheme="minorHAnsi" w:eastAsia="Calibri" w:hAnsiTheme="minorHAnsi" w:cstheme="minorHAnsi"/>
                <w:b/>
                <w:color w:val="000000"/>
                <w:szCs w:val="20"/>
              </w:rPr>
            </w:pPr>
          </w:p>
        </w:tc>
        <w:tc>
          <w:tcPr>
            <w:tcW w:w="850" w:type="dxa"/>
            <w:tcBorders>
              <w:top w:val="single" w:sz="4" w:space="0" w:color="auto"/>
              <w:left w:val="single" w:sz="4" w:space="0" w:color="auto"/>
            </w:tcBorders>
            <w:shd w:val="clear" w:color="auto" w:fill="FFFFFF"/>
          </w:tcPr>
          <w:p w14:paraId="2BE0B72E" w14:textId="77777777" w:rsidR="00AB33EC" w:rsidRPr="005523A4" w:rsidRDefault="00AB33EC" w:rsidP="00E9699B">
            <w:pPr>
              <w:spacing w:after="60"/>
              <w:rPr>
                <w:rFonts w:asciiTheme="minorHAnsi" w:eastAsia="Calibri" w:hAnsiTheme="minorHAnsi" w:cstheme="minorHAnsi"/>
                <w:b/>
                <w:color w:val="000000"/>
                <w:szCs w:val="20"/>
              </w:rPr>
            </w:pPr>
          </w:p>
        </w:tc>
      </w:tr>
      <w:tr w:rsidR="00AB33EC" w:rsidRPr="003E75E2" w14:paraId="48D58E1B" w14:textId="77777777" w:rsidTr="00B721B7">
        <w:tc>
          <w:tcPr>
            <w:tcW w:w="1841" w:type="dxa"/>
            <w:tcMar>
              <w:left w:w="0" w:type="dxa"/>
              <w:right w:w="0" w:type="dxa"/>
            </w:tcMar>
            <w:vAlign w:val="bottom"/>
          </w:tcPr>
          <w:p w14:paraId="3F861081" w14:textId="77777777" w:rsidR="00AB33EC" w:rsidRPr="005523A4" w:rsidRDefault="00AB33EC" w:rsidP="00E9699B">
            <w:pPr>
              <w:spacing w:after="60"/>
              <w:rPr>
                <w:rFonts w:asciiTheme="minorHAnsi" w:eastAsia="Calibri" w:hAnsiTheme="minorHAnsi" w:cstheme="minorHAnsi"/>
                <w:color w:val="000000"/>
                <w:szCs w:val="20"/>
              </w:rPr>
            </w:pPr>
            <w:r w:rsidRPr="005523A4">
              <w:rPr>
                <w:rFonts w:asciiTheme="minorHAnsi" w:eastAsia="Calibri" w:hAnsiTheme="minorHAnsi" w:cstheme="minorHAnsi"/>
                <w:color w:val="000000"/>
                <w:szCs w:val="20"/>
              </w:rPr>
              <w:t>Contractual Payables</w:t>
            </w:r>
          </w:p>
        </w:tc>
        <w:tc>
          <w:tcPr>
            <w:tcW w:w="427" w:type="dxa"/>
            <w:tcMar>
              <w:left w:w="0" w:type="dxa"/>
              <w:right w:w="0" w:type="dxa"/>
            </w:tcMar>
            <w:vAlign w:val="bottom"/>
          </w:tcPr>
          <w:p w14:paraId="1533F3EA" w14:textId="77777777" w:rsidR="00AB33EC" w:rsidRPr="005523A4" w:rsidRDefault="00AB33EC" w:rsidP="00E9699B">
            <w:pPr>
              <w:spacing w:after="60"/>
              <w:jc w:val="center"/>
              <w:rPr>
                <w:rFonts w:asciiTheme="minorHAnsi" w:eastAsia="Calibri" w:hAnsiTheme="minorHAnsi" w:cstheme="minorHAnsi"/>
                <w:color w:val="000000"/>
                <w:szCs w:val="20"/>
              </w:rPr>
            </w:pPr>
            <w:r w:rsidRPr="005523A4">
              <w:rPr>
                <w:rFonts w:asciiTheme="minorHAnsi" w:eastAsia="Calibri" w:hAnsiTheme="minorHAnsi" w:cstheme="minorHAnsi"/>
                <w:color w:val="000000"/>
                <w:szCs w:val="20"/>
              </w:rPr>
              <w:t>11</w:t>
            </w:r>
          </w:p>
        </w:tc>
        <w:tc>
          <w:tcPr>
            <w:tcW w:w="852" w:type="dxa"/>
            <w:tcBorders>
              <w:right w:val="single" w:sz="4" w:space="0" w:color="auto"/>
            </w:tcBorders>
            <w:shd w:val="clear" w:color="auto" w:fill="F1F1F2" w:themeFill="accent5" w:themeFillTint="33"/>
            <w:tcMar>
              <w:left w:w="0" w:type="dxa"/>
              <w:right w:w="113" w:type="dxa"/>
            </w:tcMar>
          </w:tcPr>
          <w:p w14:paraId="052123B0" w14:textId="14606617" w:rsidR="00AB33EC" w:rsidRPr="005523A4" w:rsidRDefault="00AB33EC" w:rsidP="00E9699B">
            <w:pPr>
              <w:spacing w:after="60"/>
              <w:jc w:val="right"/>
              <w:rPr>
                <w:rFonts w:asciiTheme="minorHAnsi" w:eastAsia="Times New Roman" w:hAnsiTheme="minorHAnsi" w:cstheme="minorHAnsi"/>
                <w:bCs/>
                <w:color w:val="000000"/>
                <w:szCs w:val="20"/>
                <w:lang w:eastAsia="en-AU"/>
              </w:rPr>
            </w:pPr>
            <w:r>
              <w:rPr>
                <w:rFonts w:asciiTheme="minorHAnsi" w:eastAsia="Times New Roman" w:hAnsiTheme="minorHAnsi" w:cstheme="minorHAnsi"/>
                <w:bCs/>
                <w:color w:val="000000"/>
                <w:szCs w:val="20"/>
                <w:lang w:eastAsia="en-AU"/>
              </w:rPr>
              <w:t>2,</w:t>
            </w:r>
            <w:r w:rsidR="00902C76">
              <w:rPr>
                <w:rFonts w:asciiTheme="minorHAnsi" w:eastAsia="Times New Roman" w:hAnsiTheme="minorHAnsi" w:cstheme="minorHAnsi"/>
                <w:bCs/>
                <w:color w:val="000000"/>
                <w:szCs w:val="20"/>
                <w:lang w:eastAsia="en-AU"/>
              </w:rPr>
              <w:t>01</w:t>
            </w:r>
            <w:r>
              <w:rPr>
                <w:rFonts w:asciiTheme="minorHAnsi" w:eastAsia="Times New Roman" w:hAnsiTheme="minorHAnsi" w:cstheme="minorHAnsi"/>
                <w:bCs/>
                <w:color w:val="000000"/>
                <w:szCs w:val="20"/>
                <w:lang w:eastAsia="en-AU"/>
              </w:rPr>
              <w:t>2</w:t>
            </w:r>
          </w:p>
        </w:tc>
        <w:tc>
          <w:tcPr>
            <w:tcW w:w="851" w:type="dxa"/>
            <w:tcBorders>
              <w:left w:val="single" w:sz="4" w:space="0" w:color="auto"/>
              <w:right w:val="single" w:sz="4" w:space="0" w:color="auto"/>
            </w:tcBorders>
            <w:shd w:val="clear" w:color="auto" w:fill="FFFFFF"/>
          </w:tcPr>
          <w:p w14:paraId="6362DBF2" w14:textId="77777777" w:rsidR="00AB33EC" w:rsidRPr="005523A4" w:rsidRDefault="00AB33EC" w:rsidP="00E9699B">
            <w:pPr>
              <w:spacing w:after="60"/>
              <w:jc w:val="right"/>
              <w:rPr>
                <w:rFonts w:asciiTheme="minorHAnsi" w:eastAsia="Times New Roman" w:hAnsiTheme="minorHAnsi" w:cstheme="minorHAnsi"/>
                <w:bCs/>
                <w:color w:val="000000"/>
                <w:szCs w:val="20"/>
                <w:lang w:eastAsia="en-AU"/>
              </w:rPr>
            </w:pPr>
            <w:r w:rsidRPr="005523A4">
              <w:rPr>
                <w:rFonts w:asciiTheme="minorHAnsi" w:eastAsia="Times New Roman" w:hAnsiTheme="minorHAnsi" w:cstheme="minorHAnsi"/>
                <w:bCs/>
                <w:color w:val="000000"/>
                <w:szCs w:val="20"/>
                <w:lang w:eastAsia="en-AU"/>
              </w:rPr>
              <w:t>2,199</w:t>
            </w:r>
          </w:p>
        </w:tc>
        <w:tc>
          <w:tcPr>
            <w:tcW w:w="851" w:type="dxa"/>
            <w:tcBorders>
              <w:left w:val="single" w:sz="4" w:space="0" w:color="auto"/>
              <w:right w:val="single" w:sz="4" w:space="0" w:color="auto"/>
            </w:tcBorders>
            <w:shd w:val="clear" w:color="auto" w:fill="F1F1F2" w:themeFill="accent5" w:themeFillTint="33"/>
            <w:tcMar>
              <w:left w:w="0" w:type="dxa"/>
              <w:right w:w="113" w:type="dxa"/>
            </w:tcMar>
            <w:vAlign w:val="bottom"/>
          </w:tcPr>
          <w:p w14:paraId="629CB7EA" w14:textId="77777777" w:rsidR="00AB33EC" w:rsidRPr="005523A4" w:rsidRDefault="00AB33EC" w:rsidP="00E9699B">
            <w:pPr>
              <w:spacing w:after="60"/>
              <w:jc w:val="right"/>
              <w:rPr>
                <w:rFonts w:asciiTheme="minorHAnsi" w:eastAsia="Calibri" w:hAnsiTheme="minorHAnsi" w:cstheme="minorHAnsi"/>
                <w:color w:val="000000"/>
                <w:szCs w:val="20"/>
              </w:rPr>
            </w:pPr>
            <w:r w:rsidRPr="005523A4">
              <w:rPr>
                <w:rFonts w:asciiTheme="minorHAnsi" w:eastAsia="Calibri" w:hAnsiTheme="minorHAnsi" w:cstheme="minorHAnsi"/>
                <w:color w:val="000000"/>
                <w:szCs w:val="20"/>
              </w:rPr>
              <w:t>-</w:t>
            </w:r>
          </w:p>
        </w:tc>
        <w:tc>
          <w:tcPr>
            <w:tcW w:w="850" w:type="dxa"/>
            <w:tcBorders>
              <w:left w:val="single" w:sz="4" w:space="0" w:color="auto"/>
              <w:right w:val="single" w:sz="4" w:space="0" w:color="auto"/>
            </w:tcBorders>
            <w:shd w:val="clear" w:color="auto" w:fill="FFFFFF"/>
            <w:vAlign w:val="bottom"/>
          </w:tcPr>
          <w:p w14:paraId="31488684" w14:textId="77777777" w:rsidR="00AB33EC" w:rsidRPr="005523A4" w:rsidRDefault="00AB33EC" w:rsidP="00E9699B">
            <w:pPr>
              <w:spacing w:after="60"/>
              <w:jc w:val="right"/>
              <w:rPr>
                <w:rFonts w:asciiTheme="minorHAnsi" w:eastAsia="Calibri" w:hAnsiTheme="minorHAnsi" w:cstheme="minorHAnsi"/>
                <w:color w:val="000000"/>
                <w:szCs w:val="20"/>
              </w:rPr>
            </w:pPr>
            <w:r w:rsidRPr="005523A4">
              <w:rPr>
                <w:rFonts w:asciiTheme="minorHAnsi" w:eastAsia="Calibri" w:hAnsiTheme="minorHAnsi" w:cstheme="minorHAnsi"/>
                <w:color w:val="000000"/>
                <w:szCs w:val="20"/>
              </w:rPr>
              <w:t>-</w:t>
            </w:r>
          </w:p>
        </w:tc>
        <w:tc>
          <w:tcPr>
            <w:tcW w:w="850" w:type="dxa"/>
            <w:tcBorders>
              <w:left w:val="single" w:sz="4" w:space="0" w:color="auto"/>
              <w:right w:val="single" w:sz="4" w:space="0" w:color="auto"/>
            </w:tcBorders>
            <w:shd w:val="clear" w:color="auto" w:fill="F1F1F2" w:themeFill="accent5" w:themeFillTint="33"/>
            <w:tcMar>
              <w:left w:w="0" w:type="dxa"/>
              <w:right w:w="113" w:type="dxa"/>
            </w:tcMar>
            <w:vAlign w:val="bottom"/>
          </w:tcPr>
          <w:p w14:paraId="465D4F1E" w14:textId="77777777" w:rsidR="00AB33EC" w:rsidRPr="005523A4" w:rsidRDefault="00AB33EC" w:rsidP="00E9699B">
            <w:pPr>
              <w:spacing w:after="60"/>
              <w:jc w:val="right"/>
              <w:rPr>
                <w:rFonts w:asciiTheme="minorHAnsi" w:eastAsia="Calibri" w:hAnsiTheme="minorHAnsi" w:cstheme="minorHAnsi"/>
                <w:color w:val="000000"/>
                <w:szCs w:val="20"/>
              </w:rPr>
            </w:pPr>
            <w:r w:rsidRPr="005523A4">
              <w:rPr>
                <w:rFonts w:asciiTheme="minorHAnsi" w:eastAsia="Calibri" w:hAnsiTheme="minorHAnsi" w:cstheme="minorHAnsi"/>
                <w:color w:val="000000"/>
                <w:szCs w:val="20"/>
              </w:rPr>
              <w:t>-</w:t>
            </w:r>
          </w:p>
        </w:tc>
        <w:tc>
          <w:tcPr>
            <w:tcW w:w="851" w:type="dxa"/>
            <w:tcBorders>
              <w:right w:val="single" w:sz="4" w:space="0" w:color="auto"/>
            </w:tcBorders>
            <w:shd w:val="clear" w:color="auto" w:fill="FFFFFF"/>
            <w:vAlign w:val="bottom"/>
          </w:tcPr>
          <w:p w14:paraId="04B11196" w14:textId="77777777" w:rsidR="00AB33EC" w:rsidRPr="005523A4" w:rsidRDefault="00AB33EC" w:rsidP="00E9699B">
            <w:pPr>
              <w:spacing w:after="60"/>
              <w:jc w:val="right"/>
              <w:rPr>
                <w:rFonts w:asciiTheme="minorHAnsi" w:eastAsia="Calibri" w:hAnsiTheme="minorHAnsi" w:cstheme="minorHAnsi"/>
                <w:color w:val="000000"/>
                <w:szCs w:val="20"/>
              </w:rPr>
            </w:pPr>
            <w:r w:rsidRPr="005523A4">
              <w:rPr>
                <w:rFonts w:asciiTheme="minorHAnsi" w:eastAsia="Calibri" w:hAnsiTheme="minorHAnsi" w:cstheme="minorHAnsi"/>
                <w:color w:val="000000"/>
                <w:szCs w:val="20"/>
              </w:rPr>
              <w:t>-</w:t>
            </w:r>
          </w:p>
        </w:tc>
        <w:tc>
          <w:tcPr>
            <w:tcW w:w="851" w:type="dxa"/>
            <w:tcBorders>
              <w:left w:val="single" w:sz="4" w:space="0" w:color="auto"/>
            </w:tcBorders>
            <w:shd w:val="clear" w:color="auto" w:fill="F1F1F2" w:themeFill="accent5" w:themeFillTint="33"/>
            <w:tcMar>
              <w:left w:w="0" w:type="dxa"/>
              <w:right w:w="113" w:type="dxa"/>
            </w:tcMar>
            <w:vAlign w:val="bottom"/>
          </w:tcPr>
          <w:p w14:paraId="17FC593F" w14:textId="77777777" w:rsidR="00AB33EC" w:rsidRPr="005523A4" w:rsidRDefault="00AB33EC" w:rsidP="00E9699B">
            <w:pPr>
              <w:spacing w:after="60"/>
              <w:jc w:val="right"/>
              <w:rPr>
                <w:rFonts w:asciiTheme="minorHAnsi" w:eastAsia="Calibri" w:hAnsiTheme="minorHAnsi" w:cstheme="minorHAnsi"/>
                <w:color w:val="000000"/>
                <w:szCs w:val="20"/>
              </w:rPr>
            </w:pPr>
            <w:r>
              <w:rPr>
                <w:rFonts w:asciiTheme="minorHAnsi" w:eastAsia="Calibri" w:hAnsiTheme="minorHAnsi" w:cstheme="minorHAnsi"/>
                <w:color w:val="000000"/>
                <w:szCs w:val="20"/>
              </w:rPr>
              <w:t>2,102</w:t>
            </w:r>
          </w:p>
        </w:tc>
        <w:tc>
          <w:tcPr>
            <w:tcW w:w="850" w:type="dxa"/>
            <w:tcBorders>
              <w:left w:val="single" w:sz="4" w:space="0" w:color="auto"/>
            </w:tcBorders>
            <w:shd w:val="clear" w:color="auto" w:fill="FFFFFF"/>
            <w:vAlign w:val="bottom"/>
          </w:tcPr>
          <w:p w14:paraId="46F890BD" w14:textId="77777777" w:rsidR="00AB33EC" w:rsidRPr="005523A4" w:rsidRDefault="00AB33EC" w:rsidP="00E9699B">
            <w:pPr>
              <w:spacing w:after="60"/>
              <w:jc w:val="right"/>
              <w:rPr>
                <w:rFonts w:asciiTheme="minorHAnsi" w:eastAsia="Calibri" w:hAnsiTheme="minorHAnsi" w:cstheme="minorHAnsi"/>
                <w:color w:val="000000"/>
                <w:szCs w:val="20"/>
              </w:rPr>
            </w:pPr>
            <w:r w:rsidRPr="005523A4">
              <w:rPr>
                <w:rFonts w:asciiTheme="minorHAnsi" w:eastAsia="Calibri" w:hAnsiTheme="minorHAnsi" w:cstheme="minorHAnsi"/>
                <w:color w:val="000000"/>
                <w:szCs w:val="20"/>
              </w:rPr>
              <w:t>2,199</w:t>
            </w:r>
          </w:p>
        </w:tc>
      </w:tr>
      <w:tr w:rsidR="00AB33EC" w:rsidRPr="003E75E2" w14:paraId="572FCE69" w14:textId="77777777" w:rsidTr="00B721B7">
        <w:tc>
          <w:tcPr>
            <w:tcW w:w="1841" w:type="dxa"/>
            <w:tcMar>
              <w:left w:w="0" w:type="dxa"/>
              <w:right w:w="0" w:type="dxa"/>
            </w:tcMar>
            <w:vAlign w:val="bottom"/>
          </w:tcPr>
          <w:p w14:paraId="43B98DC8" w14:textId="77777777" w:rsidR="00AB33EC" w:rsidRPr="005523A4" w:rsidRDefault="00AB33EC" w:rsidP="00E9699B">
            <w:pPr>
              <w:spacing w:after="60"/>
              <w:rPr>
                <w:rFonts w:asciiTheme="minorHAnsi" w:eastAsia="Calibri" w:hAnsiTheme="minorHAnsi" w:cstheme="minorHAnsi"/>
                <w:color w:val="000000"/>
                <w:szCs w:val="20"/>
              </w:rPr>
            </w:pPr>
            <w:r w:rsidRPr="005523A4">
              <w:rPr>
                <w:rFonts w:asciiTheme="minorHAnsi" w:eastAsia="Calibri" w:hAnsiTheme="minorHAnsi" w:cstheme="minorHAnsi"/>
                <w:color w:val="000000"/>
                <w:szCs w:val="20"/>
              </w:rPr>
              <w:t>Lease liabilities</w:t>
            </w:r>
          </w:p>
        </w:tc>
        <w:tc>
          <w:tcPr>
            <w:tcW w:w="427" w:type="dxa"/>
            <w:tcMar>
              <w:left w:w="0" w:type="dxa"/>
              <w:right w:w="0" w:type="dxa"/>
            </w:tcMar>
            <w:vAlign w:val="bottom"/>
          </w:tcPr>
          <w:p w14:paraId="408101AE" w14:textId="77777777" w:rsidR="00AB33EC" w:rsidRPr="005523A4" w:rsidRDefault="00AB33EC" w:rsidP="00E9699B">
            <w:pPr>
              <w:spacing w:after="60"/>
              <w:jc w:val="center"/>
              <w:rPr>
                <w:rFonts w:asciiTheme="minorHAnsi" w:eastAsia="Calibri" w:hAnsiTheme="minorHAnsi" w:cstheme="minorHAnsi"/>
                <w:color w:val="000000"/>
                <w:szCs w:val="20"/>
              </w:rPr>
            </w:pPr>
            <w:r w:rsidRPr="005523A4">
              <w:rPr>
                <w:rFonts w:asciiTheme="minorHAnsi" w:eastAsia="Calibri" w:hAnsiTheme="minorHAnsi" w:cstheme="minorHAnsi"/>
                <w:color w:val="000000"/>
                <w:szCs w:val="20"/>
              </w:rPr>
              <w:t>10</w:t>
            </w:r>
          </w:p>
        </w:tc>
        <w:tc>
          <w:tcPr>
            <w:tcW w:w="852" w:type="dxa"/>
            <w:tcBorders>
              <w:right w:val="single" w:sz="4" w:space="0" w:color="auto"/>
            </w:tcBorders>
            <w:shd w:val="clear" w:color="auto" w:fill="F1F1F2" w:themeFill="accent5" w:themeFillTint="33"/>
            <w:tcMar>
              <w:left w:w="0" w:type="dxa"/>
              <w:right w:w="113" w:type="dxa"/>
            </w:tcMar>
          </w:tcPr>
          <w:p w14:paraId="302A49C0" w14:textId="3D68DC02" w:rsidR="00AB33EC" w:rsidRPr="005523A4" w:rsidRDefault="00AB33EC" w:rsidP="00E9699B">
            <w:pPr>
              <w:spacing w:after="60"/>
              <w:jc w:val="right"/>
              <w:rPr>
                <w:rFonts w:asciiTheme="minorHAnsi" w:eastAsia="Times New Roman" w:hAnsiTheme="minorHAnsi" w:cstheme="minorHAnsi"/>
                <w:bCs/>
                <w:color w:val="000000"/>
                <w:szCs w:val="20"/>
                <w:lang w:eastAsia="en-AU"/>
              </w:rPr>
            </w:pPr>
            <w:r>
              <w:rPr>
                <w:rFonts w:asciiTheme="minorHAnsi" w:eastAsia="Times New Roman" w:hAnsiTheme="minorHAnsi" w:cstheme="minorHAnsi"/>
                <w:bCs/>
                <w:color w:val="000000"/>
                <w:szCs w:val="20"/>
                <w:lang w:eastAsia="en-AU"/>
              </w:rPr>
              <w:t>3</w:t>
            </w:r>
            <w:r w:rsidR="00902C76">
              <w:rPr>
                <w:rFonts w:asciiTheme="minorHAnsi" w:eastAsia="Times New Roman" w:hAnsiTheme="minorHAnsi" w:cstheme="minorHAnsi"/>
                <w:bCs/>
                <w:color w:val="000000"/>
                <w:szCs w:val="20"/>
                <w:lang w:eastAsia="en-AU"/>
              </w:rPr>
              <w:t>23</w:t>
            </w:r>
          </w:p>
        </w:tc>
        <w:tc>
          <w:tcPr>
            <w:tcW w:w="851" w:type="dxa"/>
            <w:tcBorders>
              <w:left w:val="single" w:sz="4" w:space="0" w:color="auto"/>
              <w:right w:val="single" w:sz="4" w:space="0" w:color="auto"/>
            </w:tcBorders>
            <w:shd w:val="clear" w:color="auto" w:fill="FFFFFF"/>
          </w:tcPr>
          <w:p w14:paraId="615C26E9" w14:textId="48E118F9" w:rsidR="00AB33EC" w:rsidRPr="005523A4" w:rsidRDefault="00AB33EC" w:rsidP="00E9699B">
            <w:pPr>
              <w:spacing w:after="60"/>
              <w:jc w:val="right"/>
              <w:rPr>
                <w:rFonts w:asciiTheme="minorHAnsi" w:eastAsia="Times New Roman" w:hAnsiTheme="minorHAnsi" w:cstheme="minorHAnsi"/>
                <w:bCs/>
                <w:color w:val="000000"/>
                <w:szCs w:val="20"/>
                <w:lang w:eastAsia="en-AU"/>
              </w:rPr>
            </w:pPr>
            <w:r w:rsidRPr="005523A4">
              <w:rPr>
                <w:rFonts w:asciiTheme="minorHAnsi" w:eastAsia="Times New Roman" w:hAnsiTheme="minorHAnsi" w:cstheme="minorHAnsi"/>
                <w:bCs/>
                <w:color w:val="000000"/>
                <w:szCs w:val="20"/>
                <w:lang w:eastAsia="en-AU"/>
              </w:rPr>
              <w:t>3</w:t>
            </w:r>
            <w:r w:rsidR="006361B9">
              <w:rPr>
                <w:rFonts w:asciiTheme="minorHAnsi" w:eastAsia="Times New Roman" w:hAnsiTheme="minorHAnsi" w:cstheme="minorHAnsi"/>
                <w:bCs/>
                <w:color w:val="000000"/>
                <w:szCs w:val="20"/>
                <w:lang w:eastAsia="en-AU"/>
              </w:rPr>
              <w:t>0</w:t>
            </w:r>
            <w:r w:rsidRPr="005523A4">
              <w:rPr>
                <w:rFonts w:asciiTheme="minorHAnsi" w:eastAsia="Times New Roman" w:hAnsiTheme="minorHAnsi" w:cstheme="minorHAnsi"/>
                <w:bCs/>
                <w:color w:val="000000"/>
                <w:szCs w:val="20"/>
                <w:lang w:eastAsia="en-AU"/>
              </w:rPr>
              <w:t>0</w:t>
            </w:r>
          </w:p>
        </w:tc>
        <w:tc>
          <w:tcPr>
            <w:tcW w:w="851" w:type="dxa"/>
            <w:tcBorders>
              <w:left w:val="single" w:sz="4" w:space="0" w:color="auto"/>
              <w:right w:val="single" w:sz="4" w:space="0" w:color="auto"/>
            </w:tcBorders>
            <w:shd w:val="clear" w:color="auto" w:fill="F1F1F2" w:themeFill="accent5" w:themeFillTint="33"/>
            <w:tcMar>
              <w:left w:w="0" w:type="dxa"/>
              <w:right w:w="113" w:type="dxa"/>
            </w:tcMar>
            <w:vAlign w:val="bottom"/>
          </w:tcPr>
          <w:p w14:paraId="274DA285" w14:textId="2668779C" w:rsidR="00AB33EC" w:rsidRPr="005523A4" w:rsidRDefault="00AB33EC" w:rsidP="00E9699B">
            <w:pPr>
              <w:spacing w:after="60"/>
              <w:jc w:val="right"/>
              <w:rPr>
                <w:rFonts w:asciiTheme="minorHAnsi" w:eastAsia="Calibri" w:hAnsiTheme="minorHAnsi" w:cstheme="minorHAnsi"/>
                <w:color w:val="000000"/>
                <w:szCs w:val="20"/>
              </w:rPr>
            </w:pPr>
            <w:r>
              <w:rPr>
                <w:rFonts w:asciiTheme="minorHAnsi" w:eastAsia="Calibri" w:hAnsiTheme="minorHAnsi" w:cstheme="minorHAnsi"/>
                <w:color w:val="000000"/>
                <w:szCs w:val="20"/>
              </w:rPr>
              <w:t>34</w:t>
            </w:r>
            <w:r w:rsidR="00FF5B11">
              <w:rPr>
                <w:rFonts w:asciiTheme="minorHAnsi" w:eastAsia="Calibri" w:hAnsiTheme="minorHAnsi" w:cstheme="minorHAnsi"/>
                <w:color w:val="000000"/>
                <w:szCs w:val="20"/>
              </w:rPr>
              <w:t>5</w:t>
            </w:r>
          </w:p>
        </w:tc>
        <w:tc>
          <w:tcPr>
            <w:tcW w:w="850" w:type="dxa"/>
            <w:tcBorders>
              <w:left w:val="single" w:sz="4" w:space="0" w:color="auto"/>
              <w:right w:val="single" w:sz="4" w:space="0" w:color="auto"/>
            </w:tcBorders>
            <w:shd w:val="clear" w:color="auto" w:fill="FFFFFF"/>
            <w:vAlign w:val="bottom"/>
          </w:tcPr>
          <w:p w14:paraId="6860950A" w14:textId="77777777" w:rsidR="00AB33EC" w:rsidRPr="005523A4" w:rsidRDefault="00AB33EC" w:rsidP="00E9699B">
            <w:pPr>
              <w:spacing w:after="60"/>
              <w:jc w:val="right"/>
              <w:rPr>
                <w:rFonts w:asciiTheme="minorHAnsi" w:eastAsia="Calibri" w:hAnsiTheme="minorHAnsi" w:cstheme="minorHAnsi"/>
                <w:color w:val="000000"/>
                <w:szCs w:val="20"/>
              </w:rPr>
            </w:pPr>
            <w:r w:rsidRPr="005523A4">
              <w:rPr>
                <w:rFonts w:asciiTheme="minorHAnsi" w:eastAsia="Calibri" w:hAnsiTheme="minorHAnsi" w:cstheme="minorHAnsi"/>
                <w:color w:val="000000"/>
                <w:szCs w:val="20"/>
              </w:rPr>
              <w:t>668</w:t>
            </w:r>
          </w:p>
        </w:tc>
        <w:tc>
          <w:tcPr>
            <w:tcW w:w="850" w:type="dxa"/>
            <w:tcBorders>
              <w:left w:val="single" w:sz="4" w:space="0" w:color="auto"/>
              <w:right w:val="single" w:sz="4" w:space="0" w:color="auto"/>
            </w:tcBorders>
            <w:shd w:val="clear" w:color="auto" w:fill="F1F1F2" w:themeFill="accent5" w:themeFillTint="33"/>
            <w:tcMar>
              <w:left w:w="0" w:type="dxa"/>
              <w:right w:w="113" w:type="dxa"/>
            </w:tcMar>
            <w:vAlign w:val="bottom"/>
          </w:tcPr>
          <w:p w14:paraId="5C42A0D5" w14:textId="77777777" w:rsidR="00AB33EC" w:rsidRPr="005523A4" w:rsidRDefault="00AB33EC" w:rsidP="00E9699B">
            <w:pPr>
              <w:spacing w:after="60"/>
              <w:jc w:val="right"/>
              <w:rPr>
                <w:rFonts w:asciiTheme="minorHAnsi" w:eastAsia="Calibri" w:hAnsiTheme="minorHAnsi" w:cstheme="minorHAnsi"/>
                <w:color w:val="000000"/>
                <w:szCs w:val="20"/>
              </w:rPr>
            </w:pPr>
            <w:r w:rsidRPr="005523A4">
              <w:rPr>
                <w:rFonts w:asciiTheme="minorHAnsi" w:eastAsia="Calibri" w:hAnsiTheme="minorHAnsi" w:cstheme="minorHAnsi"/>
                <w:color w:val="000000"/>
                <w:szCs w:val="20"/>
              </w:rPr>
              <w:t>-</w:t>
            </w:r>
          </w:p>
        </w:tc>
        <w:tc>
          <w:tcPr>
            <w:tcW w:w="851" w:type="dxa"/>
            <w:tcBorders>
              <w:right w:val="single" w:sz="4" w:space="0" w:color="auto"/>
            </w:tcBorders>
            <w:shd w:val="clear" w:color="auto" w:fill="FFFFFF"/>
            <w:vAlign w:val="bottom"/>
          </w:tcPr>
          <w:p w14:paraId="0321036B" w14:textId="77777777" w:rsidR="00AB33EC" w:rsidRPr="005523A4" w:rsidRDefault="00AB33EC" w:rsidP="00E9699B">
            <w:pPr>
              <w:spacing w:after="60"/>
              <w:jc w:val="right"/>
              <w:rPr>
                <w:rFonts w:asciiTheme="minorHAnsi" w:eastAsia="Calibri" w:hAnsiTheme="minorHAnsi" w:cstheme="minorHAnsi"/>
                <w:color w:val="000000"/>
                <w:szCs w:val="20"/>
              </w:rPr>
            </w:pPr>
            <w:r w:rsidRPr="005523A4">
              <w:rPr>
                <w:rFonts w:asciiTheme="minorHAnsi" w:eastAsia="Calibri" w:hAnsiTheme="minorHAnsi" w:cstheme="minorHAnsi"/>
                <w:color w:val="000000"/>
                <w:szCs w:val="20"/>
              </w:rPr>
              <w:t>-</w:t>
            </w:r>
          </w:p>
        </w:tc>
        <w:tc>
          <w:tcPr>
            <w:tcW w:w="851" w:type="dxa"/>
            <w:tcBorders>
              <w:left w:val="single" w:sz="4" w:space="0" w:color="auto"/>
            </w:tcBorders>
            <w:shd w:val="clear" w:color="auto" w:fill="F1F1F2" w:themeFill="accent5" w:themeFillTint="33"/>
            <w:tcMar>
              <w:left w:w="0" w:type="dxa"/>
              <w:right w:w="113" w:type="dxa"/>
            </w:tcMar>
            <w:vAlign w:val="bottom"/>
          </w:tcPr>
          <w:p w14:paraId="248CD2E6" w14:textId="77777777" w:rsidR="00AB33EC" w:rsidRPr="005523A4" w:rsidRDefault="00AB33EC" w:rsidP="00E9699B">
            <w:pPr>
              <w:spacing w:after="60"/>
              <w:jc w:val="right"/>
              <w:rPr>
                <w:rFonts w:asciiTheme="minorHAnsi" w:eastAsia="Calibri" w:hAnsiTheme="minorHAnsi" w:cstheme="minorHAnsi"/>
                <w:color w:val="000000"/>
                <w:szCs w:val="20"/>
              </w:rPr>
            </w:pPr>
            <w:r>
              <w:rPr>
                <w:rFonts w:asciiTheme="minorHAnsi" w:eastAsia="Calibri" w:hAnsiTheme="minorHAnsi" w:cstheme="minorHAnsi"/>
                <w:color w:val="000000"/>
                <w:szCs w:val="20"/>
              </w:rPr>
              <w:t>688</w:t>
            </w:r>
          </w:p>
        </w:tc>
        <w:tc>
          <w:tcPr>
            <w:tcW w:w="850" w:type="dxa"/>
            <w:tcBorders>
              <w:left w:val="single" w:sz="4" w:space="0" w:color="auto"/>
            </w:tcBorders>
            <w:shd w:val="clear" w:color="auto" w:fill="FFFFFF"/>
            <w:vAlign w:val="bottom"/>
          </w:tcPr>
          <w:p w14:paraId="49838FC8" w14:textId="77777777" w:rsidR="00AB33EC" w:rsidRPr="005523A4" w:rsidRDefault="00AB33EC" w:rsidP="00E9699B">
            <w:pPr>
              <w:spacing w:after="60"/>
              <w:jc w:val="right"/>
              <w:rPr>
                <w:rFonts w:asciiTheme="minorHAnsi" w:eastAsia="Calibri" w:hAnsiTheme="minorHAnsi" w:cstheme="minorHAnsi"/>
                <w:color w:val="000000"/>
                <w:szCs w:val="20"/>
              </w:rPr>
            </w:pPr>
            <w:r w:rsidRPr="005523A4">
              <w:rPr>
                <w:rFonts w:asciiTheme="minorHAnsi" w:eastAsia="Calibri" w:hAnsiTheme="minorHAnsi" w:cstheme="minorHAnsi"/>
                <w:color w:val="000000"/>
                <w:szCs w:val="20"/>
              </w:rPr>
              <w:t>968</w:t>
            </w:r>
          </w:p>
        </w:tc>
      </w:tr>
      <w:tr w:rsidR="00AB33EC" w:rsidRPr="003E75E2" w14:paraId="0865AB5F" w14:textId="77777777" w:rsidTr="00B721B7">
        <w:tc>
          <w:tcPr>
            <w:tcW w:w="1841" w:type="dxa"/>
            <w:tcMar>
              <w:left w:w="0" w:type="dxa"/>
              <w:right w:w="0" w:type="dxa"/>
            </w:tcMar>
            <w:vAlign w:val="bottom"/>
          </w:tcPr>
          <w:p w14:paraId="600E7B6B" w14:textId="77777777" w:rsidR="00AB33EC" w:rsidRPr="005523A4" w:rsidRDefault="00AB33EC" w:rsidP="00E9699B">
            <w:pPr>
              <w:spacing w:after="60"/>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Total</w:t>
            </w:r>
          </w:p>
        </w:tc>
        <w:tc>
          <w:tcPr>
            <w:tcW w:w="427" w:type="dxa"/>
            <w:tcMar>
              <w:left w:w="0" w:type="dxa"/>
              <w:right w:w="0" w:type="dxa"/>
            </w:tcMar>
            <w:vAlign w:val="bottom"/>
          </w:tcPr>
          <w:p w14:paraId="26A19994" w14:textId="77777777" w:rsidR="00AB33EC" w:rsidRPr="005523A4" w:rsidRDefault="00AB33EC" w:rsidP="00E9699B">
            <w:pPr>
              <w:spacing w:after="60"/>
              <w:jc w:val="center"/>
              <w:rPr>
                <w:rFonts w:asciiTheme="minorHAnsi" w:eastAsia="Calibri" w:hAnsiTheme="minorHAnsi" w:cstheme="minorHAnsi"/>
                <w:b/>
                <w:color w:val="000000"/>
                <w:szCs w:val="20"/>
              </w:rPr>
            </w:pPr>
          </w:p>
        </w:tc>
        <w:tc>
          <w:tcPr>
            <w:tcW w:w="852" w:type="dxa"/>
            <w:tcBorders>
              <w:top w:val="single" w:sz="4" w:space="0" w:color="auto"/>
              <w:bottom w:val="double" w:sz="4" w:space="0" w:color="auto"/>
              <w:right w:val="single" w:sz="4" w:space="0" w:color="auto"/>
            </w:tcBorders>
            <w:shd w:val="clear" w:color="auto" w:fill="F1F1F2" w:themeFill="accent5" w:themeFillTint="33"/>
            <w:tcMar>
              <w:left w:w="0" w:type="dxa"/>
              <w:right w:w="113" w:type="dxa"/>
            </w:tcMar>
          </w:tcPr>
          <w:p w14:paraId="208D9736" w14:textId="43A3FBF9" w:rsidR="00AB33EC" w:rsidRPr="005523A4" w:rsidRDefault="00AB33EC" w:rsidP="00E9699B">
            <w:pPr>
              <w:spacing w:after="60"/>
              <w:jc w:val="right"/>
              <w:rPr>
                <w:rFonts w:asciiTheme="minorHAnsi" w:eastAsia="Calibri" w:hAnsiTheme="minorHAnsi" w:cstheme="minorHAnsi"/>
                <w:b/>
                <w:color w:val="000000"/>
                <w:szCs w:val="20"/>
              </w:rPr>
            </w:pPr>
            <w:r>
              <w:rPr>
                <w:rFonts w:asciiTheme="minorHAnsi" w:eastAsia="Calibri" w:hAnsiTheme="minorHAnsi" w:cstheme="minorHAnsi"/>
                <w:b/>
                <w:color w:val="000000"/>
                <w:szCs w:val="20"/>
              </w:rPr>
              <w:t>2,</w:t>
            </w:r>
            <w:r w:rsidR="00902C76">
              <w:rPr>
                <w:rFonts w:asciiTheme="minorHAnsi" w:eastAsia="Calibri" w:hAnsiTheme="minorHAnsi" w:cstheme="minorHAnsi"/>
                <w:b/>
                <w:color w:val="000000"/>
                <w:szCs w:val="20"/>
              </w:rPr>
              <w:t>335</w:t>
            </w:r>
          </w:p>
        </w:tc>
        <w:tc>
          <w:tcPr>
            <w:tcW w:w="851" w:type="dxa"/>
            <w:tcBorders>
              <w:top w:val="single" w:sz="4" w:space="0" w:color="auto"/>
              <w:left w:val="single" w:sz="4" w:space="0" w:color="auto"/>
              <w:bottom w:val="double" w:sz="4" w:space="0" w:color="auto"/>
              <w:right w:val="single" w:sz="4" w:space="0" w:color="auto"/>
            </w:tcBorders>
            <w:shd w:val="clear" w:color="auto" w:fill="FFFFFF"/>
            <w:vAlign w:val="bottom"/>
          </w:tcPr>
          <w:p w14:paraId="72EEC14A" w14:textId="7610EC3D" w:rsidR="00AB33EC" w:rsidRPr="005523A4" w:rsidRDefault="00AB33EC" w:rsidP="00E9699B">
            <w:pPr>
              <w:spacing w:after="60"/>
              <w:jc w:val="right"/>
              <w:rPr>
                <w:rFonts w:asciiTheme="minorHAnsi" w:eastAsia="Calibri" w:hAnsiTheme="minorHAnsi" w:cstheme="minorHAnsi"/>
                <w:b/>
                <w:color w:val="000000"/>
                <w:szCs w:val="20"/>
              </w:rPr>
            </w:pPr>
            <w:r w:rsidRPr="005523A4">
              <w:rPr>
                <w:rFonts w:asciiTheme="minorHAnsi" w:eastAsia="Calibri" w:hAnsiTheme="minorHAnsi" w:cstheme="minorHAnsi"/>
                <w:b/>
                <w:color w:val="000000"/>
                <w:szCs w:val="20"/>
              </w:rPr>
              <w:t>2,</w:t>
            </w:r>
            <w:r w:rsidR="005C75B8">
              <w:rPr>
                <w:rFonts w:asciiTheme="minorHAnsi" w:eastAsia="Calibri" w:hAnsiTheme="minorHAnsi" w:cstheme="minorHAnsi"/>
                <w:b/>
                <w:color w:val="000000"/>
                <w:szCs w:val="20"/>
              </w:rPr>
              <w:t>499</w:t>
            </w:r>
          </w:p>
        </w:tc>
        <w:tc>
          <w:tcPr>
            <w:tcW w:w="851" w:type="dxa"/>
            <w:tcBorders>
              <w:top w:val="single" w:sz="4" w:space="0" w:color="auto"/>
              <w:left w:val="single" w:sz="4" w:space="0" w:color="auto"/>
              <w:bottom w:val="double" w:sz="4" w:space="0" w:color="auto"/>
              <w:right w:val="single" w:sz="4" w:space="0" w:color="auto"/>
            </w:tcBorders>
            <w:shd w:val="clear" w:color="auto" w:fill="F1F1F2" w:themeFill="accent5" w:themeFillTint="33"/>
            <w:tcMar>
              <w:left w:w="0" w:type="dxa"/>
              <w:right w:w="113" w:type="dxa"/>
            </w:tcMar>
            <w:vAlign w:val="bottom"/>
          </w:tcPr>
          <w:p w14:paraId="4C7A2972" w14:textId="66F72915" w:rsidR="00AB33EC" w:rsidRPr="005523A4" w:rsidRDefault="00AB33EC" w:rsidP="00E9699B">
            <w:pPr>
              <w:spacing w:after="60"/>
              <w:jc w:val="right"/>
              <w:rPr>
                <w:rFonts w:asciiTheme="minorHAnsi" w:eastAsia="Calibri" w:hAnsiTheme="minorHAnsi" w:cstheme="minorHAnsi"/>
                <w:b/>
                <w:color w:val="000000"/>
                <w:szCs w:val="20"/>
              </w:rPr>
            </w:pPr>
            <w:r>
              <w:rPr>
                <w:rFonts w:asciiTheme="minorHAnsi" w:eastAsia="Calibri" w:hAnsiTheme="minorHAnsi" w:cstheme="minorHAnsi"/>
                <w:b/>
                <w:color w:val="000000"/>
                <w:szCs w:val="20"/>
              </w:rPr>
              <w:t>34</w:t>
            </w:r>
            <w:r w:rsidR="00FF5B11">
              <w:rPr>
                <w:rFonts w:asciiTheme="minorHAnsi" w:eastAsia="Calibri" w:hAnsiTheme="minorHAnsi" w:cstheme="minorHAnsi"/>
                <w:b/>
                <w:color w:val="000000"/>
                <w:szCs w:val="20"/>
              </w:rPr>
              <w:t>5</w:t>
            </w:r>
          </w:p>
        </w:tc>
        <w:tc>
          <w:tcPr>
            <w:tcW w:w="850" w:type="dxa"/>
            <w:tcBorders>
              <w:top w:val="single" w:sz="4" w:space="0" w:color="auto"/>
              <w:left w:val="single" w:sz="4" w:space="0" w:color="auto"/>
              <w:bottom w:val="double" w:sz="4" w:space="0" w:color="auto"/>
              <w:right w:val="single" w:sz="4" w:space="0" w:color="auto"/>
            </w:tcBorders>
            <w:shd w:val="clear" w:color="auto" w:fill="FFFFFF"/>
            <w:vAlign w:val="bottom"/>
          </w:tcPr>
          <w:p w14:paraId="0594D41B" w14:textId="77777777" w:rsidR="00AB33EC" w:rsidRPr="005523A4" w:rsidRDefault="00AB33EC" w:rsidP="00E9699B">
            <w:pPr>
              <w:spacing w:after="60"/>
              <w:jc w:val="right"/>
              <w:rPr>
                <w:rFonts w:asciiTheme="minorHAnsi" w:eastAsia="Calibri" w:hAnsiTheme="minorHAnsi" w:cstheme="minorHAnsi"/>
                <w:b/>
                <w:iCs/>
                <w:color w:val="000000"/>
                <w:szCs w:val="20"/>
              </w:rPr>
            </w:pPr>
            <w:r w:rsidRPr="005523A4">
              <w:rPr>
                <w:rFonts w:asciiTheme="minorHAnsi" w:eastAsia="Calibri" w:hAnsiTheme="minorHAnsi" w:cstheme="minorHAnsi"/>
                <w:b/>
                <w:color w:val="000000"/>
                <w:szCs w:val="20"/>
              </w:rPr>
              <w:t>668</w:t>
            </w:r>
          </w:p>
        </w:tc>
        <w:tc>
          <w:tcPr>
            <w:tcW w:w="850" w:type="dxa"/>
            <w:tcBorders>
              <w:top w:val="single" w:sz="4" w:space="0" w:color="auto"/>
              <w:left w:val="single" w:sz="4" w:space="0" w:color="auto"/>
              <w:bottom w:val="double" w:sz="4" w:space="0" w:color="auto"/>
              <w:right w:val="single" w:sz="4" w:space="0" w:color="auto"/>
            </w:tcBorders>
            <w:shd w:val="clear" w:color="auto" w:fill="F1F1F2" w:themeFill="accent5" w:themeFillTint="33"/>
            <w:tcMar>
              <w:left w:w="0" w:type="dxa"/>
              <w:right w:w="113" w:type="dxa"/>
            </w:tcMar>
            <w:vAlign w:val="bottom"/>
          </w:tcPr>
          <w:p w14:paraId="3999D38B" w14:textId="77777777" w:rsidR="00AB33EC" w:rsidRPr="005523A4" w:rsidRDefault="00AB33EC" w:rsidP="00E9699B">
            <w:pPr>
              <w:spacing w:after="60"/>
              <w:jc w:val="right"/>
              <w:rPr>
                <w:rFonts w:asciiTheme="minorHAnsi" w:eastAsia="Calibri" w:hAnsiTheme="minorHAnsi" w:cstheme="minorHAnsi"/>
                <w:b/>
                <w:color w:val="000000"/>
                <w:szCs w:val="20"/>
              </w:rPr>
            </w:pPr>
            <w:r w:rsidRPr="005523A4">
              <w:rPr>
                <w:rFonts w:asciiTheme="minorHAnsi" w:eastAsia="Calibri" w:hAnsiTheme="minorHAnsi" w:cstheme="minorHAnsi"/>
                <w:color w:val="000000"/>
                <w:szCs w:val="20"/>
              </w:rPr>
              <w:t>-</w:t>
            </w:r>
          </w:p>
        </w:tc>
        <w:tc>
          <w:tcPr>
            <w:tcW w:w="851" w:type="dxa"/>
            <w:tcBorders>
              <w:top w:val="single" w:sz="4" w:space="0" w:color="auto"/>
              <w:bottom w:val="double" w:sz="4" w:space="0" w:color="auto"/>
              <w:right w:val="single" w:sz="4" w:space="0" w:color="auto"/>
            </w:tcBorders>
            <w:shd w:val="clear" w:color="auto" w:fill="FFFFFF"/>
            <w:vAlign w:val="bottom"/>
          </w:tcPr>
          <w:p w14:paraId="5D555D20" w14:textId="77777777" w:rsidR="00AB33EC" w:rsidRPr="005523A4" w:rsidRDefault="00AB33EC" w:rsidP="00E9699B">
            <w:pPr>
              <w:spacing w:after="60"/>
              <w:jc w:val="right"/>
              <w:rPr>
                <w:rFonts w:asciiTheme="minorHAnsi" w:eastAsia="Calibri" w:hAnsiTheme="minorHAnsi" w:cstheme="minorHAnsi"/>
                <w:b/>
                <w:iCs/>
                <w:color w:val="000000"/>
                <w:szCs w:val="20"/>
              </w:rPr>
            </w:pPr>
            <w:r w:rsidRPr="005523A4">
              <w:rPr>
                <w:rFonts w:asciiTheme="minorHAnsi" w:eastAsia="Calibri" w:hAnsiTheme="minorHAnsi" w:cstheme="minorHAnsi"/>
                <w:b/>
                <w:iCs/>
                <w:color w:val="000000"/>
                <w:szCs w:val="20"/>
              </w:rPr>
              <w:t>-</w:t>
            </w:r>
          </w:p>
        </w:tc>
        <w:tc>
          <w:tcPr>
            <w:tcW w:w="851" w:type="dxa"/>
            <w:tcBorders>
              <w:top w:val="single" w:sz="4" w:space="0" w:color="auto"/>
              <w:left w:val="single" w:sz="4" w:space="0" w:color="auto"/>
              <w:bottom w:val="double" w:sz="4" w:space="0" w:color="auto"/>
            </w:tcBorders>
            <w:shd w:val="clear" w:color="auto" w:fill="F1F1F2" w:themeFill="accent5" w:themeFillTint="33"/>
            <w:tcMar>
              <w:left w:w="0" w:type="dxa"/>
              <w:right w:w="113" w:type="dxa"/>
            </w:tcMar>
            <w:vAlign w:val="bottom"/>
          </w:tcPr>
          <w:p w14:paraId="2EE28877" w14:textId="2E581A51" w:rsidR="00AB33EC" w:rsidRPr="005523A4" w:rsidRDefault="00AB33EC" w:rsidP="00E9699B">
            <w:pPr>
              <w:spacing w:after="60"/>
              <w:jc w:val="right"/>
              <w:rPr>
                <w:rFonts w:asciiTheme="minorHAnsi" w:eastAsia="Calibri" w:hAnsiTheme="minorHAnsi" w:cstheme="minorHAnsi"/>
                <w:b/>
                <w:iCs/>
                <w:color w:val="000000"/>
                <w:szCs w:val="20"/>
              </w:rPr>
            </w:pPr>
            <w:r>
              <w:rPr>
                <w:rFonts w:asciiTheme="minorHAnsi" w:eastAsia="Calibri" w:hAnsiTheme="minorHAnsi" w:cstheme="minorHAnsi"/>
                <w:b/>
                <w:iCs/>
                <w:color w:val="000000"/>
                <w:szCs w:val="20"/>
              </w:rPr>
              <w:t>2,</w:t>
            </w:r>
            <w:r w:rsidR="005C75B8">
              <w:rPr>
                <w:rFonts w:asciiTheme="minorHAnsi" w:eastAsia="Calibri" w:hAnsiTheme="minorHAnsi" w:cstheme="minorHAnsi"/>
                <w:b/>
                <w:iCs/>
                <w:color w:val="000000"/>
                <w:szCs w:val="20"/>
              </w:rPr>
              <w:t>680</w:t>
            </w:r>
          </w:p>
        </w:tc>
        <w:tc>
          <w:tcPr>
            <w:tcW w:w="850" w:type="dxa"/>
            <w:tcBorders>
              <w:top w:val="single" w:sz="4" w:space="0" w:color="auto"/>
              <w:left w:val="single" w:sz="4" w:space="0" w:color="auto"/>
              <w:bottom w:val="double" w:sz="4" w:space="0" w:color="auto"/>
            </w:tcBorders>
            <w:shd w:val="clear" w:color="auto" w:fill="FFFFFF"/>
            <w:vAlign w:val="bottom"/>
          </w:tcPr>
          <w:p w14:paraId="439A1007" w14:textId="77777777" w:rsidR="00AB33EC" w:rsidRPr="005523A4" w:rsidRDefault="00AB33EC" w:rsidP="00E9699B">
            <w:pPr>
              <w:spacing w:after="60"/>
              <w:jc w:val="right"/>
              <w:rPr>
                <w:rFonts w:asciiTheme="minorHAnsi" w:eastAsia="Calibri" w:hAnsiTheme="minorHAnsi" w:cstheme="minorHAnsi"/>
                <w:b/>
                <w:iCs/>
                <w:color w:val="000000"/>
                <w:szCs w:val="20"/>
              </w:rPr>
            </w:pPr>
            <w:r w:rsidRPr="005523A4">
              <w:rPr>
                <w:rFonts w:asciiTheme="minorHAnsi" w:eastAsia="Calibri" w:hAnsiTheme="minorHAnsi" w:cstheme="minorHAnsi"/>
                <w:b/>
                <w:iCs/>
                <w:color w:val="000000"/>
                <w:szCs w:val="20"/>
              </w:rPr>
              <w:t>3,167</w:t>
            </w:r>
          </w:p>
        </w:tc>
      </w:tr>
    </w:tbl>
    <w:p w14:paraId="3F6C1249" w14:textId="77777777" w:rsidR="00AB33EC" w:rsidRPr="005523A4" w:rsidRDefault="00AB33EC" w:rsidP="00AB33EC">
      <w:pPr>
        <w:spacing w:before="60"/>
        <w:rPr>
          <w:rFonts w:asciiTheme="minorHAnsi" w:eastAsia="Calibri" w:hAnsiTheme="minorHAnsi" w:cstheme="minorHAnsi"/>
          <w:color w:val="000000"/>
        </w:rPr>
      </w:pPr>
    </w:p>
    <w:p w14:paraId="7C9A4DB4" w14:textId="77777777" w:rsidR="00AB33EC" w:rsidRPr="005523A4" w:rsidRDefault="00AB33EC" w:rsidP="0037124B">
      <w:pPr>
        <w:outlineLvl w:val="0"/>
        <w:rPr>
          <w:rFonts w:asciiTheme="minorHAnsi" w:eastAsia="Times New Roman" w:hAnsiTheme="minorHAnsi" w:cstheme="minorHAnsi"/>
          <w:b/>
          <w:color w:val="000000"/>
          <w:sz w:val="23"/>
          <w:szCs w:val="20"/>
        </w:rPr>
      </w:pPr>
      <w:r w:rsidRPr="005523A4">
        <w:rPr>
          <w:rFonts w:asciiTheme="minorHAnsi" w:eastAsia="Times New Roman" w:hAnsiTheme="minorHAnsi" w:cstheme="minorHAnsi"/>
          <w:b/>
          <w:color w:val="000000"/>
          <w:sz w:val="23"/>
          <w:szCs w:val="20"/>
        </w:rPr>
        <w:t>Note 16:  Financial Instruments (cont’d)</w:t>
      </w:r>
    </w:p>
    <w:p w14:paraId="46A3F777" w14:textId="77777777" w:rsidR="00AB33EC" w:rsidRPr="005523A4" w:rsidRDefault="00AB33EC" w:rsidP="0037124B">
      <w:pPr>
        <w:ind w:left="454" w:hanging="454"/>
        <w:rPr>
          <w:rFonts w:asciiTheme="minorHAnsi" w:eastAsia="Times New Roman" w:hAnsiTheme="minorHAnsi" w:cstheme="minorHAnsi"/>
          <w:b/>
          <w:bCs/>
          <w:color w:val="000000"/>
          <w:sz w:val="21"/>
          <w:szCs w:val="18"/>
          <w:lang w:eastAsia="en-AU"/>
        </w:rPr>
      </w:pPr>
      <w:r w:rsidRPr="005523A4">
        <w:rPr>
          <w:rFonts w:asciiTheme="minorHAnsi" w:eastAsia="Times New Roman" w:hAnsiTheme="minorHAnsi" w:cstheme="minorHAnsi"/>
          <w:b/>
          <w:bCs/>
          <w:color w:val="000000"/>
          <w:sz w:val="21"/>
          <w:szCs w:val="18"/>
          <w:lang w:eastAsia="en-AU"/>
        </w:rPr>
        <w:t>(b)</w:t>
      </w:r>
      <w:r w:rsidRPr="005523A4">
        <w:rPr>
          <w:rFonts w:asciiTheme="minorHAnsi" w:eastAsia="Times New Roman" w:hAnsiTheme="minorHAnsi" w:cstheme="minorHAnsi"/>
          <w:b/>
          <w:bCs/>
          <w:color w:val="000000"/>
          <w:sz w:val="21"/>
          <w:szCs w:val="18"/>
          <w:lang w:eastAsia="en-AU"/>
        </w:rPr>
        <w:tab/>
        <w:t>Financial Risk Management (cont’d)</w:t>
      </w:r>
    </w:p>
    <w:p w14:paraId="1B595A7D" w14:textId="77777777" w:rsidR="00AB33EC" w:rsidRPr="005523A4" w:rsidRDefault="00AB33EC" w:rsidP="0037124B">
      <w:pPr>
        <w:ind w:left="567" w:hanging="113"/>
        <w:rPr>
          <w:rFonts w:asciiTheme="minorHAnsi" w:eastAsia="Times New Roman" w:hAnsiTheme="minorHAnsi" w:cstheme="minorHAnsi"/>
          <w:b/>
          <w:bCs/>
          <w:color w:val="000000"/>
          <w:sz w:val="21"/>
          <w:szCs w:val="18"/>
          <w:lang w:eastAsia="en-AU"/>
        </w:rPr>
      </w:pPr>
      <w:r w:rsidRPr="005523A4">
        <w:rPr>
          <w:rFonts w:asciiTheme="minorHAnsi" w:eastAsia="Times New Roman" w:hAnsiTheme="minorHAnsi" w:cstheme="minorHAnsi"/>
          <w:b/>
          <w:bCs/>
          <w:i/>
          <w:color w:val="000000"/>
          <w:sz w:val="21"/>
          <w:szCs w:val="18"/>
          <w:lang w:eastAsia="en-AU"/>
        </w:rPr>
        <w:t>Market</w:t>
      </w:r>
      <w:r w:rsidRPr="005523A4">
        <w:rPr>
          <w:rFonts w:asciiTheme="minorHAnsi" w:eastAsia="Times New Roman" w:hAnsiTheme="minorHAnsi" w:cstheme="minorHAnsi"/>
          <w:b/>
          <w:bCs/>
          <w:color w:val="000000"/>
          <w:sz w:val="21"/>
          <w:szCs w:val="18"/>
          <w:lang w:eastAsia="en-AU"/>
        </w:rPr>
        <w:t xml:space="preserve"> </w:t>
      </w:r>
      <w:r w:rsidRPr="005523A4">
        <w:rPr>
          <w:rFonts w:asciiTheme="minorHAnsi" w:eastAsia="Times New Roman" w:hAnsiTheme="minorHAnsi" w:cstheme="minorHAnsi"/>
          <w:b/>
          <w:bCs/>
          <w:i/>
          <w:color w:val="000000"/>
          <w:sz w:val="21"/>
          <w:szCs w:val="18"/>
          <w:lang w:eastAsia="en-AU"/>
        </w:rPr>
        <w:t>Risk</w:t>
      </w:r>
    </w:p>
    <w:p w14:paraId="4DF1211C" w14:textId="77777777" w:rsidR="00AB33EC" w:rsidRPr="005523A4" w:rsidRDefault="00AB33EC" w:rsidP="0037124B">
      <w:pPr>
        <w:spacing w:before="40"/>
        <w:ind w:left="454"/>
        <w:rPr>
          <w:rFonts w:asciiTheme="minorHAnsi" w:eastAsia="Times New Roman" w:hAnsiTheme="minorHAnsi" w:cstheme="minorHAnsi"/>
          <w:color w:val="000000"/>
          <w:szCs w:val="18"/>
        </w:rPr>
      </w:pPr>
      <w:r w:rsidRPr="005523A4">
        <w:rPr>
          <w:rFonts w:asciiTheme="minorHAnsi" w:eastAsia="Times New Roman" w:hAnsiTheme="minorHAnsi" w:cstheme="minorHAnsi"/>
          <w:color w:val="000000"/>
          <w:szCs w:val="18"/>
        </w:rPr>
        <w:t xml:space="preserve">Market risk refers to the risk that the fair value or future cash flows of a financial instrument will fluctuate because of changes in market prices. Market risk comprises three types of risk: currency risk, interest rate risk and other price risk. </w:t>
      </w:r>
    </w:p>
    <w:p w14:paraId="369015C0" w14:textId="77777777" w:rsidR="00AB33EC" w:rsidRPr="005523A4" w:rsidRDefault="00AB33EC" w:rsidP="0037124B">
      <w:pPr>
        <w:spacing w:before="40"/>
        <w:ind w:left="454"/>
        <w:rPr>
          <w:rFonts w:asciiTheme="minorHAnsi" w:eastAsia="Times New Roman" w:hAnsiTheme="minorHAnsi" w:cstheme="minorHAnsi"/>
          <w:color w:val="000000"/>
          <w:szCs w:val="18"/>
        </w:rPr>
      </w:pPr>
      <w:r w:rsidRPr="005523A4">
        <w:rPr>
          <w:rFonts w:asciiTheme="minorHAnsi" w:eastAsia="Times New Roman" w:hAnsiTheme="minorHAnsi" w:cstheme="minorHAnsi"/>
          <w:color w:val="000000"/>
          <w:szCs w:val="18"/>
        </w:rPr>
        <w:t xml:space="preserve">The CCC does not trade in foreign currency. It manages price risk and interest rate risk through its liquidity management strategy and by ensuring that expenditure is within funding levels. </w:t>
      </w:r>
    </w:p>
    <w:p w14:paraId="509F33C7" w14:textId="77777777" w:rsidR="00AB33EC" w:rsidRPr="005523A4" w:rsidRDefault="00AB33EC" w:rsidP="0037124B">
      <w:pPr>
        <w:ind w:left="454"/>
        <w:rPr>
          <w:rFonts w:asciiTheme="minorHAnsi" w:eastAsia="Times New Roman" w:hAnsiTheme="minorHAnsi" w:cstheme="minorHAnsi"/>
          <w:color w:val="000000"/>
          <w:szCs w:val="18"/>
          <w:lang w:eastAsia="en-AU"/>
        </w:rPr>
      </w:pPr>
      <w:r w:rsidRPr="005523A4">
        <w:rPr>
          <w:rFonts w:asciiTheme="minorHAnsi" w:eastAsia="Times New Roman" w:hAnsiTheme="minorHAnsi" w:cstheme="minorHAnsi"/>
          <w:color w:val="000000"/>
          <w:szCs w:val="18"/>
          <w:lang w:eastAsia="en-AU"/>
        </w:rPr>
        <w:t xml:space="preserve">Exposure to interest rate risk is limited to cash assets bearing variable interest rates. The CCC minimises risk by investing in secure short–term investments, mainly fixed term deposits, in accordance with Part 6 of the </w:t>
      </w:r>
      <w:r w:rsidRPr="005523A4">
        <w:rPr>
          <w:rFonts w:asciiTheme="minorHAnsi" w:eastAsia="Times New Roman" w:hAnsiTheme="minorHAnsi" w:cstheme="minorHAnsi"/>
          <w:i/>
          <w:color w:val="000000"/>
          <w:szCs w:val="18"/>
          <w:lang w:eastAsia="en-AU"/>
        </w:rPr>
        <w:t>Statutory Bodies Financial Arrangements Act 1982</w:t>
      </w:r>
      <w:r w:rsidRPr="005523A4">
        <w:rPr>
          <w:rFonts w:asciiTheme="minorHAnsi" w:eastAsia="Times New Roman" w:hAnsiTheme="minorHAnsi" w:cstheme="minorHAnsi"/>
          <w:color w:val="000000"/>
          <w:szCs w:val="18"/>
          <w:lang w:eastAsia="en-AU"/>
        </w:rPr>
        <w:t>.</w:t>
      </w:r>
    </w:p>
    <w:p w14:paraId="069228A5" w14:textId="77777777" w:rsidR="00AB33EC" w:rsidRPr="005523A4" w:rsidRDefault="00AB33EC" w:rsidP="00AB33EC">
      <w:pPr>
        <w:ind w:left="454"/>
        <w:rPr>
          <w:rFonts w:asciiTheme="minorHAnsi" w:eastAsia="Times New Roman" w:hAnsiTheme="minorHAnsi" w:cstheme="minorHAnsi"/>
          <w:color w:val="000000"/>
          <w:sz w:val="16"/>
          <w:szCs w:val="16"/>
          <w:lang w:eastAsia="en-AU"/>
        </w:rPr>
      </w:pPr>
    </w:p>
    <w:p w14:paraId="302E0321" w14:textId="76061ABC" w:rsidR="00AB33EC" w:rsidRPr="005523A4" w:rsidRDefault="00AB33EC" w:rsidP="0037124B">
      <w:pPr>
        <w:ind w:left="454" w:hanging="454"/>
        <w:rPr>
          <w:rFonts w:asciiTheme="minorHAnsi" w:eastAsia="Times New Roman" w:hAnsiTheme="minorHAnsi" w:cstheme="minorHAnsi"/>
          <w:b/>
          <w:bCs/>
          <w:color w:val="000000"/>
          <w:sz w:val="21"/>
          <w:szCs w:val="18"/>
          <w:lang w:eastAsia="en-AU"/>
        </w:rPr>
      </w:pPr>
      <w:r w:rsidRPr="005523A4">
        <w:rPr>
          <w:rFonts w:asciiTheme="minorHAnsi" w:eastAsia="Times New Roman" w:hAnsiTheme="minorHAnsi" w:cstheme="minorHAnsi"/>
          <w:b/>
          <w:bCs/>
          <w:color w:val="000000"/>
          <w:sz w:val="21"/>
          <w:szCs w:val="18"/>
          <w:lang w:eastAsia="en-AU"/>
        </w:rPr>
        <w:t>(c)</w:t>
      </w:r>
      <w:r w:rsidRPr="005523A4">
        <w:rPr>
          <w:rFonts w:asciiTheme="minorHAnsi" w:eastAsia="Times New Roman" w:hAnsiTheme="minorHAnsi" w:cstheme="minorHAnsi"/>
          <w:b/>
          <w:bCs/>
          <w:color w:val="000000"/>
          <w:sz w:val="21"/>
          <w:szCs w:val="18"/>
          <w:lang w:eastAsia="en-AU"/>
        </w:rPr>
        <w:tab/>
        <w:t>Fair Value</w:t>
      </w:r>
    </w:p>
    <w:p w14:paraId="703AE3E0" w14:textId="77777777" w:rsidR="00AB33EC" w:rsidRPr="005523A4" w:rsidRDefault="00AB33EC" w:rsidP="0037124B">
      <w:pPr>
        <w:spacing w:before="40"/>
        <w:ind w:left="454"/>
        <w:rPr>
          <w:rFonts w:asciiTheme="minorHAnsi" w:eastAsia="Times New Roman" w:hAnsiTheme="minorHAnsi" w:cstheme="minorHAnsi"/>
          <w:color w:val="000000"/>
          <w:szCs w:val="18"/>
        </w:rPr>
      </w:pPr>
      <w:r w:rsidRPr="005523A4">
        <w:rPr>
          <w:rFonts w:asciiTheme="minorHAnsi" w:eastAsia="Times New Roman" w:hAnsiTheme="minorHAnsi" w:cstheme="minorHAnsi"/>
          <w:color w:val="000000"/>
          <w:szCs w:val="18"/>
        </w:rPr>
        <w:t>The fair value of receivables and payables is the transaction cost or the face value. The CCC considers that the carrying amount of receivables and payables represent fair value at the balance date because of the short-term nature of the financial instruments and the expectation that they will be paid in full.</w:t>
      </w:r>
    </w:p>
    <w:p w14:paraId="558CF3CC" w14:textId="77777777" w:rsidR="00AB33EC" w:rsidRPr="005523A4" w:rsidRDefault="00AB33EC" w:rsidP="0037124B">
      <w:pPr>
        <w:outlineLvl w:val="0"/>
        <w:rPr>
          <w:rFonts w:asciiTheme="minorHAnsi" w:eastAsia="Times New Roman" w:hAnsiTheme="minorHAnsi" w:cstheme="minorHAnsi"/>
          <w:b/>
          <w:color w:val="000000"/>
          <w:sz w:val="23"/>
          <w:szCs w:val="20"/>
        </w:rPr>
      </w:pPr>
      <w:r w:rsidRPr="005523A4">
        <w:rPr>
          <w:rFonts w:asciiTheme="minorHAnsi" w:eastAsia="Times New Roman" w:hAnsiTheme="minorHAnsi" w:cstheme="minorHAnsi"/>
          <w:b/>
          <w:color w:val="000000"/>
          <w:sz w:val="23"/>
          <w:szCs w:val="20"/>
        </w:rPr>
        <w:t>Note 17:  Trust Transactions and Balances</w:t>
      </w:r>
    </w:p>
    <w:p w14:paraId="1B71AC95" w14:textId="77777777" w:rsidR="00AB33EC" w:rsidRPr="005523A4" w:rsidRDefault="00AB33EC" w:rsidP="0037124B">
      <w:pPr>
        <w:rPr>
          <w:rFonts w:asciiTheme="minorHAnsi" w:eastAsia="Calibri" w:hAnsiTheme="minorHAnsi" w:cstheme="minorHAnsi"/>
          <w:b/>
          <w:color w:val="000000"/>
        </w:rPr>
      </w:pPr>
      <w:r w:rsidRPr="005523A4">
        <w:rPr>
          <w:rFonts w:asciiTheme="minorHAnsi" w:eastAsia="Calibri" w:hAnsiTheme="minorHAnsi" w:cstheme="minorHAnsi"/>
          <w:b/>
          <w:color w:val="000000"/>
        </w:rPr>
        <w:t>Operational Activities</w:t>
      </w:r>
    </w:p>
    <w:p w14:paraId="72F690F0" w14:textId="77777777" w:rsidR="00AB33EC" w:rsidRPr="005523A4" w:rsidRDefault="00AB33EC" w:rsidP="0037124B">
      <w:pPr>
        <w:spacing w:before="60"/>
        <w:rPr>
          <w:rFonts w:asciiTheme="minorHAnsi" w:eastAsia="Calibri" w:hAnsiTheme="minorHAnsi" w:cstheme="minorHAnsi"/>
          <w:color w:val="000000"/>
          <w:szCs w:val="20"/>
        </w:rPr>
      </w:pPr>
      <w:r w:rsidRPr="005523A4">
        <w:rPr>
          <w:rFonts w:asciiTheme="minorHAnsi" w:eastAsia="Calibri" w:hAnsiTheme="minorHAnsi" w:cstheme="minorHAnsi"/>
          <w:color w:val="000000"/>
          <w:szCs w:val="20"/>
          <w:lang w:eastAsia="en-AU"/>
        </w:rPr>
        <w:t xml:space="preserve">The CCC undertakes certain trustee transactions on behalf </w:t>
      </w:r>
      <w:r w:rsidRPr="005523A4">
        <w:rPr>
          <w:rFonts w:asciiTheme="minorHAnsi" w:eastAsia="Calibri" w:hAnsiTheme="minorHAnsi" w:cstheme="minorHAnsi"/>
          <w:color w:val="000000"/>
          <w:szCs w:val="20"/>
        </w:rPr>
        <w:t>o</w:t>
      </w:r>
      <w:r w:rsidRPr="005523A4">
        <w:rPr>
          <w:rFonts w:asciiTheme="minorHAnsi" w:eastAsia="Calibri" w:hAnsiTheme="minorHAnsi" w:cstheme="minorHAnsi"/>
          <w:color w:val="000000"/>
          <w:szCs w:val="20"/>
          <w:lang w:eastAsia="en-AU"/>
        </w:rPr>
        <w:t xml:space="preserve">f individuals as a result of operational activities.  </w:t>
      </w:r>
      <w:r w:rsidRPr="005523A4">
        <w:rPr>
          <w:rFonts w:asciiTheme="minorHAnsi" w:eastAsia="Calibri" w:hAnsiTheme="minorHAnsi" w:cstheme="minorHAnsi"/>
          <w:color w:val="000000"/>
          <w:szCs w:val="20"/>
        </w:rPr>
        <w:t>As the CCC acts only in a custodial role in respect of these transactions and balances, they are not recognised in the financial statements but are disclosed separately under this note.</w:t>
      </w:r>
    </w:p>
    <w:p w14:paraId="7D25F11C" w14:textId="77777777" w:rsidR="00AB33EC" w:rsidRPr="005523A4" w:rsidRDefault="00AB33EC" w:rsidP="0037124B">
      <w:pPr>
        <w:spacing w:before="60"/>
        <w:rPr>
          <w:rFonts w:asciiTheme="minorHAnsi" w:eastAsia="Calibri" w:hAnsiTheme="minorHAnsi" w:cstheme="minorHAnsi"/>
          <w:color w:val="000000"/>
          <w:szCs w:val="20"/>
        </w:rPr>
      </w:pPr>
      <w:r w:rsidRPr="005523A4">
        <w:rPr>
          <w:rFonts w:asciiTheme="minorHAnsi" w:eastAsia="Calibri" w:hAnsiTheme="minorHAnsi" w:cstheme="minorHAnsi"/>
          <w:color w:val="000000"/>
          <w:szCs w:val="20"/>
        </w:rPr>
        <w:t>At 30 June 2024, the CCC held $</w:t>
      </w:r>
      <w:r w:rsidRPr="00A25EFD">
        <w:rPr>
          <w:rFonts w:asciiTheme="minorHAnsi" w:eastAsia="Calibri" w:hAnsiTheme="minorHAnsi" w:cstheme="minorHAnsi"/>
          <w:color w:val="000000"/>
          <w:szCs w:val="20"/>
        </w:rPr>
        <w:t>346,892</w:t>
      </w:r>
      <w:r w:rsidRPr="005523A4">
        <w:rPr>
          <w:rFonts w:asciiTheme="minorHAnsi" w:eastAsia="Calibri" w:hAnsiTheme="minorHAnsi" w:cstheme="minorHAnsi"/>
          <w:color w:val="000000"/>
          <w:szCs w:val="20"/>
        </w:rPr>
        <w:t xml:space="preserve"> (2023: $106,510) in a trust bank account as a result of operational activities. </w:t>
      </w:r>
    </w:p>
    <w:p w14:paraId="339FA9CC" w14:textId="77777777" w:rsidR="00AB33EC" w:rsidRPr="005523A4" w:rsidRDefault="00AB33EC" w:rsidP="00AB33EC">
      <w:pPr>
        <w:rPr>
          <w:rFonts w:asciiTheme="minorHAnsi" w:eastAsia="Calibri" w:hAnsiTheme="minorHAnsi" w:cstheme="minorHAnsi"/>
          <w:color w:val="000000"/>
          <w:lang w:eastAsia="en-AU"/>
        </w:rPr>
      </w:pPr>
    </w:p>
    <w:p w14:paraId="0F41BCDF" w14:textId="77777777" w:rsidR="00AB33EC" w:rsidRDefault="00AB33EC" w:rsidP="00AB33EC">
      <w:pPr>
        <w:spacing w:line="259" w:lineRule="auto"/>
        <w:rPr>
          <w:rFonts w:asciiTheme="minorHAnsi" w:eastAsia="Times New Roman" w:hAnsiTheme="minorHAnsi" w:cstheme="minorHAnsi"/>
          <w:b/>
          <w:bCs/>
          <w:color w:val="000000"/>
          <w:sz w:val="23"/>
          <w:szCs w:val="23"/>
          <w:lang w:eastAsia="en-AU"/>
        </w:rPr>
      </w:pPr>
      <w:r>
        <w:rPr>
          <w:rFonts w:asciiTheme="minorHAnsi" w:eastAsia="Times New Roman" w:hAnsiTheme="minorHAnsi" w:cstheme="minorHAnsi"/>
          <w:b/>
          <w:bCs/>
          <w:color w:val="000000"/>
          <w:sz w:val="23"/>
          <w:szCs w:val="23"/>
          <w:lang w:eastAsia="en-AU"/>
        </w:rPr>
        <w:br w:type="page"/>
      </w:r>
    </w:p>
    <w:p w14:paraId="67F76E9B" w14:textId="0ACC929C" w:rsidR="00AB33EC" w:rsidRPr="005975D4" w:rsidRDefault="00AB33EC" w:rsidP="005975D4">
      <w:pPr>
        <w:outlineLvl w:val="0"/>
        <w:rPr>
          <w:rFonts w:asciiTheme="minorHAnsi" w:eastAsia="Times New Roman" w:hAnsiTheme="minorHAnsi" w:cstheme="minorHAnsi"/>
          <w:b/>
          <w:color w:val="000000"/>
          <w:sz w:val="23"/>
          <w:szCs w:val="20"/>
        </w:rPr>
      </w:pPr>
      <w:r w:rsidRPr="005975D4">
        <w:rPr>
          <w:rFonts w:asciiTheme="minorHAnsi" w:eastAsia="Times New Roman" w:hAnsiTheme="minorHAnsi" w:cstheme="minorHAnsi"/>
          <w:b/>
          <w:color w:val="000000"/>
          <w:sz w:val="23"/>
          <w:szCs w:val="20"/>
        </w:rPr>
        <w:t xml:space="preserve">Note 18:  </w:t>
      </w:r>
      <w:r w:rsidR="00C420FC" w:rsidRPr="006E1B98">
        <w:rPr>
          <w:rFonts w:asciiTheme="minorHAnsi" w:eastAsia="Times New Roman" w:hAnsiTheme="minorHAnsi" w:cstheme="minorHAnsi"/>
          <w:b/>
          <w:bCs/>
          <w:color w:val="000000"/>
          <w:sz w:val="23"/>
          <w:szCs w:val="23"/>
          <w:lang w:eastAsia="en-AU"/>
        </w:rPr>
        <w:t>Budgetary Reporting Disclosures</w:t>
      </w:r>
      <w:r w:rsidR="00C420FC">
        <w:rPr>
          <w:rFonts w:asciiTheme="minorHAnsi" w:eastAsia="Times New Roman" w:hAnsiTheme="minorHAnsi" w:cstheme="minorHAnsi"/>
          <w:b/>
          <w:bCs/>
          <w:color w:val="000000"/>
          <w:sz w:val="23"/>
          <w:szCs w:val="23"/>
          <w:lang w:eastAsia="en-AU"/>
        </w:rPr>
        <w:t xml:space="preserve"> -</w:t>
      </w:r>
      <w:r w:rsidR="00C420FC" w:rsidRPr="006E1B98">
        <w:rPr>
          <w:rFonts w:asciiTheme="minorHAnsi" w:eastAsia="Times New Roman" w:hAnsiTheme="minorHAnsi" w:cstheme="minorHAnsi"/>
          <w:b/>
          <w:bCs/>
          <w:color w:val="000000"/>
          <w:sz w:val="23"/>
          <w:szCs w:val="23"/>
          <w:lang w:eastAsia="en-AU"/>
        </w:rPr>
        <w:t xml:space="preserve"> </w:t>
      </w:r>
      <w:r w:rsidRPr="005975D4">
        <w:rPr>
          <w:rFonts w:asciiTheme="minorHAnsi" w:eastAsia="Times New Roman" w:hAnsiTheme="minorHAnsi" w:cstheme="minorHAnsi"/>
          <w:b/>
          <w:color w:val="000000"/>
          <w:sz w:val="23"/>
          <w:szCs w:val="20"/>
        </w:rPr>
        <w:t xml:space="preserve">Explanation of Major Variances </w:t>
      </w:r>
    </w:p>
    <w:p w14:paraId="1A5B27F9" w14:textId="77777777" w:rsidR="00AB33EC" w:rsidRPr="005523A4" w:rsidRDefault="00AB33EC" w:rsidP="0037124B">
      <w:pPr>
        <w:ind w:left="454" w:hanging="454"/>
        <w:rPr>
          <w:rFonts w:asciiTheme="minorHAnsi" w:eastAsia="Times New Roman" w:hAnsiTheme="minorHAnsi" w:cstheme="minorHAnsi"/>
          <w:b/>
          <w:bCs/>
          <w:color w:val="000000"/>
          <w:sz w:val="21"/>
          <w:szCs w:val="18"/>
          <w:lang w:eastAsia="en-AU"/>
        </w:rPr>
      </w:pPr>
      <w:r w:rsidRPr="005523A4">
        <w:rPr>
          <w:rFonts w:asciiTheme="minorHAnsi" w:eastAsia="Times New Roman" w:hAnsiTheme="minorHAnsi" w:cstheme="minorHAnsi"/>
          <w:b/>
          <w:bCs/>
          <w:color w:val="000000"/>
          <w:sz w:val="21"/>
          <w:szCs w:val="18"/>
          <w:lang w:eastAsia="en-AU"/>
        </w:rPr>
        <w:t>Note 18A:  Explanation of Major Variances – Statement of Comprehensive Income</w:t>
      </w:r>
    </w:p>
    <w:p w14:paraId="36193201" w14:textId="77777777" w:rsidR="00AB33EC" w:rsidRPr="005523A4" w:rsidRDefault="00AB33EC" w:rsidP="0037124B">
      <w:pPr>
        <w:ind w:left="454" w:hanging="454"/>
        <w:rPr>
          <w:rFonts w:asciiTheme="minorHAnsi" w:eastAsia="Times New Roman" w:hAnsiTheme="minorHAnsi" w:cstheme="minorHAnsi"/>
          <w:b/>
          <w:bCs/>
          <w:color w:val="000000"/>
          <w:sz w:val="21"/>
          <w:szCs w:val="18"/>
          <w:lang w:eastAsia="en-AU"/>
        </w:rPr>
      </w:pPr>
    </w:p>
    <w:tbl>
      <w:tblPr>
        <w:tblStyle w:val="Table3Deffects1"/>
        <w:tblW w:w="9498" w:type="dxa"/>
        <w:tblLook w:val="04A0" w:firstRow="1" w:lastRow="0" w:firstColumn="1" w:lastColumn="0" w:noHBand="0" w:noVBand="1"/>
      </w:tblPr>
      <w:tblGrid>
        <w:gridCol w:w="2977"/>
        <w:gridCol w:w="6521"/>
      </w:tblGrid>
      <w:tr w:rsidR="00AB33EC" w:rsidRPr="005523A4" w14:paraId="7B8BB6BA" w14:textId="77777777" w:rsidTr="00B721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7" w:type="dxa"/>
            <w:shd w:val="clear" w:color="auto" w:fill="auto"/>
          </w:tcPr>
          <w:p w14:paraId="7FA03331" w14:textId="77777777" w:rsidR="00AB33EC" w:rsidRPr="00952755" w:rsidRDefault="00AB33EC" w:rsidP="0037124B">
            <w:pPr>
              <w:spacing w:before="60"/>
              <w:rPr>
                <w:rFonts w:asciiTheme="minorHAnsi" w:eastAsia="Calibri" w:hAnsiTheme="minorHAnsi" w:cstheme="minorHAnsi"/>
                <w:i/>
                <w:color w:val="000000"/>
              </w:rPr>
            </w:pPr>
            <w:r w:rsidRPr="00952755">
              <w:rPr>
                <w:rFonts w:asciiTheme="minorHAnsi" w:eastAsia="Calibri" w:hAnsiTheme="minorHAnsi" w:cstheme="minorHAnsi"/>
                <w:i/>
                <w:color w:val="000000"/>
              </w:rPr>
              <w:t>Grants and other contributions:</w:t>
            </w:r>
          </w:p>
        </w:tc>
        <w:tc>
          <w:tcPr>
            <w:tcW w:w="6521" w:type="dxa"/>
            <w:tcBorders>
              <w:bottom w:val="none" w:sz="0" w:space="0" w:color="auto"/>
            </w:tcBorders>
            <w:shd w:val="clear" w:color="auto" w:fill="auto"/>
          </w:tcPr>
          <w:p w14:paraId="3FD8CF0B" w14:textId="77777777" w:rsidR="00AB33EC" w:rsidRPr="00952755" w:rsidRDefault="00AB33EC" w:rsidP="0037124B">
            <w:pPr>
              <w:spacing w:before="60"/>
              <w:ind w:left="-108"/>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rPr>
            </w:pPr>
            <w:r w:rsidRPr="00952755">
              <w:rPr>
                <w:rFonts w:asciiTheme="minorHAnsi" w:eastAsia="Calibri" w:hAnsiTheme="minorHAnsi" w:cstheme="minorHAnsi"/>
                <w:b w:val="0"/>
                <w:bCs w:val="0"/>
                <w:color w:val="000000"/>
              </w:rPr>
              <w:t>The decrease of $4.</w:t>
            </w:r>
            <w:r>
              <w:rPr>
                <w:rFonts w:asciiTheme="minorHAnsi" w:eastAsia="Calibri" w:hAnsiTheme="minorHAnsi" w:cstheme="minorHAnsi"/>
                <w:b w:val="0"/>
                <w:bCs w:val="0"/>
                <w:color w:val="000000"/>
              </w:rPr>
              <w:t>117</w:t>
            </w:r>
            <w:r w:rsidRPr="00952755">
              <w:rPr>
                <w:rFonts w:asciiTheme="minorHAnsi" w:eastAsia="Calibri" w:hAnsiTheme="minorHAnsi" w:cstheme="minorHAnsi"/>
                <w:b w:val="0"/>
                <w:bCs w:val="0"/>
                <w:color w:val="000000"/>
              </w:rPr>
              <w:t>M is due to the deferral of $6.4M in funding to implement new case management systems offset by $</w:t>
            </w:r>
            <w:r>
              <w:rPr>
                <w:rFonts w:asciiTheme="minorHAnsi" w:eastAsia="Calibri" w:hAnsiTheme="minorHAnsi" w:cstheme="minorHAnsi"/>
                <w:b w:val="0"/>
                <w:bCs w:val="0"/>
                <w:color w:val="000000"/>
              </w:rPr>
              <w:t>1.907</w:t>
            </w:r>
            <w:r w:rsidRPr="00952755">
              <w:rPr>
                <w:rFonts w:asciiTheme="minorHAnsi" w:eastAsia="Calibri" w:hAnsiTheme="minorHAnsi" w:cstheme="minorHAnsi"/>
                <w:b w:val="0"/>
                <w:bCs w:val="0"/>
                <w:color w:val="000000"/>
              </w:rPr>
              <w:t>M from the whole of government wage policy adjustments including cost of living allowances</w:t>
            </w:r>
            <w:r>
              <w:rPr>
                <w:rFonts w:asciiTheme="minorHAnsi" w:eastAsia="Calibri" w:hAnsiTheme="minorHAnsi" w:cstheme="minorHAnsi"/>
                <w:b w:val="0"/>
                <w:bCs w:val="0"/>
                <w:color w:val="000000"/>
              </w:rPr>
              <w:t xml:space="preserve"> and increases of $0.376M for the </w:t>
            </w:r>
            <w:r w:rsidRPr="00D713D2">
              <w:rPr>
                <w:rFonts w:asciiTheme="minorHAnsi" w:eastAsia="Calibri" w:hAnsiTheme="minorHAnsi" w:cstheme="minorHAnsi"/>
                <w:b w:val="0"/>
                <w:bCs w:val="0"/>
                <w:color w:val="000000"/>
              </w:rPr>
              <w:t>Services Received Below Fair Value</w:t>
            </w:r>
            <w:r w:rsidRPr="00952755">
              <w:rPr>
                <w:rFonts w:asciiTheme="minorHAnsi" w:eastAsia="Calibri" w:hAnsiTheme="minorHAnsi" w:cstheme="minorHAnsi"/>
                <w:b w:val="0"/>
                <w:bCs w:val="0"/>
                <w:color w:val="000000"/>
              </w:rPr>
              <w:t>.</w:t>
            </w:r>
          </w:p>
        </w:tc>
      </w:tr>
      <w:tr w:rsidR="00AB33EC" w:rsidRPr="005523A4" w14:paraId="7D86F410" w14:textId="77777777" w:rsidTr="00B721B7">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39EE06B1" w14:textId="77777777" w:rsidR="00AB33EC" w:rsidRPr="00952755" w:rsidRDefault="00AB33EC" w:rsidP="0037124B">
            <w:pPr>
              <w:spacing w:before="60"/>
              <w:rPr>
                <w:rFonts w:asciiTheme="minorHAnsi" w:eastAsia="Calibri" w:hAnsiTheme="minorHAnsi" w:cstheme="minorHAnsi"/>
                <w:i/>
                <w:color w:val="000000"/>
              </w:rPr>
            </w:pPr>
            <w:r w:rsidRPr="00952755">
              <w:rPr>
                <w:rFonts w:asciiTheme="minorHAnsi" w:eastAsia="Calibri" w:hAnsiTheme="minorHAnsi" w:cstheme="minorHAnsi"/>
                <w:i/>
                <w:color w:val="000000"/>
              </w:rPr>
              <w:t>Interest:</w:t>
            </w:r>
          </w:p>
        </w:tc>
        <w:tc>
          <w:tcPr>
            <w:tcW w:w="6521" w:type="dxa"/>
            <w:shd w:val="clear" w:color="auto" w:fill="auto"/>
          </w:tcPr>
          <w:p w14:paraId="7B83775C" w14:textId="77777777" w:rsidR="00AB33EC" w:rsidRPr="00952755" w:rsidRDefault="00AB33EC" w:rsidP="0037124B">
            <w:pPr>
              <w:spacing w:before="60"/>
              <w:ind w:left="-108"/>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rPr>
            </w:pPr>
            <w:r w:rsidRPr="00952755">
              <w:rPr>
                <w:rFonts w:asciiTheme="minorHAnsi" w:eastAsia="Calibri" w:hAnsiTheme="minorHAnsi" w:cstheme="minorHAnsi"/>
                <w:color w:val="000000"/>
              </w:rPr>
              <w:t>The increase of $0.848M is due to interest rate increases across 2023–24.</w:t>
            </w:r>
          </w:p>
        </w:tc>
      </w:tr>
      <w:tr w:rsidR="00AB33EC" w:rsidRPr="005523A4" w14:paraId="18FBC992" w14:textId="77777777" w:rsidTr="00B721B7">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3D4DFC87" w14:textId="77777777" w:rsidR="00AB33EC" w:rsidRPr="00952755" w:rsidRDefault="00AB33EC" w:rsidP="0037124B">
            <w:pPr>
              <w:spacing w:before="60"/>
              <w:rPr>
                <w:rFonts w:asciiTheme="minorHAnsi" w:eastAsia="Calibri" w:hAnsiTheme="minorHAnsi" w:cstheme="minorHAnsi"/>
                <w:i/>
                <w:color w:val="000000"/>
              </w:rPr>
            </w:pPr>
            <w:r w:rsidRPr="00952755">
              <w:rPr>
                <w:rFonts w:asciiTheme="minorHAnsi" w:eastAsia="Calibri" w:hAnsiTheme="minorHAnsi" w:cstheme="minorHAnsi"/>
                <w:i/>
                <w:color w:val="000000"/>
              </w:rPr>
              <w:t>Employee expenses:</w:t>
            </w:r>
          </w:p>
        </w:tc>
        <w:tc>
          <w:tcPr>
            <w:tcW w:w="6521" w:type="dxa"/>
            <w:shd w:val="clear" w:color="auto" w:fill="auto"/>
          </w:tcPr>
          <w:p w14:paraId="73DDA47A" w14:textId="77777777" w:rsidR="00AB33EC" w:rsidRPr="00952755" w:rsidRDefault="00AB33EC" w:rsidP="0037124B">
            <w:pPr>
              <w:spacing w:before="60"/>
              <w:ind w:left="-108"/>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rPr>
            </w:pPr>
            <w:r w:rsidRPr="00952755">
              <w:rPr>
                <w:rFonts w:asciiTheme="minorHAnsi" w:eastAsia="Calibri" w:hAnsiTheme="minorHAnsi" w:cstheme="minorHAnsi"/>
                <w:color w:val="000000"/>
              </w:rPr>
              <w:t>The decrease of $0.433M is due to increased employee vacancies in a tight labour market partially offset by whole of government wage policy adjustments including cost of living allowances.</w:t>
            </w:r>
          </w:p>
        </w:tc>
      </w:tr>
      <w:tr w:rsidR="00AB33EC" w:rsidRPr="005523A4" w14:paraId="3BF4CAB3" w14:textId="77777777" w:rsidTr="00B721B7">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0E709339" w14:textId="77777777" w:rsidR="00AB33EC" w:rsidRPr="00952755" w:rsidRDefault="00AB33EC" w:rsidP="0037124B">
            <w:pPr>
              <w:spacing w:before="60"/>
              <w:rPr>
                <w:rFonts w:asciiTheme="minorHAnsi" w:eastAsia="Calibri" w:hAnsiTheme="minorHAnsi" w:cstheme="minorHAnsi"/>
                <w:i/>
                <w:color w:val="000000"/>
              </w:rPr>
            </w:pPr>
            <w:r w:rsidRPr="00952755">
              <w:rPr>
                <w:rFonts w:asciiTheme="minorHAnsi" w:eastAsia="Calibri" w:hAnsiTheme="minorHAnsi" w:cstheme="minorHAnsi"/>
                <w:i/>
                <w:color w:val="000000"/>
              </w:rPr>
              <w:t>Supplies and services:</w:t>
            </w:r>
          </w:p>
        </w:tc>
        <w:tc>
          <w:tcPr>
            <w:tcW w:w="6521" w:type="dxa"/>
            <w:shd w:val="clear" w:color="auto" w:fill="auto"/>
          </w:tcPr>
          <w:p w14:paraId="0FCCB97E" w14:textId="77777777" w:rsidR="00AB33EC" w:rsidRPr="00952755" w:rsidRDefault="00AB33EC" w:rsidP="0037124B">
            <w:pPr>
              <w:spacing w:before="60" w:line="260" w:lineRule="exact"/>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rPr>
            </w:pPr>
            <w:r w:rsidRPr="00952755">
              <w:rPr>
                <w:rFonts w:asciiTheme="minorHAnsi" w:hAnsiTheme="minorHAnsi" w:cstheme="minorHAnsi"/>
                <w:bCs/>
                <w:color w:val="000000"/>
              </w:rPr>
              <w:t>The decrease of $2.753M is mainly due to reduced expenditure as a result of increased employee vacancies due to market pressures and reduced operating expenditure as a result of capacity issues.</w:t>
            </w:r>
          </w:p>
        </w:tc>
      </w:tr>
      <w:tr w:rsidR="00AB33EC" w:rsidRPr="005523A4" w14:paraId="2052392A" w14:textId="77777777" w:rsidTr="00B721B7">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39110A26" w14:textId="77777777" w:rsidR="00AB33EC" w:rsidRPr="00952755" w:rsidRDefault="00AB33EC" w:rsidP="0037124B">
            <w:pPr>
              <w:spacing w:before="60"/>
              <w:rPr>
                <w:rFonts w:asciiTheme="minorHAnsi" w:eastAsia="Calibri" w:hAnsiTheme="minorHAnsi" w:cstheme="minorHAnsi"/>
                <w:i/>
                <w:color w:val="000000"/>
              </w:rPr>
            </w:pPr>
            <w:r w:rsidRPr="00952755">
              <w:rPr>
                <w:rFonts w:asciiTheme="minorHAnsi" w:eastAsia="Calibri" w:hAnsiTheme="minorHAnsi" w:cstheme="minorHAnsi"/>
                <w:i/>
                <w:color w:val="000000"/>
              </w:rPr>
              <w:t xml:space="preserve">Depreciation and </w:t>
            </w:r>
          </w:p>
          <w:p w14:paraId="5DBF1477" w14:textId="77777777" w:rsidR="00AB33EC" w:rsidRPr="00952755" w:rsidRDefault="00AB33EC" w:rsidP="0037124B">
            <w:pPr>
              <w:spacing w:before="60"/>
              <w:rPr>
                <w:rFonts w:asciiTheme="minorHAnsi" w:eastAsia="Calibri" w:hAnsiTheme="minorHAnsi" w:cstheme="minorHAnsi"/>
                <w:i/>
                <w:color w:val="000000"/>
              </w:rPr>
            </w:pPr>
            <w:r w:rsidRPr="00952755">
              <w:rPr>
                <w:rFonts w:asciiTheme="minorHAnsi" w:eastAsia="Calibri" w:hAnsiTheme="minorHAnsi" w:cstheme="minorHAnsi"/>
                <w:i/>
                <w:color w:val="000000"/>
              </w:rPr>
              <w:t>amortisation:</w:t>
            </w:r>
          </w:p>
        </w:tc>
        <w:tc>
          <w:tcPr>
            <w:tcW w:w="6521" w:type="dxa"/>
            <w:shd w:val="clear" w:color="auto" w:fill="auto"/>
          </w:tcPr>
          <w:p w14:paraId="06811012" w14:textId="77777777" w:rsidR="00AB33EC" w:rsidRPr="00952755" w:rsidRDefault="00AB33EC" w:rsidP="0037124B">
            <w:pPr>
              <w:spacing w:before="60"/>
              <w:ind w:left="-108"/>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rPr>
            </w:pPr>
            <w:r w:rsidRPr="00952755">
              <w:rPr>
                <w:rFonts w:asciiTheme="minorHAnsi" w:eastAsia="Calibri" w:hAnsiTheme="minorHAnsi" w:cstheme="minorHAnsi"/>
                <w:color w:val="000000"/>
              </w:rPr>
              <w:t>The decrease of $0.287M is due to asset useful life extensions and minor delays in the completion of asset updates.</w:t>
            </w:r>
          </w:p>
        </w:tc>
      </w:tr>
      <w:tr w:rsidR="00AB33EC" w:rsidRPr="005523A4" w14:paraId="50115976" w14:textId="77777777" w:rsidTr="00B721B7">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0D67C3B2" w14:textId="77777777" w:rsidR="00AB33EC" w:rsidRPr="00952755" w:rsidRDefault="00AB33EC" w:rsidP="0037124B">
            <w:pPr>
              <w:spacing w:before="60"/>
              <w:rPr>
                <w:rFonts w:asciiTheme="minorHAnsi" w:eastAsia="Calibri" w:hAnsiTheme="minorHAnsi" w:cstheme="minorHAnsi"/>
                <w:i/>
                <w:color w:val="000000"/>
              </w:rPr>
            </w:pPr>
            <w:r w:rsidRPr="00952755">
              <w:rPr>
                <w:rFonts w:asciiTheme="minorHAnsi" w:eastAsia="Calibri" w:hAnsiTheme="minorHAnsi" w:cstheme="minorHAnsi"/>
                <w:i/>
                <w:color w:val="000000"/>
              </w:rPr>
              <w:t xml:space="preserve">Operating results from </w:t>
            </w:r>
          </w:p>
          <w:p w14:paraId="60CB496C" w14:textId="77777777" w:rsidR="00AB33EC" w:rsidRPr="00952755" w:rsidRDefault="00AB33EC" w:rsidP="0037124B">
            <w:pPr>
              <w:spacing w:before="60"/>
              <w:rPr>
                <w:rFonts w:asciiTheme="minorHAnsi" w:eastAsia="Calibri" w:hAnsiTheme="minorHAnsi" w:cstheme="minorHAnsi"/>
                <w:i/>
                <w:color w:val="000000"/>
              </w:rPr>
            </w:pPr>
            <w:r w:rsidRPr="00952755">
              <w:rPr>
                <w:rFonts w:asciiTheme="minorHAnsi" w:eastAsia="Calibri" w:hAnsiTheme="minorHAnsi" w:cstheme="minorHAnsi"/>
                <w:i/>
                <w:color w:val="000000"/>
              </w:rPr>
              <w:t>continuing operations:</w:t>
            </w:r>
          </w:p>
        </w:tc>
        <w:tc>
          <w:tcPr>
            <w:tcW w:w="6521" w:type="dxa"/>
            <w:shd w:val="clear" w:color="auto" w:fill="auto"/>
          </w:tcPr>
          <w:p w14:paraId="71CC9231" w14:textId="77777777" w:rsidR="00AB33EC" w:rsidRPr="00952755" w:rsidRDefault="00AB33EC" w:rsidP="0037124B">
            <w:pPr>
              <w:spacing w:before="60"/>
              <w:ind w:left="-108"/>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rPr>
            </w:pPr>
            <w:r w:rsidRPr="00952755">
              <w:rPr>
                <w:rFonts w:asciiTheme="minorHAnsi" w:eastAsia="Calibri" w:hAnsiTheme="minorHAnsi" w:cstheme="minorHAnsi"/>
                <w:color w:val="000000"/>
              </w:rPr>
              <w:t>The $</w:t>
            </w:r>
            <w:r>
              <w:rPr>
                <w:rFonts w:asciiTheme="minorHAnsi" w:eastAsia="Calibri" w:hAnsiTheme="minorHAnsi" w:cstheme="minorHAnsi"/>
                <w:color w:val="000000"/>
              </w:rPr>
              <w:t>0.156</w:t>
            </w:r>
            <w:r w:rsidRPr="00952755">
              <w:rPr>
                <w:rFonts w:asciiTheme="minorHAnsi" w:eastAsia="Calibri" w:hAnsiTheme="minorHAnsi" w:cstheme="minorHAnsi"/>
                <w:color w:val="000000"/>
              </w:rPr>
              <w:t xml:space="preserve">M </w:t>
            </w:r>
            <w:r>
              <w:rPr>
                <w:rFonts w:asciiTheme="minorHAnsi" w:eastAsia="Calibri" w:hAnsiTheme="minorHAnsi" w:cstheme="minorHAnsi"/>
                <w:color w:val="000000"/>
              </w:rPr>
              <w:t>deficit</w:t>
            </w:r>
            <w:r w:rsidRPr="00952755">
              <w:rPr>
                <w:rFonts w:asciiTheme="minorHAnsi" w:eastAsia="Calibri" w:hAnsiTheme="minorHAnsi" w:cstheme="minorHAnsi"/>
                <w:color w:val="000000"/>
              </w:rPr>
              <w:t xml:space="preserve"> is a result of deferral of $6.4M in funding </w:t>
            </w:r>
            <w:r>
              <w:rPr>
                <w:rFonts w:asciiTheme="minorHAnsi" w:eastAsia="Calibri" w:hAnsiTheme="minorHAnsi" w:cstheme="minorHAnsi"/>
                <w:color w:val="000000"/>
              </w:rPr>
              <w:t xml:space="preserve">from </w:t>
            </w:r>
            <w:r w:rsidRPr="00952755">
              <w:rPr>
                <w:rFonts w:asciiTheme="minorHAnsi" w:eastAsia="Calibri" w:hAnsiTheme="minorHAnsi" w:cstheme="minorHAnsi"/>
                <w:color w:val="000000"/>
              </w:rPr>
              <w:t>increased employee vacancies due to labour market pressures and reduced operating expenditure as a result of capacity issues.</w:t>
            </w:r>
          </w:p>
        </w:tc>
      </w:tr>
    </w:tbl>
    <w:p w14:paraId="44A1E0DA" w14:textId="77777777" w:rsidR="00AB33EC" w:rsidRPr="005523A4" w:rsidRDefault="00AB33EC" w:rsidP="0037124B">
      <w:pPr>
        <w:spacing w:before="60"/>
        <w:rPr>
          <w:rFonts w:asciiTheme="minorHAnsi" w:eastAsia="Calibri" w:hAnsiTheme="minorHAnsi" w:cstheme="minorHAnsi"/>
          <w:color w:val="000000"/>
          <w:szCs w:val="20"/>
          <w:highlight w:val="yellow"/>
        </w:rPr>
      </w:pPr>
    </w:p>
    <w:p w14:paraId="113BF4FF" w14:textId="77777777" w:rsidR="00AB33EC" w:rsidRPr="00952755" w:rsidRDefault="00AB33EC" w:rsidP="0037124B">
      <w:pPr>
        <w:ind w:left="454" w:hanging="454"/>
        <w:rPr>
          <w:rFonts w:asciiTheme="minorHAnsi" w:eastAsia="Times New Roman" w:hAnsiTheme="minorHAnsi" w:cstheme="minorHAnsi"/>
          <w:b/>
          <w:bCs/>
          <w:color w:val="000000"/>
          <w:sz w:val="21"/>
          <w:szCs w:val="21"/>
          <w:lang w:eastAsia="en-AU"/>
        </w:rPr>
      </w:pPr>
      <w:r w:rsidRPr="00952755">
        <w:rPr>
          <w:rFonts w:asciiTheme="minorHAnsi" w:eastAsia="Times New Roman" w:hAnsiTheme="minorHAnsi" w:cstheme="minorHAnsi"/>
          <w:b/>
          <w:bCs/>
          <w:color w:val="000000"/>
          <w:sz w:val="21"/>
          <w:szCs w:val="21"/>
          <w:lang w:eastAsia="en-AU"/>
        </w:rPr>
        <w:t>Note 18B:  Explanation of Major Variances – Statement of Financial Position</w:t>
      </w: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506"/>
      </w:tblGrid>
      <w:tr w:rsidR="00AB33EC" w:rsidRPr="00952755" w14:paraId="4CD41BA4" w14:textId="77777777" w:rsidTr="00B721B7">
        <w:tc>
          <w:tcPr>
            <w:tcW w:w="2977" w:type="dxa"/>
          </w:tcPr>
          <w:p w14:paraId="654020A6" w14:textId="77777777" w:rsidR="00AB33EC" w:rsidRPr="00952755" w:rsidRDefault="00AB33EC" w:rsidP="0037124B">
            <w:pPr>
              <w:pStyle w:val="Normal1stpara"/>
              <w:spacing w:line="240" w:lineRule="auto"/>
              <w:rPr>
                <w:rFonts w:asciiTheme="minorHAnsi" w:hAnsiTheme="minorHAnsi" w:cstheme="minorHAnsi"/>
                <w:i/>
                <w:color w:val="414042" w:themeColor="text1"/>
              </w:rPr>
            </w:pPr>
            <w:r w:rsidRPr="00952755">
              <w:rPr>
                <w:rFonts w:asciiTheme="minorHAnsi" w:hAnsiTheme="minorHAnsi" w:cstheme="minorHAnsi"/>
                <w:i/>
                <w:color w:val="414042" w:themeColor="text1"/>
              </w:rPr>
              <w:t>Property, plant and equipment:</w:t>
            </w:r>
          </w:p>
        </w:tc>
        <w:tc>
          <w:tcPr>
            <w:tcW w:w="6506" w:type="dxa"/>
          </w:tcPr>
          <w:p w14:paraId="683177F7" w14:textId="77777777" w:rsidR="00AB33EC" w:rsidRPr="00082E42" w:rsidRDefault="00AB33EC" w:rsidP="0037124B">
            <w:pPr>
              <w:pStyle w:val="Normal1stpara"/>
              <w:spacing w:line="240" w:lineRule="auto"/>
              <w:ind w:left="-103"/>
              <w:rPr>
                <w:rFonts w:asciiTheme="minorHAnsi" w:hAnsiTheme="minorHAnsi" w:cstheme="minorHAnsi"/>
                <w:color w:val="414042" w:themeColor="text1"/>
                <w:sz w:val="20"/>
                <w:szCs w:val="20"/>
              </w:rPr>
            </w:pPr>
            <w:r w:rsidRPr="00082E42">
              <w:rPr>
                <w:rFonts w:asciiTheme="minorHAnsi" w:hAnsiTheme="minorHAnsi" w:cstheme="minorHAnsi"/>
                <w:color w:val="414042" w:themeColor="text1"/>
                <w:sz w:val="20"/>
                <w:szCs w:val="20"/>
              </w:rPr>
              <w:t>The decrease of $1.242M is due to reduced depreciation expenses and replacement of property, plant and equipment deferred to future years.</w:t>
            </w:r>
          </w:p>
        </w:tc>
      </w:tr>
    </w:tbl>
    <w:p w14:paraId="0035456A" w14:textId="77777777" w:rsidR="00AB33EC" w:rsidRPr="003E75E2" w:rsidRDefault="00AB33EC" w:rsidP="0037124B">
      <w:pPr>
        <w:spacing w:line="259" w:lineRule="auto"/>
        <w:rPr>
          <w:rFonts w:asciiTheme="minorHAnsi" w:eastAsia="Times New Roman" w:hAnsiTheme="minorHAnsi" w:cstheme="minorHAnsi"/>
          <w:b/>
          <w:bCs/>
          <w:color w:val="414042" w:themeColor="text1"/>
          <w:sz w:val="23"/>
          <w:szCs w:val="23"/>
          <w:highlight w:val="yellow"/>
          <w:lang w:eastAsia="en-AU"/>
        </w:rPr>
      </w:pPr>
    </w:p>
    <w:p w14:paraId="16B49707" w14:textId="77777777" w:rsidR="00AB33EC" w:rsidRPr="00952755" w:rsidRDefault="00AB33EC" w:rsidP="0037124B">
      <w:pPr>
        <w:pStyle w:val="Normalhanginglist105pt"/>
        <w:spacing w:line="240" w:lineRule="auto"/>
        <w:rPr>
          <w:rFonts w:cstheme="minorHAnsi"/>
          <w:color w:val="414042" w:themeColor="text1"/>
          <w:szCs w:val="21"/>
        </w:rPr>
      </w:pPr>
      <w:r w:rsidRPr="00952755">
        <w:rPr>
          <w:rFonts w:cstheme="minorHAnsi"/>
          <w:color w:val="414042" w:themeColor="text1"/>
          <w:szCs w:val="21"/>
        </w:rPr>
        <w:t>Note 18C:  Explanation of Major Variances – Statement of Cash Flows</w:t>
      </w:r>
    </w:p>
    <w:p w14:paraId="29129EC5" w14:textId="77777777" w:rsidR="00AB33EC" w:rsidRPr="00952755" w:rsidRDefault="00AB33EC" w:rsidP="0037124B">
      <w:pPr>
        <w:pStyle w:val="Normalhanginglist105pt"/>
        <w:spacing w:line="240" w:lineRule="auto"/>
        <w:rPr>
          <w:rFonts w:cstheme="minorHAnsi"/>
          <w:b w:val="0"/>
          <w:color w:val="414042" w:themeColor="text1"/>
          <w:szCs w:val="21"/>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521"/>
      </w:tblGrid>
      <w:tr w:rsidR="00AB33EC" w:rsidRPr="00952755" w14:paraId="6BEB5D56" w14:textId="77777777" w:rsidTr="00B721B7">
        <w:tc>
          <w:tcPr>
            <w:tcW w:w="2977" w:type="dxa"/>
          </w:tcPr>
          <w:p w14:paraId="4A61A864" w14:textId="77777777" w:rsidR="00AB33EC" w:rsidRPr="00952755" w:rsidRDefault="00AB33EC" w:rsidP="0037124B">
            <w:pPr>
              <w:pStyle w:val="Variences"/>
              <w:ind w:left="0" w:firstLine="0"/>
              <w:rPr>
                <w:rFonts w:cstheme="minorHAnsi"/>
                <w:i/>
                <w:color w:val="414042" w:themeColor="text1"/>
                <w:szCs w:val="20"/>
              </w:rPr>
            </w:pPr>
            <w:r w:rsidRPr="00952755">
              <w:rPr>
                <w:rFonts w:cstheme="minorHAnsi"/>
                <w:i/>
                <w:color w:val="414042" w:themeColor="text1"/>
                <w:szCs w:val="20"/>
              </w:rPr>
              <w:t>Grants and other contributions:</w:t>
            </w:r>
          </w:p>
        </w:tc>
        <w:tc>
          <w:tcPr>
            <w:tcW w:w="6521" w:type="dxa"/>
          </w:tcPr>
          <w:p w14:paraId="1F85D28E" w14:textId="77777777" w:rsidR="00AB33EC" w:rsidRPr="00BA4C60" w:rsidRDefault="00AB33EC" w:rsidP="0037124B">
            <w:pPr>
              <w:pStyle w:val="Variences"/>
              <w:ind w:left="-108" w:firstLine="0"/>
              <w:rPr>
                <w:rFonts w:cstheme="minorHAnsi"/>
                <w:color w:val="414042" w:themeColor="text1"/>
                <w:szCs w:val="20"/>
                <w:lang w:eastAsia="en-US"/>
              </w:rPr>
            </w:pPr>
            <w:r w:rsidRPr="00BA4C60">
              <w:rPr>
                <w:rFonts w:cstheme="minorHAnsi"/>
                <w:color w:val="414042" w:themeColor="text1"/>
                <w:szCs w:val="20"/>
                <w:lang w:eastAsia="en-US"/>
              </w:rPr>
              <w:t>The decrease of $4.4</w:t>
            </w:r>
            <w:r>
              <w:rPr>
                <w:rFonts w:cstheme="minorHAnsi"/>
                <w:color w:val="414042" w:themeColor="text1"/>
                <w:szCs w:val="20"/>
                <w:lang w:eastAsia="en-US"/>
              </w:rPr>
              <w:t>93</w:t>
            </w:r>
            <w:r w:rsidRPr="00BA4C60">
              <w:rPr>
                <w:rFonts w:cstheme="minorHAnsi"/>
                <w:color w:val="414042" w:themeColor="text1"/>
                <w:szCs w:val="20"/>
                <w:lang w:eastAsia="en-US"/>
              </w:rPr>
              <w:t>M is due to the deferral of $6.4M in funding to implement new case management systems offset by $</w:t>
            </w:r>
            <w:r>
              <w:rPr>
                <w:rFonts w:cstheme="minorHAnsi"/>
                <w:color w:val="414042" w:themeColor="text1"/>
                <w:szCs w:val="20"/>
                <w:lang w:eastAsia="en-US"/>
              </w:rPr>
              <w:t>1.907</w:t>
            </w:r>
            <w:r w:rsidRPr="00BA4C60">
              <w:rPr>
                <w:rFonts w:cstheme="minorHAnsi"/>
                <w:color w:val="414042" w:themeColor="text1"/>
                <w:szCs w:val="20"/>
                <w:lang w:eastAsia="en-US"/>
              </w:rPr>
              <w:t>M from the whole of government wage policy adjustments including cost of living allowances.</w:t>
            </w:r>
          </w:p>
        </w:tc>
      </w:tr>
      <w:tr w:rsidR="00AB33EC" w:rsidRPr="00952755" w14:paraId="1885565A" w14:textId="77777777" w:rsidTr="00B721B7">
        <w:trPr>
          <w:trHeight w:val="455"/>
        </w:trPr>
        <w:tc>
          <w:tcPr>
            <w:tcW w:w="2977" w:type="dxa"/>
          </w:tcPr>
          <w:p w14:paraId="3F689E95" w14:textId="77777777" w:rsidR="00AB33EC" w:rsidRPr="00952755" w:rsidRDefault="00AB33EC" w:rsidP="0037124B">
            <w:pPr>
              <w:pStyle w:val="Variences"/>
              <w:ind w:left="0" w:firstLine="0"/>
              <w:rPr>
                <w:rFonts w:cstheme="minorHAnsi"/>
                <w:i/>
                <w:color w:val="414042" w:themeColor="text1"/>
                <w:szCs w:val="20"/>
              </w:rPr>
            </w:pPr>
            <w:r w:rsidRPr="00952755">
              <w:rPr>
                <w:rFonts w:cstheme="minorHAnsi"/>
                <w:i/>
                <w:color w:val="414042" w:themeColor="text1"/>
                <w:szCs w:val="20"/>
              </w:rPr>
              <w:t>Interest receipts:</w:t>
            </w:r>
          </w:p>
        </w:tc>
        <w:tc>
          <w:tcPr>
            <w:tcW w:w="6521" w:type="dxa"/>
          </w:tcPr>
          <w:p w14:paraId="2B989B2A" w14:textId="77777777" w:rsidR="00AB33EC" w:rsidRPr="00BA4C60" w:rsidRDefault="00AB33EC" w:rsidP="0037124B">
            <w:pPr>
              <w:pStyle w:val="Variences"/>
              <w:ind w:left="-108" w:firstLine="5"/>
              <w:rPr>
                <w:rFonts w:cstheme="minorHAnsi"/>
                <w:color w:val="414042" w:themeColor="text1"/>
                <w:szCs w:val="20"/>
              </w:rPr>
            </w:pPr>
            <w:r w:rsidRPr="00BA4C60">
              <w:rPr>
                <w:rFonts w:cstheme="minorHAnsi"/>
              </w:rPr>
              <w:t>The increase of $0.8</w:t>
            </w:r>
            <w:r>
              <w:rPr>
                <w:rFonts w:cstheme="minorHAnsi"/>
              </w:rPr>
              <w:t>32</w:t>
            </w:r>
            <w:r w:rsidRPr="00BA4C60">
              <w:rPr>
                <w:rFonts w:cstheme="minorHAnsi"/>
              </w:rPr>
              <w:t>M is due to interest rate increases across 2023–24.</w:t>
            </w:r>
          </w:p>
        </w:tc>
      </w:tr>
      <w:tr w:rsidR="00AB33EC" w:rsidRPr="00952755" w14:paraId="52BEA797" w14:textId="77777777" w:rsidTr="00B721B7">
        <w:tc>
          <w:tcPr>
            <w:tcW w:w="2977" w:type="dxa"/>
          </w:tcPr>
          <w:p w14:paraId="4E4E8818" w14:textId="77777777" w:rsidR="00AB33EC" w:rsidRPr="00952755" w:rsidRDefault="00AB33EC" w:rsidP="0037124B">
            <w:pPr>
              <w:pStyle w:val="Variences"/>
              <w:ind w:left="0" w:firstLine="0"/>
              <w:rPr>
                <w:rFonts w:cstheme="minorHAnsi"/>
                <w:i/>
                <w:color w:val="414042" w:themeColor="text1"/>
                <w:szCs w:val="20"/>
              </w:rPr>
            </w:pPr>
            <w:r w:rsidRPr="00952755">
              <w:rPr>
                <w:rFonts w:cstheme="minorHAnsi"/>
                <w:i/>
                <w:color w:val="414042" w:themeColor="text1"/>
                <w:szCs w:val="20"/>
              </w:rPr>
              <w:t>Employee expenses:</w:t>
            </w:r>
          </w:p>
        </w:tc>
        <w:tc>
          <w:tcPr>
            <w:tcW w:w="6521" w:type="dxa"/>
          </w:tcPr>
          <w:p w14:paraId="35C7F2E9" w14:textId="77777777" w:rsidR="00AB33EC" w:rsidRPr="00BA4C60" w:rsidRDefault="00AB33EC" w:rsidP="0037124B">
            <w:pPr>
              <w:ind w:left="-106"/>
              <w:rPr>
                <w:rFonts w:asciiTheme="minorHAnsi" w:hAnsiTheme="minorHAnsi" w:cstheme="minorHAnsi"/>
                <w:bCs/>
                <w:color w:val="414042" w:themeColor="text1"/>
              </w:rPr>
            </w:pPr>
            <w:r w:rsidRPr="00BA4C60">
              <w:rPr>
                <w:rFonts w:asciiTheme="minorHAnsi" w:hAnsiTheme="minorHAnsi" w:cstheme="minorHAnsi"/>
              </w:rPr>
              <w:t>The decrease of $0.766M is due to increased employee vacancies in a tight labour market partially offset by whole of government wage policy adjustments including cost of living allowances.</w:t>
            </w:r>
          </w:p>
        </w:tc>
      </w:tr>
      <w:tr w:rsidR="00AB33EC" w:rsidRPr="00952755" w14:paraId="5CFEB171" w14:textId="77777777" w:rsidTr="00B721B7">
        <w:tc>
          <w:tcPr>
            <w:tcW w:w="2977" w:type="dxa"/>
          </w:tcPr>
          <w:p w14:paraId="7730289D" w14:textId="77777777" w:rsidR="00AB33EC" w:rsidRPr="00952755" w:rsidRDefault="00AB33EC" w:rsidP="0037124B">
            <w:pPr>
              <w:pStyle w:val="Variences"/>
              <w:ind w:left="0" w:firstLine="0"/>
              <w:rPr>
                <w:rFonts w:cstheme="minorHAnsi"/>
                <w:i/>
                <w:color w:val="414042" w:themeColor="text1"/>
                <w:szCs w:val="20"/>
              </w:rPr>
            </w:pPr>
            <w:r w:rsidRPr="00952755">
              <w:rPr>
                <w:rFonts w:cstheme="minorHAnsi"/>
                <w:i/>
                <w:color w:val="414042" w:themeColor="text1"/>
                <w:szCs w:val="20"/>
              </w:rPr>
              <w:t>Supplies and services</w:t>
            </w:r>
          </w:p>
        </w:tc>
        <w:tc>
          <w:tcPr>
            <w:tcW w:w="6521" w:type="dxa"/>
          </w:tcPr>
          <w:p w14:paraId="0D930A4C" w14:textId="77777777" w:rsidR="00AB33EC" w:rsidRPr="00BA4C60" w:rsidRDefault="00AB33EC" w:rsidP="0037124B">
            <w:pPr>
              <w:ind w:left="-106"/>
              <w:rPr>
                <w:rFonts w:asciiTheme="minorHAnsi" w:hAnsiTheme="minorHAnsi" w:cstheme="minorHAnsi"/>
                <w:bCs/>
                <w:color w:val="414042" w:themeColor="text1"/>
              </w:rPr>
            </w:pPr>
            <w:r w:rsidRPr="00BA4C60">
              <w:rPr>
                <w:rFonts w:asciiTheme="minorHAnsi" w:hAnsiTheme="minorHAnsi" w:cstheme="minorHAnsi"/>
                <w:bCs/>
                <w:color w:val="414042" w:themeColor="text1"/>
              </w:rPr>
              <w:t>The decrease of $</w:t>
            </w:r>
            <w:r>
              <w:rPr>
                <w:rFonts w:asciiTheme="minorHAnsi" w:hAnsiTheme="minorHAnsi" w:cstheme="minorHAnsi"/>
                <w:bCs/>
                <w:color w:val="414042" w:themeColor="text1"/>
              </w:rPr>
              <w:t>3.649</w:t>
            </w:r>
            <w:r w:rsidRPr="00BA4C60">
              <w:rPr>
                <w:rFonts w:asciiTheme="minorHAnsi" w:hAnsiTheme="minorHAnsi" w:cstheme="minorHAnsi"/>
                <w:bCs/>
                <w:color w:val="414042" w:themeColor="text1"/>
              </w:rPr>
              <w:t>M is mainly due to reduced expenditure as a result of increased employee vacancies due to market pressures and reduced operating expenditure as a result of capacity issues.</w:t>
            </w:r>
          </w:p>
        </w:tc>
      </w:tr>
      <w:tr w:rsidR="00AB33EC" w:rsidRPr="003E75E2" w14:paraId="6C7A1458" w14:textId="77777777" w:rsidTr="00B721B7">
        <w:tc>
          <w:tcPr>
            <w:tcW w:w="2977" w:type="dxa"/>
          </w:tcPr>
          <w:p w14:paraId="31EA1FDB" w14:textId="77777777" w:rsidR="00AB33EC" w:rsidRPr="00952755" w:rsidRDefault="00AB33EC" w:rsidP="0037124B">
            <w:pPr>
              <w:pStyle w:val="Variences"/>
              <w:ind w:left="0" w:firstLine="0"/>
              <w:rPr>
                <w:rFonts w:cstheme="minorHAnsi"/>
                <w:i/>
                <w:color w:val="414042" w:themeColor="text1"/>
                <w:szCs w:val="20"/>
              </w:rPr>
            </w:pPr>
            <w:r>
              <w:rPr>
                <w:rFonts w:cstheme="minorHAnsi"/>
                <w:i/>
                <w:color w:val="414042" w:themeColor="text1"/>
                <w:szCs w:val="20"/>
              </w:rPr>
              <w:t xml:space="preserve">Payments for </w:t>
            </w:r>
            <w:r w:rsidRPr="00BA4C60">
              <w:rPr>
                <w:rFonts w:cstheme="minorHAnsi"/>
                <w:i/>
                <w:color w:val="414042" w:themeColor="text1"/>
                <w:szCs w:val="20"/>
              </w:rPr>
              <w:t>Property, plant and equipment:</w:t>
            </w:r>
          </w:p>
        </w:tc>
        <w:tc>
          <w:tcPr>
            <w:tcW w:w="6521" w:type="dxa"/>
          </w:tcPr>
          <w:p w14:paraId="7DD4EC4C" w14:textId="77777777" w:rsidR="00AB33EC" w:rsidRPr="00BA4C60" w:rsidRDefault="00AB33EC" w:rsidP="0037124B">
            <w:pPr>
              <w:ind w:left="-106"/>
              <w:rPr>
                <w:rFonts w:asciiTheme="minorHAnsi" w:hAnsiTheme="minorHAnsi" w:cstheme="minorHAnsi"/>
                <w:color w:val="414042" w:themeColor="text1"/>
              </w:rPr>
            </w:pPr>
            <w:r w:rsidRPr="00BA4C60">
              <w:rPr>
                <w:rFonts w:asciiTheme="minorHAnsi" w:hAnsiTheme="minorHAnsi" w:cstheme="minorHAnsi"/>
                <w:color w:val="414042" w:themeColor="text1"/>
              </w:rPr>
              <w:t>The decrease of $1.</w:t>
            </w:r>
            <w:r>
              <w:rPr>
                <w:rFonts w:asciiTheme="minorHAnsi" w:hAnsiTheme="minorHAnsi" w:cstheme="minorHAnsi"/>
                <w:color w:val="414042" w:themeColor="text1"/>
              </w:rPr>
              <w:t>073</w:t>
            </w:r>
            <w:r w:rsidRPr="00BA4C60">
              <w:rPr>
                <w:rFonts w:asciiTheme="minorHAnsi" w:hAnsiTheme="minorHAnsi" w:cstheme="minorHAnsi"/>
                <w:color w:val="414042" w:themeColor="text1"/>
              </w:rPr>
              <w:t>M is due to reduced depreciation expenses and replacement of property, plant and equipment deferred to future years.</w:t>
            </w:r>
          </w:p>
        </w:tc>
      </w:tr>
    </w:tbl>
    <w:p w14:paraId="226B742C" w14:textId="77777777" w:rsidR="00AB33EC" w:rsidRDefault="00AB33EC" w:rsidP="00AB33EC">
      <w:pPr>
        <w:pStyle w:val="Normal1stpara"/>
        <w:spacing w:line="240" w:lineRule="auto"/>
        <w:rPr>
          <w:rFonts w:asciiTheme="minorHAnsi" w:hAnsiTheme="minorHAnsi" w:cstheme="minorHAnsi"/>
          <w:color w:val="414042" w:themeColor="text1"/>
        </w:rPr>
        <w:sectPr w:rsidR="00AB33EC" w:rsidSect="00954847">
          <w:headerReference w:type="even" r:id="rId294"/>
          <w:headerReference w:type="default" r:id="rId295"/>
          <w:footerReference w:type="even" r:id="rId296"/>
          <w:footerReference w:type="default" r:id="rId297"/>
          <w:pgSz w:w="11906" w:h="16838"/>
          <w:pgMar w:top="1701" w:right="1418" w:bottom="1418" w:left="1418" w:header="709" w:footer="283" w:gutter="0"/>
          <w:cols w:space="708"/>
          <w:docGrid w:linePitch="360"/>
        </w:sectPr>
      </w:pPr>
    </w:p>
    <w:p w14:paraId="33934A5A" w14:textId="77777777" w:rsidR="00AB33EC" w:rsidRPr="003E75E2" w:rsidRDefault="00AB33EC" w:rsidP="0037124B">
      <w:pPr>
        <w:rPr>
          <w:rFonts w:asciiTheme="minorHAnsi" w:hAnsiTheme="minorHAnsi" w:cstheme="minorHAnsi"/>
          <w:color w:val="414042" w:themeColor="text1"/>
          <w:szCs w:val="20"/>
        </w:rPr>
      </w:pPr>
      <w:bookmarkStart w:id="1546" w:name="ManagementCertificate"/>
      <w:bookmarkEnd w:id="1546"/>
      <w:r w:rsidRPr="003E75E2">
        <w:rPr>
          <w:rFonts w:asciiTheme="minorHAnsi" w:hAnsiTheme="minorHAnsi" w:cstheme="minorHAnsi"/>
          <w:color w:val="414042" w:themeColor="text1"/>
          <w:szCs w:val="20"/>
        </w:rPr>
        <w:t xml:space="preserve">These general purpose financial statements have been prepared pursuant to s.62(1) of the </w:t>
      </w:r>
      <w:r w:rsidRPr="003E75E2">
        <w:rPr>
          <w:rFonts w:asciiTheme="minorHAnsi" w:hAnsiTheme="minorHAnsi" w:cstheme="minorHAnsi"/>
          <w:i/>
          <w:color w:val="414042" w:themeColor="text1"/>
          <w:szCs w:val="20"/>
        </w:rPr>
        <w:t>Financial Accountability Act 2009</w:t>
      </w:r>
      <w:r w:rsidRPr="003E75E2">
        <w:rPr>
          <w:rFonts w:asciiTheme="minorHAnsi" w:hAnsiTheme="minorHAnsi" w:cstheme="minorHAnsi"/>
          <w:color w:val="414042" w:themeColor="text1"/>
          <w:szCs w:val="20"/>
        </w:rPr>
        <w:t xml:space="preserve"> (the Act), section 39 of the </w:t>
      </w:r>
      <w:r w:rsidRPr="003E75E2">
        <w:rPr>
          <w:rFonts w:asciiTheme="minorHAnsi" w:hAnsiTheme="minorHAnsi" w:cstheme="minorHAnsi"/>
          <w:i/>
          <w:color w:val="414042" w:themeColor="text1"/>
          <w:szCs w:val="20"/>
        </w:rPr>
        <w:t>Financial and Performance Management Standard 2019</w:t>
      </w:r>
      <w:r w:rsidRPr="003E75E2">
        <w:rPr>
          <w:rFonts w:asciiTheme="minorHAnsi" w:hAnsiTheme="minorHAnsi" w:cstheme="minorHAnsi"/>
          <w:color w:val="414042" w:themeColor="text1"/>
          <w:szCs w:val="20"/>
        </w:rPr>
        <w:t xml:space="preserve"> and other prescribed requirements. In accordance with s.62(1)(b) of the Act we certify that in our opinion:</w:t>
      </w:r>
    </w:p>
    <w:p w14:paraId="34982AD3" w14:textId="77777777" w:rsidR="00AB33EC" w:rsidRPr="003E75E2" w:rsidRDefault="00AB33EC" w:rsidP="0037124B">
      <w:pPr>
        <w:rPr>
          <w:rFonts w:asciiTheme="minorHAnsi" w:hAnsiTheme="minorHAnsi" w:cstheme="minorHAnsi"/>
          <w:color w:val="414042" w:themeColor="text1"/>
          <w:szCs w:val="20"/>
        </w:rPr>
      </w:pPr>
    </w:p>
    <w:p w14:paraId="4CAFA91C" w14:textId="77777777" w:rsidR="00AB33EC" w:rsidRPr="00126FCB" w:rsidRDefault="00AB33EC" w:rsidP="002F23D4">
      <w:pPr>
        <w:pStyle w:val="ListParagraph"/>
        <w:numPr>
          <w:ilvl w:val="0"/>
          <w:numId w:val="53"/>
        </w:numPr>
        <w:spacing w:after="0"/>
        <w:ind w:left="567" w:hanging="425"/>
        <w:rPr>
          <w:rFonts w:asciiTheme="minorHAnsi" w:hAnsiTheme="minorHAnsi" w:cstheme="minorHAnsi"/>
          <w:color w:val="414042" w:themeColor="text1"/>
          <w:szCs w:val="20"/>
        </w:rPr>
      </w:pPr>
      <w:r w:rsidRPr="00126FCB">
        <w:rPr>
          <w:rFonts w:asciiTheme="minorHAnsi" w:hAnsiTheme="minorHAnsi" w:cstheme="minorHAnsi"/>
          <w:color w:val="414042" w:themeColor="text1"/>
          <w:szCs w:val="20"/>
        </w:rPr>
        <w:t>the prescribed requirements in relation to the establishment and keeping of accounts have been complied with in all material respects; and</w:t>
      </w:r>
    </w:p>
    <w:p w14:paraId="09F76374" w14:textId="77777777" w:rsidR="00AB33EC" w:rsidRPr="00126FCB" w:rsidRDefault="00AB33EC" w:rsidP="0037124B">
      <w:pPr>
        <w:rPr>
          <w:rFonts w:asciiTheme="minorHAnsi" w:hAnsiTheme="minorHAnsi" w:cstheme="minorHAnsi"/>
          <w:color w:val="414042" w:themeColor="text1"/>
          <w:szCs w:val="20"/>
        </w:rPr>
      </w:pPr>
    </w:p>
    <w:p w14:paraId="72AF092B" w14:textId="77777777" w:rsidR="00AB33EC" w:rsidRPr="00126FCB" w:rsidRDefault="00AB33EC" w:rsidP="002F23D4">
      <w:pPr>
        <w:pStyle w:val="ListParagraph"/>
        <w:numPr>
          <w:ilvl w:val="0"/>
          <w:numId w:val="53"/>
        </w:numPr>
        <w:spacing w:after="0"/>
        <w:ind w:left="567" w:hanging="425"/>
        <w:rPr>
          <w:rFonts w:asciiTheme="minorHAnsi" w:hAnsiTheme="minorHAnsi" w:cstheme="minorHAnsi"/>
          <w:color w:val="414042" w:themeColor="text1"/>
          <w:szCs w:val="20"/>
        </w:rPr>
      </w:pPr>
      <w:r w:rsidRPr="00126FCB">
        <w:rPr>
          <w:rFonts w:asciiTheme="minorHAnsi" w:hAnsiTheme="minorHAnsi" w:cstheme="minorHAnsi"/>
          <w:color w:val="414042" w:themeColor="text1"/>
          <w:szCs w:val="20"/>
        </w:rPr>
        <w:t xml:space="preserve">the financial statements have been drawn up to present a true and fair view, in accordance with prescribed accounting standards, of the transactions of the Crime and Corruption Commission for the financial year ended 30 June 2024 and of the financial position of the Commission at the end of that year; and </w:t>
      </w:r>
    </w:p>
    <w:p w14:paraId="3FFFA105" w14:textId="77777777" w:rsidR="00AB33EC" w:rsidRPr="00126FCB" w:rsidRDefault="00AB33EC" w:rsidP="0037124B">
      <w:pPr>
        <w:pStyle w:val="ListParagraph"/>
        <w:rPr>
          <w:rFonts w:asciiTheme="minorHAnsi" w:hAnsiTheme="minorHAnsi" w:cstheme="minorHAnsi"/>
          <w:color w:val="414042" w:themeColor="text1"/>
          <w:sz w:val="22"/>
        </w:rPr>
      </w:pPr>
    </w:p>
    <w:p w14:paraId="4CD113F5" w14:textId="77777777" w:rsidR="00AB33EC" w:rsidRPr="003E75E2" w:rsidRDefault="00AB33EC" w:rsidP="0037124B">
      <w:pPr>
        <w:rPr>
          <w:rFonts w:asciiTheme="minorHAnsi" w:hAnsiTheme="minorHAnsi" w:cstheme="minorHAnsi"/>
          <w:color w:val="414042" w:themeColor="text1"/>
          <w:szCs w:val="20"/>
        </w:rPr>
      </w:pPr>
      <w:r w:rsidRPr="003E75E2">
        <w:rPr>
          <w:rFonts w:asciiTheme="minorHAnsi" w:hAnsiTheme="minorHAnsi" w:cstheme="minorHAnsi"/>
          <w:color w:val="414042" w:themeColor="text1"/>
          <w:szCs w:val="20"/>
        </w:rPr>
        <w:t xml:space="preserve">We acknowledge responsibility under s.7 and s.11 of the </w:t>
      </w:r>
      <w:r w:rsidRPr="003E75E2">
        <w:rPr>
          <w:rFonts w:asciiTheme="minorHAnsi" w:hAnsiTheme="minorHAnsi" w:cstheme="minorHAnsi"/>
          <w:i/>
          <w:color w:val="414042" w:themeColor="text1"/>
          <w:szCs w:val="20"/>
        </w:rPr>
        <w:t>Financial and Performance Management Standard 2019</w:t>
      </w:r>
      <w:r w:rsidRPr="003E75E2">
        <w:rPr>
          <w:rFonts w:asciiTheme="minorHAnsi" w:hAnsiTheme="minorHAnsi" w:cstheme="minorHAnsi"/>
          <w:color w:val="414042" w:themeColor="text1"/>
          <w:szCs w:val="20"/>
        </w:rPr>
        <w:t xml:space="preserve"> for the establishment and maintenance, in all material respects, of an appropriate and effective system of internal controls and risk management processes with respect to financial reporting throughout the reporting period.  </w:t>
      </w:r>
    </w:p>
    <w:p w14:paraId="0BF7815D" w14:textId="77777777" w:rsidR="00AB33EC" w:rsidRPr="003E75E2" w:rsidRDefault="00AB33EC" w:rsidP="00AB33EC">
      <w:pPr>
        <w:jc w:val="both"/>
        <w:rPr>
          <w:rFonts w:asciiTheme="minorHAnsi" w:hAnsiTheme="minorHAnsi" w:cstheme="minorHAnsi"/>
          <w:color w:val="414042" w:themeColor="text1"/>
        </w:rPr>
      </w:pPr>
    </w:p>
    <w:p w14:paraId="312A7AB8" w14:textId="47F10C1F" w:rsidR="00AB33EC" w:rsidRPr="003E75E2" w:rsidRDefault="00F96E14" w:rsidP="00AB33EC">
      <w:pPr>
        <w:jc w:val="both"/>
        <w:rPr>
          <w:rFonts w:asciiTheme="minorHAnsi" w:hAnsiTheme="minorHAnsi" w:cstheme="minorHAnsi"/>
          <w:color w:val="414042" w:themeColor="text1"/>
        </w:rPr>
      </w:pPr>
      <w:r>
        <w:rPr>
          <w:noProof/>
        </w:rPr>
        <w:drawing>
          <wp:anchor distT="0" distB="0" distL="114300" distR="114300" simplePos="0" relativeHeight="252496896" behindDoc="0" locked="0" layoutInCell="1" allowOverlap="1" wp14:anchorId="79C5CCA3" wp14:editId="726FC548">
            <wp:simplePos x="0" y="0"/>
            <wp:positionH relativeFrom="column">
              <wp:posOffset>3527235</wp:posOffset>
            </wp:positionH>
            <wp:positionV relativeFrom="paragraph">
              <wp:posOffset>332740</wp:posOffset>
            </wp:positionV>
            <wp:extent cx="1487170" cy="596900"/>
            <wp:effectExtent l="0" t="0" r="0" b="0"/>
            <wp:wrapTopAndBottom/>
            <wp:docPr id="1756629419" name="Image 12"/>
            <wp:cNvGraphicFramePr/>
            <a:graphic xmlns:a="http://schemas.openxmlformats.org/drawingml/2006/main">
              <a:graphicData uri="http://schemas.openxmlformats.org/drawingml/2006/picture">
                <pic:pic xmlns:pic="http://schemas.openxmlformats.org/drawingml/2006/picture">
                  <pic:nvPicPr>
                    <pic:cNvPr id="1756629419" name="Image 12"/>
                    <pic:cNvPicPr/>
                  </pic:nvPicPr>
                  <pic:blipFill>
                    <a:blip r:embed="rId298" cstate="print">
                      <a:grayscl/>
                    </a:blip>
                    <a:stretch>
                      <a:fillRect/>
                    </a:stretch>
                  </pic:blipFill>
                  <pic:spPr>
                    <a:xfrm>
                      <a:off x="0" y="0"/>
                      <a:ext cx="1487170" cy="596900"/>
                    </a:xfrm>
                    <a:prstGeom prst="rect">
                      <a:avLst/>
                    </a:prstGeom>
                  </pic:spPr>
                </pic:pic>
              </a:graphicData>
            </a:graphic>
          </wp:anchor>
        </w:drawing>
      </w:r>
    </w:p>
    <w:p w14:paraId="675FE5E7" w14:textId="374E0A61" w:rsidR="00AB33EC" w:rsidRPr="00F96E14" w:rsidRDefault="00F96E14" w:rsidP="00F96E14">
      <w:pPr>
        <w:jc w:val="both"/>
        <w:rPr>
          <w:rFonts w:asciiTheme="minorHAnsi" w:hAnsiTheme="minorHAnsi" w:cstheme="minorHAnsi"/>
          <w:color w:val="414042" w:themeColor="text1"/>
        </w:rPr>
      </w:pPr>
      <w:r>
        <w:rPr>
          <w:noProof/>
        </w:rPr>
        <w:drawing>
          <wp:anchor distT="0" distB="0" distL="0" distR="0" simplePos="0" relativeHeight="252494848" behindDoc="1" locked="0" layoutInCell="1" allowOverlap="1" wp14:anchorId="230B3318" wp14:editId="7FB3D4B1">
            <wp:simplePos x="0" y="0"/>
            <wp:positionH relativeFrom="page">
              <wp:posOffset>720090</wp:posOffset>
            </wp:positionH>
            <wp:positionV relativeFrom="paragraph">
              <wp:posOffset>260350</wp:posOffset>
            </wp:positionV>
            <wp:extent cx="1448517" cy="266700"/>
            <wp:effectExtent l="0" t="0" r="0" b="0"/>
            <wp:wrapTopAndBottom/>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299" cstate="print"/>
                    <a:stretch>
                      <a:fillRect/>
                    </a:stretch>
                  </pic:blipFill>
                  <pic:spPr>
                    <a:xfrm>
                      <a:off x="0" y="0"/>
                      <a:ext cx="1448517" cy="266700"/>
                    </a:xfrm>
                    <a:prstGeom prst="rect">
                      <a:avLst/>
                    </a:prstGeom>
                  </pic:spPr>
                </pic:pic>
              </a:graphicData>
            </a:graphic>
          </wp:anchor>
        </w:drawing>
      </w:r>
    </w:p>
    <w:p w14:paraId="6503B93D" w14:textId="7649B920" w:rsidR="00AB33EC" w:rsidRPr="003E75E2" w:rsidRDefault="00AB33EC" w:rsidP="00AB33EC">
      <w:pPr>
        <w:tabs>
          <w:tab w:val="center" w:pos="1080"/>
          <w:tab w:val="center" w:pos="4678"/>
        </w:tabs>
        <w:rPr>
          <w:rFonts w:asciiTheme="minorHAnsi" w:hAnsiTheme="minorHAnsi" w:cstheme="minorHAnsi"/>
          <w:color w:val="414042" w:themeColor="text1"/>
          <w:szCs w:val="20"/>
        </w:rPr>
      </w:pPr>
      <w:bookmarkStart w:id="1547" w:name="_Hlk169017616"/>
      <w:r w:rsidRPr="003E75E2">
        <w:rPr>
          <w:rFonts w:asciiTheme="minorHAnsi" w:hAnsiTheme="minorHAnsi" w:cstheme="minorHAnsi"/>
          <w:color w:val="414042" w:themeColor="text1"/>
          <w:szCs w:val="20"/>
        </w:rPr>
        <w:t>Bruce Barbour</w:t>
      </w:r>
      <w:r w:rsidRPr="003E75E2">
        <w:rPr>
          <w:rFonts w:asciiTheme="minorHAnsi" w:hAnsiTheme="minorHAnsi" w:cstheme="minorHAnsi"/>
          <w:color w:val="414042" w:themeColor="text1"/>
          <w:szCs w:val="20"/>
        </w:rPr>
        <w:tab/>
      </w:r>
      <w:r w:rsidRPr="003E75E2">
        <w:rPr>
          <w:rFonts w:asciiTheme="minorHAnsi" w:hAnsiTheme="minorHAnsi" w:cstheme="minorHAnsi"/>
          <w:color w:val="414042" w:themeColor="text1"/>
          <w:szCs w:val="20"/>
        </w:rPr>
        <w:tab/>
      </w:r>
      <w:r w:rsidRPr="003E75E2">
        <w:rPr>
          <w:rFonts w:asciiTheme="minorHAnsi" w:hAnsiTheme="minorHAnsi" w:cstheme="minorHAnsi"/>
          <w:color w:val="414042" w:themeColor="text1"/>
          <w:szCs w:val="20"/>
        </w:rPr>
        <w:tab/>
        <w:t>Jen O’Farrell</w:t>
      </w:r>
    </w:p>
    <w:p w14:paraId="5AE64FB2" w14:textId="38215F1D" w:rsidR="00AB33EC" w:rsidRPr="003E75E2" w:rsidRDefault="00AB33EC" w:rsidP="00AB33EC">
      <w:pPr>
        <w:tabs>
          <w:tab w:val="center" w:pos="1080"/>
          <w:tab w:val="center" w:pos="4500"/>
        </w:tabs>
        <w:rPr>
          <w:rFonts w:asciiTheme="minorHAnsi" w:hAnsiTheme="minorHAnsi" w:cstheme="minorHAnsi"/>
          <w:color w:val="414042" w:themeColor="text1"/>
          <w:szCs w:val="20"/>
        </w:rPr>
      </w:pPr>
      <w:r w:rsidRPr="003E75E2">
        <w:rPr>
          <w:rFonts w:asciiTheme="minorHAnsi" w:hAnsiTheme="minorHAnsi" w:cstheme="minorHAnsi"/>
          <w:color w:val="414042" w:themeColor="text1"/>
          <w:szCs w:val="20"/>
        </w:rPr>
        <w:t>Chairperson</w:t>
      </w:r>
      <w:r w:rsidRPr="003E75E2">
        <w:rPr>
          <w:rFonts w:asciiTheme="minorHAnsi" w:hAnsiTheme="minorHAnsi" w:cstheme="minorHAnsi"/>
          <w:color w:val="414042" w:themeColor="text1"/>
          <w:szCs w:val="20"/>
        </w:rPr>
        <w:tab/>
      </w:r>
      <w:r w:rsidRPr="003E75E2">
        <w:rPr>
          <w:rFonts w:asciiTheme="minorHAnsi" w:hAnsiTheme="minorHAnsi" w:cstheme="minorHAnsi"/>
          <w:color w:val="414042" w:themeColor="text1"/>
          <w:szCs w:val="20"/>
        </w:rPr>
        <w:tab/>
      </w:r>
      <w:r w:rsidRPr="003E75E2">
        <w:rPr>
          <w:rFonts w:asciiTheme="minorHAnsi" w:hAnsiTheme="minorHAnsi" w:cstheme="minorHAnsi"/>
          <w:color w:val="414042" w:themeColor="text1"/>
          <w:szCs w:val="20"/>
        </w:rPr>
        <w:tab/>
      </w:r>
      <w:r w:rsidR="00FB3BB1">
        <w:rPr>
          <w:rFonts w:asciiTheme="minorHAnsi" w:hAnsiTheme="minorHAnsi" w:cstheme="minorHAnsi"/>
          <w:color w:val="414042" w:themeColor="text1"/>
          <w:szCs w:val="20"/>
        </w:rPr>
        <w:tab/>
      </w:r>
      <w:r w:rsidRPr="003E75E2">
        <w:rPr>
          <w:rFonts w:asciiTheme="minorHAnsi" w:hAnsiTheme="minorHAnsi" w:cstheme="minorHAnsi"/>
          <w:color w:val="414042" w:themeColor="text1"/>
          <w:szCs w:val="20"/>
        </w:rPr>
        <w:t>Chief Executive Officer</w:t>
      </w:r>
    </w:p>
    <w:p w14:paraId="508C4724" w14:textId="77777777" w:rsidR="00AB33EC" w:rsidRPr="003E75E2" w:rsidRDefault="00AB33EC" w:rsidP="00AB33EC">
      <w:pPr>
        <w:tabs>
          <w:tab w:val="center" w:pos="1080"/>
          <w:tab w:val="center" w:pos="4500"/>
        </w:tabs>
        <w:ind w:right="-286"/>
        <w:rPr>
          <w:rFonts w:asciiTheme="minorHAnsi" w:hAnsiTheme="minorHAnsi" w:cstheme="minorHAnsi"/>
          <w:color w:val="414042" w:themeColor="text1"/>
          <w:szCs w:val="20"/>
        </w:rPr>
      </w:pPr>
      <w:r w:rsidRPr="003E75E2">
        <w:rPr>
          <w:rFonts w:asciiTheme="minorHAnsi" w:hAnsiTheme="minorHAnsi" w:cstheme="minorHAnsi"/>
          <w:color w:val="414042" w:themeColor="text1"/>
          <w:szCs w:val="20"/>
        </w:rPr>
        <w:t xml:space="preserve">Crime and Corruption Commission </w:t>
      </w:r>
      <w:r w:rsidRPr="003E75E2">
        <w:rPr>
          <w:rFonts w:asciiTheme="minorHAnsi" w:hAnsiTheme="minorHAnsi" w:cstheme="minorHAnsi"/>
          <w:color w:val="414042" w:themeColor="text1"/>
          <w:szCs w:val="20"/>
        </w:rPr>
        <w:tab/>
      </w:r>
      <w:r w:rsidRPr="003E75E2">
        <w:rPr>
          <w:rFonts w:asciiTheme="minorHAnsi" w:hAnsiTheme="minorHAnsi" w:cstheme="minorHAnsi"/>
          <w:color w:val="414042" w:themeColor="text1"/>
          <w:szCs w:val="20"/>
        </w:rPr>
        <w:tab/>
      </w:r>
      <w:r w:rsidRPr="003E75E2">
        <w:rPr>
          <w:rFonts w:asciiTheme="minorHAnsi" w:hAnsiTheme="minorHAnsi" w:cstheme="minorHAnsi"/>
          <w:color w:val="414042" w:themeColor="text1"/>
          <w:szCs w:val="20"/>
        </w:rPr>
        <w:tab/>
        <w:t>Crime and Corruption Commission</w:t>
      </w:r>
    </w:p>
    <w:p w14:paraId="30920400" w14:textId="77777777" w:rsidR="00AB33EC" w:rsidRPr="003E75E2" w:rsidRDefault="00AB33EC" w:rsidP="00AB33EC">
      <w:pPr>
        <w:tabs>
          <w:tab w:val="center" w:pos="1080"/>
          <w:tab w:val="center" w:pos="4500"/>
        </w:tabs>
        <w:rPr>
          <w:rFonts w:asciiTheme="minorHAnsi" w:hAnsiTheme="minorHAnsi" w:cstheme="minorHAnsi"/>
          <w:color w:val="414042" w:themeColor="text1"/>
          <w:szCs w:val="20"/>
        </w:rPr>
      </w:pPr>
    </w:p>
    <w:p w14:paraId="6CB03842" w14:textId="7D2CD4F6" w:rsidR="00AB33EC" w:rsidRPr="003E75E2" w:rsidRDefault="00AB33EC" w:rsidP="00AB33EC">
      <w:pPr>
        <w:tabs>
          <w:tab w:val="center" w:pos="1080"/>
          <w:tab w:val="center" w:pos="4500"/>
        </w:tabs>
        <w:rPr>
          <w:rFonts w:asciiTheme="minorHAnsi" w:hAnsiTheme="minorHAnsi" w:cstheme="minorHAnsi"/>
          <w:color w:val="414042" w:themeColor="text1"/>
          <w:szCs w:val="20"/>
        </w:rPr>
      </w:pPr>
      <w:r w:rsidRPr="003E75E2">
        <w:rPr>
          <w:rFonts w:asciiTheme="minorHAnsi" w:hAnsiTheme="minorHAnsi" w:cstheme="minorHAnsi"/>
          <w:color w:val="414042" w:themeColor="text1"/>
          <w:szCs w:val="20"/>
        </w:rPr>
        <w:t>Date:</w:t>
      </w:r>
      <w:r w:rsidR="00F96E14">
        <w:rPr>
          <w:rFonts w:asciiTheme="minorHAnsi" w:hAnsiTheme="minorHAnsi" w:cstheme="minorHAnsi"/>
          <w:color w:val="414042" w:themeColor="text1"/>
          <w:szCs w:val="20"/>
        </w:rPr>
        <w:t xml:space="preserve"> </w:t>
      </w:r>
      <w:r w:rsidRPr="003E75E2">
        <w:rPr>
          <w:rFonts w:asciiTheme="minorHAnsi" w:hAnsiTheme="minorHAnsi" w:cstheme="minorHAnsi"/>
          <w:color w:val="414042" w:themeColor="text1"/>
          <w:szCs w:val="20"/>
        </w:rPr>
        <w:tab/>
      </w:r>
      <w:r w:rsidR="00F96E14">
        <w:rPr>
          <w:rFonts w:asciiTheme="minorHAnsi" w:hAnsiTheme="minorHAnsi" w:cstheme="minorHAnsi"/>
          <w:color w:val="414042" w:themeColor="text1"/>
          <w:szCs w:val="20"/>
        </w:rPr>
        <w:t xml:space="preserve"> </w:t>
      </w:r>
      <w:r w:rsidR="00F96E14" w:rsidRPr="00F96E14">
        <w:rPr>
          <w:rFonts w:asciiTheme="minorHAnsi" w:hAnsiTheme="minorHAnsi" w:cstheme="minorHAnsi"/>
          <w:color w:val="414042" w:themeColor="text1"/>
          <w:szCs w:val="20"/>
        </w:rPr>
        <w:t>20 August 2024</w:t>
      </w:r>
      <w:r w:rsidRPr="003E75E2">
        <w:rPr>
          <w:rFonts w:asciiTheme="minorHAnsi" w:hAnsiTheme="minorHAnsi" w:cstheme="minorHAnsi"/>
          <w:color w:val="414042" w:themeColor="text1"/>
          <w:szCs w:val="20"/>
        </w:rPr>
        <w:tab/>
      </w:r>
      <w:r w:rsidRPr="003E75E2">
        <w:rPr>
          <w:rFonts w:asciiTheme="minorHAnsi" w:hAnsiTheme="minorHAnsi" w:cstheme="minorHAnsi"/>
          <w:color w:val="414042" w:themeColor="text1"/>
          <w:szCs w:val="20"/>
        </w:rPr>
        <w:tab/>
      </w:r>
      <w:r w:rsidRPr="003E75E2">
        <w:rPr>
          <w:rFonts w:asciiTheme="minorHAnsi" w:hAnsiTheme="minorHAnsi" w:cstheme="minorHAnsi"/>
          <w:color w:val="414042" w:themeColor="text1"/>
          <w:szCs w:val="20"/>
        </w:rPr>
        <w:tab/>
        <w:t xml:space="preserve">Date: </w:t>
      </w:r>
      <w:r w:rsidR="00F96E14">
        <w:rPr>
          <w:rFonts w:asciiTheme="minorHAnsi" w:hAnsiTheme="minorHAnsi" w:cstheme="minorHAnsi"/>
          <w:color w:val="414042" w:themeColor="text1"/>
          <w:szCs w:val="20"/>
        </w:rPr>
        <w:t xml:space="preserve"> </w:t>
      </w:r>
      <w:r w:rsidR="00F96E14" w:rsidRPr="00F96E14">
        <w:rPr>
          <w:rFonts w:asciiTheme="minorHAnsi" w:hAnsiTheme="minorHAnsi" w:cstheme="minorHAnsi"/>
          <w:color w:val="414042" w:themeColor="text1"/>
          <w:szCs w:val="20"/>
        </w:rPr>
        <w:t>20 August 2024</w:t>
      </w:r>
    </w:p>
    <w:bookmarkEnd w:id="1547"/>
    <w:p w14:paraId="3F6B2806" w14:textId="67352CB1" w:rsidR="00AB33EC" w:rsidRPr="003E75E2" w:rsidRDefault="00AB33EC" w:rsidP="00AB33EC">
      <w:pPr>
        <w:jc w:val="both"/>
        <w:rPr>
          <w:rFonts w:asciiTheme="minorHAnsi" w:hAnsiTheme="minorHAnsi" w:cstheme="minorHAnsi"/>
          <w:color w:val="414042" w:themeColor="text1"/>
        </w:rPr>
      </w:pPr>
    </w:p>
    <w:p w14:paraId="0CEB4553" w14:textId="10237BA7" w:rsidR="00AB33EC" w:rsidRPr="003E75E2" w:rsidRDefault="00F96E14" w:rsidP="00AB33EC">
      <w:pPr>
        <w:spacing w:line="260" w:lineRule="exact"/>
        <w:rPr>
          <w:rFonts w:asciiTheme="minorHAnsi" w:hAnsiTheme="minorHAnsi" w:cstheme="minorHAnsi"/>
          <w:color w:val="414042" w:themeColor="text1"/>
          <w:szCs w:val="20"/>
        </w:rPr>
      </w:pPr>
      <w:r>
        <w:rPr>
          <w:noProof/>
        </w:rPr>
        <w:drawing>
          <wp:anchor distT="0" distB="0" distL="114300" distR="114300" simplePos="0" relativeHeight="252498944" behindDoc="0" locked="0" layoutInCell="1" allowOverlap="1" wp14:anchorId="3C4B6373" wp14:editId="14DE3979">
            <wp:simplePos x="0" y="0"/>
            <wp:positionH relativeFrom="column">
              <wp:posOffset>-151831</wp:posOffset>
            </wp:positionH>
            <wp:positionV relativeFrom="paragraph">
              <wp:posOffset>260350</wp:posOffset>
            </wp:positionV>
            <wp:extent cx="1254252" cy="617210"/>
            <wp:effectExtent l="0" t="0" r="3175" b="0"/>
            <wp:wrapTopAndBottom/>
            <wp:docPr id="1756629420" name="Image 13"/>
            <wp:cNvGraphicFramePr/>
            <a:graphic xmlns:a="http://schemas.openxmlformats.org/drawingml/2006/main">
              <a:graphicData uri="http://schemas.openxmlformats.org/drawingml/2006/picture">
                <pic:pic xmlns:pic="http://schemas.openxmlformats.org/drawingml/2006/picture">
                  <pic:nvPicPr>
                    <pic:cNvPr id="1756629420" name="Image 13"/>
                    <pic:cNvPicPr/>
                  </pic:nvPicPr>
                  <pic:blipFill>
                    <a:blip r:embed="rId300" cstate="print"/>
                    <a:stretch>
                      <a:fillRect/>
                    </a:stretch>
                  </pic:blipFill>
                  <pic:spPr>
                    <a:xfrm>
                      <a:off x="0" y="0"/>
                      <a:ext cx="1254252" cy="617210"/>
                    </a:xfrm>
                    <a:prstGeom prst="rect">
                      <a:avLst/>
                    </a:prstGeom>
                  </pic:spPr>
                </pic:pic>
              </a:graphicData>
            </a:graphic>
          </wp:anchor>
        </w:drawing>
      </w:r>
    </w:p>
    <w:p w14:paraId="03700B23" w14:textId="77777777" w:rsidR="00F96E14" w:rsidRDefault="00F96E14" w:rsidP="00AB33EC">
      <w:pPr>
        <w:rPr>
          <w:rFonts w:asciiTheme="minorHAnsi" w:hAnsiTheme="minorHAnsi" w:cstheme="minorHAnsi"/>
          <w:szCs w:val="20"/>
        </w:rPr>
      </w:pPr>
    </w:p>
    <w:p w14:paraId="018FE5BD" w14:textId="2C4F90BA" w:rsidR="00AB33EC" w:rsidRPr="003E75E2" w:rsidRDefault="00AB33EC" w:rsidP="00AB33EC">
      <w:pPr>
        <w:rPr>
          <w:rFonts w:asciiTheme="minorHAnsi" w:hAnsiTheme="minorHAnsi" w:cstheme="minorHAnsi"/>
          <w:szCs w:val="20"/>
        </w:rPr>
      </w:pPr>
      <w:r w:rsidRPr="003E75E2">
        <w:rPr>
          <w:rFonts w:asciiTheme="minorHAnsi" w:hAnsiTheme="minorHAnsi" w:cstheme="minorHAnsi"/>
          <w:szCs w:val="20"/>
        </w:rPr>
        <w:t>Paul Bracegirdle</w:t>
      </w:r>
    </w:p>
    <w:p w14:paraId="086D4467" w14:textId="77777777" w:rsidR="00AB33EC" w:rsidRPr="003E75E2" w:rsidRDefault="00AB33EC" w:rsidP="00AB33EC">
      <w:pPr>
        <w:tabs>
          <w:tab w:val="center" w:pos="1080"/>
          <w:tab w:val="center" w:pos="4500"/>
        </w:tabs>
        <w:rPr>
          <w:rFonts w:asciiTheme="minorHAnsi" w:hAnsiTheme="minorHAnsi" w:cstheme="minorHAnsi"/>
          <w:szCs w:val="20"/>
        </w:rPr>
      </w:pPr>
      <w:r w:rsidRPr="003E75E2">
        <w:rPr>
          <w:rFonts w:asciiTheme="minorHAnsi" w:hAnsiTheme="minorHAnsi" w:cstheme="minorHAnsi"/>
          <w:szCs w:val="20"/>
        </w:rPr>
        <w:t>Chief Finance Officer</w:t>
      </w:r>
      <w:r w:rsidRPr="003E75E2">
        <w:rPr>
          <w:rFonts w:asciiTheme="minorHAnsi" w:hAnsiTheme="minorHAnsi" w:cstheme="minorHAnsi"/>
          <w:szCs w:val="20"/>
        </w:rPr>
        <w:tab/>
      </w:r>
      <w:r w:rsidRPr="003E75E2">
        <w:rPr>
          <w:rFonts w:asciiTheme="minorHAnsi" w:hAnsiTheme="minorHAnsi" w:cstheme="minorHAnsi"/>
          <w:szCs w:val="20"/>
        </w:rPr>
        <w:tab/>
      </w:r>
      <w:r w:rsidRPr="003E75E2">
        <w:rPr>
          <w:rFonts w:asciiTheme="minorHAnsi" w:hAnsiTheme="minorHAnsi" w:cstheme="minorHAnsi"/>
          <w:szCs w:val="20"/>
        </w:rPr>
        <w:tab/>
      </w:r>
      <w:r w:rsidRPr="003E75E2">
        <w:rPr>
          <w:rFonts w:asciiTheme="minorHAnsi" w:hAnsiTheme="minorHAnsi" w:cstheme="minorHAnsi"/>
          <w:szCs w:val="20"/>
        </w:rPr>
        <w:tab/>
      </w:r>
    </w:p>
    <w:p w14:paraId="62E5D47F" w14:textId="77777777" w:rsidR="00AB33EC" w:rsidRPr="003E75E2" w:rsidRDefault="00AB33EC" w:rsidP="00AB33EC">
      <w:pPr>
        <w:tabs>
          <w:tab w:val="center" w:pos="1080"/>
          <w:tab w:val="center" w:pos="4500"/>
        </w:tabs>
        <w:rPr>
          <w:rFonts w:asciiTheme="minorHAnsi" w:hAnsiTheme="minorHAnsi" w:cstheme="minorHAnsi"/>
          <w:szCs w:val="20"/>
        </w:rPr>
      </w:pPr>
      <w:r w:rsidRPr="003E75E2">
        <w:rPr>
          <w:rFonts w:asciiTheme="minorHAnsi" w:hAnsiTheme="minorHAnsi" w:cstheme="minorHAnsi"/>
          <w:szCs w:val="20"/>
        </w:rPr>
        <w:t>Crime and Corruption Commission</w:t>
      </w:r>
      <w:r w:rsidRPr="003E75E2">
        <w:rPr>
          <w:rFonts w:asciiTheme="minorHAnsi" w:hAnsiTheme="minorHAnsi" w:cstheme="minorHAnsi"/>
          <w:szCs w:val="20"/>
        </w:rPr>
        <w:tab/>
      </w:r>
      <w:r w:rsidRPr="003E75E2">
        <w:rPr>
          <w:rFonts w:asciiTheme="minorHAnsi" w:hAnsiTheme="minorHAnsi" w:cstheme="minorHAnsi"/>
          <w:szCs w:val="20"/>
        </w:rPr>
        <w:tab/>
      </w:r>
      <w:r w:rsidRPr="003E75E2">
        <w:rPr>
          <w:rFonts w:asciiTheme="minorHAnsi" w:hAnsiTheme="minorHAnsi" w:cstheme="minorHAnsi"/>
          <w:szCs w:val="20"/>
        </w:rPr>
        <w:tab/>
      </w:r>
      <w:r w:rsidRPr="003E75E2">
        <w:rPr>
          <w:rFonts w:asciiTheme="minorHAnsi" w:hAnsiTheme="minorHAnsi" w:cstheme="minorHAnsi"/>
          <w:szCs w:val="20"/>
        </w:rPr>
        <w:tab/>
      </w:r>
    </w:p>
    <w:p w14:paraId="2615F081" w14:textId="77777777" w:rsidR="00AB33EC" w:rsidRPr="003E75E2" w:rsidRDefault="00AB33EC" w:rsidP="00AB33EC">
      <w:pPr>
        <w:tabs>
          <w:tab w:val="center" w:pos="1080"/>
          <w:tab w:val="center" w:pos="4500"/>
        </w:tabs>
        <w:rPr>
          <w:rFonts w:asciiTheme="minorHAnsi" w:hAnsiTheme="minorHAnsi" w:cstheme="minorHAnsi"/>
          <w:szCs w:val="20"/>
        </w:rPr>
      </w:pPr>
    </w:p>
    <w:p w14:paraId="32B85749" w14:textId="183DC2C8" w:rsidR="00AB33EC" w:rsidRPr="003E75E2" w:rsidRDefault="00AB33EC" w:rsidP="00AB33EC">
      <w:pPr>
        <w:tabs>
          <w:tab w:val="center" w:pos="1080"/>
          <w:tab w:val="center" w:pos="4500"/>
        </w:tabs>
        <w:rPr>
          <w:rFonts w:asciiTheme="minorHAnsi" w:hAnsiTheme="minorHAnsi" w:cstheme="minorHAnsi"/>
        </w:rPr>
      </w:pPr>
      <w:r w:rsidRPr="003E75E2">
        <w:rPr>
          <w:rFonts w:asciiTheme="minorHAnsi" w:hAnsiTheme="minorHAnsi" w:cstheme="minorHAnsi"/>
          <w:szCs w:val="20"/>
        </w:rPr>
        <w:t>Date:</w:t>
      </w:r>
      <w:r w:rsidRPr="003E75E2">
        <w:rPr>
          <w:rFonts w:asciiTheme="minorHAnsi" w:hAnsiTheme="minorHAnsi" w:cstheme="minorHAnsi"/>
          <w:sz w:val="18"/>
          <w:szCs w:val="18"/>
        </w:rPr>
        <w:t xml:space="preserve">  </w:t>
      </w:r>
      <w:r w:rsidR="00F96E14" w:rsidRPr="00F96E14">
        <w:rPr>
          <w:rFonts w:asciiTheme="minorHAnsi" w:hAnsiTheme="minorHAnsi" w:cstheme="minorHAnsi"/>
          <w:sz w:val="18"/>
          <w:szCs w:val="18"/>
        </w:rPr>
        <w:t>20 August 2024</w:t>
      </w:r>
    </w:p>
    <w:p w14:paraId="61A1F810" w14:textId="77777777" w:rsidR="003673B1" w:rsidRPr="007A1087" w:rsidRDefault="003673B1">
      <w:pPr>
        <w:spacing w:before="120" w:after="0" w:line="260" w:lineRule="exact"/>
        <w:rPr>
          <w:rFonts w:asciiTheme="minorHAnsi" w:hAnsiTheme="minorHAnsi" w:cstheme="minorHAnsi"/>
          <w:color w:val="414042" w:themeColor="text1"/>
          <w:szCs w:val="20"/>
        </w:rPr>
      </w:pPr>
      <w:r w:rsidRPr="007A1087">
        <w:rPr>
          <w:rFonts w:asciiTheme="minorHAnsi" w:hAnsiTheme="minorHAnsi" w:cstheme="minorHAnsi"/>
          <w:color w:val="414042" w:themeColor="text1"/>
          <w:szCs w:val="20"/>
        </w:rPr>
        <w:br w:type="page"/>
      </w:r>
    </w:p>
    <w:bookmarkEnd w:id="1538"/>
    <w:bookmarkEnd w:id="1539"/>
    <w:bookmarkEnd w:id="1540"/>
    <w:p w14:paraId="7F1F446D" w14:textId="77777777" w:rsidR="00A532DA" w:rsidRPr="007A1087" w:rsidRDefault="00A532DA" w:rsidP="00860F16">
      <w:pPr>
        <w:tabs>
          <w:tab w:val="left" w:pos="462"/>
          <w:tab w:val="left" w:pos="1134"/>
          <w:tab w:val="left" w:pos="7132"/>
        </w:tabs>
        <w:spacing w:line="360" w:lineRule="auto"/>
        <w:rPr>
          <w:b/>
          <w:bCs/>
          <w:color w:val="414042" w:themeColor="text1"/>
          <w:szCs w:val="20"/>
        </w:rPr>
        <w:sectPr w:rsidR="00A532DA" w:rsidRPr="007A1087" w:rsidSect="00C77834">
          <w:headerReference w:type="even" r:id="rId301"/>
          <w:headerReference w:type="default" r:id="rId302"/>
          <w:headerReference w:type="first" r:id="rId303"/>
          <w:pgSz w:w="11906" w:h="16838"/>
          <w:pgMar w:top="2155" w:right="1134" w:bottom="964" w:left="1134" w:header="720" w:footer="284" w:gutter="0"/>
          <w:cols w:space="708"/>
          <w:docGrid w:linePitch="360"/>
        </w:sectPr>
      </w:pPr>
    </w:p>
    <w:tbl>
      <w:tblPr>
        <w:tblW w:w="9405" w:type="dxa"/>
        <w:tblInd w:w="226" w:type="dxa"/>
        <w:tblLook w:val="0000" w:firstRow="0" w:lastRow="0" w:firstColumn="0" w:lastColumn="0" w:noHBand="0" w:noVBand="0"/>
      </w:tblPr>
      <w:tblGrid>
        <w:gridCol w:w="9405"/>
      </w:tblGrid>
      <w:tr w:rsidR="00182F6F" w14:paraId="045E62E1" w14:textId="77777777" w:rsidTr="00F96E14">
        <w:trPr>
          <w:trHeight w:val="195"/>
        </w:trPr>
        <w:tc>
          <w:tcPr>
            <w:tcW w:w="9405" w:type="dxa"/>
          </w:tcPr>
          <w:p w14:paraId="011EE636" w14:textId="77777777" w:rsidR="00182F6F" w:rsidRPr="00E6408B" w:rsidRDefault="00182F6F" w:rsidP="00E6408B">
            <w:pPr>
              <w:pStyle w:val="1Heading"/>
              <w:jc w:val="center"/>
              <w:rPr>
                <w:rFonts w:ascii="Arial" w:hAnsi="Arial" w:cs="Arial"/>
                <w:b/>
                <w:bCs/>
                <w:sz w:val="24"/>
                <w:szCs w:val="24"/>
              </w:rPr>
            </w:pPr>
            <w:bookmarkStart w:id="1548" w:name="AuditorsReport"/>
            <w:r w:rsidRPr="00E6408B">
              <w:rPr>
                <w:rFonts w:ascii="Arial" w:hAnsi="Arial" w:cs="Arial"/>
                <w:b/>
                <w:bCs/>
                <w:color w:val="auto"/>
                <w:sz w:val="24"/>
                <w:szCs w:val="24"/>
              </w:rPr>
              <w:t>INDEPENDENT AUDITOR’S REPORT</w:t>
            </w:r>
          </w:p>
          <w:bookmarkEnd w:id="1548"/>
          <w:p w14:paraId="197252CD" w14:textId="77777777" w:rsidR="00182F6F" w:rsidRPr="00182F6F" w:rsidRDefault="00182F6F" w:rsidP="00182F6F">
            <w:pPr>
              <w:widowControl w:val="0"/>
              <w:tabs>
                <w:tab w:val="left" w:pos="7876"/>
              </w:tabs>
              <w:autoSpaceDE w:val="0"/>
              <w:autoSpaceDN w:val="0"/>
              <w:spacing w:before="112" w:after="0"/>
              <w:rPr>
                <w:rFonts w:ascii="Arial" w:eastAsia="Calibri" w:hAnsi="Calibri" w:cs="Calibri"/>
                <w:b/>
                <w:sz w:val="24"/>
                <w:szCs w:val="20"/>
                <w:lang w:val="en-US"/>
              </w:rPr>
            </w:pPr>
          </w:p>
          <w:p w14:paraId="51DF4A41" w14:textId="77777777" w:rsidR="00182F6F" w:rsidRPr="00182F6F" w:rsidRDefault="00182F6F" w:rsidP="00182F6F">
            <w:pPr>
              <w:widowControl w:val="0"/>
              <w:tabs>
                <w:tab w:val="left" w:pos="7876"/>
              </w:tabs>
              <w:autoSpaceDE w:val="0"/>
              <w:autoSpaceDN w:val="0"/>
              <w:spacing w:after="0"/>
              <w:ind w:left="218"/>
              <w:rPr>
                <w:rFonts w:ascii="Arial" w:eastAsia="Calibri" w:hAnsi="Calibri" w:cs="Calibri"/>
                <w:sz w:val="22"/>
                <w:lang w:val="en-US"/>
              </w:rPr>
            </w:pPr>
            <w:r w:rsidRPr="00182F6F">
              <w:rPr>
                <w:rFonts w:ascii="Arial" w:eastAsia="Calibri" w:hAnsi="Calibri" w:cs="Calibri"/>
                <w:sz w:val="22"/>
                <w:lang w:val="en-US"/>
              </w:rPr>
              <w:t>To</w:t>
            </w:r>
            <w:r w:rsidRPr="00182F6F">
              <w:rPr>
                <w:rFonts w:ascii="Arial" w:eastAsia="Calibri" w:hAnsi="Calibri" w:cs="Calibri"/>
                <w:spacing w:val="-16"/>
                <w:sz w:val="22"/>
                <w:lang w:val="en-US"/>
              </w:rPr>
              <w:t xml:space="preserve"> </w:t>
            </w:r>
            <w:r w:rsidRPr="00182F6F">
              <w:rPr>
                <w:rFonts w:ascii="Arial" w:eastAsia="Calibri" w:hAnsi="Calibri" w:cs="Calibri"/>
                <w:sz w:val="22"/>
                <w:lang w:val="en-US"/>
              </w:rPr>
              <w:t>the</w:t>
            </w:r>
            <w:r w:rsidRPr="00182F6F">
              <w:rPr>
                <w:rFonts w:ascii="Arial" w:eastAsia="Calibri" w:hAnsi="Calibri" w:cs="Calibri"/>
                <w:spacing w:val="-15"/>
                <w:sz w:val="22"/>
                <w:lang w:val="en-US"/>
              </w:rPr>
              <w:t xml:space="preserve"> </w:t>
            </w:r>
            <w:r w:rsidRPr="00182F6F">
              <w:rPr>
                <w:rFonts w:ascii="Arial" w:eastAsia="Calibri" w:hAnsi="Calibri" w:cs="Calibri"/>
                <w:sz w:val="22"/>
                <w:lang w:val="en-US"/>
              </w:rPr>
              <w:t>Chairperson</w:t>
            </w:r>
            <w:r w:rsidRPr="00182F6F">
              <w:rPr>
                <w:rFonts w:ascii="Arial" w:eastAsia="Calibri" w:hAnsi="Calibri" w:cs="Calibri"/>
                <w:spacing w:val="-15"/>
                <w:sz w:val="22"/>
                <w:lang w:val="en-US"/>
              </w:rPr>
              <w:t xml:space="preserve"> </w:t>
            </w:r>
            <w:r w:rsidRPr="00182F6F">
              <w:rPr>
                <w:rFonts w:ascii="Arial" w:eastAsia="Calibri" w:hAnsi="Calibri" w:cs="Calibri"/>
                <w:sz w:val="22"/>
                <w:lang w:val="en-US"/>
              </w:rPr>
              <w:t>of</w:t>
            </w:r>
            <w:r w:rsidRPr="00182F6F">
              <w:rPr>
                <w:rFonts w:ascii="Arial" w:eastAsia="Calibri" w:hAnsi="Calibri" w:cs="Calibri"/>
                <w:spacing w:val="-15"/>
                <w:sz w:val="22"/>
                <w:lang w:val="en-US"/>
              </w:rPr>
              <w:t xml:space="preserve"> </w:t>
            </w:r>
            <w:r w:rsidRPr="00182F6F">
              <w:rPr>
                <w:rFonts w:ascii="Arial" w:eastAsia="Calibri" w:hAnsi="Calibri" w:cs="Calibri"/>
                <w:sz w:val="22"/>
                <w:lang w:val="en-US"/>
              </w:rPr>
              <w:t>the</w:t>
            </w:r>
            <w:r w:rsidRPr="00182F6F">
              <w:rPr>
                <w:rFonts w:ascii="Arial" w:eastAsia="Calibri" w:hAnsi="Calibri" w:cs="Calibri"/>
                <w:spacing w:val="-15"/>
                <w:sz w:val="22"/>
                <w:lang w:val="en-US"/>
              </w:rPr>
              <w:t xml:space="preserve"> </w:t>
            </w:r>
            <w:r w:rsidRPr="00182F6F">
              <w:rPr>
                <w:rFonts w:ascii="Arial" w:eastAsia="Calibri" w:hAnsi="Calibri" w:cs="Calibri"/>
                <w:sz w:val="22"/>
                <w:lang w:val="en-US"/>
              </w:rPr>
              <w:t>Crime</w:t>
            </w:r>
            <w:r w:rsidRPr="00182F6F">
              <w:rPr>
                <w:rFonts w:ascii="Arial" w:eastAsia="Calibri" w:hAnsi="Calibri" w:cs="Calibri"/>
                <w:spacing w:val="-15"/>
                <w:sz w:val="22"/>
                <w:lang w:val="en-US"/>
              </w:rPr>
              <w:t xml:space="preserve"> </w:t>
            </w:r>
            <w:r w:rsidRPr="00182F6F">
              <w:rPr>
                <w:rFonts w:ascii="Arial" w:eastAsia="Calibri" w:hAnsi="Calibri" w:cs="Calibri"/>
                <w:sz w:val="22"/>
                <w:lang w:val="en-US"/>
              </w:rPr>
              <w:t>and</w:t>
            </w:r>
            <w:r w:rsidRPr="00182F6F">
              <w:rPr>
                <w:rFonts w:ascii="Arial" w:eastAsia="Calibri" w:hAnsi="Calibri" w:cs="Calibri"/>
                <w:spacing w:val="-15"/>
                <w:sz w:val="22"/>
                <w:lang w:val="en-US"/>
              </w:rPr>
              <w:t xml:space="preserve"> </w:t>
            </w:r>
            <w:r w:rsidRPr="00182F6F">
              <w:rPr>
                <w:rFonts w:ascii="Arial" w:eastAsia="Calibri" w:hAnsi="Calibri" w:cs="Calibri"/>
                <w:sz w:val="22"/>
                <w:lang w:val="en-US"/>
              </w:rPr>
              <w:t>Corruption</w:t>
            </w:r>
            <w:r w:rsidRPr="00182F6F">
              <w:rPr>
                <w:rFonts w:ascii="Arial" w:eastAsia="Calibri" w:hAnsi="Calibri" w:cs="Calibri"/>
                <w:spacing w:val="-15"/>
                <w:sz w:val="22"/>
                <w:lang w:val="en-US"/>
              </w:rPr>
              <w:t xml:space="preserve"> </w:t>
            </w:r>
            <w:r w:rsidRPr="00182F6F">
              <w:rPr>
                <w:rFonts w:ascii="Arial" w:eastAsia="Calibri" w:hAnsi="Calibri" w:cs="Calibri"/>
                <w:spacing w:val="-2"/>
                <w:sz w:val="22"/>
                <w:lang w:val="en-US"/>
              </w:rPr>
              <w:t>Commission</w:t>
            </w:r>
          </w:p>
          <w:p w14:paraId="7E308566" w14:textId="77777777" w:rsidR="00182F6F" w:rsidRPr="00182F6F" w:rsidRDefault="00182F6F" w:rsidP="00182F6F">
            <w:pPr>
              <w:widowControl w:val="0"/>
              <w:tabs>
                <w:tab w:val="left" w:pos="7876"/>
              </w:tabs>
              <w:autoSpaceDE w:val="0"/>
              <w:autoSpaceDN w:val="0"/>
              <w:spacing w:before="112" w:after="0"/>
              <w:rPr>
                <w:rFonts w:ascii="Arial" w:eastAsia="Calibri" w:hAnsi="Calibri" w:cs="Calibri"/>
                <w:sz w:val="22"/>
                <w:szCs w:val="20"/>
                <w:lang w:val="en-US"/>
              </w:rPr>
            </w:pPr>
          </w:p>
          <w:p w14:paraId="267AA439" w14:textId="77777777" w:rsidR="00182F6F" w:rsidRPr="00182F6F" w:rsidRDefault="00182F6F" w:rsidP="00182F6F">
            <w:pPr>
              <w:widowControl w:val="0"/>
              <w:tabs>
                <w:tab w:val="left" w:pos="7876"/>
              </w:tabs>
              <w:autoSpaceDE w:val="0"/>
              <w:autoSpaceDN w:val="0"/>
              <w:spacing w:after="0"/>
              <w:ind w:left="218"/>
              <w:outlineLvl w:val="0"/>
              <w:rPr>
                <w:rFonts w:ascii="Arial" w:eastAsia="Arial" w:hAnsi="Arial" w:cs="Arial"/>
                <w:b/>
                <w:bCs/>
                <w:sz w:val="24"/>
                <w:szCs w:val="24"/>
                <w:lang w:val="en-US"/>
              </w:rPr>
            </w:pPr>
            <w:r w:rsidRPr="00182F6F">
              <w:rPr>
                <w:rFonts w:ascii="Arial" w:eastAsia="Arial" w:hAnsi="Arial" w:cs="Arial"/>
                <w:b/>
                <w:bCs/>
                <w:sz w:val="24"/>
                <w:szCs w:val="24"/>
                <w:lang w:val="en-US"/>
              </w:rPr>
              <w:t>Report</w:t>
            </w:r>
            <w:r w:rsidRPr="00182F6F">
              <w:rPr>
                <w:rFonts w:ascii="Arial" w:eastAsia="Arial" w:hAnsi="Arial" w:cs="Arial"/>
                <w:b/>
                <w:bCs/>
                <w:spacing w:val="-14"/>
                <w:sz w:val="24"/>
                <w:szCs w:val="24"/>
                <w:lang w:val="en-US"/>
              </w:rPr>
              <w:t xml:space="preserve"> </w:t>
            </w:r>
            <w:r w:rsidRPr="00182F6F">
              <w:rPr>
                <w:rFonts w:ascii="Arial" w:eastAsia="Arial" w:hAnsi="Arial" w:cs="Arial"/>
                <w:b/>
                <w:bCs/>
                <w:sz w:val="24"/>
                <w:szCs w:val="24"/>
                <w:lang w:val="en-US"/>
              </w:rPr>
              <w:t>on</w:t>
            </w:r>
            <w:r w:rsidRPr="00182F6F">
              <w:rPr>
                <w:rFonts w:ascii="Arial" w:eastAsia="Arial" w:hAnsi="Arial" w:cs="Arial"/>
                <w:b/>
                <w:bCs/>
                <w:spacing w:val="-14"/>
                <w:sz w:val="24"/>
                <w:szCs w:val="24"/>
                <w:lang w:val="en-US"/>
              </w:rPr>
              <w:t xml:space="preserve"> </w:t>
            </w:r>
            <w:r w:rsidRPr="00182F6F">
              <w:rPr>
                <w:rFonts w:ascii="Arial" w:eastAsia="Arial" w:hAnsi="Arial" w:cs="Arial"/>
                <w:b/>
                <w:bCs/>
                <w:sz w:val="24"/>
                <w:szCs w:val="24"/>
                <w:lang w:val="en-US"/>
              </w:rPr>
              <w:t>the</w:t>
            </w:r>
            <w:r w:rsidRPr="00182F6F">
              <w:rPr>
                <w:rFonts w:ascii="Arial" w:eastAsia="Arial" w:hAnsi="Arial" w:cs="Arial"/>
                <w:b/>
                <w:bCs/>
                <w:spacing w:val="-12"/>
                <w:sz w:val="24"/>
                <w:szCs w:val="24"/>
                <w:lang w:val="en-US"/>
              </w:rPr>
              <w:t xml:space="preserve"> </w:t>
            </w:r>
            <w:r w:rsidRPr="00182F6F">
              <w:rPr>
                <w:rFonts w:ascii="Arial" w:eastAsia="Arial" w:hAnsi="Arial" w:cs="Arial"/>
                <w:b/>
                <w:bCs/>
                <w:sz w:val="24"/>
                <w:szCs w:val="24"/>
                <w:lang w:val="en-US"/>
              </w:rPr>
              <w:t>audit</w:t>
            </w:r>
            <w:r w:rsidRPr="00182F6F">
              <w:rPr>
                <w:rFonts w:ascii="Arial" w:eastAsia="Arial" w:hAnsi="Arial" w:cs="Arial"/>
                <w:b/>
                <w:bCs/>
                <w:spacing w:val="-14"/>
                <w:sz w:val="24"/>
                <w:szCs w:val="24"/>
                <w:lang w:val="en-US"/>
              </w:rPr>
              <w:t xml:space="preserve"> </w:t>
            </w:r>
            <w:r w:rsidRPr="00182F6F">
              <w:rPr>
                <w:rFonts w:ascii="Arial" w:eastAsia="Arial" w:hAnsi="Arial" w:cs="Arial"/>
                <w:b/>
                <w:bCs/>
                <w:sz w:val="24"/>
                <w:szCs w:val="24"/>
                <w:lang w:val="en-US"/>
              </w:rPr>
              <w:t>of</w:t>
            </w:r>
            <w:r w:rsidRPr="00182F6F">
              <w:rPr>
                <w:rFonts w:ascii="Arial" w:eastAsia="Arial" w:hAnsi="Arial" w:cs="Arial"/>
                <w:b/>
                <w:bCs/>
                <w:spacing w:val="-12"/>
                <w:sz w:val="24"/>
                <w:szCs w:val="24"/>
                <w:lang w:val="en-US"/>
              </w:rPr>
              <w:t xml:space="preserve"> </w:t>
            </w:r>
            <w:r w:rsidRPr="00182F6F">
              <w:rPr>
                <w:rFonts w:ascii="Arial" w:eastAsia="Arial" w:hAnsi="Arial" w:cs="Arial"/>
                <w:b/>
                <w:bCs/>
                <w:sz w:val="24"/>
                <w:szCs w:val="24"/>
                <w:lang w:val="en-US"/>
              </w:rPr>
              <w:t>the</w:t>
            </w:r>
            <w:r w:rsidRPr="00182F6F">
              <w:rPr>
                <w:rFonts w:ascii="Arial" w:eastAsia="Arial" w:hAnsi="Arial" w:cs="Arial"/>
                <w:b/>
                <w:bCs/>
                <w:spacing w:val="-12"/>
                <w:sz w:val="24"/>
                <w:szCs w:val="24"/>
                <w:lang w:val="en-US"/>
              </w:rPr>
              <w:t xml:space="preserve"> </w:t>
            </w:r>
            <w:r w:rsidRPr="00182F6F">
              <w:rPr>
                <w:rFonts w:ascii="Arial" w:eastAsia="Arial" w:hAnsi="Arial" w:cs="Arial"/>
                <w:b/>
                <w:bCs/>
                <w:sz w:val="24"/>
                <w:szCs w:val="24"/>
                <w:lang w:val="en-US"/>
              </w:rPr>
              <w:t>financial</w:t>
            </w:r>
            <w:r w:rsidRPr="00182F6F">
              <w:rPr>
                <w:rFonts w:ascii="Arial" w:eastAsia="Arial" w:hAnsi="Arial" w:cs="Arial"/>
                <w:b/>
                <w:bCs/>
                <w:spacing w:val="-12"/>
                <w:sz w:val="24"/>
                <w:szCs w:val="24"/>
                <w:lang w:val="en-US"/>
              </w:rPr>
              <w:t xml:space="preserve"> </w:t>
            </w:r>
            <w:r w:rsidRPr="00182F6F">
              <w:rPr>
                <w:rFonts w:ascii="Arial" w:eastAsia="Arial" w:hAnsi="Arial" w:cs="Arial"/>
                <w:b/>
                <w:bCs/>
                <w:spacing w:val="-2"/>
                <w:sz w:val="24"/>
                <w:szCs w:val="24"/>
                <w:lang w:val="en-US"/>
              </w:rPr>
              <w:t>report</w:t>
            </w:r>
          </w:p>
          <w:p w14:paraId="49FAF673" w14:textId="77777777" w:rsidR="00182F6F" w:rsidRPr="00182F6F" w:rsidRDefault="00182F6F" w:rsidP="00182F6F">
            <w:pPr>
              <w:widowControl w:val="0"/>
              <w:tabs>
                <w:tab w:val="left" w:pos="7876"/>
              </w:tabs>
              <w:autoSpaceDE w:val="0"/>
              <w:autoSpaceDN w:val="0"/>
              <w:spacing w:before="146" w:after="0"/>
              <w:ind w:left="218"/>
              <w:outlineLvl w:val="3"/>
              <w:rPr>
                <w:rFonts w:ascii="Arial" w:eastAsia="Calibri" w:hAnsi="Calibri" w:cs="Calibri"/>
                <w:b/>
                <w:bCs/>
                <w:sz w:val="22"/>
                <w:lang w:val="en-US"/>
              </w:rPr>
            </w:pPr>
            <w:r w:rsidRPr="00182F6F">
              <w:rPr>
                <w:rFonts w:ascii="Arial" w:eastAsia="Calibri" w:hAnsi="Calibri" w:cs="Calibri"/>
                <w:b/>
                <w:bCs/>
                <w:spacing w:val="-2"/>
                <w:sz w:val="22"/>
                <w:lang w:val="en-US"/>
              </w:rPr>
              <w:t>Opinion</w:t>
            </w:r>
          </w:p>
          <w:p w14:paraId="3BCD6827" w14:textId="77777777" w:rsidR="00182F6F" w:rsidRPr="00182F6F" w:rsidRDefault="00182F6F" w:rsidP="00881282">
            <w:pPr>
              <w:widowControl w:val="0"/>
              <w:tabs>
                <w:tab w:val="left" w:pos="7876"/>
              </w:tabs>
              <w:autoSpaceDE w:val="0"/>
              <w:autoSpaceDN w:val="0"/>
              <w:spacing w:before="148" w:after="0" w:line="266" w:lineRule="auto"/>
              <w:ind w:left="218" w:right="25"/>
              <w:rPr>
                <w:rFonts w:ascii="Arial" w:eastAsia="Calibri" w:hAnsi="Arial" w:cs="Calibri"/>
                <w:sz w:val="22"/>
                <w:lang w:val="en-US"/>
              </w:rPr>
            </w:pPr>
            <w:r w:rsidRPr="00182F6F">
              <w:rPr>
                <w:rFonts w:ascii="Arial" w:eastAsia="Calibri" w:hAnsi="Arial" w:cs="Calibri"/>
                <w:sz w:val="22"/>
                <w:lang w:val="en-US"/>
              </w:rPr>
              <w:t>I</w:t>
            </w:r>
            <w:r w:rsidRPr="00182F6F">
              <w:rPr>
                <w:rFonts w:ascii="Arial" w:eastAsia="Calibri" w:hAnsi="Arial" w:cs="Calibri"/>
                <w:spacing w:val="-6"/>
                <w:sz w:val="22"/>
                <w:lang w:val="en-US"/>
              </w:rPr>
              <w:t xml:space="preserve"> </w:t>
            </w:r>
            <w:r w:rsidRPr="00182F6F">
              <w:rPr>
                <w:rFonts w:ascii="Arial" w:eastAsia="Calibri" w:hAnsi="Arial" w:cs="Calibri"/>
                <w:sz w:val="22"/>
                <w:lang w:val="en-US"/>
              </w:rPr>
              <w:t>have</w:t>
            </w:r>
            <w:r w:rsidRPr="00182F6F">
              <w:rPr>
                <w:rFonts w:ascii="Arial" w:eastAsia="Calibri" w:hAnsi="Arial" w:cs="Calibri"/>
                <w:spacing w:val="-9"/>
                <w:sz w:val="22"/>
                <w:lang w:val="en-US"/>
              </w:rPr>
              <w:t xml:space="preserve"> </w:t>
            </w:r>
            <w:r w:rsidRPr="00182F6F">
              <w:rPr>
                <w:rFonts w:ascii="Arial" w:eastAsia="Calibri" w:hAnsi="Arial" w:cs="Calibri"/>
                <w:sz w:val="22"/>
                <w:lang w:val="en-US"/>
              </w:rPr>
              <w:t>audited</w:t>
            </w:r>
            <w:r w:rsidRPr="00182F6F">
              <w:rPr>
                <w:rFonts w:ascii="Arial" w:eastAsia="Calibri" w:hAnsi="Arial" w:cs="Calibri"/>
                <w:spacing w:val="-9"/>
                <w:sz w:val="22"/>
                <w:lang w:val="en-US"/>
              </w:rPr>
              <w:t xml:space="preserve"> </w:t>
            </w:r>
            <w:r w:rsidRPr="00182F6F">
              <w:rPr>
                <w:rFonts w:ascii="Arial" w:eastAsia="Calibri" w:hAnsi="Arial" w:cs="Calibri"/>
                <w:sz w:val="22"/>
                <w:lang w:val="en-US"/>
              </w:rPr>
              <w:t>the</w:t>
            </w:r>
            <w:r w:rsidRPr="00182F6F">
              <w:rPr>
                <w:rFonts w:ascii="Arial" w:eastAsia="Calibri" w:hAnsi="Arial" w:cs="Calibri"/>
                <w:spacing w:val="-9"/>
                <w:sz w:val="22"/>
                <w:lang w:val="en-US"/>
              </w:rPr>
              <w:t xml:space="preserve"> </w:t>
            </w:r>
            <w:r w:rsidRPr="00182F6F">
              <w:rPr>
                <w:rFonts w:ascii="Arial" w:eastAsia="Calibri" w:hAnsi="Arial" w:cs="Calibri"/>
                <w:sz w:val="22"/>
                <w:lang w:val="en-US"/>
              </w:rPr>
              <w:t>accompanying</w:t>
            </w:r>
            <w:r w:rsidRPr="00182F6F">
              <w:rPr>
                <w:rFonts w:ascii="Arial" w:eastAsia="Calibri" w:hAnsi="Arial" w:cs="Calibri"/>
                <w:spacing w:val="-9"/>
                <w:sz w:val="22"/>
                <w:lang w:val="en-US"/>
              </w:rPr>
              <w:t xml:space="preserve"> </w:t>
            </w:r>
            <w:r w:rsidRPr="00182F6F">
              <w:rPr>
                <w:rFonts w:ascii="Arial" w:eastAsia="Calibri" w:hAnsi="Arial" w:cs="Calibri"/>
                <w:sz w:val="22"/>
                <w:lang w:val="en-US"/>
              </w:rPr>
              <w:t>financial</w:t>
            </w:r>
            <w:r w:rsidRPr="00182F6F">
              <w:rPr>
                <w:rFonts w:ascii="Arial" w:eastAsia="Calibri" w:hAnsi="Arial" w:cs="Calibri"/>
                <w:spacing w:val="-8"/>
                <w:sz w:val="22"/>
                <w:lang w:val="en-US"/>
              </w:rPr>
              <w:t xml:space="preserve"> </w:t>
            </w:r>
            <w:r w:rsidRPr="00182F6F">
              <w:rPr>
                <w:rFonts w:ascii="Arial" w:eastAsia="Calibri" w:hAnsi="Arial" w:cs="Calibri"/>
                <w:sz w:val="22"/>
                <w:lang w:val="en-US"/>
              </w:rPr>
              <w:t>report</w:t>
            </w:r>
            <w:r w:rsidRPr="00182F6F">
              <w:rPr>
                <w:rFonts w:ascii="Arial" w:eastAsia="Calibri" w:hAnsi="Arial" w:cs="Calibri"/>
                <w:spacing w:val="-6"/>
                <w:sz w:val="22"/>
                <w:lang w:val="en-US"/>
              </w:rPr>
              <w:t xml:space="preserve"> </w:t>
            </w:r>
            <w:r w:rsidRPr="00182F6F">
              <w:rPr>
                <w:rFonts w:ascii="Arial" w:eastAsia="Calibri" w:hAnsi="Arial" w:cs="Calibri"/>
                <w:sz w:val="22"/>
                <w:lang w:val="en-US"/>
              </w:rPr>
              <w:t>of</w:t>
            </w:r>
            <w:r w:rsidRPr="00182F6F">
              <w:rPr>
                <w:rFonts w:ascii="Arial" w:eastAsia="Calibri" w:hAnsi="Arial" w:cs="Calibri"/>
                <w:spacing w:val="-4"/>
                <w:sz w:val="22"/>
                <w:lang w:val="en-US"/>
              </w:rPr>
              <w:t xml:space="preserve"> </w:t>
            </w:r>
            <w:r w:rsidRPr="00182F6F">
              <w:rPr>
                <w:rFonts w:ascii="Arial" w:eastAsia="Calibri" w:hAnsi="Arial" w:cs="Calibri"/>
                <w:sz w:val="22"/>
                <w:lang w:val="en-US"/>
              </w:rPr>
              <w:t>the</w:t>
            </w:r>
            <w:r w:rsidRPr="00182F6F">
              <w:rPr>
                <w:rFonts w:ascii="Arial" w:eastAsia="Calibri" w:hAnsi="Arial" w:cs="Calibri"/>
                <w:spacing w:val="-14"/>
                <w:sz w:val="22"/>
                <w:lang w:val="en-US"/>
              </w:rPr>
              <w:t xml:space="preserve"> </w:t>
            </w:r>
            <w:r w:rsidRPr="00182F6F">
              <w:rPr>
                <w:rFonts w:ascii="Arial" w:eastAsia="Calibri" w:hAnsi="Arial" w:cs="Calibri"/>
                <w:sz w:val="22"/>
                <w:lang w:val="en-US"/>
              </w:rPr>
              <w:t>Crime</w:t>
            </w:r>
            <w:r w:rsidRPr="00182F6F">
              <w:rPr>
                <w:rFonts w:ascii="Arial" w:eastAsia="Calibri" w:hAnsi="Arial" w:cs="Calibri"/>
                <w:spacing w:val="-11"/>
                <w:sz w:val="22"/>
                <w:lang w:val="en-US"/>
              </w:rPr>
              <w:t xml:space="preserve"> </w:t>
            </w:r>
            <w:r w:rsidRPr="00182F6F">
              <w:rPr>
                <w:rFonts w:ascii="Arial" w:eastAsia="Calibri" w:hAnsi="Arial" w:cs="Calibri"/>
                <w:sz w:val="22"/>
                <w:lang w:val="en-US"/>
              </w:rPr>
              <w:t>and</w:t>
            </w:r>
            <w:r w:rsidRPr="00182F6F">
              <w:rPr>
                <w:rFonts w:ascii="Arial" w:eastAsia="Calibri" w:hAnsi="Arial" w:cs="Calibri"/>
                <w:spacing w:val="-11"/>
                <w:sz w:val="22"/>
                <w:lang w:val="en-US"/>
              </w:rPr>
              <w:t xml:space="preserve"> </w:t>
            </w:r>
            <w:r w:rsidRPr="00182F6F">
              <w:rPr>
                <w:rFonts w:ascii="Arial" w:eastAsia="Calibri" w:hAnsi="Arial" w:cs="Calibri"/>
                <w:sz w:val="22"/>
                <w:lang w:val="en-US"/>
              </w:rPr>
              <w:t>Corruption</w:t>
            </w:r>
            <w:r w:rsidRPr="00182F6F">
              <w:rPr>
                <w:rFonts w:ascii="Arial" w:eastAsia="Calibri" w:hAnsi="Arial" w:cs="Calibri"/>
                <w:spacing w:val="-11"/>
                <w:sz w:val="22"/>
                <w:lang w:val="en-US"/>
              </w:rPr>
              <w:t xml:space="preserve"> </w:t>
            </w:r>
            <w:r w:rsidRPr="00182F6F">
              <w:rPr>
                <w:rFonts w:ascii="Arial" w:eastAsia="Calibri" w:hAnsi="Arial" w:cs="Calibri"/>
                <w:sz w:val="22"/>
                <w:lang w:val="en-US"/>
              </w:rPr>
              <w:t>Commission (the ‘Commission’).</w:t>
            </w:r>
          </w:p>
          <w:p w14:paraId="522179DB" w14:textId="77777777" w:rsidR="00182F6F" w:rsidRPr="00182F6F" w:rsidRDefault="00182F6F" w:rsidP="00182F6F">
            <w:pPr>
              <w:widowControl w:val="0"/>
              <w:tabs>
                <w:tab w:val="left" w:pos="7876"/>
              </w:tabs>
              <w:autoSpaceDE w:val="0"/>
              <w:autoSpaceDN w:val="0"/>
              <w:spacing w:before="117" w:after="0"/>
              <w:ind w:left="218"/>
              <w:rPr>
                <w:rFonts w:ascii="Arial" w:eastAsia="Calibri" w:hAnsi="Calibri" w:cs="Calibri"/>
                <w:sz w:val="22"/>
                <w:lang w:val="en-US"/>
              </w:rPr>
            </w:pPr>
            <w:r w:rsidRPr="00182F6F">
              <w:rPr>
                <w:rFonts w:ascii="Arial" w:eastAsia="Calibri" w:hAnsi="Calibri" w:cs="Calibri"/>
                <w:sz w:val="22"/>
                <w:lang w:val="en-US"/>
              </w:rPr>
              <w:t>In</w:t>
            </w:r>
            <w:r w:rsidRPr="00182F6F">
              <w:rPr>
                <w:rFonts w:ascii="Arial" w:eastAsia="Calibri" w:hAnsi="Calibri" w:cs="Calibri"/>
                <w:spacing w:val="-7"/>
                <w:sz w:val="22"/>
                <w:lang w:val="en-US"/>
              </w:rPr>
              <w:t xml:space="preserve"> </w:t>
            </w:r>
            <w:r w:rsidRPr="00182F6F">
              <w:rPr>
                <w:rFonts w:ascii="Arial" w:eastAsia="Calibri" w:hAnsi="Calibri" w:cs="Calibri"/>
                <w:sz w:val="22"/>
                <w:lang w:val="en-US"/>
              </w:rPr>
              <w:t>my</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opinion,</w:t>
            </w:r>
            <w:r w:rsidRPr="00182F6F">
              <w:rPr>
                <w:rFonts w:ascii="Arial" w:eastAsia="Calibri" w:hAnsi="Calibri" w:cs="Calibri"/>
                <w:spacing w:val="-5"/>
                <w:sz w:val="22"/>
                <w:lang w:val="en-US"/>
              </w:rPr>
              <w:t xml:space="preserve"> </w:t>
            </w:r>
            <w:r w:rsidRPr="00182F6F">
              <w:rPr>
                <w:rFonts w:ascii="Arial" w:eastAsia="Calibri" w:hAnsi="Calibri" w:cs="Calibri"/>
                <w:sz w:val="22"/>
                <w:lang w:val="en-US"/>
              </w:rPr>
              <w:t>the</w:t>
            </w:r>
            <w:r w:rsidRPr="00182F6F">
              <w:rPr>
                <w:rFonts w:ascii="Arial" w:eastAsia="Calibri" w:hAnsi="Calibri" w:cs="Calibri"/>
                <w:spacing w:val="-6"/>
                <w:sz w:val="22"/>
                <w:lang w:val="en-US"/>
              </w:rPr>
              <w:t xml:space="preserve"> </w:t>
            </w:r>
            <w:r w:rsidRPr="00182F6F">
              <w:rPr>
                <w:rFonts w:ascii="Arial" w:eastAsia="Calibri" w:hAnsi="Calibri" w:cs="Calibri"/>
                <w:sz w:val="22"/>
                <w:lang w:val="en-US"/>
              </w:rPr>
              <w:t>financial</w:t>
            </w:r>
            <w:r w:rsidRPr="00182F6F">
              <w:rPr>
                <w:rFonts w:ascii="Arial" w:eastAsia="Calibri" w:hAnsi="Calibri" w:cs="Calibri"/>
                <w:spacing w:val="-5"/>
                <w:sz w:val="22"/>
                <w:lang w:val="en-US"/>
              </w:rPr>
              <w:t xml:space="preserve"> </w:t>
            </w:r>
            <w:r w:rsidRPr="00182F6F">
              <w:rPr>
                <w:rFonts w:ascii="Arial" w:eastAsia="Calibri" w:hAnsi="Calibri" w:cs="Calibri"/>
                <w:spacing w:val="-2"/>
                <w:sz w:val="22"/>
                <w:lang w:val="en-US"/>
              </w:rPr>
              <w:t>report:</w:t>
            </w:r>
          </w:p>
          <w:p w14:paraId="694CB0A8" w14:textId="77777777" w:rsidR="00182F6F" w:rsidRPr="00182F6F" w:rsidRDefault="00182F6F" w:rsidP="002F23D4">
            <w:pPr>
              <w:widowControl w:val="0"/>
              <w:numPr>
                <w:ilvl w:val="0"/>
                <w:numId w:val="59"/>
              </w:numPr>
              <w:tabs>
                <w:tab w:val="left" w:pos="785"/>
                <w:tab w:val="left" w:pos="7876"/>
              </w:tabs>
              <w:autoSpaceDE w:val="0"/>
              <w:autoSpaceDN w:val="0"/>
              <w:spacing w:before="149" w:after="0" w:line="266" w:lineRule="auto"/>
              <w:rPr>
                <w:rFonts w:ascii="Arial" w:eastAsia="Calibri" w:hAnsi="Calibri" w:cs="Calibri"/>
                <w:sz w:val="22"/>
                <w:lang w:val="en-US"/>
              </w:rPr>
            </w:pPr>
            <w:r w:rsidRPr="00182F6F">
              <w:rPr>
                <w:rFonts w:ascii="Arial" w:eastAsia="Calibri" w:hAnsi="Calibri" w:cs="Calibri"/>
                <w:sz w:val="22"/>
                <w:lang w:val="en-US"/>
              </w:rPr>
              <w:t>gives</w:t>
            </w:r>
            <w:r w:rsidRPr="00182F6F">
              <w:rPr>
                <w:rFonts w:ascii="Arial" w:eastAsia="Calibri" w:hAnsi="Calibri" w:cs="Calibri"/>
                <w:spacing w:val="-2"/>
                <w:sz w:val="22"/>
                <w:lang w:val="en-US"/>
              </w:rPr>
              <w:t xml:space="preserve"> </w:t>
            </w:r>
            <w:r w:rsidRPr="00182F6F">
              <w:rPr>
                <w:rFonts w:ascii="Arial" w:eastAsia="Calibri" w:hAnsi="Calibri" w:cs="Calibri"/>
                <w:sz w:val="22"/>
                <w:lang w:val="en-US"/>
              </w:rPr>
              <w:t>a</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true</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and</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fair</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view</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of</w:t>
            </w:r>
            <w:r w:rsidRPr="00182F6F">
              <w:rPr>
                <w:rFonts w:ascii="Arial" w:eastAsia="Calibri" w:hAnsi="Calibri" w:cs="Calibri"/>
                <w:spacing w:val="-2"/>
                <w:sz w:val="22"/>
                <w:lang w:val="en-US"/>
              </w:rPr>
              <w:t xml:space="preserve"> </w:t>
            </w:r>
            <w:r w:rsidRPr="00182F6F">
              <w:rPr>
                <w:rFonts w:ascii="Arial" w:eastAsia="Calibri" w:hAnsi="Calibri" w:cs="Calibri"/>
                <w:sz w:val="22"/>
                <w:lang w:val="en-US"/>
              </w:rPr>
              <w:t>the</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entity's</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financial</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position</w:t>
            </w:r>
            <w:r w:rsidRPr="00182F6F">
              <w:rPr>
                <w:rFonts w:ascii="Arial" w:eastAsia="Calibri" w:hAnsi="Calibri" w:cs="Calibri"/>
                <w:spacing w:val="-2"/>
                <w:sz w:val="22"/>
                <w:lang w:val="en-US"/>
              </w:rPr>
              <w:t xml:space="preserve"> </w:t>
            </w:r>
            <w:r w:rsidRPr="00182F6F">
              <w:rPr>
                <w:rFonts w:ascii="Arial" w:eastAsia="Calibri" w:hAnsi="Calibri" w:cs="Calibri"/>
                <w:sz w:val="22"/>
                <w:lang w:val="en-US"/>
              </w:rPr>
              <w:t>as</w:t>
            </w:r>
            <w:r w:rsidRPr="00182F6F">
              <w:rPr>
                <w:rFonts w:ascii="Arial" w:eastAsia="Calibri" w:hAnsi="Calibri" w:cs="Calibri"/>
                <w:spacing w:val="-2"/>
                <w:sz w:val="22"/>
                <w:lang w:val="en-US"/>
              </w:rPr>
              <w:t xml:space="preserve"> </w:t>
            </w:r>
            <w:r w:rsidRPr="00182F6F">
              <w:rPr>
                <w:rFonts w:ascii="Arial" w:eastAsia="Calibri" w:hAnsi="Calibri" w:cs="Calibri"/>
                <w:sz w:val="22"/>
                <w:lang w:val="en-US"/>
              </w:rPr>
              <w:t>at 30</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June</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2024, and</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its financial performance and cash flows for the year then ended; and</w:t>
            </w:r>
          </w:p>
          <w:p w14:paraId="3E21FEAA" w14:textId="77777777" w:rsidR="00182F6F" w:rsidRPr="00182F6F" w:rsidRDefault="00182F6F" w:rsidP="002F23D4">
            <w:pPr>
              <w:widowControl w:val="0"/>
              <w:numPr>
                <w:ilvl w:val="0"/>
                <w:numId w:val="59"/>
              </w:numPr>
              <w:tabs>
                <w:tab w:val="left" w:pos="785"/>
                <w:tab w:val="left" w:pos="7876"/>
              </w:tabs>
              <w:autoSpaceDE w:val="0"/>
              <w:autoSpaceDN w:val="0"/>
              <w:spacing w:before="117" w:after="0" w:line="266" w:lineRule="auto"/>
              <w:ind w:right="-113"/>
              <w:rPr>
                <w:rFonts w:ascii="Arial" w:eastAsia="Calibri" w:hAnsi="Calibri" w:cs="Calibri"/>
                <w:sz w:val="22"/>
                <w:lang w:val="en-US"/>
              </w:rPr>
            </w:pPr>
            <w:r w:rsidRPr="00182F6F">
              <w:rPr>
                <w:rFonts w:ascii="Arial" w:eastAsia="Calibri" w:hAnsi="Calibri" w:cs="Calibri"/>
                <w:sz w:val="22"/>
                <w:lang w:val="en-US"/>
              </w:rPr>
              <w:t>complies</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with</w:t>
            </w:r>
            <w:r w:rsidRPr="00182F6F">
              <w:rPr>
                <w:rFonts w:ascii="Arial" w:eastAsia="Calibri" w:hAnsi="Calibri" w:cs="Calibri"/>
                <w:spacing w:val="-5"/>
                <w:sz w:val="22"/>
                <w:lang w:val="en-US"/>
              </w:rPr>
              <w:t xml:space="preserve"> </w:t>
            </w:r>
            <w:r w:rsidRPr="00182F6F">
              <w:rPr>
                <w:rFonts w:ascii="Arial" w:eastAsia="Calibri" w:hAnsi="Calibri" w:cs="Calibri"/>
                <w:sz w:val="22"/>
                <w:lang w:val="en-US"/>
              </w:rPr>
              <w:t>the</w:t>
            </w:r>
            <w:r w:rsidRPr="00182F6F">
              <w:rPr>
                <w:rFonts w:ascii="Arial" w:eastAsia="Calibri" w:hAnsi="Calibri" w:cs="Calibri"/>
                <w:spacing w:val="-2"/>
                <w:sz w:val="22"/>
                <w:lang w:val="en-US"/>
              </w:rPr>
              <w:t xml:space="preserve"> </w:t>
            </w:r>
            <w:r w:rsidRPr="00182F6F">
              <w:rPr>
                <w:rFonts w:ascii="Arial" w:eastAsia="Calibri" w:hAnsi="Calibri" w:cs="Calibri"/>
                <w:i/>
                <w:sz w:val="22"/>
                <w:lang w:val="en-US"/>
              </w:rPr>
              <w:t>Financial</w:t>
            </w:r>
            <w:r w:rsidRPr="00182F6F">
              <w:rPr>
                <w:rFonts w:ascii="Arial" w:eastAsia="Calibri" w:hAnsi="Calibri" w:cs="Calibri"/>
                <w:i/>
                <w:spacing w:val="-4"/>
                <w:sz w:val="22"/>
                <w:lang w:val="en-US"/>
              </w:rPr>
              <w:t xml:space="preserve"> </w:t>
            </w:r>
            <w:r w:rsidRPr="00182F6F">
              <w:rPr>
                <w:rFonts w:ascii="Arial" w:eastAsia="Calibri" w:hAnsi="Calibri" w:cs="Calibri"/>
                <w:i/>
                <w:sz w:val="22"/>
                <w:lang w:val="en-US"/>
              </w:rPr>
              <w:t>Accountability</w:t>
            </w:r>
            <w:r w:rsidRPr="00182F6F">
              <w:rPr>
                <w:rFonts w:ascii="Arial" w:eastAsia="Calibri" w:hAnsi="Calibri" w:cs="Calibri"/>
                <w:i/>
                <w:spacing w:val="-2"/>
                <w:sz w:val="22"/>
                <w:lang w:val="en-US"/>
              </w:rPr>
              <w:t xml:space="preserve"> </w:t>
            </w:r>
            <w:r w:rsidRPr="00182F6F">
              <w:rPr>
                <w:rFonts w:ascii="Arial" w:eastAsia="Calibri" w:hAnsi="Calibri" w:cs="Calibri"/>
                <w:i/>
                <w:sz w:val="22"/>
                <w:lang w:val="en-US"/>
              </w:rPr>
              <w:t>Act</w:t>
            </w:r>
            <w:r w:rsidRPr="00182F6F">
              <w:rPr>
                <w:rFonts w:ascii="Arial" w:eastAsia="Calibri" w:hAnsi="Calibri" w:cs="Calibri"/>
                <w:i/>
                <w:spacing w:val="-4"/>
                <w:sz w:val="22"/>
                <w:lang w:val="en-US"/>
              </w:rPr>
              <w:t xml:space="preserve"> </w:t>
            </w:r>
            <w:r w:rsidRPr="00182F6F">
              <w:rPr>
                <w:rFonts w:ascii="Arial" w:eastAsia="Calibri" w:hAnsi="Calibri" w:cs="Calibri"/>
                <w:i/>
                <w:sz w:val="22"/>
                <w:lang w:val="en-US"/>
              </w:rPr>
              <w:t>2009</w:t>
            </w:r>
            <w:r w:rsidRPr="00182F6F">
              <w:rPr>
                <w:rFonts w:ascii="Arial" w:eastAsia="Calibri" w:hAnsi="Calibri" w:cs="Calibri"/>
                <w:sz w:val="22"/>
                <w:lang w:val="en-US"/>
              </w:rPr>
              <w:t>,</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the</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Financial</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and</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Performance Management Standard 2019 and Australian Accounting Standards.</w:t>
            </w:r>
          </w:p>
          <w:p w14:paraId="39338D3C" w14:textId="77777777" w:rsidR="00182F6F" w:rsidRPr="00182F6F" w:rsidRDefault="00182F6F" w:rsidP="0081730C">
            <w:pPr>
              <w:widowControl w:val="0"/>
              <w:tabs>
                <w:tab w:val="left" w:pos="7876"/>
              </w:tabs>
              <w:autoSpaceDE w:val="0"/>
              <w:autoSpaceDN w:val="0"/>
              <w:spacing w:before="118" w:after="0" w:line="266" w:lineRule="auto"/>
              <w:ind w:left="218" w:right="-116"/>
              <w:rPr>
                <w:rFonts w:ascii="Arial" w:eastAsia="Calibri" w:hAnsi="Calibri" w:cs="Calibri"/>
                <w:sz w:val="22"/>
                <w:lang w:val="en-US"/>
              </w:rPr>
            </w:pPr>
            <w:r w:rsidRPr="00182F6F">
              <w:rPr>
                <w:rFonts w:ascii="Arial" w:eastAsia="Calibri" w:hAnsi="Calibri" w:cs="Calibri"/>
                <w:sz w:val="22"/>
                <w:lang w:val="en-US"/>
              </w:rPr>
              <w:t>The financial report comprises the statement of financial position as at 30 June 2024, the statement of comprehensive income, statement of changes in equity and statement of cash flows</w:t>
            </w:r>
            <w:r w:rsidRPr="00182F6F">
              <w:rPr>
                <w:rFonts w:ascii="Arial" w:eastAsia="Calibri" w:hAnsi="Calibri" w:cs="Calibri"/>
                <w:spacing w:val="-1"/>
                <w:sz w:val="22"/>
                <w:lang w:val="en-US"/>
              </w:rPr>
              <w:t xml:space="preserve"> </w:t>
            </w:r>
            <w:r w:rsidRPr="00182F6F">
              <w:rPr>
                <w:rFonts w:ascii="Arial" w:eastAsia="Calibri" w:hAnsi="Calibri" w:cs="Calibri"/>
                <w:sz w:val="22"/>
                <w:lang w:val="en-US"/>
              </w:rPr>
              <w:t>for</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the</w:t>
            </w:r>
            <w:r w:rsidRPr="00182F6F">
              <w:rPr>
                <w:rFonts w:ascii="Arial" w:eastAsia="Calibri" w:hAnsi="Calibri" w:cs="Calibri"/>
                <w:spacing w:val="-2"/>
                <w:sz w:val="22"/>
                <w:lang w:val="en-US"/>
              </w:rPr>
              <w:t xml:space="preserve"> </w:t>
            </w:r>
            <w:r w:rsidRPr="00182F6F">
              <w:rPr>
                <w:rFonts w:ascii="Arial" w:eastAsia="Calibri" w:hAnsi="Calibri" w:cs="Calibri"/>
                <w:sz w:val="22"/>
                <w:lang w:val="en-US"/>
              </w:rPr>
              <w:t>year</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then</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ended, notes</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to</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the</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financial</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statements</w:t>
            </w:r>
            <w:r w:rsidRPr="00182F6F">
              <w:rPr>
                <w:rFonts w:ascii="Arial" w:eastAsia="Calibri" w:hAnsi="Calibri" w:cs="Calibri"/>
                <w:spacing w:val="-2"/>
                <w:sz w:val="22"/>
                <w:lang w:val="en-US"/>
              </w:rPr>
              <w:t xml:space="preserve"> </w:t>
            </w:r>
            <w:r w:rsidRPr="00182F6F">
              <w:rPr>
                <w:rFonts w:ascii="Arial" w:eastAsia="Calibri" w:hAnsi="Calibri" w:cs="Calibri"/>
                <w:sz w:val="22"/>
                <w:lang w:val="en-US"/>
              </w:rPr>
              <w:t>including</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material</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accounting policy information, and the management certificate.</w:t>
            </w:r>
          </w:p>
          <w:p w14:paraId="09BE0999" w14:textId="77777777" w:rsidR="00182F6F" w:rsidRPr="00182F6F" w:rsidRDefault="00182F6F" w:rsidP="00182F6F">
            <w:pPr>
              <w:widowControl w:val="0"/>
              <w:tabs>
                <w:tab w:val="left" w:pos="7876"/>
              </w:tabs>
              <w:autoSpaceDE w:val="0"/>
              <w:autoSpaceDN w:val="0"/>
              <w:spacing w:before="117" w:after="0"/>
              <w:ind w:left="218"/>
              <w:outlineLvl w:val="3"/>
              <w:rPr>
                <w:rFonts w:ascii="Arial" w:eastAsia="Calibri" w:hAnsi="Calibri" w:cs="Calibri"/>
                <w:b/>
                <w:bCs/>
                <w:sz w:val="22"/>
                <w:lang w:val="en-US"/>
              </w:rPr>
            </w:pPr>
            <w:r w:rsidRPr="00182F6F">
              <w:rPr>
                <w:rFonts w:ascii="Arial" w:eastAsia="Calibri" w:hAnsi="Calibri" w:cs="Calibri"/>
                <w:b/>
                <w:bCs/>
                <w:sz w:val="22"/>
                <w:lang w:val="en-US"/>
              </w:rPr>
              <w:t>Basis</w:t>
            </w:r>
            <w:r w:rsidRPr="00182F6F">
              <w:rPr>
                <w:rFonts w:ascii="Arial" w:eastAsia="Calibri" w:hAnsi="Calibri" w:cs="Calibri"/>
                <w:b/>
                <w:bCs/>
                <w:spacing w:val="-5"/>
                <w:sz w:val="22"/>
                <w:lang w:val="en-US"/>
              </w:rPr>
              <w:t xml:space="preserve"> </w:t>
            </w:r>
            <w:r w:rsidRPr="00182F6F">
              <w:rPr>
                <w:rFonts w:ascii="Arial" w:eastAsia="Calibri" w:hAnsi="Calibri" w:cs="Calibri"/>
                <w:b/>
                <w:bCs/>
                <w:sz w:val="22"/>
                <w:lang w:val="en-US"/>
              </w:rPr>
              <w:t>for</w:t>
            </w:r>
            <w:r w:rsidRPr="00182F6F">
              <w:rPr>
                <w:rFonts w:ascii="Arial" w:eastAsia="Calibri" w:hAnsi="Calibri" w:cs="Calibri"/>
                <w:b/>
                <w:bCs/>
                <w:spacing w:val="-2"/>
                <w:sz w:val="22"/>
                <w:lang w:val="en-US"/>
              </w:rPr>
              <w:t xml:space="preserve"> opinion</w:t>
            </w:r>
          </w:p>
          <w:p w14:paraId="5A82DB0B" w14:textId="77777777" w:rsidR="00182F6F" w:rsidRPr="00182F6F" w:rsidRDefault="00182F6F" w:rsidP="0081730C">
            <w:pPr>
              <w:widowControl w:val="0"/>
              <w:tabs>
                <w:tab w:val="left" w:pos="7876"/>
              </w:tabs>
              <w:autoSpaceDE w:val="0"/>
              <w:autoSpaceDN w:val="0"/>
              <w:spacing w:before="148" w:after="0" w:line="266" w:lineRule="auto"/>
              <w:ind w:left="218" w:right="-116"/>
              <w:rPr>
                <w:rFonts w:ascii="Arial" w:eastAsia="Calibri" w:hAnsi="Arial" w:cs="Calibri"/>
                <w:sz w:val="22"/>
                <w:lang w:val="en-US"/>
              </w:rPr>
            </w:pPr>
            <w:r w:rsidRPr="00182F6F">
              <w:rPr>
                <w:rFonts w:ascii="Arial" w:eastAsia="Calibri" w:hAnsi="Arial" w:cs="Calibri"/>
                <w:sz w:val="22"/>
                <w:lang w:val="en-US"/>
              </w:rPr>
              <w:t xml:space="preserve">I conducted my audit in accordance with the </w:t>
            </w:r>
            <w:r w:rsidRPr="00182F6F">
              <w:rPr>
                <w:rFonts w:ascii="Arial" w:eastAsia="Calibri" w:hAnsi="Arial" w:cs="Calibri"/>
                <w:i/>
                <w:sz w:val="22"/>
                <w:lang w:val="en-US"/>
              </w:rPr>
              <w:t>Auditor-General Auditing Standards</w:t>
            </w:r>
            <w:r w:rsidRPr="00182F6F">
              <w:rPr>
                <w:rFonts w:ascii="Arial" w:eastAsia="Calibri" w:hAnsi="Arial" w:cs="Calibri"/>
                <w:sz w:val="22"/>
                <w:lang w:val="en-US"/>
              </w:rPr>
              <w:t>, which incorporate the Australian Auditing Standards. My responsibilities under those standards are further</w:t>
            </w:r>
            <w:r w:rsidRPr="00182F6F">
              <w:rPr>
                <w:rFonts w:ascii="Arial" w:eastAsia="Calibri" w:hAnsi="Arial" w:cs="Calibri"/>
                <w:spacing w:val="-3"/>
                <w:sz w:val="22"/>
                <w:lang w:val="en-US"/>
              </w:rPr>
              <w:t xml:space="preserve"> </w:t>
            </w:r>
            <w:r w:rsidRPr="00182F6F">
              <w:rPr>
                <w:rFonts w:ascii="Arial" w:eastAsia="Calibri" w:hAnsi="Arial" w:cs="Calibri"/>
                <w:sz w:val="22"/>
                <w:lang w:val="en-US"/>
              </w:rPr>
              <w:t>described</w:t>
            </w:r>
            <w:r w:rsidRPr="00182F6F">
              <w:rPr>
                <w:rFonts w:ascii="Arial" w:eastAsia="Calibri" w:hAnsi="Arial" w:cs="Calibri"/>
                <w:spacing w:val="-4"/>
                <w:sz w:val="22"/>
                <w:lang w:val="en-US"/>
              </w:rPr>
              <w:t xml:space="preserve"> </w:t>
            </w:r>
            <w:r w:rsidRPr="00182F6F">
              <w:rPr>
                <w:rFonts w:ascii="Arial" w:eastAsia="Calibri" w:hAnsi="Arial" w:cs="Calibri"/>
                <w:sz w:val="22"/>
                <w:lang w:val="en-US"/>
              </w:rPr>
              <w:t>in</w:t>
            </w:r>
            <w:r w:rsidRPr="00182F6F">
              <w:rPr>
                <w:rFonts w:ascii="Arial" w:eastAsia="Calibri" w:hAnsi="Arial" w:cs="Calibri"/>
                <w:spacing w:val="-2"/>
                <w:sz w:val="22"/>
                <w:lang w:val="en-US"/>
              </w:rPr>
              <w:t xml:space="preserve"> </w:t>
            </w:r>
            <w:r w:rsidRPr="00182F6F">
              <w:rPr>
                <w:rFonts w:ascii="Arial" w:eastAsia="Calibri" w:hAnsi="Arial" w:cs="Calibri"/>
                <w:sz w:val="22"/>
                <w:lang w:val="en-US"/>
              </w:rPr>
              <w:t>the</w:t>
            </w:r>
            <w:r w:rsidRPr="00182F6F">
              <w:rPr>
                <w:rFonts w:ascii="Arial" w:eastAsia="Calibri" w:hAnsi="Arial" w:cs="Calibri"/>
                <w:spacing w:val="-6"/>
                <w:sz w:val="22"/>
                <w:lang w:val="en-US"/>
              </w:rPr>
              <w:t xml:space="preserve"> </w:t>
            </w:r>
            <w:r w:rsidRPr="00182F6F">
              <w:rPr>
                <w:rFonts w:ascii="Arial" w:eastAsia="Calibri" w:hAnsi="Arial" w:cs="Calibri"/>
                <w:i/>
                <w:sz w:val="22"/>
                <w:lang w:val="en-US"/>
              </w:rPr>
              <w:t>Auditor’s</w:t>
            </w:r>
            <w:r w:rsidRPr="00182F6F">
              <w:rPr>
                <w:rFonts w:ascii="Arial" w:eastAsia="Calibri" w:hAnsi="Arial" w:cs="Calibri"/>
                <w:i/>
                <w:spacing w:val="-2"/>
                <w:sz w:val="22"/>
                <w:lang w:val="en-US"/>
              </w:rPr>
              <w:t xml:space="preserve"> </w:t>
            </w:r>
            <w:r w:rsidRPr="00182F6F">
              <w:rPr>
                <w:rFonts w:ascii="Arial" w:eastAsia="Calibri" w:hAnsi="Arial" w:cs="Calibri"/>
                <w:i/>
                <w:sz w:val="22"/>
                <w:lang w:val="en-US"/>
              </w:rPr>
              <w:t>Responsibilities</w:t>
            </w:r>
            <w:r w:rsidRPr="00182F6F">
              <w:rPr>
                <w:rFonts w:ascii="Arial" w:eastAsia="Calibri" w:hAnsi="Arial" w:cs="Calibri"/>
                <w:i/>
                <w:spacing w:val="-2"/>
                <w:sz w:val="22"/>
                <w:lang w:val="en-US"/>
              </w:rPr>
              <w:t xml:space="preserve"> </w:t>
            </w:r>
            <w:r w:rsidRPr="00182F6F">
              <w:rPr>
                <w:rFonts w:ascii="Arial" w:eastAsia="Calibri" w:hAnsi="Arial" w:cs="Calibri"/>
                <w:i/>
                <w:sz w:val="22"/>
                <w:lang w:val="en-US"/>
              </w:rPr>
              <w:t>for</w:t>
            </w:r>
            <w:r w:rsidRPr="00182F6F">
              <w:rPr>
                <w:rFonts w:ascii="Arial" w:eastAsia="Calibri" w:hAnsi="Arial" w:cs="Calibri"/>
                <w:i/>
                <w:spacing w:val="-3"/>
                <w:sz w:val="22"/>
                <w:lang w:val="en-US"/>
              </w:rPr>
              <w:t xml:space="preserve"> </w:t>
            </w:r>
            <w:r w:rsidRPr="00182F6F">
              <w:rPr>
                <w:rFonts w:ascii="Arial" w:eastAsia="Calibri" w:hAnsi="Arial" w:cs="Calibri"/>
                <w:i/>
                <w:sz w:val="22"/>
                <w:lang w:val="en-US"/>
              </w:rPr>
              <w:t>the</w:t>
            </w:r>
            <w:r w:rsidRPr="00182F6F">
              <w:rPr>
                <w:rFonts w:ascii="Arial" w:eastAsia="Calibri" w:hAnsi="Arial" w:cs="Calibri"/>
                <w:i/>
                <w:spacing w:val="-2"/>
                <w:sz w:val="22"/>
                <w:lang w:val="en-US"/>
              </w:rPr>
              <w:t xml:space="preserve"> </w:t>
            </w:r>
            <w:r w:rsidRPr="00182F6F">
              <w:rPr>
                <w:rFonts w:ascii="Arial" w:eastAsia="Calibri" w:hAnsi="Arial" w:cs="Calibri"/>
                <w:i/>
                <w:sz w:val="22"/>
                <w:lang w:val="en-US"/>
              </w:rPr>
              <w:t>Audit</w:t>
            </w:r>
            <w:r w:rsidRPr="00182F6F">
              <w:rPr>
                <w:rFonts w:ascii="Arial" w:eastAsia="Calibri" w:hAnsi="Arial" w:cs="Calibri"/>
                <w:i/>
                <w:spacing w:val="-3"/>
                <w:sz w:val="22"/>
                <w:lang w:val="en-US"/>
              </w:rPr>
              <w:t xml:space="preserve"> </w:t>
            </w:r>
            <w:r w:rsidRPr="00182F6F">
              <w:rPr>
                <w:rFonts w:ascii="Arial" w:eastAsia="Calibri" w:hAnsi="Arial" w:cs="Calibri"/>
                <w:i/>
                <w:sz w:val="22"/>
                <w:lang w:val="en-US"/>
              </w:rPr>
              <w:t>of</w:t>
            </w:r>
            <w:r w:rsidRPr="00182F6F">
              <w:rPr>
                <w:rFonts w:ascii="Arial" w:eastAsia="Calibri" w:hAnsi="Arial" w:cs="Calibri"/>
                <w:i/>
                <w:spacing w:val="-3"/>
                <w:sz w:val="22"/>
                <w:lang w:val="en-US"/>
              </w:rPr>
              <w:t xml:space="preserve"> </w:t>
            </w:r>
            <w:r w:rsidRPr="00182F6F">
              <w:rPr>
                <w:rFonts w:ascii="Arial" w:eastAsia="Calibri" w:hAnsi="Arial" w:cs="Calibri"/>
                <w:i/>
                <w:sz w:val="22"/>
                <w:lang w:val="en-US"/>
              </w:rPr>
              <w:t>the</w:t>
            </w:r>
            <w:r w:rsidRPr="00182F6F">
              <w:rPr>
                <w:rFonts w:ascii="Arial" w:eastAsia="Calibri" w:hAnsi="Arial" w:cs="Calibri"/>
                <w:i/>
                <w:spacing w:val="-4"/>
                <w:sz w:val="22"/>
                <w:lang w:val="en-US"/>
              </w:rPr>
              <w:t xml:space="preserve"> </w:t>
            </w:r>
            <w:r w:rsidRPr="00182F6F">
              <w:rPr>
                <w:rFonts w:ascii="Arial" w:eastAsia="Calibri" w:hAnsi="Arial" w:cs="Calibri"/>
                <w:i/>
                <w:sz w:val="22"/>
                <w:lang w:val="en-US"/>
              </w:rPr>
              <w:t>Financial</w:t>
            </w:r>
            <w:r w:rsidRPr="00182F6F">
              <w:rPr>
                <w:rFonts w:ascii="Arial" w:eastAsia="Calibri" w:hAnsi="Arial" w:cs="Calibri"/>
                <w:i/>
                <w:spacing w:val="-3"/>
                <w:sz w:val="22"/>
                <w:lang w:val="en-US"/>
              </w:rPr>
              <w:t xml:space="preserve"> </w:t>
            </w:r>
            <w:r w:rsidRPr="00182F6F">
              <w:rPr>
                <w:rFonts w:ascii="Arial" w:eastAsia="Calibri" w:hAnsi="Arial" w:cs="Calibri"/>
                <w:i/>
                <w:sz w:val="22"/>
                <w:lang w:val="en-US"/>
              </w:rPr>
              <w:t xml:space="preserve">Report </w:t>
            </w:r>
            <w:r w:rsidRPr="00182F6F">
              <w:rPr>
                <w:rFonts w:ascii="Arial" w:eastAsia="Calibri" w:hAnsi="Arial" w:cs="Calibri"/>
                <w:sz w:val="22"/>
                <w:lang w:val="en-US"/>
              </w:rPr>
              <w:t>section of my report.</w:t>
            </w:r>
          </w:p>
          <w:p w14:paraId="691A1221" w14:textId="77777777" w:rsidR="00182F6F" w:rsidRPr="00182F6F" w:rsidRDefault="00182F6F" w:rsidP="0081730C">
            <w:pPr>
              <w:widowControl w:val="0"/>
              <w:tabs>
                <w:tab w:val="left" w:pos="7876"/>
              </w:tabs>
              <w:autoSpaceDE w:val="0"/>
              <w:autoSpaceDN w:val="0"/>
              <w:spacing w:before="116" w:after="0" w:line="266" w:lineRule="auto"/>
              <w:ind w:left="218" w:right="25"/>
              <w:rPr>
                <w:rFonts w:ascii="Arial" w:eastAsia="Calibri" w:hAnsi="Arial" w:cs="Calibri"/>
                <w:sz w:val="22"/>
                <w:lang w:val="en-US"/>
              </w:rPr>
            </w:pPr>
            <w:r w:rsidRPr="00182F6F">
              <w:rPr>
                <w:rFonts w:ascii="Arial" w:eastAsia="Calibri" w:hAnsi="Arial" w:cs="Calibri"/>
                <w:sz w:val="22"/>
                <w:lang w:val="en-US"/>
              </w:rPr>
              <w:t>I am</w:t>
            </w:r>
            <w:r w:rsidRPr="00182F6F">
              <w:rPr>
                <w:rFonts w:ascii="Arial" w:eastAsia="Calibri" w:hAnsi="Arial" w:cs="Calibri"/>
                <w:spacing w:val="-1"/>
                <w:sz w:val="22"/>
                <w:lang w:val="en-US"/>
              </w:rPr>
              <w:t xml:space="preserve"> </w:t>
            </w:r>
            <w:r w:rsidRPr="00182F6F">
              <w:rPr>
                <w:rFonts w:ascii="Arial" w:eastAsia="Calibri" w:hAnsi="Arial" w:cs="Calibri"/>
                <w:sz w:val="22"/>
                <w:lang w:val="en-US"/>
              </w:rPr>
              <w:t>independent of</w:t>
            </w:r>
            <w:r w:rsidRPr="00182F6F">
              <w:rPr>
                <w:rFonts w:ascii="Arial" w:eastAsia="Calibri" w:hAnsi="Arial" w:cs="Calibri"/>
                <w:spacing w:val="-3"/>
                <w:sz w:val="22"/>
                <w:lang w:val="en-US"/>
              </w:rPr>
              <w:t xml:space="preserve"> </w:t>
            </w:r>
            <w:r w:rsidRPr="00182F6F">
              <w:rPr>
                <w:rFonts w:ascii="Arial" w:eastAsia="Calibri" w:hAnsi="Arial" w:cs="Calibri"/>
                <w:sz w:val="22"/>
                <w:lang w:val="en-US"/>
              </w:rPr>
              <w:t>the</w:t>
            </w:r>
            <w:r w:rsidRPr="00182F6F">
              <w:rPr>
                <w:rFonts w:ascii="Arial" w:eastAsia="Calibri" w:hAnsi="Arial" w:cs="Calibri"/>
                <w:spacing w:val="-3"/>
                <w:sz w:val="22"/>
                <w:lang w:val="en-US"/>
              </w:rPr>
              <w:t xml:space="preserve"> </w:t>
            </w:r>
            <w:r w:rsidRPr="00182F6F">
              <w:rPr>
                <w:rFonts w:ascii="Arial" w:eastAsia="Calibri" w:hAnsi="Arial" w:cs="Calibri"/>
                <w:sz w:val="22"/>
                <w:lang w:val="en-US"/>
              </w:rPr>
              <w:t>entity</w:t>
            </w:r>
            <w:r w:rsidRPr="00182F6F">
              <w:rPr>
                <w:rFonts w:ascii="Arial" w:eastAsia="Calibri" w:hAnsi="Arial" w:cs="Calibri"/>
                <w:spacing w:val="-1"/>
                <w:sz w:val="22"/>
                <w:lang w:val="en-US"/>
              </w:rPr>
              <w:t xml:space="preserve"> </w:t>
            </w:r>
            <w:r w:rsidRPr="00182F6F">
              <w:rPr>
                <w:rFonts w:ascii="Arial" w:eastAsia="Calibri" w:hAnsi="Arial" w:cs="Calibri"/>
                <w:sz w:val="22"/>
                <w:lang w:val="en-US"/>
              </w:rPr>
              <w:t>in</w:t>
            </w:r>
            <w:r w:rsidRPr="00182F6F">
              <w:rPr>
                <w:rFonts w:ascii="Arial" w:eastAsia="Calibri" w:hAnsi="Arial" w:cs="Calibri"/>
                <w:spacing w:val="-4"/>
                <w:sz w:val="22"/>
                <w:lang w:val="en-US"/>
              </w:rPr>
              <w:t xml:space="preserve"> </w:t>
            </w:r>
            <w:r w:rsidRPr="00182F6F">
              <w:rPr>
                <w:rFonts w:ascii="Arial" w:eastAsia="Calibri" w:hAnsi="Arial" w:cs="Calibri"/>
                <w:sz w:val="22"/>
                <w:lang w:val="en-US"/>
              </w:rPr>
              <w:t>accordance</w:t>
            </w:r>
            <w:r w:rsidRPr="00182F6F">
              <w:rPr>
                <w:rFonts w:ascii="Arial" w:eastAsia="Calibri" w:hAnsi="Arial" w:cs="Calibri"/>
                <w:spacing w:val="-2"/>
                <w:sz w:val="22"/>
                <w:lang w:val="en-US"/>
              </w:rPr>
              <w:t xml:space="preserve"> </w:t>
            </w:r>
            <w:r w:rsidRPr="00182F6F">
              <w:rPr>
                <w:rFonts w:ascii="Arial" w:eastAsia="Calibri" w:hAnsi="Arial" w:cs="Calibri"/>
                <w:sz w:val="22"/>
                <w:lang w:val="en-US"/>
              </w:rPr>
              <w:t>with</w:t>
            </w:r>
            <w:r w:rsidRPr="00182F6F">
              <w:rPr>
                <w:rFonts w:ascii="Arial" w:eastAsia="Calibri" w:hAnsi="Arial" w:cs="Calibri"/>
                <w:spacing w:val="-4"/>
                <w:sz w:val="22"/>
                <w:lang w:val="en-US"/>
              </w:rPr>
              <w:t xml:space="preserve"> </w:t>
            </w:r>
            <w:r w:rsidRPr="00182F6F">
              <w:rPr>
                <w:rFonts w:ascii="Arial" w:eastAsia="Calibri" w:hAnsi="Arial" w:cs="Calibri"/>
                <w:sz w:val="22"/>
                <w:lang w:val="en-US"/>
              </w:rPr>
              <w:t>the</w:t>
            </w:r>
            <w:r w:rsidRPr="00182F6F">
              <w:rPr>
                <w:rFonts w:ascii="Arial" w:eastAsia="Calibri" w:hAnsi="Arial" w:cs="Calibri"/>
                <w:spacing w:val="-4"/>
                <w:sz w:val="22"/>
                <w:lang w:val="en-US"/>
              </w:rPr>
              <w:t xml:space="preserve"> </w:t>
            </w:r>
            <w:r w:rsidRPr="00182F6F">
              <w:rPr>
                <w:rFonts w:ascii="Arial" w:eastAsia="Calibri" w:hAnsi="Arial" w:cs="Calibri"/>
                <w:sz w:val="22"/>
                <w:lang w:val="en-US"/>
              </w:rPr>
              <w:t>ethical</w:t>
            </w:r>
            <w:r w:rsidRPr="00182F6F">
              <w:rPr>
                <w:rFonts w:ascii="Arial" w:eastAsia="Calibri" w:hAnsi="Arial" w:cs="Calibri"/>
                <w:spacing w:val="-5"/>
                <w:sz w:val="22"/>
                <w:lang w:val="en-US"/>
              </w:rPr>
              <w:t xml:space="preserve"> </w:t>
            </w:r>
            <w:r w:rsidRPr="00182F6F">
              <w:rPr>
                <w:rFonts w:ascii="Arial" w:eastAsia="Calibri" w:hAnsi="Arial" w:cs="Calibri"/>
                <w:sz w:val="22"/>
                <w:lang w:val="en-US"/>
              </w:rPr>
              <w:t>requirements</w:t>
            </w:r>
            <w:r w:rsidRPr="00182F6F">
              <w:rPr>
                <w:rFonts w:ascii="Arial" w:eastAsia="Calibri" w:hAnsi="Arial" w:cs="Calibri"/>
                <w:spacing w:val="-4"/>
                <w:sz w:val="22"/>
                <w:lang w:val="en-US"/>
              </w:rPr>
              <w:t xml:space="preserve"> </w:t>
            </w:r>
            <w:r w:rsidRPr="00182F6F">
              <w:rPr>
                <w:rFonts w:ascii="Arial" w:eastAsia="Calibri" w:hAnsi="Arial" w:cs="Calibri"/>
                <w:sz w:val="22"/>
                <w:lang w:val="en-US"/>
              </w:rPr>
              <w:t>of</w:t>
            </w:r>
            <w:r w:rsidRPr="00182F6F">
              <w:rPr>
                <w:rFonts w:ascii="Arial" w:eastAsia="Calibri" w:hAnsi="Arial" w:cs="Calibri"/>
                <w:spacing w:val="-3"/>
                <w:sz w:val="22"/>
                <w:lang w:val="en-US"/>
              </w:rPr>
              <w:t xml:space="preserve"> </w:t>
            </w:r>
            <w:r w:rsidRPr="00182F6F">
              <w:rPr>
                <w:rFonts w:ascii="Arial" w:eastAsia="Calibri" w:hAnsi="Arial" w:cs="Calibri"/>
                <w:sz w:val="22"/>
                <w:lang w:val="en-US"/>
              </w:rPr>
              <w:t>the</w:t>
            </w:r>
            <w:r w:rsidRPr="00182F6F">
              <w:rPr>
                <w:rFonts w:ascii="Arial" w:eastAsia="Calibri" w:hAnsi="Arial" w:cs="Calibri"/>
                <w:spacing w:val="-4"/>
                <w:sz w:val="22"/>
                <w:lang w:val="en-US"/>
              </w:rPr>
              <w:t xml:space="preserve"> </w:t>
            </w:r>
            <w:r w:rsidRPr="00182F6F">
              <w:rPr>
                <w:rFonts w:ascii="Arial" w:eastAsia="Calibri" w:hAnsi="Arial" w:cs="Calibri"/>
                <w:sz w:val="22"/>
                <w:lang w:val="en-US"/>
              </w:rPr>
              <w:t xml:space="preserve">Accounting Professional and Ethical Standards Board’s APES 110 </w:t>
            </w:r>
            <w:r w:rsidRPr="00182F6F">
              <w:rPr>
                <w:rFonts w:ascii="Arial" w:eastAsia="Calibri" w:hAnsi="Arial" w:cs="Calibri"/>
                <w:i/>
                <w:sz w:val="22"/>
                <w:lang w:val="en-US"/>
              </w:rPr>
              <w:t xml:space="preserve">Code of Ethics for Professional Accountants (including independence standards) </w:t>
            </w:r>
            <w:r w:rsidRPr="00182F6F">
              <w:rPr>
                <w:rFonts w:ascii="Arial" w:eastAsia="Calibri" w:hAnsi="Arial" w:cs="Calibri"/>
                <w:sz w:val="22"/>
                <w:lang w:val="en-US"/>
              </w:rPr>
              <w:t xml:space="preserve">(the Code) that are relevant to my audit of the financial report in Australia. I have also fulfilled my other ethical responsibilities in accordance with the Code and the </w:t>
            </w:r>
            <w:r w:rsidRPr="00182F6F">
              <w:rPr>
                <w:rFonts w:ascii="Arial" w:eastAsia="Calibri" w:hAnsi="Arial" w:cs="Calibri"/>
                <w:i/>
                <w:sz w:val="22"/>
                <w:lang w:val="en-US"/>
              </w:rPr>
              <w:t>Auditor-General Auditing Standards</w:t>
            </w:r>
            <w:r w:rsidRPr="00182F6F">
              <w:rPr>
                <w:rFonts w:ascii="Arial" w:eastAsia="Calibri" w:hAnsi="Arial" w:cs="Calibri"/>
                <w:sz w:val="22"/>
                <w:lang w:val="en-US"/>
              </w:rPr>
              <w:t>.</w:t>
            </w:r>
          </w:p>
          <w:p w14:paraId="283673BA" w14:textId="77777777" w:rsidR="00182F6F" w:rsidRPr="00182F6F" w:rsidRDefault="00182F6F" w:rsidP="0081730C">
            <w:pPr>
              <w:widowControl w:val="0"/>
              <w:tabs>
                <w:tab w:val="left" w:pos="7876"/>
                <w:tab w:val="left" w:pos="8557"/>
              </w:tabs>
              <w:autoSpaceDE w:val="0"/>
              <w:autoSpaceDN w:val="0"/>
              <w:spacing w:before="117" w:after="0" w:line="266" w:lineRule="auto"/>
              <w:ind w:left="218" w:right="167"/>
              <w:rPr>
                <w:rFonts w:ascii="Arial" w:eastAsia="Calibri" w:hAnsi="Calibri" w:cs="Calibri"/>
                <w:sz w:val="22"/>
                <w:lang w:val="en-US"/>
              </w:rPr>
            </w:pPr>
            <w:r w:rsidRPr="00182F6F">
              <w:rPr>
                <w:rFonts w:ascii="Arial" w:eastAsia="Calibri" w:hAnsi="Calibri" w:cs="Calibri"/>
                <w:sz w:val="22"/>
                <w:lang w:val="en-US"/>
              </w:rPr>
              <w:t>I believe</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that</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the</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audit</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evidence</w:t>
            </w:r>
            <w:r w:rsidRPr="00182F6F">
              <w:rPr>
                <w:rFonts w:ascii="Arial" w:eastAsia="Calibri" w:hAnsi="Calibri" w:cs="Calibri"/>
                <w:spacing w:val="-2"/>
                <w:sz w:val="22"/>
                <w:lang w:val="en-US"/>
              </w:rPr>
              <w:t xml:space="preserve"> </w:t>
            </w:r>
            <w:r w:rsidRPr="00182F6F">
              <w:rPr>
                <w:rFonts w:ascii="Arial" w:eastAsia="Calibri" w:hAnsi="Calibri" w:cs="Calibri"/>
                <w:sz w:val="22"/>
                <w:lang w:val="en-US"/>
              </w:rPr>
              <w:t>I have</w:t>
            </w:r>
            <w:r w:rsidRPr="00182F6F">
              <w:rPr>
                <w:rFonts w:ascii="Arial" w:eastAsia="Calibri" w:hAnsi="Calibri" w:cs="Calibri"/>
                <w:spacing w:val="-2"/>
                <w:sz w:val="22"/>
                <w:lang w:val="en-US"/>
              </w:rPr>
              <w:t xml:space="preserve"> </w:t>
            </w:r>
            <w:r w:rsidRPr="00182F6F">
              <w:rPr>
                <w:rFonts w:ascii="Arial" w:eastAsia="Calibri" w:hAnsi="Calibri" w:cs="Calibri"/>
                <w:sz w:val="22"/>
                <w:lang w:val="en-US"/>
              </w:rPr>
              <w:t>obtained</w:t>
            </w:r>
            <w:r w:rsidRPr="00182F6F">
              <w:rPr>
                <w:rFonts w:ascii="Arial" w:eastAsia="Calibri" w:hAnsi="Calibri" w:cs="Calibri"/>
                <w:spacing w:val="-2"/>
                <w:sz w:val="22"/>
                <w:lang w:val="en-US"/>
              </w:rPr>
              <w:t xml:space="preserve"> </w:t>
            </w:r>
            <w:r w:rsidRPr="00182F6F">
              <w:rPr>
                <w:rFonts w:ascii="Arial" w:eastAsia="Calibri" w:hAnsi="Calibri" w:cs="Calibri"/>
                <w:sz w:val="22"/>
                <w:lang w:val="en-US"/>
              </w:rPr>
              <w:t>is</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sufficient and</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appropriate</w:t>
            </w:r>
            <w:r w:rsidRPr="00182F6F">
              <w:rPr>
                <w:rFonts w:ascii="Arial" w:eastAsia="Calibri" w:hAnsi="Calibri" w:cs="Calibri"/>
                <w:spacing w:val="-2"/>
                <w:sz w:val="22"/>
                <w:lang w:val="en-US"/>
              </w:rPr>
              <w:t xml:space="preserve"> </w:t>
            </w:r>
            <w:r w:rsidRPr="00182F6F">
              <w:rPr>
                <w:rFonts w:ascii="Arial" w:eastAsia="Calibri" w:hAnsi="Calibri" w:cs="Calibri"/>
                <w:sz w:val="22"/>
                <w:lang w:val="en-US"/>
              </w:rPr>
              <w:t>to</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provide</w:t>
            </w:r>
            <w:r w:rsidRPr="00182F6F">
              <w:rPr>
                <w:rFonts w:ascii="Arial" w:eastAsia="Calibri" w:hAnsi="Calibri" w:cs="Calibri"/>
                <w:spacing w:val="-2"/>
                <w:sz w:val="22"/>
                <w:lang w:val="en-US"/>
              </w:rPr>
              <w:t xml:space="preserve"> </w:t>
            </w:r>
            <w:r w:rsidRPr="00182F6F">
              <w:rPr>
                <w:rFonts w:ascii="Arial" w:eastAsia="Calibri" w:hAnsi="Calibri" w:cs="Calibri"/>
                <w:sz w:val="22"/>
                <w:lang w:val="en-US"/>
              </w:rPr>
              <w:t>a basis for my opinion.</w:t>
            </w:r>
          </w:p>
          <w:p w14:paraId="4C026416" w14:textId="77777777" w:rsidR="00182F6F" w:rsidRPr="00182F6F" w:rsidRDefault="00182F6F" w:rsidP="00182F6F">
            <w:pPr>
              <w:widowControl w:val="0"/>
              <w:tabs>
                <w:tab w:val="left" w:pos="7876"/>
              </w:tabs>
              <w:autoSpaceDE w:val="0"/>
              <w:autoSpaceDN w:val="0"/>
              <w:spacing w:before="118" w:after="0"/>
              <w:ind w:left="218"/>
              <w:outlineLvl w:val="3"/>
              <w:rPr>
                <w:rFonts w:ascii="Arial" w:eastAsia="Calibri" w:hAnsi="Calibri" w:cs="Calibri"/>
                <w:b/>
                <w:bCs/>
                <w:sz w:val="22"/>
                <w:lang w:val="en-US"/>
              </w:rPr>
            </w:pPr>
            <w:r w:rsidRPr="00182F6F">
              <w:rPr>
                <w:rFonts w:ascii="Arial" w:eastAsia="Calibri" w:hAnsi="Calibri" w:cs="Calibri"/>
                <w:b/>
                <w:bCs/>
                <w:sz w:val="22"/>
                <w:lang w:val="en-US"/>
              </w:rPr>
              <w:t>Responsibilities</w:t>
            </w:r>
            <w:r w:rsidRPr="00182F6F">
              <w:rPr>
                <w:rFonts w:ascii="Arial" w:eastAsia="Calibri" w:hAnsi="Calibri" w:cs="Calibri"/>
                <w:b/>
                <w:bCs/>
                <w:spacing w:val="-6"/>
                <w:sz w:val="22"/>
                <w:lang w:val="en-US"/>
              </w:rPr>
              <w:t xml:space="preserve"> </w:t>
            </w:r>
            <w:r w:rsidRPr="00182F6F">
              <w:rPr>
                <w:rFonts w:ascii="Arial" w:eastAsia="Calibri" w:hAnsi="Calibri" w:cs="Calibri"/>
                <w:b/>
                <w:bCs/>
                <w:sz w:val="22"/>
                <w:lang w:val="en-US"/>
              </w:rPr>
              <w:t>of</w:t>
            </w:r>
            <w:r w:rsidRPr="00182F6F">
              <w:rPr>
                <w:rFonts w:ascii="Arial" w:eastAsia="Calibri" w:hAnsi="Calibri" w:cs="Calibri"/>
                <w:b/>
                <w:bCs/>
                <w:spacing w:val="-4"/>
                <w:sz w:val="22"/>
                <w:lang w:val="en-US"/>
              </w:rPr>
              <w:t xml:space="preserve"> </w:t>
            </w:r>
            <w:r w:rsidRPr="00182F6F">
              <w:rPr>
                <w:rFonts w:ascii="Arial" w:eastAsia="Calibri" w:hAnsi="Calibri" w:cs="Calibri"/>
                <w:b/>
                <w:bCs/>
                <w:sz w:val="22"/>
                <w:lang w:val="en-US"/>
              </w:rPr>
              <w:t>the</w:t>
            </w:r>
            <w:r w:rsidRPr="00182F6F">
              <w:rPr>
                <w:rFonts w:ascii="Arial" w:eastAsia="Calibri" w:hAnsi="Calibri" w:cs="Calibri"/>
                <w:b/>
                <w:bCs/>
                <w:spacing w:val="-7"/>
                <w:sz w:val="22"/>
                <w:lang w:val="en-US"/>
              </w:rPr>
              <w:t xml:space="preserve"> </w:t>
            </w:r>
            <w:r w:rsidRPr="00182F6F">
              <w:rPr>
                <w:rFonts w:ascii="Arial" w:eastAsia="Calibri" w:hAnsi="Calibri" w:cs="Calibri"/>
                <w:b/>
                <w:bCs/>
                <w:sz w:val="22"/>
                <w:lang w:val="en-US"/>
              </w:rPr>
              <w:t>entity</w:t>
            </w:r>
            <w:r w:rsidRPr="00182F6F">
              <w:rPr>
                <w:rFonts w:ascii="Arial" w:eastAsia="Calibri" w:hAnsi="Calibri" w:cs="Calibri"/>
                <w:b/>
                <w:bCs/>
                <w:spacing w:val="-5"/>
                <w:sz w:val="22"/>
                <w:lang w:val="en-US"/>
              </w:rPr>
              <w:t xml:space="preserve"> </w:t>
            </w:r>
            <w:r w:rsidRPr="00182F6F">
              <w:rPr>
                <w:rFonts w:ascii="Arial" w:eastAsia="Calibri" w:hAnsi="Calibri" w:cs="Calibri"/>
                <w:b/>
                <w:bCs/>
                <w:sz w:val="22"/>
                <w:lang w:val="en-US"/>
              </w:rPr>
              <w:t>for</w:t>
            </w:r>
            <w:r w:rsidRPr="00182F6F">
              <w:rPr>
                <w:rFonts w:ascii="Arial" w:eastAsia="Calibri" w:hAnsi="Calibri" w:cs="Calibri"/>
                <w:b/>
                <w:bCs/>
                <w:spacing w:val="-6"/>
                <w:sz w:val="22"/>
                <w:lang w:val="en-US"/>
              </w:rPr>
              <w:t xml:space="preserve"> </w:t>
            </w:r>
            <w:r w:rsidRPr="00182F6F">
              <w:rPr>
                <w:rFonts w:ascii="Arial" w:eastAsia="Calibri" w:hAnsi="Calibri" w:cs="Calibri"/>
                <w:b/>
                <w:bCs/>
                <w:sz w:val="22"/>
                <w:lang w:val="en-US"/>
              </w:rPr>
              <w:t>the</w:t>
            </w:r>
            <w:r w:rsidRPr="00182F6F">
              <w:rPr>
                <w:rFonts w:ascii="Arial" w:eastAsia="Calibri" w:hAnsi="Calibri" w:cs="Calibri"/>
                <w:b/>
                <w:bCs/>
                <w:spacing w:val="-5"/>
                <w:sz w:val="22"/>
                <w:lang w:val="en-US"/>
              </w:rPr>
              <w:t xml:space="preserve"> </w:t>
            </w:r>
            <w:r w:rsidRPr="00182F6F">
              <w:rPr>
                <w:rFonts w:ascii="Arial" w:eastAsia="Calibri" w:hAnsi="Calibri" w:cs="Calibri"/>
                <w:b/>
                <w:bCs/>
                <w:sz w:val="22"/>
                <w:lang w:val="en-US"/>
              </w:rPr>
              <w:t>financial</w:t>
            </w:r>
            <w:r w:rsidRPr="00182F6F">
              <w:rPr>
                <w:rFonts w:ascii="Arial" w:eastAsia="Calibri" w:hAnsi="Calibri" w:cs="Calibri"/>
                <w:b/>
                <w:bCs/>
                <w:spacing w:val="-4"/>
                <w:sz w:val="22"/>
                <w:lang w:val="en-US"/>
              </w:rPr>
              <w:t xml:space="preserve"> </w:t>
            </w:r>
            <w:r w:rsidRPr="00182F6F">
              <w:rPr>
                <w:rFonts w:ascii="Arial" w:eastAsia="Calibri" w:hAnsi="Calibri" w:cs="Calibri"/>
                <w:b/>
                <w:bCs/>
                <w:spacing w:val="-2"/>
                <w:sz w:val="22"/>
                <w:lang w:val="en-US"/>
              </w:rPr>
              <w:t>report</w:t>
            </w:r>
          </w:p>
          <w:p w14:paraId="12C67EB4" w14:textId="77777777" w:rsidR="00182F6F" w:rsidRPr="00182F6F" w:rsidRDefault="00182F6F" w:rsidP="00182F6F">
            <w:pPr>
              <w:widowControl w:val="0"/>
              <w:tabs>
                <w:tab w:val="left" w:pos="7876"/>
              </w:tabs>
              <w:autoSpaceDE w:val="0"/>
              <w:autoSpaceDN w:val="0"/>
              <w:spacing w:before="148" w:after="0" w:line="266" w:lineRule="auto"/>
              <w:ind w:left="218"/>
              <w:rPr>
                <w:rFonts w:ascii="Arial" w:eastAsia="Calibri" w:hAnsi="Calibri" w:cs="Calibri"/>
                <w:sz w:val="22"/>
                <w:lang w:val="en-US"/>
              </w:rPr>
            </w:pPr>
            <w:r w:rsidRPr="00182F6F">
              <w:rPr>
                <w:rFonts w:ascii="Arial" w:eastAsia="Calibri" w:hAnsi="Calibri" w:cs="Calibri"/>
                <w:sz w:val="22"/>
                <w:lang w:val="en-US"/>
              </w:rPr>
              <w:t xml:space="preserve">The Commission is responsible for the preparation of the financial report that gives a true and fair view in accordance with the </w:t>
            </w:r>
            <w:r w:rsidRPr="00182F6F">
              <w:rPr>
                <w:rFonts w:ascii="Arial" w:eastAsia="Calibri" w:hAnsi="Calibri" w:cs="Calibri"/>
                <w:i/>
                <w:sz w:val="22"/>
                <w:lang w:val="en-US"/>
              </w:rPr>
              <w:t>Financial Accountability Act 2009</w:t>
            </w:r>
            <w:r w:rsidRPr="00182F6F">
              <w:rPr>
                <w:rFonts w:ascii="Arial" w:eastAsia="Calibri" w:hAnsi="Calibri" w:cs="Calibri"/>
                <w:sz w:val="22"/>
                <w:lang w:val="en-US"/>
              </w:rPr>
              <w:t>, the Financial and Performance Management Standard 2019 and Australian Accounting Standards, and for such</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internal</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control</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as</w:t>
            </w:r>
            <w:r w:rsidRPr="00182F6F">
              <w:rPr>
                <w:rFonts w:ascii="Arial" w:eastAsia="Calibri" w:hAnsi="Calibri" w:cs="Calibri"/>
                <w:spacing w:val="-5"/>
                <w:sz w:val="22"/>
                <w:lang w:val="en-US"/>
              </w:rPr>
              <w:t xml:space="preserve"> </w:t>
            </w:r>
            <w:r w:rsidRPr="00182F6F">
              <w:rPr>
                <w:rFonts w:ascii="Arial" w:eastAsia="Calibri" w:hAnsi="Calibri" w:cs="Calibri"/>
                <w:sz w:val="22"/>
                <w:lang w:val="en-US"/>
              </w:rPr>
              <w:t>the</w:t>
            </w:r>
            <w:r w:rsidRPr="00182F6F">
              <w:rPr>
                <w:rFonts w:ascii="Arial" w:eastAsia="Calibri" w:hAnsi="Calibri" w:cs="Calibri"/>
                <w:spacing w:val="-1"/>
                <w:sz w:val="22"/>
                <w:lang w:val="en-US"/>
              </w:rPr>
              <w:t xml:space="preserve"> </w:t>
            </w:r>
            <w:r w:rsidRPr="00182F6F">
              <w:rPr>
                <w:rFonts w:ascii="Arial" w:eastAsia="Calibri" w:hAnsi="Calibri" w:cs="Calibri"/>
                <w:sz w:val="22"/>
                <w:lang w:val="en-US"/>
              </w:rPr>
              <w:t>Commission</w:t>
            </w:r>
            <w:r w:rsidRPr="00182F6F">
              <w:rPr>
                <w:rFonts w:ascii="Arial" w:eastAsia="Calibri" w:hAnsi="Calibri" w:cs="Calibri"/>
                <w:spacing w:val="-2"/>
                <w:sz w:val="22"/>
                <w:lang w:val="en-US"/>
              </w:rPr>
              <w:t xml:space="preserve"> </w:t>
            </w:r>
            <w:r w:rsidRPr="00182F6F">
              <w:rPr>
                <w:rFonts w:ascii="Arial" w:eastAsia="Calibri" w:hAnsi="Calibri" w:cs="Calibri"/>
                <w:sz w:val="22"/>
                <w:lang w:val="en-US"/>
              </w:rPr>
              <w:t>determines</w:t>
            </w:r>
            <w:r w:rsidRPr="00182F6F">
              <w:rPr>
                <w:rFonts w:ascii="Arial" w:eastAsia="Calibri" w:hAnsi="Calibri" w:cs="Calibri"/>
                <w:spacing w:val="-1"/>
                <w:sz w:val="22"/>
                <w:lang w:val="en-US"/>
              </w:rPr>
              <w:t xml:space="preserve"> </w:t>
            </w:r>
            <w:r w:rsidRPr="00182F6F">
              <w:rPr>
                <w:rFonts w:ascii="Arial" w:eastAsia="Calibri" w:hAnsi="Calibri" w:cs="Calibri"/>
                <w:sz w:val="22"/>
                <w:lang w:val="en-US"/>
              </w:rPr>
              <w:t>is</w:t>
            </w:r>
            <w:r w:rsidRPr="00182F6F">
              <w:rPr>
                <w:rFonts w:ascii="Arial" w:eastAsia="Calibri" w:hAnsi="Calibri" w:cs="Calibri"/>
                <w:spacing w:val="-2"/>
                <w:sz w:val="22"/>
                <w:lang w:val="en-US"/>
              </w:rPr>
              <w:t xml:space="preserve"> </w:t>
            </w:r>
            <w:r w:rsidRPr="00182F6F">
              <w:rPr>
                <w:rFonts w:ascii="Arial" w:eastAsia="Calibri" w:hAnsi="Calibri" w:cs="Calibri"/>
                <w:sz w:val="22"/>
                <w:lang w:val="en-US"/>
              </w:rPr>
              <w:t>necessary</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to</w:t>
            </w:r>
            <w:r w:rsidRPr="00182F6F">
              <w:rPr>
                <w:rFonts w:ascii="Arial" w:eastAsia="Calibri" w:hAnsi="Calibri" w:cs="Calibri"/>
                <w:spacing w:val="-5"/>
                <w:sz w:val="22"/>
                <w:lang w:val="en-US"/>
              </w:rPr>
              <w:t xml:space="preserve"> </w:t>
            </w:r>
            <w:r w:rsidRPr="00182F6F">
              <w:rPr>
                <w:rFonts w:ascii="Arial" w:eastAsia="Calibri" w:hAnsi="Calibri" w:cs="Calibri"/>
                <w:sz w:val="22"/>
                <w:lang w:val="en-US"/>
              </w:rPr>
              <w:t>enable</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the</w:t>
            </w:r>
            <w:r w:rsidRPr="00182F6F">
              <w:rPr>
                <w:rFonts w:ascii="Arial" w:eastAsia="Calibri" w:hAnsi="Calibri" w:cs="Calibri"/>
                <w:spacing w:val="-5"/>
                <w:sz w:val="22"/>
                <w:lang w:val="en-US"/>
              </w:rPr>
              <w:t xml:space="preserve"> </w:t>
            </w:r>
            <w:r w:rsidRPr="00182F6F">
              <w:rPr>
                <w:rFonts w:ascii="Arial" w:eastAsia="Calibri" w:hAnsi="Calibri" w:cs="Calibri"/>
                <w:sz w:val="22"/>
                <w:lang w:val="en-US"/>
              </w:rPr>
              <w:t>preparation of</w:t>
            </w:r>
            <w:r w:rsidRPr="00182F6F">
              <w:rPr>
                <w:rFonts w:ascii="Arial" w:eastAsia="Calibri" w:hAnsi="Calibri" w:cs="Calibri"/>
                <w:spacing w:val="-8"/>
                <w:sz w:val="22"/>
                <w:lang w:val="en-US"/>
              </w:rPr>
              <w:t xml:space="preserve"> </w:t>
            </w:r>
            <w:r w:rsidRPr="00182F6F">
              <w:rPr>
                <w:rFonts w:ascii="Arial" w:eastAsia="Calibri" w:hAnsi="Calibri" w:cs="Calibri"/>
                <w:sz w:val="22"/>
                <w:lang w:val="en-US"/>
              </w:rPr>
              <w:t>the</w:t>
            </w:r>
            <w:r w:rsidRPr="00182F6F">
              <w:rPr>
                <w:rFonts w:ascii="Arial" w:eastAsia="Calibri" w:hAnsi="Calibri" w:cs="Calibri"/>
                <w:spacing w:val="-6"/>
                <w:sz w:val="22"/>
                <w:lang w:val="en-US"/>
              </w:rPr>
              <w:t xml:space="preserve"> </w:t>
            </w:r>
            <w:r w:rsidRPr="00182F6F">
              <w:rPr>
                <w:rFonts w:ascii="Arial" w:eastAsia="Calibri" w:hAnsi="Calibri" w:cs="Calibri"/>
                <w:sz w:val="22"/>
                <w:lang w:val="en-US"/>
              </w:rPr>
              <w:t>financial</w:t>
            </w:r>
            <w:r w:rsidRPr="00182F6F">
              <w:rPr>
                <w:rFonts w:ascii="Arial" w:eastAsia="Calibri" w:hAnsi="Calibri" w:cs="Calibri"/>
                <w:spacing w:val="-6"/>
                <w:sz w:val="22"/>
                <w:lang w:val="en-US"/>
              </w:rPr>
              <w:t xml:space="preserve"> </w:t>
            </w:r>
            <w:r w:rsidRPr="00182F6F">
              <w:rPr>
                <w:rFonts w:ascii="Arial" w:eastAsia="Calibri" w:hAnsi="Calibri" w:cs="Calibri"/>
                <w:sz w:val="22"/>
                <w:lang w:val="en-US"/>
              </w:rPr>
              <w:t>report</w:t>
            </w:r>
            <w:r w:rsidRPr="00182F6F">
              <w:rPr>
                <w:rFonts w:ascii="Arial" w:eastAsia="Calibri" w:hAnsi="Calibri" w:cs="Calibri"/>
                <w:spacing w:val="-5"/>
                <w:sz w:val="22"/>
                <w:lang w:val="en-US"/>
              </w:rPr>
              <w:t xml:space="preserve"> </w:t>
            </w:r>
            <w:r w:rsidRPr="00182F6F">
              <w:rPr>
                <w:rFonts w:ascii="Arial" w:eastAsia="Calibri" w:hAnsi="Calibri" w:cs="Calibri"/>
                <w:sz w:val="22"/>
                <w:lang w:val="en-US"/>
              </w:rPr>
              <w:t>that</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is</w:t>
            </w:r>
            <w:r w:rsidRPr="00182F6F">
              <w:rPr>
                <w:rFonts w:ascii="Arial" w:eastAsia="Calibri" w:hAnsi="Calibri" w:cs="Calibri"/>
                <w:spacing w:val="-6"/>
                <w:sz w:val="22"/>
                <w:lang w:val="en-US"/>
              </w:rPr>
              <w:t xml:space="preserve"> </w:t>
            </w:r>
            <w:r w:rsidRPr="00182F6F">
              <w:rPr>
                <w:rFonts w:ascii="Arial" w:eastAsia="Calibri" w:hAnsi="Calibri" w:cs="Calibri"/>
                <w:sz w:val="22"/>
                <w:lang w:val="en-US"/>
              </w:rPr>
              <w:t>free</w:t>
            </w:r>
            <w:r w:rsidRPr="00182F6F">
              <w:rPr>
                <w:rFonts w:ascii="Arial" w:eastAsia="Calibri" w:hAnsi="Calibri" w:cs="Calibri"/>
                <w:spacing w:val="-7"/>
                <w:sz w:val="22"/>
                <w:lang w:val="en-US"/>
              </w:rPr>
              <w:t xml:space="preserve"> </w:t>
            </w:r>
            <w:r w:rsidRPr="00182F6F">
              <w:rPr>
                <w:rFonts w:ascii="Arial" w:eastAsia="Calibri" w:hAnsi="Calibri" w:cs="Calibri"/>
                <w:sz w:val="22"/>
                <w:lang w:val="en-US"/>
              </w:rPr>
              <w:t>from</w:t>
            </w:r>
            <w:r w:rsidRPr="00182F6F">
              <w:rPr>
                <w:rFonts w:ascii="Arial" w:eastAsia="Calibri" w:hAnsi="Calibri" w:cs="Calibri"/>
                <w:spacing w:val="-5"/>
                <w:sz w:val="22"/>
                <w:lang w:val="en-US"/>
              </w:rPr>
              <w:t xml:space="preserve"> </w:t>
            </w:r>
            <w:r w:rsidRPr="00182F6F">
              <w:rPr>
                <w:rFonts w:ascii="Arial" w:eastAsia="Calibri" w:hAnsi="Calibri" w:cs="Calibri"/>
                <w:sz w:val="22"/>
                <w:lang w:val="en-US"/>
              </w:rPr>
              <w:t>material</w:t>
            </w:r>
            <w:r w:rsidRPr="00182F6F">
              <w:rPr>
                <w:rFonts w:ascii="Arial" w:eastAsia="Calibri" w:hAnsi="Calibri" w:cs="Calibri"/>
                <w:spacing w:val="-6"/>
                <w:sz w:val="22"/>
                <w:lang w:val="en-US"/>
              </w:rPr>
              <w:t xml:space="preserve"> </w:t>
            </w:r>
            <w:r w:rsidRPr="00182F6F">
              <w:rPr>
                <w:rFonts w:ascii="Arial" w:eastAsia="Calibri" w:hAnsi="Calibri" w:cs="Calibri"/>
                <w:sz w:val="22"/>
                <w:lang w:val="en-US"/>
              </w:rPr>
              <w:t>misstatement,</w:t>
            </w:r>
            <w:r w:rsidRPr="00182F6F">
              <w:rPr>
                <w:rFonts w:ascii="Arial" w:eastAsia="Calibri" w:hAnsi="Calibri" w:cs="Calibri"/>
                <w:spacing w:val="-5"/>
                <w:sz w:val="22"/>
                <w:lang w:val="en-US"/>
              </w:rPr>
              <w:t xml:space="preserve"> </w:t>
            </w:r>
            <w:r w:rsidRPr="00182F6F">
              <w:rPr>
                <w:rFonts w:ascii="Arial" w:eastAsia="Calibri" w:hAnsi="Calibri" w:cs="Calibri"/>
                <w:sz w:val="22"/>
                <w:lang w:val="en-US"/>
              </w:rPr>
              <w:t>whether</w:t>
            </w:r>
            <w:r w:rsidRPr="00182F6F">
              <w:rPr>
                <w:rFonts w:ascii="Arial" w:eastAsia="Calibri" w:hAnsi="Calibri" w:cs="Calibri"/>
                <w:spacing w:val="-4"/>
                <w:sz w:val="22"/>
                <w:lang w:val="en-US"/>
              </w:rPr>
              <w:t xml:space="preserve"> </w:t>
            </w:r>
            <w:r w:rsidRPr="00182F6F">
              <w:rPr>
                <w:rFonts w:ascii="Arial" w:eastAsia="Calibri" w:hAnsi="Calibri" w:cs="Calibri"/>
                <w:sz w:val="22"/>
                <w:lang w:val="en-US"/>
              </w:rPr>
              <w:t>due</w:t>
            </w:r>
            <w:r w:rsidRPr="00182F6F">
              <w:rPr>
                <w:rFonts w:ascii="Arial" w:eastAsia="Calibri" w:hAnsi="Calibri" w:cs="Calibri"/>
                <w:spacing w:val="-6"/>
                <w:sz w:val="22"/>
                <w:lang w:val="en-US"/>
              </w:rPr>
              <w:t xml:space="preserve"> </w:t>
            </w:r>
            <w:r w:rsidRPr="00182F6F">
              <w:rPr>
                <w:rFonts w:ascii="Arial" w:eastAsia="Calibri" w:hAnsi="Calibri" w:cs="Calibri"/>
                <w:sz w:val="22"/>
                <w:lang w:val="en-US"/>
              </w:rPr>
              <w:t>to</w:t>
            </w:r>
            <w:r w:rsidRPr="00182F6F">
              <w:rPr>
                <w:rFonts w:ascii="Arial" w:eastAsia="Calibri" w:hAnsi="Calibri" w:cs="Calibri"/>
                <w:spacing w:val="-6"/>
                <w:sz w:val="22"/>
                <w:lang w:val="en-US"/>
              </w:rPr>
              <w:t xml:space="preserve"> </w:t>
            </w:r>
            <w:r w:rsidRPr="00182F6F">
              <w:rPr>
                <w:rFonts w:ascii="Arial" w:eastAsia="Calibri" w:hAnsi="Calibri" w:cs="Calibri"/>
                <w:sz w:val="22"/>
                <w:lang w:val="en-US"/>
              </w:rPr>
              <w:t>fraud</w:t>
            </w:r>
            <w:r w:rsidRPr="00182F6F">
              <w:rPr>
                <w:rFonts w:ascii="Arial" w:eastAsia="Calibri" w:hAnsi="Calibri" w:cs="Calibri"/>
                <w:spacing w:val="-5"/>
                <w:sz w:val="22"/>
                <w:lang w:val="en-US"/>
              </w:rPr>
              <w:t xml:space="preserve"> </w:t>
            </w:r>
            <w:r w:rsidRPr="00182F6F">
              <w:rPr>
                <w:rFonts w:ascii="Arial" w:eastAsia="Calibri" w:hAnsi="Calibri" w:cs="Calibri"/>
                <w:sz w:val="22"/>
                <w:lang w:val="en-US"/>
              </w:rPr>
              <w:t>or</w:t>
            </w:r>
            <w:r w:rsidRPr="00182F6F">
              <w:rPr>
                <w:rFonts w:ascii="Arial" w:eastAsia="Calibri" w:hAnsi="Calibri" w:cs="Calibri"/>
                <w:spacing w:val="-3"/>
                <w:sz w:val="22"/>
                <w:lang w:val="en-US"/>
              </w:rPr>
              <w:t xml:space="preserve"> </w:t>
            </w:r>
            <w:r w:rsidRPr="00182F6F">
              <w:rPr>
                <w:rFonts w:ascii="Arial" w:eastAsia="Calibri" w:hAnsi="Calibri" w:cs="Calibri"/>
                <w:spacing w:val="-2"/>
                <w:sz w:val="22"/>
                <w:lang w:val="en-US"/>
              </w:rPr>
              <w:t>error.</w:t>
            </w:r>
          </w:p>
          <w:p w14:paraId="63F789A5" w14:textId="77777777" w:rsidR="00182F6F" w:rsidRPr="00182F6F" w:rsidRDefault="00182F6F" w:rsidP="00182F6F">
            <w:pPr>
              <w:widowControl w:val="0"/>
              <w:tabs>
                <w:tab w:val="left" w:pos="7876"/>
              </w:tabs>
              <w:autoSpaceDE w:val="0"/>
              <w:autoSpaceDN w:val="0"/>
              <w:spacing w:before="115" w:after="0" w:line="261" w:lineRule="auto"/>
              <w:ind w:left="218"/>
              <w:rPr>
                <w:rFonts w:ascii="Arial" w:eastAsia="Calibri" w:hAnsi="Calibri" w:cs="Calibri"/>
                <w:sz w:val="22"/>
                <w:lang w:val="en-US"/>
              </w:rPr>
            </w:pPr>
            <w:r w:rsidRPr="00182F6F">
              <w:rPr>
                <w:rFonts w:ascii="Arial" w:eastAsia="Calibri" w:hAnsi="Calibri" w:cs="Calibri"/>
                <w:color w:val="0D0D0D"/>
                <w:sz w:val="22"/>
                <w:lang w:val="en-US"/>
              </w:rPr>
              <w:t xml:space="preserve">The Commission is also responsible for assessing the entity's ability to continue as a going concern, disclosing, as applicable, matters relating to going concern and using the going </w:t>
            </w:r>
            <w:r w:rsidRPr="00182F6F">
              <w:rPr>
                <w:rFonts w:ascii="Arial" w:eastAsia="Calibri" w:hAnsi="Calibri" w:cs="Calibri"/>
                <w:sz w:val="22"/>
                <w:lang w:val="en-US"/>
              </w:rPr>
              <w:t>concern</w:t>
            </w:r>
            <w:r w:rsidRPr="00182F6F">
              <w:rPr>
                <w:rFonts w:ascii="Arial" w:eastAsia="Calibri" w:hAnsi="Calibri" w:cs="Calibri"/>
                <w:spacing w:val="-1"/>
                <w:sz w:val="22"/>
                <w:lang w:val="en-US"/>
              </w:rPr>
              <w:t xml:space="preserve"> </w:t>
            </w:r>
            <w:r w:rsidRPr="00182F6F">
              <w:rPr>
                <w:rFonts w:ascii="Arial" w:eastAsia="Calibri" w:hAnsi="Calibri" w:cs="Calibri"/>
                <w:sz w:val="22"/>
                <w:lang w:val="en-US"/>
              </w:rPr>
              <w:t>basis</w:t>
            </w:r>
            <w:r w:rsidRPr="00182F6F">
              <w:rPr>
                <w:rFonts w:ascii="Arial" w:eastAsia="Calibri" w:hAnsi="Calibri" w:cs="Calibri"/>
                <w:spacing w:val="-1"/>
                <w:sz w:val="22"/>
                <w:lang w:val="en-US"/>
              </w:rPr>
              <w:t xml:space="preserve"> </w:t>
            </w:r>
            <w:r w:rsidRPr="00182F6F">
              <w:rPr>
                <w:rFonts w:ascii="Arial" w:eastAsia="Calibri" w:hAnsi="Calibri" w:cs="Calibri"/>
                <w:sz w:val="22"/>
                <w:lang w:val="en-US"/>
              </w:rPr>
              <w:t>of</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accounting</w:t>
            </w:r>
            <w:r w:rsidRPr="00182F6F">
              <w:rPr>
                <w:rFonts w:ascii="Arial" w:eastAsia="Calibri" w:hAnsi="Calibri" w:cs="Calibri"/>
                <w:spacing w:val="-2"/>
                <w:sz w:val="22"/>
                <w:lang w:val="en-US"/>
              </w:rPr>
              <w:t xml:space="preserve"> </w:t>
            </w:r>
            <w:r w:rsidRPr="00182F6F">
              <w:rPr>
                <w:rFonts w:ascii="Arial" w:eastAsia="Calibri" w:hAnsi="Calibri" w:cs="Calibri"/>
                <w:sz w:val="22"/>
                <w:lang w:val="en-US"/>
              </w:rPr>
              <w:t xml:space="preserve">unless </w:t>
            </w:r>
            <w:r w:rsidRPr="00182F6F">
              <w:rPr>
                <w:rFonts w:ascii="Arial" w:eastAsia="Calibri" w:hAnsi="Calibri" w:cs="Calibri"/>
                <w:sz w:val="23"/>
                <w:lang w:val="en-US"/>
              </w:rPr>
              <w:t>it</w:t>
            </w:r>
            <w:r w:rsidRPr="00182F6F">
              <w:rPr>
                <w:rFonts w:ascii="Arial" w:eastAsia="Calibri" w:hAnsi="Calibri" w:cs="Calibri"/>
                <w:spacing w:val="-2"/>
                <w:sz w:val="23"/>
                <w:lang w:val="en-US"/>
              </w:rPr>
              <w:t xml:space="preserve"> </w:t>
            </w:r>
            <w:r w:rsidRPr="00182F6F">
              <w:rPr>
                <w:rFonts w:ascii="Arial" w:eastAsia="Calibri" w:hAnsi="Calibri" w:cs="Calibri"/>
                <w:sz w:val="23"/>
                <w:lang w:val="en-US"/>
              </w:rPr>
              <w:t>is</w:t>
            </w:r>
            <w:r w:rsidRPr="00182F6F">
              <w:rPr>
                <w:rFonts w:ascii="Arial" w:eastAsia="Calibri" w:hAnsi="Calibri" w:cs="Calibri"/>
                <w:spacing w:val="-3"/>
                <w:sz w:val="23"/>
                <w:lang w:val="en-US"/>
              </w:rPr>
              <w:t xml:space="preserve"> </w:t>
            </w:r>
            <w:r w:rsidRPr="00182F6F">
              <w:rPr>
                <w:rFonts w:ascii="Arial" w:eastAsia="Calibri" w:hAnsi="Calibri" w:cs="Calibri"/>
                <w:sz w:val="23"/>
                <w:lang w:val="en-US"/>
              </w:rPr>
              <w:t>intended</w:t>
            </w:r>
            <w:r w:rsidRPr="00182F6F">
              <w:rPr>
                <w:rFonts w:ascii="Arial" w:eastAsia="Calibri" w:hAnsi="Calibri" w:cs="Calibri"/>
                <w:spacing w:val="-3"/>
                <w:sz w:val="23"/>
                <w:lang w:val="en-US"/>
              </w:rPr>
              <w:t xml:space="preserve"> </w:t>
            </w:r>
            <w:r w:rsidRPr="00182F6F">
              <w:rPr>
                <w:rFonts w:ascii="Arial" w:eastAsia="Calibri" w:hAnsi="Calibri" w:cs="Calibri"/>
                <w:sz w:val="23"/>
                <w:lang w:val="en-US"/>
              </w:rPr>
              <w:t>to</w:t>
            </w:r>
            <w:r w:rsidRPr="00182F6F">
              <w:rPr>
                <w:rFonts w:ascii="Arial" w:eastAsia="Calibri" w:hAnsi="Calibri" w:cs="Calibri"/>
                <w:spacing w:val="-3"/>
                <w:sz w:val="23"/>
                <w:lang w:val="en-US"/>
              </w:rPr>
              <w:t xml:space="preserve"> </w:t>
            </w:r>
            <w:r w:rsidRPr="00182F6F">
              <w:rPr>
                <w:rFonts w:ascii="Arial" w:eastAsia="Calibri" w:hAnsi="Calibri" w:cs="Calibri"/>
                <w:sz w:val="23"/>
                <w:lang w:val="en-US"/>
              </w:rPr>
              <w:t>abolish</w:t>
            </w:r>
            <w:r w:rsidRPr="00182F6F">
              <w:rPr>
                <w:rFonts w:ascii="Arial" w:eastAsia="Calibri" w:hAnsi="Calibri" w:cs="Calibri"/>
                <w:spacing w:val="-1"/>
                <w:sz w:val="23"/>
                <w:lang w:val="en-US"/>
              </w:rPr>
              <w:t xml:space="preserve"> </w:t>
            </w:r>
            <w:r w:rsidRPr="00182F6F">
              <w:rPr>
                <w:rFonts w:ascii="Arial" w:eastAsia="Calibri" w:hAnsi="Calibri" w:cs="Calibri"/>
                <w:sz w:val="22"/>
                <w:lang w:val="en-US"/>
              </w:rPr>
              <w:t>the</w:t>
            </w:r>
            <w:r w:rsidRPr="00182F6F">
              <w:rPr>
                <w:rFonts w:ascii="Arial" w:eastAsia="Calibri" w:hAnsi="Calibri" w:cs="Calibri"/>
                <w:spacing w:val="-2"/>
                <w:sz w:val="22"/>
                <w:lang w:val="en-US"/>
              </w:rPr>
              <w:t xml:space="preserve"> </w:t>
            </w:r>
            <w:r w:rsidRPr="00182F6F">
              <w:rPr>
                <w:rFonts w:ascii="Arial" w:eastAsia="Calibri" w:hAnsi="Calibri" w:cs="Calibri"/>
                <w:sz w:val="22"/>
                <w:lang w:val="en-US"/>
              </w:rPr>
              <w:t>entity</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or</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to</w:t>
            </w:r>
            <w:r w:rsidRPr="00182F6F">
              <w:rPr>
                <w:rFonts w:ascii="Arial" w:eastAsia="Calibri" w:hAnsi="Calibri" w:cs="Calibri"/>
                <w:spacing w:val="-3"/>
                <w:sz w:val="22"/>
                <w:lang w:val="en-US"/>
              </w:rPr>
              <w:t xml:space="preserve"> </w:t>
            </w:r>
            <w:r w:rsidRPr="00182F6F">
              <w:rPr>
                <w:rFonts w:ascii="Arial" w:eastAsia="Calibri" w:hAnsi="Calibri" w:cs="Calibri"/>
                <w:sz w:val="22"/>
                <w:lang w:val="en-US"/>
              </w:rPr>
              <w:t>otherwise</w:t>
            </w:r>
            <w:r w:rsidRPr="00182F6F">
              <w:rPr>
                <w:rFonts w:ascii="Arial" w:eastAsia="Calibri" w:hAnsi="Calibri" w:cs="Calibri"/>
                <w:spacing w:val="-1"/>
                <w:sz w:val="22"/>
                <w:lang w:val="en-US"/>
              </w:rPr>
              <w:t xml:space="preserve"> </w:t>
            </w:r>
            <w:r w:rsidRPr="00182F6F">
              <w:rPr>
                <w:rFonts w:ascii="Arial" w:eastAsia="Calibri" w:hAnsi="Calibri" w:cs="Calibri"/>
                <w:sz w:val="22"/>
                <w:lang w:val="en-US"/>
              </w:rPr>
              <w:t xml:space="preserve">cease </w:t>
            </w:r>
            <w:r w:rsidRPr="00182F6F">
              <w:rPr>
                <w:rFonts w:ascii="Arial" w:eastAsia="Calibri" w:hAnsi="Calibri" w:cs="Calibri"/>
                <w:color w:val="0D0D0D"/>
                <w:spacing w:val="-2"/>
                <w:sz w:val="22"/>
                <w:lang w:val="en-US"/>
              </w:rPr>
              <w:t>operations.</w:t>
            </w:r>
          </w:p>
          <w:p w14:paraId="7260BDCD" w14:textId="77777777" w:rsidR="00182F6F" w:rsidRDefault="00182F6F" w:rsidP="008E121E">
            <w:pPr>
              <w:widowControl w:val="0"/>
              <w:kinsoku w:val="0"/>
              <w:overflowPunct w:val="0"/>
              <w:autoSpaceDE w:val="0"/>
              <w:autoSpaceDN w:val="0"/>
              <w:adjustRightInd w:val="0"/>
              <w:spacing w:before="110" w:after="0"/>
              <w:jc w:val="center"/>
              <w:outlineLvl w:val="0"/>
              <w:rPr>
                <w:rFonts w:ascii="Arial" w:eastAsia="Times New Roman" w:hAnsi="Arial" w:cs="Arial"/>
                <w:b/>
                <w:bCs/>
                <w:color w:val="414042" w:themeColor="text1"/>
                <w:spacing w:val="-2"/>
                <w:sz w:val="24"/>
                <w:szCs w:val="24"/>
                <w:lang w:eastAsia="en-AU"/>
              </w:rPr>
            </w:pPr>
          </w:p>
        </w:tc>
      </w:tr>
    </w:tbl>
    <w:p w14:paraId="2C9A2D85" w14:textId="77777777" w:rsidR="00182F6F" w:rsidRDefault="00182F6F" w:rsidP="00E6408B">
      <w:pPr>
        <w:pStyle w:val="newBODYTEXT"/>
        <w:rPr>
          <w:lang w:eastAsia="en-AU"/>
        </w:rPr>
      </w:pPr>
    </w:p>
    <w:tbl>
      <w:tblPr>
        <w:tblW w:w="0" w:type="auto"/>
        <w:tblInd w:w="206" w:type="dxa"/>
        <w:tblLook w:val="0000" w:firstRow="0" w:lastRow="0" w:firstColumn="0" w:lastColumn="0" w:noHBand="0" w:noVBand="0"/>
      </w:tblPr>
      <w:tblGrid>
        <w:gridCol w:w="9401"/>
      </w:tblGrid>
      <w:tr w:rsidR="0081730C" w14:paraId="7E3E473B" w14:textId="77777777" w:rsidTr="00F96E14">
        <w:trPr>
          <w:trHeight w:val="1182"/>
        </w:trPr>
        <w:tc>
          <w:tcPr>
            <w:tcW w:w="9401" w:type="dxa"/>
          </w:tcPr>
          <w:p w14:paraId="17D60442" w14:textId="77777777" w:rsidR="00881282" w:rsidRPr="00881282" w:rsidRDefault="00881282" w:rsidP="00881282">
            <w:pPr>
              <w:widowControl w:val="0"/>
              <w:autoSpaceDE w:val="0"/>
              <w:autoSpaceDN w:val="0"/>
              <w:spacing w:before="1" w:after="0"/>
              <w:ind w:left="218"/>
              <w:outlineLvl w:val="3"/>
              <w:rPr>
                <w:rFonts w:ascii="Arial" w:eastAsia="Calibri" w:hAnsi="Arial" w:cs="Calibri"/>
                <w:b/>
                <w:bCs/>
                <w:sz w:val="22"/>
                <w:lang w:val="en-US"/>
              </w:rPr>
            </w:pPr>
            <w:r w:rsidRPr="00881282">
              <w:rPr>
                <w:rFonts w:ascii="Arial" w:eastAsia="Calibri" w:hAnsi="Arial" w:cs="Calibri"/>
                <w:b/>
                <w:bCs/>
                <w:sz w:val="22"/>
                <w:lang w:val="en-US"/>
              </w:rPr>
              <w:t>Auditor’s</w:t>
            </w:r>
            <w:r w:rsidRPr="00881282">
              <w:rPr>
                <w:rFonts w:ascii="Arial" w:eastAsia="Calibri" w:hAnsi="Arial" w:cs="Calibri"/>
                <w:b/>
                <w:bCs/>
                <w:spacing w:val="-6"/>
                <w:sz w:val="22"/>
                <w:lang w:val="en-US"/>
              </w:rPr>
              <w:t xml:space="preserve"> </w:t>
            </w:r>
            <w:r w:rsidRPr="00881282">
              <w:rPr>
                <w:rFonts w:ascii="Arial" w:eastAsia="Calibri" w:hAnsi="Arial" w:cs="Calibri"/>
                <w:b/>
                <w:bCs/>
                <w:sz w:val="22"/>
                <w:lang w:val="en-US"/>
              </w:rPr>
              <w:t>responsibilities</w:t>
            </w:r>
            <w:r w:rsidRPr="00881282">
              <w:rPr>
                <w:rFonts w:ascii="Arial" w:eastAsia="Calibri" w:hAnsi="Arial" w:cs="Calibri"/>
                <w:b/>
                <w:bCs/>
                <w:spacing w:val="-6"/>
                <w:sz w:val="22"/>
                <w:lang w:val="en-US"/>
              </w:rPr>
              <w:t xml:space="preserve"> </w:t>
            </w:r>
            <w:r w:rsidRPr="00881282">
              <w:rPr>
                <w:rFonts w:ascii="Arial" w:eastAsia="Calibri" w:hAnsi="Arial" w:cs="Calibri"/>
                <w:b/>
                <w:bCs/>
                <w:sz w:val="22"/>
                <w:lang w:val="en-US"/>
              </w:rPr>
              <w:t>for</w:t>
            </w:r>
            <w:r w:rsidRPr="00881282">
              <w:rPr>
                <w:rFonts w:ascii="Arial" w:eastAsia="Calibri" w:hAnsi="Arial" w:cs="Calibri"/>
                <w:b/>
                <w:bCs/>
                <w:spacing w:val="-6"/>
                <w:sz w:val="22"/>
                <w:lang w:val="en-US"/>
              </w:rPr>
              <w:t xml:space="preserve"> </w:t>
            </w:r>
            <w:r w:rsidRPr="00881282">
              <w:rPr>
                <w:rFonts w:ascii="Arial" w:eastAsia="Calibri" w:hAnsi="Arial" w:cs="Calibri"/>
                <w:b/>
                <w:bCs/>
                <w:sz w:val="22"/>
                <w:lang w:val="en-US"/>
              </w:rPr>
              <w:t>the</w:t>
            </w:r>
            <w:r w:rsidRPr="00881282">
              <w:rPr>
                <w:rFonts w:ascii="Arial" w:eastAsia="Calibri" w:hAnsi="Arial" w:cs="Calibri"/>
                <w:b/>
                <w:bCs/>
                <w:spacing w:val="-6"/>
                <w:sz w:val="22"/>
                <w:lang w:val="en-US"/>
              </w:rPr>
              <w:t xml:space="preserve"> </w:t>
            </w:r>
            <w:r w:rsidRPr="00881282">
              <w:rPr>
                <w:rFonts w:ascii="Arial" w:eastAsia="Calibri" w:hAnsi="Arial" w:cs="Calibri"/>
                <w:b/>
                <w:bCs/>
                <w:sz w:val="22"/>
                <w:lang w:val="en-US"/>
              </w:rPr>
              <w:t>audit</w:t>
            </w:r>
            <w:r w:rsidRPr="00881282">
              <w:rPr>
                <w:rFonts w:ascii="Arial" w:eastAsia="Calibri" w:hAnsi="Arial" w:cs="Calibri"/>
                <w:b/>
                <w:bCs/>
                <w:spacing w:val="-5"/>
                <w:sz w:val="22"/>
                <w:lang w:val="en-US"/>
              </w:rPr>
              <w:t xml:space="preserve"> </w:t>
            </w:r>
            <w:r w:rsidRPr="00881282">
              <w:rPr>
                <w:rFonts w:ascii="Arial" w:eastAsia="Calibri" w:hAnsi="Arial" w:cs="Calibri"/>
                <w:b/>
                <w:bCs/>
                <w:sz w:val="22"/>
                <w:lang w:val="en-US"/>
              </w:rPr>
              <w:t>of</w:t>
            </w:r>
            <w:r w:rsidRPr="00881282">
              <w:rPr>
                <w:rFonts w:ascii="Arial" w:eastAsia="Calibri" w:hAnsi="Arial" w:cs="Calibri"/>
                <w:b/>
                <w:bCs/>
                <w:spacing w:val="-6"/>
                <w:sz w:val="22"/>
                <w:lang w:val="en-US"/>
              </w:rPr>
              <w:t xml:space="preserve"> </w:t>
            </w:r>
            <w:r w:rsidRPr="00881282">
              <w:rPr>
                <w:rFonts w:ascii="Arial" w:eastAsia="Calibri" w:hAnsi="Arial" w:cs="Calibri"/>
                <w:b/>
                <w:bCs/>
                <w:sz w:val="22"/>
                <w:lang w:val="en-US"/>
              </w:rPr>
              <w:t>the</w:t>
            </w:r>
            <w:r w:rsidRPr="00881282">
              <w:rPr>
                <w:rFonts w:ascii="Arial" w:eastAsia="Calibri" w:hAnsi="Arial" w:cs="Calibri"/>
                <w:b/>
                <w:bCs/>
                <w:spacing w:val="-6"/>
                <w:sz w:val="22"/>
                <w:lang w:val="en-US"/>
              </w:rPr>
              <w:t xml:space="preserve"> </w:t>
            </w:r>
            <w:r w:rsidRPr="00881282">
              <w:rPr>
                <w:rFonts w:ascii="Arial" w:eastAsia="Calibri" w:hAnsi="Arial" w:cs="Calibri"/>
                <w:b/>
                <w:bCs/>
                <w:sz w:val="22"/>
                <w:lang w:val="en-US"/>
              </w:rPr>
              <w:t>financial</w:t>
            </w:r>
            <w:r w:rsidRPr="00881282">
              <w:rPr>
                <w:rFonts w:ascii="Arial" w:eastAsia="Calibri" w:hAnsi="Arial" w:cs="Calibri"/>
                <w:b/>
                <w:bCs/>
                <w:spacing w:val="-5"/>
                <w:sz w:val="22"/>
                <w:lang w:val="en-US"/>
              </w:rPr>
              <w:t xml:space="preserve"> </w:t>
            </w:r>
            <w:r w:rsidRPr="00881282">
              <w:rPr>
                <w:rFonts w:ascii="Arial" w:eastAsia="Calibri" w:hAnsi="Arial" w:cs="Calibri"/>
                <w:b/>
                <w:bCs/>
                <w:spacing w:val="-2"/>
                <w:sz w:val="22"/>
                <w:lang w:val="en-US"/>
              </w:rPr>
              <w:t>report</w:t>
            </w:r>
          </w:p>
          <w:p w14:paraId="086E0DC7" w14:textId="77777777" w:rsidR="00881282" w:rsidRPr="00881282" w:rsidRDefault="00881282" w:rsidP="00881282">
            <w:pPr>
              <w:widowControl w:val="0"/>
              <w:autoSpaceDE w:val="0"/>
              <w:autoSpaceDN w:val="0"/>
              <w:spacing w:before="147" w:after="0" w:line="266" w:lineRule="auto"/>
              <w:ind w:left="218" w:right="-128"/>
              <w:rPr>
                <w:rFonts w:ascii="Arial" w:eastAsia="Calibri" w:hAnsi="Arial" w:cs="Calibri"/>
                <w:sz w:val="22"/>
                <w:lang w:val="en-US"/>
              </w:rPr>
            </w:pPr>
            <w:r w:rsidRPr="00881282">
              <w:rPr>
                <w:rFonts w:ascii="Arial" w:eastAsia="Calibri" w:hAnsi="Arial" w:cs="Calibri"/>
                <w:sz w:val="22"/>
                <w:lang w:val="en-US"/>
              </w:rPr>
              <w:t>My objectives are to obtain reasonable assurance about whether the financial report as a whole is free from material misstatement, whether due to fraud or error, and to issue an auditor’s</w:t>
            </w:r>
            <w:r w:rsidRPr="00881282">
              <w:rPr>
                <w:rFonts w:ascii="Arial" w:eastAsia="Calibri" w:hAnsi="Arial" w:cs="Calibri"/>
                <w:spacing w:val="-3"/>
                <w:sz w:val="22"/>
                <w:lang w:val="en-US"/>
              </w:rPr>
              <w:t xml:space="preserve"> </w:t>
            </w:r>
            <w:r w:rsidRPr="00881282">
              <w:rPr>
                <w:rFonts w:ascii="Arial" w:eastAsia="Calibri" w:hAnsi="Arial" w:cs="Calibri"/>
                <w:sz w:val="22"/>
                <w:lang w:val="en-US"/>
              </w:rPr>
              <w:t>report</w:t>
            </w:r>
            <w:r w:rsidRPr="00881282">
              <w:rPr>
                <w:rFonts w:ascii="Arial" w:eastAsia="Calibri" w:hAnsi="Arial" w:cs="Calibri"/>
                <w:spacing w:val="-4"/>
                <w:sz w:val="22"/>
                <w:lang w:val="en-US"/>
              </w:rPr>
              <w:t xml:space="preserve"> </w:t>
            </w:r>
            <w:r w:rsidRPr="00881282">
              <w:rPr>
                <w:rFonts w:ascii="Arial" w:eastAsia="Calibri" w:hAnsi="Arial" w:cs="Calibri"/>
                <w:sz w:val="22"/>
                <w:lang w:val="en-US"/>
              </w:rPr>
              <w:t>that</w:t>
            </w:r>
            <w:r w:rsidRPr="00881282">
              <w:rPr>
                <w:rFonts w:ascii="Arial" w:eastAsia="Calibri" w:hAnsi="Arial" w:cs="Calibri"/>
                <w:spacing w:val="-4"/>
                <w:sz w:val="22"/>
                <w:lang w:val="en-US"/>
              </w:rPr>
              <w:t xml:space="preserve"> </w:t>
            </w:r>
            <w:r w:rsidRPr="00881282">
              <w:rPr>
                <w:rFonts w:ascii="Arial" w:eastAsia="Calibri" w:hAnsi="Arial" w:cs="Calibri"/>
                <w:sz w:val="22"/>
                <w:lang w:val="en-US"/>
              </w:rPr>
              <w:t>includes</w:t>
            </w:r>
            <w:r w:rsidRPr="00881282">
              <w:rPr>
                <w:rFonts w:ascii="Arial" w:eastAsia="Calibri" w:hAnsi="Arial" w:cs="Calibri"/>
                <w:spacing w:val="-3"/>
                <w:sz w:val="22"/>
                <w:lang w:val="en-US"/>
              </w:rPr>
              <w:t xml:space="preserve"> </w:t>
            </w:r>
            <w:r w:rsidRPr="00881282">
              <w:rPr>
                <w:rFonts w:ascii="Arial" w:eastAsia="Calibri" w:hAnsi="Arial" w:cs="Calibri"/>
                <w:sz w:val="22"/>
                <w:lang w:val="en-US"/>
              </w:rPr>
              <w:t>my</w:t>
            </w:r>
            <w:r w:rsidRPr="00881282">
              <w:rPr>
                <w:rFonts w:ascii="Arial" w:eastAsia="Calibri" w:hAnsi="Arial" w:cs="Calibri"/>
                <w:spacing w:val="-2"/>
                <w:sz w:val="22"/>
                <w:lang w:val="en-US"/>
              </w:rPr>
              <w:t xml:space="preserve"> </w:t>
            </w:r>
            <w:r w:rsidRPr="00881282">
              <w:rPr>
                <w:rFonts w:ascii="Arial" w:eastAsia="Calibri" w:hAnsi="Arial" w:cs="Calibri"/>
                <w:sz w:val="22"/>
                <w:lang w:val="en-US"/>
              </w:rPr>
              <w:t>opinion.</w:t>
            </w:r>
            <w:r w:rsidRPr="00881282">
              <w:rPr>
                <w:rFonts w:ascii="Arial" w:eastAsia="Calibri" w:hAnsi="Arial" w:cs="Calibri"/>
                <w:spacing w:val="-1"/>
                <w:sz w:val="22"/>
                <w:lang w:val="en-US"/>
              </w:rPr>
              <w:t xml:space="preserve"> </w:t>
            </w:r>
            <w:r w:rsidRPr="00881282">
              <w:rPr>
                <w:rFonts w:ascii="Arial" w:eastAsia="Calibri" w:hAnsi="Arial" w:cs="Calibri"/>
                <w:sz w:val="22"/>
                <w:lang w:val="en-US"/>
              </w:rPr>
              <w:t>Reasonable</w:t>
            </w:r>
            <w:r w:rsidRPr="00881282">
              <w:rPr>
                <w:rFonts w:ascii="Arial" w:eastAsia="Calibri" w:hAnsi="Arial" w:cs="Calibri"/>
                <w:spacing w:val="-3"/>
                <w:sz w:val="22"/>
                <w:lang w:val="en-US"/>
              </w:rPr>
              <w:t xml:space="preserve"> </w:t>
            </w:r>
            <w:r w:rsidRPr="00881282">
              <w:rPr>
                <w:rFonts w:ascii="Arial" w:eastAsia="Calibri" w:hAnsi="Arial" w:cs="Calibri"/>
                <w:sz w:val="22"/>
                <w:lang w:val="en-US"/>
              </w:rPr>
              <w:t>assurance</w:t>
            </w:r>
            <w:r w:rsidRPr="00881282">
              <w:rPr>
                <w:rFonts w:ascii="Arial" w:eastAsia="Calibri" w:hAnsi="Arial" w:cs="Calibri"/>
                <w:spacing w:val="-5"/>
                <w:sz w:val="22"/>
                <w:lang w:val="en-US"/>
              </w:rPr>
              <w:t xml:space="preserve"> </w:t>
            </w:r>
            <w:r w:rsidRPr="00881282">
              <w:rPr>
                <w:rFonts w:ascii="Arial" w:eastAsia="Calibri" w:hAnsi="Arial" w:cs="Calibri"/>
                <w:sz w:val="22"/>
                <w:lang w:val="en-US"/>
              </w:rPr>
              <w:t>is</w:t>
            </w:r>
            <w:r w:rsidRPr="00881282">
              <w:rPr>
                <w:rFonts w:ascii="Arial" w:eastAsia="Calibri" w:hAnsi="Arial" w:cs="Calibri"/>
                <w:spacing w:val="-2"/>
                <w:sz w:val="22"/>
                <w:lang w:val="en-US"/>
              </w:rPr>
              <w:t xml:space="preserve"> </w:t>
            </w:r>
            <w:r w:rsidRPr="00881282">
              <w:rPr>
                <w:rFonts w:ascii="Arial" w:eastAsia="Calibri" w:hAnsi="Arial" w:cs="Calibri"/>
                <w:sz w:val="22"/>
                <w:lang w:val="en-US"/>
              </w:rPr>
              <w:t>a</w:t>
            </w:r>
            <w:r w:rsidRPr="00881282">
              <w:rPr>
                <w:rFonts w:ascii="Arial" w:eastAsia="Calibri" w:hAnsi="Arial" w:cs="Calibri"/>
                <w:spacing w:val="-5"/>
                <w:sz w:val="22"/>
                <w:lang w:val="en-US"/>
              </w:rPr>
              <w:t xml:space="preserve"> </w:t>
            </w:r>
            <w:r w:rsidRPr="00881282">
              <w:rPr>
                <w:rFonts w:ascii="Arial" w:eastAsia="Calibri" w:hAnsi="Arial" w:cs="Calibri"/>
                <w:sz w:val="22"/>
                <w:lang w:val="en-US"/>
              </w:rPr>
              <w:t>high</w:t>
            </w:r>
            <w:r w:rsidRPr="00881282">
              <w:rPr>
                <w:rFonts w:ascii="Arial" w:eastAsia="Calibri" w:hAnsi="Arial" w:cs="Calibri"/>
                <w:spacing w:val="-5"/>
                <w:sz w:val="22"/>
                <w:lang w:val="en-US"/>
              </w:rPr>
              <w:t xml:space="preserve"> </w:t>
            </w:r>
            <w:r w:rsidRPr="00881282">
              <w:rPr>
                <w:rFonts w:ascii="Arial" w:eastAsia="Calibri" w:hAnsi="Arial" w:cs="Calibri"/>
                <w:sz w:val="22"/>
                <w:lang w:val="en-US"/>
              </w:rPr>
              <w:t>level</w:t>
            </w:r>
            <w:r w:rsidRPr="00881282">
              <w:rPr>
                <w:rFonts w:ascii="Arial" w:eastAsia="Calibri" w:hAnsi="Arial" w:cs="Calibri"/>
                <w:spacing w:val="-3"/>
                <w:sz w:val="22"/>
                <w:lang w:val="en-US"/>
              </w:rPr>
              <w:t xml:space="preserve"> </w:t>
            </w:r>
            <w:r w:rsidRPr="00881282">
              <w:rPr>
                <w:rFonts w:ascii="Arial" w:eastAsia="Calibri" w:hAnsi="Arial" w:cs="Calibri"/>
                <w:sz w:val="22"/>
                <w:lang w:val="en-US"/>
              </w:rPr>
              <w:t>of</w:t>
            </w:r>
            <w:r w:rsidRPr="00881282">
              <w:rPr>
                <w:rFonts w:ascii="Arial" w:eastAsia="Calibri" w:hAnsi="Arial" w:cs="Calibri"/>
                <w:spacing w:val="-2"/>
                <w:sz w:val="22"/>
                <w:lang w:val="en-US"/>
              </w:rPr>
              <w:t xml:space="preserve"> </w:t>
            </w:r>
            <w:r w:rsidRPr="00881282">
              <w:rPr>
                <w:rFonts w:ascii="Arial" w:eastAsia="Calibri" w:hAnsi="Arial" w:cs="Calibri"/>
                <w:sz w:val="22"/>
                <w:lang w:val="en-US"/>
              </w:rPr>
              <w:t>assurance, but is not a guarantee that an audit conducted in accordance with the Australian Auditing Standards</w:t>
            </w:r>
            <w:r w:rsidRPr="00881282">
              <w:rPr>
                <w:rFonts w:ascii="Arial" w:eastAsia="Calibri" w:hAnsi="Arial" w:cs="Calibri"/>
                <w:spacing w:val="-5"/>
                <w:sz w:val="22"/>
                <w:lang w:val="en-US"/>
              </w:rPr>
              <w:t xml:space="preserve"> </w:t>
            </w:r>
            <w:r w:rsidRPr="00881282">
              <w:rPr>
                <w:rFonts w:ascii="Arial" w:eastAsia="Calibri" w:hAnsi="Arial" w:cs="Calibri"/>
                <w:sz w:val="22"/>
                <w:lang w:val="en-US"/>
              </w:rPr>
              <w:t>will</w:t>
            </w:r>
            <w:r w:rsidRPr="00881282">
              <w:rPr>
                <w:rFonts w:ascii="Arial" w:eastAsia="Calibri" w:hAnsi="Arial" w:cs="Calibri"/>
                <w:spacing w:val="-3"/>
                <w:sz w:val="22"/>
                <w:lang w:val="en-US"/>
              </w:rPr>
              <w:t xml:space="preserve"> </w:t>
            </w:r>
            <w:r w:rsidRPr="00881282">
              <w:rPr>
                <w:rFonts w:ascii="Arial" w:eastAsia="Calibri" w:hAnsi="Arial" w:cs="Calibri"/>
                <w:sz w:val="22"/>
                <w:lang w:val="en-US"/>
              </w:rPr>
              <w:t>always</w:t>
            </w:r>
            <w:r w:rsidRPr="00881282">
              <w:rPr>
                <w:rFonts w:ascii="Arial" w:eastAsia="Calibri" w:hAnsi="Arial" w:cs="Calibri"/>
                <w:spacing w:val="-3"/>
                <w:sz w:val="22"/>
                <w:lang w:val="en-US"/>
              </w:rPr>
              <w:t xml:space="preserve"> </w:t>
            </w:r>
            <w:r w:rsidRPr="00881282">
              <w:rPr>
                <w:rFonts w:ascii="Arial" w:eastAsia="Calibri" w:hAnsi="Arial" w:cs="Calibri"/>
                <w:sz w:val="22"/>
                <w:lang w:val="en-US"/>
              </w:rPr>
              <w:t>detect</w:t>
            </w:r>
            <w:r w:rsidRPr="00881282">
              <w:rPr>
                <w:rFonts w:ascii="Arial" w:eastAsia="Calibri" w:hAnsi="Arial" w:cs="Calibri"/>
                <w:spacing w:val="-4"/>
                <w:sz w:val="22"/>
                <w:lang w:val="en-US"/>
              </w:rPr>
              <w:t xml:space="preserve"> </w:t>
            </w:r>
            <w:r w:rsidRPr="00881282">
              <w:rPr>
                <w:rFonts w:ascii="Arial" w:eastAsia="Calibri" w:hAnsi="Arial" w:cs="Calibri"/>
                <w:sz w:val="22"/>
                <w:lang w:val="en-US"/>
              </w:rPr>
              <w:t>a</w:t>
            </w:r>
            <w:r w:rsidRPr="00881282">
              <w:rPr>
                <w:rFonts w:ascii="Arial" w:eastAsia="Calibri" w:hAnsi="Arial" w:cs="Calibri"/>
                <w:spacing w:val="-5"/>
                <w:sz w:val="22"/>
                <w:lang w:val="en-US"/>
              </w:rPr>
              <w:t xml:space="preserve"> </w:t>
            </w:r>
            <w:r w:rsidRPr="00881282">
              <w:rPr>
                <w:rFonts w:ascii="Arial" w:eastAsia="Calibri" w:hAnsi="Arial" w:cs="Calibri"/>
                <w:sz w:val="22"/>
                <w:lang w:val="en-US"/>
              </w:rPr>
              <w:t>material</w:t>
            </w:r>
            <w:r w:rsidRPr="00881282">
              <w:rPr>
                <w:rFonts w:ascii="Arial" w:eastAsia="Calibri" w:hAnsi="Arial" w:cs="Calibri"/>
                <w:spacing w:val="-3"/>
                <w:sz w:val="22"/>
                <w:lang w:val="en-US"/>
              </w:rPr>
              <w:t xml:space="preserve"> </w:t>
            </w:r>
            <w:r w:rsidRPr="00881282">
              <w:rPr>
                <w:rFonts w:ascii="Arial" w:eastAsia="Calibri" w:hAnsi="Arial" w:cs="Calibri"/>
                <w:sz w:val="22"/>
                <w:lang w:val="en-US"/>
              </w:rPr>
              <w:t>misstatement</w:t>
            </w:r>
            <w:r w:rsidRPr="00881282">
              <w:rPr>
                <w:rFonts w:ascii="Arial" w:eastAsia="Calibri" w:hAnsi="Arial" w:cs="Calibri"/>
                <w:spacing w:val="-1"/>
                <w:sz w:val="22"/>
                <w:lang w:val="en-US"/>
              </w:rPr>
              <w:t xml:space="preserve"> </w:t>
            </w:r>
            <w:r w:rsidRPr="00881282">
              <w:rPr>
                <w:rFonts w:ascii="Arial" w:eastAsia="Calibri" w:hAnsi="Arial" w:cs="Calibri"/>
                <w:sz w:val="22"/>
                <w:lang w:val="en-US"/>
              </w:rPr>
              <w:t>when</w:t>
            </w:r>
            <w:r w:rsidRPr="00881282">
              <w:rPr>
                <w:rFonts w:ascii="Arial" w:eastAsia="Calibri" w:hAnsi="Arial" w:cs="Calibri"/>
                <w:spacing w:val="-3"/>
                <w:sz w:val="22"/>
                <w:lang w:val="en-US"/>
              </w:rPr>
              <w:t xml:space="preserve"> </w:t>
            </w:r>
            <w:r w:rsidRPr="00881282">
              <w:rPr>
                <w:rFonts w:ascii="Arial" w:eastAsia="Calibri" w:hAnsi="Arial" w:cs="Calibri"/>
                <w:sz w:val="22"/>
                <w:lang w:val="en-US"/>
              </w:rPr>
              <w:t>it</w:t>
            </w:r>
            <w:r w:rsidRPr="00881282">
              <w:rPr>
                <w:rFonts w:ascii="Arial" w:eastAsia="Calibri" w:hAnsi="Arial" w:cs="Calibri"/>
                <w:spacing w:val="-1"/>
                <w:sz w:val="22"/>
                <w:lang w:val="en-US"/>
              </w:rPr>
              <w:t xml:space="preserve"> </w:t>
            </w:r>
            <w:r w:rsidRPr="00881282">
              <w:rPr>
                <w:rFonts w:ascii="Arial" w:eastAsia="Calibri" w:hAnsi="Arial" w:cs="Calibri"/>
                <w:sz w:val="22"/>
                <w:lang w:val="en-US"/>
              </w:rPr>
              <w:t>exists.</w:t>
            </w:r>
            <w:r w:rsidRPr="00881282">
              <w:rPr>
                <w:rFonts w:ascii="Arial" w:eastAsia="Calibri" w:hAnsi="Arial" w:cs="Calibri"/>
                <w:spacing w:val="-5"/>
                <w:sz w:val="22"/>
                <w:lang w:val="en-US"/>
              </w:rPr>
              <w:t xml:space="preserve"> </w:t>
            </w:r>
            <w:r w:rsidRPr="00881282">
              <w:rPr>
                <w:rFonts w:ascii="Arial" w:eastAsia="Calibri" w:hAnsi="Arial" w:cs="Calibri"/>
                <w:sz w:val="22"/>
                <w:lang w:val="en-US"/>
              </w:rPr>
              <w:t>Misstatements</w:t>
            </w:r>
            <w:r w:rsidRPr="00881282">
              <w:rPr>
                <w:rFonts w:ascii="Arial" w:eastAsia="Calibri" w:hAnsi="Arial" w:cs="Calibri"/>
                <w:spacing w:val="-5"/>
                <w:sz w:val="22"/>
                <w:lang w:val="en-US"/>
              </w:rPr>
              <w:t xml:space="preserve"> </w:t>
            </w:r>
            <w:r w:rsidRPr="00881282">
              <w:rPr>
                <w:rFonts w:ascii="Arial" w:eastAsia="Calibri" w:hAnsi="Arial" w:cs="Calibri"/>
                <w:sz w:val="22"/>
                <w:lang w:val="en-US"/>
              </w:rPr>
              <w:t>can</w:t>
            </w:r>
            <w:r w:rsidRPr="00881282">
              <w:rPr>
                <w:rFonts w:ascii="Arial" w:eastAsia="Calibri" w:hAnsi="Arial" w:cs="Calibri"/>
                <w:spacing w:val="-3"/>
                <w:sz w:val="22"/>
                <w:lang w:val="en-US"/>
              </w:rPr>
              <w:t xml:space="preserve"> </w:t>
            </w:r>
            <w:r w:rsidRPr="00881282">
              <w:rPr>
                <w:rFonts w:ascii="Arial" w:eastAsia="Calibri" w:hAnsi="Arial" w:cs="Calibri"/>
                <w:sz w:val="22"/>
                <w:lang w:val="en-US"/>
              </w:rPr>
              <w:t>arise from fraud or error and are considered material if, individually or in the aggregate, they could reasonably be expected to influence the economic decisions of users taken on the basis of this financial report.</w:t>
            </w:r>
          </w:p>
          <w:p w14:paraId="01134ECF" w14:textId="77777777" w:rsidR="00881282" w:rsidRPr="00881282" w:rsidRDefault="00881282" w:rsidP="00881282">
            <w:pPr>
              <w:widowControl w:val="0"/>
              <w:autoSpaceDE w:val="0"/>
              <w:autoSpaceDN w:val="0"/>
              <w:spacing w:before="113" w:after="0" w:line="266" w:lineRule="auto"/>
              <w:ind w:left="218" w:right="-128"/>
              <w:rPr>
                <w:rFonts w:ascii="Arial" w:eastAsia="Calibri" w:hAnsi="Calibri" w:cs="Calibri"/>
                <w:sz w:val="22"/>
                <w:lang w:val="en-US"/>
              </w:rPr>
            </w:pPr>
            <w:r w:rsidRPr="00881282">
              <w:rPr>
                <w:rFonts w:ascii="Arial" w:eastAsia="Calibri" w:hAnsi="Calibri" w:cs="Calibri"/>
                <w:sz w:val="22"/>
                <w:lang w:val="en-US"/>
              </w:rPr>
              <w:t>A</w:t>
            </w:r>
            <w:r w:rsidRPr="00881282">
              <w:rPr>
                <w:rFonts w:ascii="Arial" w:eastAsia="Calibri" w:hAnsi="Calibri" w:cs="Calibri"/>
                <w:spacing w:val="-2"/>
                <w:sz w:val="22"/>
                <w:lang w:val="en-US"/>
              </w:rPr>
              <w:t xml:space="preserve"> </w:t>
            </w:r>
            <w:r w:rsidRPr="00881282">
              <w:rPr>
                <w:rFonts w:ascii="Arial" w:eastAsia="Calibri" w:hAnsi="Calibri" w:cs="Calibri"/>
                <w:sz w:val="22"/>
                <w:lang w:val="en-US"/>
              </w:rPr>
              <w:t>further</w:t>
            </w:r>
            <w:r w:rsidRPr="00881282">
              <w:rPr>
                <w:rFonts w:ascii="Arial" w:eastAsia="Calibri" w:hAnsi="Calibri" w:cs="Calibri"/>
                <w:spacing w:val="-3"/>
                <w:sz w:val="22"/>
                <w:lang w:val="en-US"/>
              </w:rPr>
              <w:t xml:space="preserve"> </w:t>
            </w:r>
            <w:r w:rsidRPr="00881282">
              <w:rPr>
                <w:rFonts w:ascii="Arial" w:eastAsia="Calibri" w:hAnsi="Calibri" w:cs="Calibri"/>
                <w:sz w:val="22"/>
                <w:lang w:val="en-US"/>
              </w:rPr>
              <w:t>description</w:t>
            </w:r>
            <w:r w:rsidRPr="00881282">
              <w:rPr>
                <w:rFonts w:ascii="Arial" w:eastAsia="Calibri" w:hAnsi="Calibri" w:cs="Calibri"/>
                <w:spacing w:val="-2"/>
                <w:sz w:val="22"/>
                <w:lang w:val="en-US"/>
              </w:rPr>
              <w:t xml:space="preserve"> </w:t>
            </w:r>
            <w:r w:rsidRPr="00881282">
              <w:rPr>
                <w:rFonts w:ascii="Arial" w:eastAsia="Calibri" w:hAnsi="Calibri" w:cs="Calibri"/>
                <w:sz w:val="22"/>
                <w:lang w:val="en-US"/>
              </w:rPr>
              <w:t>of</w:t>
            </w:r>
            <w:r w:rsidRPr="00881282">
              <w:rPr>
                <w:rFonts w:ascii="Arial" w:eastAsia="Calibri" w:hAnsi="Calibri" w:cs="Calibri"/>
                <w:spacing w:val="-3"/>
                <w:sz w:val="22"/>
                <w:lang w:val="en-US"/>
              </w:rPr>
              <w:t xml:space="preserve"> </w:t>
            </w:r>
            <w:r w:rsidRPr="00881282">
              <w:rPr>
                <w:rFonts w:ascii="Arial" w:eastAsia="Calibri" w:hAnsi="Calibri" w:cs="Calibri"/>
                <w:sz w:val="22"/>
                <w:lang w:val="en-US"/>
              </w:rPr>
              <w:t>my</w:t>
            </w:r>
            <w:r w:rsidRPr="00881282">
              <w:rPr>
                <w:rFonts w:ascii="Arial" w:eastAsia="Calibri" w:hAnsi="Calibri" w:cs="Calibri"/>
                <w:spacing w:val="-4"/>
                <w:sz w:val="22"/>
                <w:lang w:val="en-US"/>
              </w:rPr>
              <w:t xml:space="preserve"> </w:t>
            </w:r>
            <w:r w:rsidRPr="00881282">
              <w:rPr>
                <w:rFonts w:ascii="Arial" w:eastAsia="Calibri" w:hAnsi="Calibri" w:cs="Calibri"/>
                <w:sz w:val="22"/>
                <w:lang w:val="en-US"/>
              </w:rPr>
              <w:t>responsibilities</w:t>
            </w:r>
            <w:r w:rsidRPr="00881282">
              <w:rPr>
                <w:rFonts w:ascii="Arial" w:eastAsia="Calibri" w:hAnsi="Calibri" w:cs="Calibri"/>
                <w:spacing w:val="-2"/>
                <w:sz w:val="22"/>
                <w:lang w:val="en-US"/>
              </w:rPr>
              <w:t xml:space="preserve"> </w:t>
            </w:r>
            <w:r w:rsidRPr="00881282">
              <w:rPr>
                <w:rFonts w:ascii="Arial" w:eastAsia="Calibri" w:hAnsi="Calibri" w:cs="Calibri"/>
                <w:sz w:val="22"/>
                <w:lang w:val="en-US"/>
              </w:rPr>
              <w:t>for</w:t>
            </w:r>
            <w:r w:rsidRPr="00881282">
              <w:rPr>
                <w:rFonts w:ascii="Arial" w:eastAsia="Calibri" w:hAnsi="Calibri" w:cs="Calibri"/>
                <w:spacing w:val="-3"/>
                <w:sz w:val="22"/>
                <w:lang w:val="en-US"/>
              </w:rPr>
              <w:t xml:space="preserve"> </w:t>
            </w:r>
            <w:r w:rsidRPr="00881282">
              <w:rPr>
                <w:rFonts w:ascii="Arial" w:eastAsia="Calibri" w:hAnsi="Calibri" w:cs="Calibri"/>
                <w:sz w:val="22"/>
                <w:lang w:val="en-US"/>
              </w:rPr>
              <w:t>the</w:t>
            </w:r>
            <w:r w:rsidRPr="00881282">
              <w:rPr>
                <w:rFonts w:ascii="Arial" w:eastAsia="Calibri" w:hAnsi="Calibri" w:cs="Calibri"/>
                <w:spacing w:val="-2"/>
                <w:sz w:val="22"/>
                <w:lang w:val="en-US"/>
              </w:rPr>
              <w:t xml:space="preserve"> </w:t>
            </w:r>
            <w:r w:rsidRPr="00881282">
              <w:rPr>
                <w:rFonts w:ascii="Arial" w:eastAsia="Calibri" w:hAnsi="Calibri" w:cs="Calibri"/>
                <w:sz w:val="22"/>
                <w:lang w:val="en-US"/>
              </w:rPr>
              <w:t>audit of</w:t>
            </w:r>
            <w:r w:rsidRPr="00881282">
              <w:rPr>
                <w:rFonts w:ascii="Arial" w:eastAsia="Calibri" w:hAnsi="Calibri" w:cs="Calibri"/>
                <w:spacing w:val="-3"/>
                <w:sz w:val="22"/>
                <w:lang w:val="en-US"/>
              </w:rPr>
              <w:t xml:space="preserve"> </w:t>
            </w:r>
            <w:r w:rsidRPr="00881282">
              <w:rPr>
                <w:rFonts w:ascii="Arial" w:eastAsia="Calibri" w:hAnsi="Calibri" w:cs="Calibri"/>
                <w:sz w:val="22"/>
                <w:lang w:val="en-US"/>
              </w:rPr>
              <w:t>the</w:t>
            </w:r>
            <w:r w:rsidRPr="00881282">
              <w:rPr>
                <w:rFonts w:ascii="Arial" w:eastAsia="Calibri" w:hAnsi="Calibri" w:cs="Calibri"/>
                <w:spacing w:val="-4"/>
                <w:sz w:val="22"/>
                <w:lang w:val="en-US"/>
              </w:rPr>
              <w:t xml:space="preserve"> </w:t>
            </w:r>
            <w:r w:rsidRPr="00881282">
              <w:rPr>
                <w:rFonts w:ascii="Arial" w:eastAsia="Calibri" w:hAnsi="Calibri" w:cs="Calibri"/>
                <w:sz w:val="22"/>
                <w:lang w:val="en-US"/>
              </w:rPr>
              <w:t>financial</w:t>
            </w:r>
            <w:r w:rsidRPr="00881282">
              <w:rPr>
                <w:rFonts w:ascii="Arial" w:eastAsia="Calibri" w:hAnsi="Calibri" w:cs="Calibri"/>
                <w:spacing w:val="-3"/>
                <w:sz w:val="22"/>
                <w:lang w:val="en-US"/>
              </w:rPr>
              <w:t xml:space="preserve"> </w:t>
            </w:r>
            <w:r w:rsidRPr="00881282">
              <w:rPr>
                <w:rFonts w:ascii="Arial" w:eastAsia="Calibri" w:hAnsi="Calibri" w:cs="Calibri"/>
                <w:sz w:val="22"/>
                <w:lang w:val="en-US"/>
              </w:rPr>
              <w:t>report</w:t>
            </w:r>
            <w:r w:rsidRPr="00881282">
              <w:rPr>
                <w:rFonts w:ascii="Arial" w:eastAsia="Calibri" w:hAnsi="Calibri" w:cs="Calibri"/>
                <w:spacing w:val="-3"/>
                <w:sz w:val="22"/>
                <w:lang w:val="en-US"/>
              </w:rPr>
              <w:t xml:space="preserve"> </w:t>
            </w:r>
            <w:r w:rsidRPr="00881282">
              <w:rPr>
                <w:rFonts w:ascii="Arial" w:eastAsia="Calibri" w:hAnsi="Calibri" w:cs="Calibri"/>
                <w:sz w:val="22"/>
                <w:lang w:val="en-US"/>
              </w:rPr>
              <w:t>is</w:t>
            </w:r>
            <w:r w:rsidRPr="00881282">
              <w:rPr>
                <w:rFonts w:ascii="Arial" w:eastAsia="Calibri" w:hAnsi="Calibri" w:cs="Calibri"/>
                <w:spacing w:val="-1"/>
                <w:sz w:val="22"/>
                <w:lang w:val="en-US"/>
              </w:rPr>
              <w:t xml:space="preserve"> </w:t>
            </w:r>
            <w:r w:rsidRPr="00881282">
              <w:rPr>
                <w:rFonts w:ascii="Arial" w:eastAsia="Calibri" w:hAnsi="Calibri" w:cs="Calibri"/>
                <w:sz w:val="22"/>
                <w:lang w:val="en-US"/>
              </w:rPr>
              <w:t>located</w:t>
            </w:r>
            <w:r w:rsidRPr="00881282">
              <w:rPr>
                <w:rFonts w:ascii="Arial" w:eastAsia="Calibri" w:hAnsi="Calibri" w:cs="Calibri"/>
                <w:spacing w:val="-4"/>
                <w:sz w:val="22"/>
                <w:lang w:val="en-US"/>
              </w:rPr>
              <w:t xml:space="preserve"> </w:t>
            </w:r>
            <w:r w:rsidRPr="00881282">
              <w:rPr>
                <w:rFonts w:ascii="Arial" w:eastAsia="Calibri" w:hAnsi="Calibri" w:cs="Calibri"/>
                <w:sz w:val="22"/>
                <w:lang w:val="en-US"/>
              </w:rPr>
              <w:t>at</w:t>
            </w:r>
            <w:r w:rsidRPr="00881282">
              <w:rPr>
                <w:rFonts w:ascii="Arial" w:eastAsia="Calibri" w:hAnsi="Calibri" w:cs="Calibri"/>
                <w:spacing w:val="-3"/>
                <w:sz w:val="22"/>
                <w:lang w:val="en-US"/>
              </w:rPr>
              <w:t xml:space="preserve"> </w:t>
            </w:r>
            <w:r w:rsidRPr="00881282">
              <w:rPr>
                <w:rFonts w:ascii="Arial" w:eastAsia="Calibri" w:hAnsi="Calibri" w:cs="Calibri"/>
                <w:sz w:val="22"/>
                <w:lang w:val="en-US"/>
              </w:rPr>
              <w:t xml:space="preserve">the Auditing and Assurance Standards Board website at: </w:t>
            </w:r>
            <w:hyperlink r:id="rId304">
              <w:r w:rsidRPr="00881282">
                <w:rPr>
                  <w:rStyle w:val="Hyperlink"/>
                  <w:rFonts w:ascii="Arial" w:hAnsi="Arial" w:cs="Arial"/>
                  <w:sz w:val="22"/>
                  <w:lang w:val="en-US"/>
                </w:rPr>
                <w:t>https://www.auasb.gov.au/auditors_responsibilities/ar4.pdf</w:t>
              </w:r>
            </w:hyperlink>
          </w:p>
          <w:p w14:paraId="5CC30190" w14:textId="77777777" w:rsidR="00881282" w:rsidRPr="00881282" w:rsidRDefault="00881282" w:rsidP="00881282">
            <w:pPr>
              <w:widowControl w:val="0"/>
              <w:autoSpaceDE w:val="0"/>
              <w:autoSpaceDN w:val="0"/>
              <w:spacing w:before="118" w:after="0"/>
              <w:ind w:left="218"/>
              <w:rPr>
                <w:rFonts w:ascii="Arial" w:eastAsia="Calibri" w:hAnsi="Arial" w:cs="Calibri"/>
                <w:sz w:val="22"/>
                <w:lang w:val="en-US"/>
              </w:rPr>
            </w:pPr>
            <w:r w:rsidRPr="00881282">
              <w:rPr>
                <w:rFonts w:ascii="Arial" w:eastAsia="Calibri" w:hAnsi="Arial" w:cs="Calibri"/>
                <w:sz w:val="22"/>
                <w:lang w:val="en-US"/>
              </w:rPr>
              <w:t>This</w:t>
            </w:r>
            <w:r w:rsidRPr="00881282">
              <w:rPr>
                <w:rFonts w:ascii="Arial" w:eastAsia="Calibri" w:hAnsi="Arial" w:cs="Calibri"/>
                <w:spacing w:val="-4"/>
                <w:sz w:val="22"/>
                <w:lang w:val="en-US"/>
              </w:rPr>
              <w:t xml:space="preserve"> </w:t>
            </w:r>
            <w:r w:rsidRPr="00881282">
              <w:rPr>
                <w:rFonts w:ascii="Arial" w:eastAsia="Calibri" w:hAnsi="Arial" w:cs="Calibri"/>
                <w:sz w:val="22"/>
                <w:lang w:val="en-US"/>
              </w:rPr>
              <w:t>description</w:t>
            </w:r>
            <w:r w:rsidRPr="00881282">
              <w:rPr>
                <w:rFonts w:ascii="Arial" w:eastAsia="Calibri" w:hAnsi="Arial" w:cs="Calibri"/>
                <w:spacing w:val="-6"/>
                <w:sz w:val="22"/>
                <w:lang w:val="en-US"/>
              </w:rPr>
              <w:t xml:space="preserve"> </w:t>
            </w:r>
            <w:r w:rsidRPr="00881282">
              <w:rPr>
                <w:rFonts w:ascii="Arial" w:eastAsia="Calibri" w:hAnsi="Arial" w:cs="Calibri"/>
                <w:sz w:val="22"/>
                <w:lang w:val="en-US"/>
              </w:rPr>
              <w:t>forms</w:t>
            </w:r>
            <w:r w:rsidRPr="00881282">
              <w:rPr>
                <w:rFonts w:ascii="Arial" w:eastAsia="Calibri" w:hAnsi="Arial" w:cs="Calibri"/>
                <w:spacing w:val="-5"/>
                <w:sz w:val="22"/>
                <w:lang w:val="en-US"/>
              </w:rPr>
              <w:t xml:space="preserve"> </w:t>
            </w:r>
            <w:r w:rsidRPr="00881282">
              <w:rPr>
                <w:rFonts w:ascii="Arial" w:eastAsia="Calibri" w:hAnsi="Arial" w:cs="Calibri"/>
                <w:sz w:val="22"/>
                <w:lang w:val="en-US"/>
              </w:rPr>
              <w:t>part</w:t>
            </w:r>
            <w:r w:rsidRPr="00881282">
              <w:rPr>
                <w:rFonts w:ascii="Arial" w:eastAsia="Calibri" w:hAnsi="Arial" w:cs="Calibri"/>
                <w:spacing w:val="-4"/>
                <w:sz w:val="22"/>
                <w:lang w:val="en-US"/>
              </w:rPr>
              <w:t xml:space="preserve"> </w:t>
            </w:r>
            <w:r w:rsidRPr="00881282">
              <w:rPr>
                <w:rFonts w:ascii="Arial" w:eastAsia="Calibri" w:hAnsi="Arial" w:cs="Calibri"/>
                <w:sz w:val="22"/>
                <w:lang w:val="en-US"/>
              </w:rPr>
              <w:t>of</w:t>
            </w:r>
            <w:r w:rsidRPr="00881282">
              <w:rPr>
                <w:rFonts w:ascii="Arial" w:eastAsia="Calibri" w:hAnsi="Arial" w:cs="Calibri"/>
                <w:spacing w:val="-5"/>
                <w:sz w:val="22"/>
                <w:lang w:val="en-US"/>
              </w:rPr>
              <w:t xml:space="preserve"> </w:t>
            </w:r>
            <w:r w:rsidRPr="00881282">
              <w:rPr>
                <w:rFonts w:ascii="Arial" w:eastAsia="Calibri" w:hAnsi="Arial" w:cs="Calibri"/>
                <w:sz w:val="22"/>
                <w:lang w:val="en-US"/>
              </w:rPr>
              <w:t>my</w:t>
            </w:r>
            <w:r w:rsidRPr="00881282">
              <w:rPr>
                <w:rFonts w:ascii="Arial" w:eastAsia="Calibri" w:hAnsi="Arial" w:cs="Calibri"/>
                <w:spacing w:val="-6"/>
                <w:sz w:val="22"/>
                <w:lang w:val="en-US"/>
              </w:rPr>
              <w:t xml:space="preserve"> </w:t>
            </w:r>
            <w:r w:rsidRPr="00881282">
              <w:rPr>
                <w:rFonts w:ascii="Arial" w:eastAsia="Calibri" w:hAnsi="Arial" w:cs="Calibri"/>
                <w:sz w:val="22"/>
                <w:lang w:val="en-US"/>
              </w:rPr>
              <w:t>auditor’s</w:t>
            </w:r>
            <w:r w:rsidRPr="00881282">
              <w:rPr>
                <w:rFonts w:ascii="Arial" w:eastAsia="Calibri" w:hAnsi="Arial" w:cs="Calibri"/>
                <w:spacing w:val="-3"/>
                <w:sz w:val="22"/>
                <w:lang w:val="en-US"/>
              </w:rPr>
              <w:t xml:space="preserve"> </w:t>
            </w:r>
            <w:r w:rsidRPr="00881282">
              <w:rPr>
                <w:rFonts w:ascii="Arial" w:eastAsia="Calibri" w:hAnsi="Arial" w:cs="Calibri"/>
                <w:spacing w:val="-2"/>
                <w:sz w:val="22"/>
                <w:lang w:val="en-US"/>
              </w:rPr>
              <w:t>report.</w:t>
            </w:r>
          </w:p>
          <w:p w14:paraId="401FCB27" w14:textId="77777777" w:rsidR="00881282" w:rsidRPr="00881282" w:rsidRDefault="00881282" w:rsidP="00881282">
            <w:pPr>
              <w:widowControl w:val="0"/>
              <w:autoSpaceDE w:val="0"/>
              <w:autoSpaceDN w:val="0"/>
              <w:spacing w:before="125" w:after="0"/>
              <w:ind w:left="218"/>
              <w:outlineLvl w:val="0"/>
              <w:rPr>
                <w:rFonts w:ascii="Arial" w:eastAsia="Arial" w:hAnsi="Arial" w:cs="Arial"/>
                <w:b/>
                <w:bCs/>
                <w:sz w:val="24"/>
                <w:szCs w:val="24"/>
                <w:lang w:val="en-US"/>
              </w:rPr>
            </w:pPr>
            <w:r w:rsidRPr="00881282">
              <w:rPr>
                <w:rFonts w:ascii="Arial" w:eastAsia="Arial" w:hAnsi="Arial" w:cs="Arial"/>
                <w:b/>
                <w:bCs/>
                <w:spacing w:val="-2"/>
                <w:sz w:val="24"/>
                <w:szCs w:val="24"/>
                <w:lang w:val="en-US"/>
              </w:rPr>
              <w:t>Statement</w:t>
            </w:r>
          </w:p>
          <w:p w14:paraId="1EC1744E" w14:textId="77777777" w:rsidR="00881282" w:rsidRPr="00881282" w:rsidRDefault="00881282" w:rsidP="00881282">
            <w:pPr>
              <w:widowControl w:val="0"/>
              <w:autoSpaceDE w:val="0"/>
              <w:autoSpaceDN w:val="0"/>
              <w:spacing w:before="148" w:after="0"/>
              <w:ind w:left="218"/>
              <w:rPr>
                <w:rFonts w:ascii="Arial" w:eastAsia="Calibri" w:hAnsi="Calibri" w:cs="Calibri"/>
                <w:sz w:val="22"/>
                <w:lang w:val="en-US"/>
              </w:rPr>
            </w:pPr>
            <w:r w:rsidRPr="00881282">
              <w:rPr>
                <w:rFonts w:ascii="Arial" w:eastAsia="Calibri" w:hAnsi="Calibri" w:cs="Calibri"/>
                <w:sz w:val="22"/>
                <w:lang w:val="en-US"/>
              </w:rPr>
              <w:t>In</w:t>
            </w:r>
            <w:r w:rsidRPr="00881282">
              <w:rPr>
                <w:rFonts w:ascii="Arial" w:eastAsia="Calibri" w:hAnsi="Calibri" w:cs="Calibri"/>
                <w:spacing w:val="-6"/>
                <w:sz w:val="22"/>
                <w:lang w:val="en-US"/>
              </w:rPr>
              <w:t xml:space="preserve"> </w:t>
            </w:r>
            <w:r w:rsidRPr="00881282">
              <w:rPr>
                <w:rFonts w:ascii="Arial" w:eastAsia="Calibri" w:hAnsi="Calibri" w:cs="Calibri"/>
                <w:sz w:val="22"/>
                <w:lang w:val="en-US"/>
              </w:rPr>
              <w:t>accordance</w:t>
            </w:r>
            <w:r w:rsidRPr="00881282">
              <w:rPr>
                <w:rFonts w:ascii="Arial" w:eastAsia="Calibri" w:hAnsi="Calibri" w:cs="Calibri"/>
                <w:spacing w:val="-5"/>
                <w:sz w:val="22"/>
                <w:lang w:val="en-US"/>
              </w:rPr>
              <w:t xml:space="preserve"> </w:t>
            </w:r>
            <w:r w:rsidRPr="00881282">
              <w:rPr>
                <w:rFonts w:ascii="Arial" w:eastAsia="Calibri" w:hAnsi="Calibri" w:cs="Calibri"/>
                <w:sz w:val="22"/>
                <w:lang w:val="en-US"/>
              </w:rPr>
              <w:t>with</w:t>
            </w:r>
            <w:r w:rsidRPr="00881282">
              <w:rPr>
                <w:rFonts w:ascii="Arial" w:eastAsia="Calibri" w:hAnsi="Calibri" w:cs="Calibri"/>
                <w:spacing w:val="-4"/>
                <w:sz w:val="22"/>
                <w:lang w:val="en-US"/>
              </w:rPr>
              <w:t xml:space="preserve"> </w:t>
            </w:r>
            <w:r w:rsidRPr="00881282">
              <w:rPr>
                <w:rFonts w:ascii="Arial" w:eastAsia="Calibri" w:hAnsi="Calibri" w:cs="Calibri"/>
                <w:sz w:val="22"/>
                <w:lang w:val="en-US"/>
              </w:rPr>
              <w:t>s.40</w:t>
            </w:r>
            <w:r w:rsidRPr="00881282">
              <w:rPr>
                <w:rFonts w:ascii="Arial" w:eastAsia="Calibri" w:hAnsi="Calibri" w:cs="Calibri"/>
                <w:spacing w:val="-5"/>
                <w:sz w:val="22"/>
                <w:lang w:val="en-US"/>
              </w:rPr>
              <w:t xml:space="preserve"> </w:t>
            </w:r>
            <w:r w:rsidRPr="00881282">
              <w:rPr>
                <w:rFonts w:ascii="Arial" w:eastAsia="Calibri" w:hAnsi="Calibri" w:cs="Calibri"/>
                <w:sz w:val="22"/>
                <w:lang w:val="en-US"/>
              </w:rPr>
              <w:t>of</w:t>
            </w:r>
            <w:r w:rsidRPr="00881282">
              <w:rPr>
                <w:rFonts w:ascii="Arial" w:eastAsia="Calibri" w:hAnsi="Calibri" w:cs="Calibri"/>
                <w:spacing w:val="-5"/>
                <w:sz w:val="22"/>
                <w:lang w:val="en-US"/>
              </w:rPr>
              <w:t xml:space="preserve"> </w:t>
            </w:r>
            <w:r w:rsidRPr="00881282">
              <w:rPr>
                <w:rFonts w:ascii="Arial" w:eastAsia="Calibri" w:hAnsi="Calibri" w:cs="Calibri"/>
                <w:sz w:val="22"/>
                <w:lang w:val="en-US"/>
              </w:rPr>
              <w:t>the</w:t>
            </w:r>
            <w:r w:rsidRPr="00881282">
              <w:rPr>
                <w:rFonts w:ascii="Arial" w:eastAsia="Calibri" w:hAnsi="Calibri" w:cs="Calibri"/>
                <w:spacing w:val="-2"/>
                <w:sz w:val="22"/>
                <w:lang w:val="en-US"/>
              </w:rPr>
              <w:t xml:space="preserve"> </w:t>
            </w:r>
            <w:r w:rsidRPr="00881282">
              <w:rPr>
                <w:rFonts w:ascii="Arial" w:eastAsia="Calibri" w:hAnsi="Calibri" w:cs="Calibri"/>
                <w:i/>
                <w:sz w:val="22"/>
                <w:lang w:val="en-US"/>
              </w:rPr>
              <w:t>Auditor-General</w:t>
            </w:r>
            <w:r w:rsidRPr="00881282">
              <w:rPr>
                <w:rFonts w:ascii="Arial" w:eastAsia="Calibri" w:hAnsi="Calibri" w:cs="Calibri"/>
                <w:i/>
                <w:spacing w:val="-7"/>
                <w:sz w:val="22"/>
                <w:lang w:val="en-US"/>
              </w:rPr>
              <w:t xml:space="preserve"> </w:t>
            </w:r>
            <w:r w:rsidRPr="00881282">
              <w:rPr>
                <w:rFonts w:ascii="Arial" w:eastAsia="Calibri" w:hAnsi="Calibri" w:cs="Calibri"/>
                <w:i/>
                <w:sz w:val="22"/>
                <w:lang w:val="en-US"/>
              </w:rPr>
              <w:t>Act</w:t>
            </w:r>
            <w:r w:rsidRPr="00881282">
              <w:rPr>
                <w:rFonts w:ascii="Arial" w:eastAsia="Calibri" w:hAnsi="Calibri" w:cs="Calibri"/>
                <w:i/>
                <w:spacing w:val="-1"/>
                <w:sz w:val="22"/>
                <w:lang w:val="en-US"/>
              </w:rPr>
              <w:t xml:space="preserve"> </w:t>
            </w:r>
            <w:r w:rsidRPr="00881282">
              <w:rPr>
                <w:rFonts w:ascii="Arial" w:eastAsia="Calibri" w:hAnsi="Calibri" w:cs="Calibri"/>
                <w:i/>
                <w:sz w:val="22"/>
                <w:lang w:val="en-US"/>
              </w:rPr>
              <w:t>2009</w:t>
            </w:r>
            <w:r w:rsidRPr="00881282">
              <w:rPr>
                <w:rFonts w:ascii="Arial" w:eastAsia="Calibri" w:hAnsi="Calibri" w:cs="Calibri"/>
                <w:sz w:val="22"/>
                <w:lang w:val="en-US"/>
              </w:rPr>
              <w:t>,</w:t>
            </w:r>
            <w:r w:rsidRPr="00881282">
              <w:rPr>
                <w:rFonts w:ascii="Arial" w:eastAsia="Calibri" w:hAnsi="Calibri" w:cs="Calibri"/>
                <w:spacing w:val="-5"/>
                <w:sz w:val="22"/>
                <w:lang w:val="en-US"/>
              </w:rPr>
              <w:t xml:space="preserve"> </w:t>
            </w:r>
            <w:r w:rsidRPr="00881282">
              <w:rPr>
                <w:rFonts w:ascii="Arial" w:eastAsia="Calibri" w:hAnsi="Calibri" w:cs="Calibri"/>
                <w:sz w:val="22"/>
                <w:lang w:val="en-US"/>
              </w:rPr>
              <w:t>for</w:t>
            </w:r>
            <w:r w:rsidRPr="00881282">
              <w:rPr>
                <w:rFonts w:ascii="Arial" w:eastAsia="Calibri" w:hAnsi="Calibri" w:cs="Calibri"/>
                <w:spacing w:val="-4"/>
                <w:sz w:val="22"/>
                <w:lang w:val="en-US"/>
              </w:rPr>
              <w:t xml:space="preserve"> </w:t>
            </w:r>
            <w:r w:rsidRPr="00881282">
              <w:rPr>
                <w:rFonts w:ascii="Arial" w:eastAsia="Calibri" w:hAnsi="Calibri" w:cs="Calibri"/>
                <w:sz w:val="22"/>
                <w:lang w:val="en-US"/>
              </w:rPr>
              <w:t>the</w:t>
            </w:r>
            <w:r w:rsidRPr="00881282">
              <w:rPr>
                <w:rFonts w:ascii="Arial" w:eastAsia="Calibri" w:hAnsi="Calibri" w:cs="Calibri"/>
                <w:spacing w:val="-5"/>
                <w:sz w:val="22"/>
                <w:lang w:val="en-US"/>
              </w:rPr>
              <w:t xml:space="preserve"> </w:t>
            </w:r>
            <w:r w:rsidRPr="00881282">
              <w:rPr>
                <w:rFonts w:ascii="Arial" w:eastAsia="Calibri" w:hAnsi="Calibri" w:cs="Calibri"/>
                <w:sz w:val="22"/>
                <w:lang w:val="en-US"/>
              </w:rPr>
              <w:t>year</w:t>
            </w:r>
            <w:r w:rsidRPr="00881282">
              <w:rPr>
                <w:rFonts w:ascii="Arial" w:eastAsia="Calibri" w:hAnsi="Calibri" w:cs="Calibri"/>
                <w:spacing w:val="-3"/>
                <w:sz w:val="22"/>
                <w:lang w:val="en-US"/>
              </w:rPr>
              <w:t xml:space="preserve"> </w:t>
            </w:r>
            <w:r w:rsidRPr="00881282">
              <w:rPr>
                <w:rFonts w:ascii="Arial" w:eastAsia="Calibri" w:hAnsi="Calibri" w:cs="Calibri"/>
                <w:sz w:val="22"/>
                <w:lang w:val="en-US"/>
              </w:rPr>
              <w:t>ended</w:t>
            </w:r>
            <w:r w:rsidRPr="00881282">
              <w:rPr>
                <w:rFonts w:ascii="Arial" w:eastAsia="Calibri" w:hAnsi="Calibri" w:cs="Calibri"/>
                <w:spacing w:val="-2"/>
                <w:sz w:val="22"/>
                <w:lang w:val="en-US"/>
              </w:rPr>
              <w:t xml:space="preserve"> </w:t>
            </w:r>
            <w:r w:rsidRPr="00881282">
              <w:rPr>
                <w:rFonts w:ascii="Arial" w:eastAsia="Calibri" w:hAnsi="Calibri" w:cs="Calibri"/>
                <w:sz w:val="22"/>
                <w:lang w:val="en-US"/>
              </w:rPr>
              <w:t>30</w:t>
            </w:r>
            <w:r w:rsidRPr="00881282">
              <w:rPr>
                <w:rFonts w:ascii="Arial" w:eastAsia="Calibri" w:hAnsi="Calibri" w:cs="Calibri"/>
                <w:spacing w:val="-3"/>
                <w:sz w:val="22"/>
                <w:lang w:val="en-US"/>
              </w:rPr>
              <w:t xml:space="preserve"> </w:t>
            </w:r>
            <w:r w:rsidRPr="00881282">
              <w:rPr>
                <w:rFonts w:ascii="Arial" w:eastAsia="Calibri" w:hAnsi="Calibri" w:cs="Calibri"/>
                <w:sz w:val="22"/>
                <w:lang w:val="en-US"/>
              </w:rPr>
              <w:t>June</w:t>
            </w:r>
            <w:r w:rsidRPr="00881282">
              <w:rPr>
                <w:rFonts w:ascii="Arial" w:eastAsia="Calibri" w:hAnsi="Calibri" w:cs="Calibri"/>
                <w:spacing w:val="-5"/>
                <w:sz w:val="22"/>
                <w:lang w:val="en-US"/>
              </w:rPr>
              <w:t xml:space="preserve"> </w:t>
            </w:r>
            <w:r w:rsidRPr="00881282">
              <w:rPr>
                <w:rFonts w:ascii="Arial" w:eastAsia="Calibri" w:hAnsi="Calibri" w:cs="Calibri"/>
                <w:spacing w:val="-2"/>
                <w:sz w:val="22"/>
                <w:lang w:val="en-US"/>
              </w:rPr>
              <w:t>2024:</w:t>
            </w:r>
          </w:p>
          <w:p w14:paraId="7E97A5B4" w14:textId="77777777" w:rsidR="00881282" w:rsidRPr="00881282" w:rsidRDefault="00881282" w:rsidP="002F23D4">
            <w:pPr>
              <w:widowControl w:val="0"/>
              <w:numPr>
                <w:ilvl w:val="0"/>
                <w:numId w:val="60"/>
              </w:numPr>
              <w:tabs>
                <w:tab w:val="left" w:pos="785"/>
              </w:tabs>
              <w:autoSpaceDE w:val="0"/>
              <w:autoSpaceDN w:val="0"/>
              <w:spacing w:before="145" w:after="0"/>
              <w:rPr>
                <w:rFonts w:ascii="Arial" w:eastAsia="Calibri" w:hAnsi="Calibri" w:cs="Calibri"/>
                <w:sz w:val="22"/>
                <w:lang w:val="en-US"/>
              </w:rPr>
            </w:pPr>
            <w:r w:rsidRPr="00881282">
              <w:rPr>
                <w:rFonts w:ascii="Arial" w:eastAsia="Calibri" w:hAnsi="Calibri" w:cs="Calibri"/>
                <w:sz w:val="22"/>
                <w:lang w:val="en-US"/>
              </w:rPr>
              <w:t>I</w:t>
            </w:r>
            <w:r w:rsidRPr="00881282">
              <w:rPr>
                <w:rFonts w:ascii="Arial" w:eastAsia="Calibri" w:hAnsi="Calibri" w:cs="Calibri"/>
                <w:spacing w:val="-6"/>
                <w:sz w:val="22"/>
                <w:lang w:val="en-US"/>
              </w:rPr>
              <w:t xml:space="preserve"> </w:t>
            </w:r>
            <w:r w:rsidRPr="00881282">
              <w:rPr>
                <w:rFonts w:ascii="Arial" w:eastAsia="Calibri" w:hAnsi="Calibri" w:cs="Calibri"/>
                <w:sz w:val="22"/>
                <w:lang w:val="en-US"/>
              </w:rPr>
              <w:t>received</w:t>
            </w:r>
            <w:r w:rsidRPr="00881282">
              <w:rPr>
                <w:rFonts w:ascii="Arial" w:eastAsia="Calibri" w:hAnsi="Calibri" w:cs="Calibri"/>
                <w:spacing w:val="-6"/>
                <w:sz w:val="22"/>
                <w:lang w:val="en-US"/>
              </w:rPr>
              <w:t xml:space="preserve"> </w:t>
            </w:r>
            <w:r w:rsidRPr="00881282">
              <w:rPr>
                <w:rFonts w:ascii="Arial" w:eastAsia="Calibri" w:hAnsi="Calibri" w:cs="Calibri"/>
                <w:sz w:val="22"/>
                <w:lang w:val="en-US"/>
              </w:rPr>
              <w:t>all</w:t>
            </w:r>
            <w:r w:rsidRPr="00881282">
              <w:rPr>
                <w:rFonts w:ascii="Arial" w:eastAsia="Calibri" w:hAnsi="Calibri" w:cs="Calibri"/>
                <w:spacing w:val="-5"/>
                <w:sz w:val="22"/>
                <w:lang w:val="en-US"/>
              </w:rPr>
              <w:t xml:space="preserve"> </w:t>
            </w:r>
            <w:r w:rsidRPr="00881282">
              <w:rPr>
                <w:rFonts w:ascii="Arial" w:eastAsia="Calibri" w:hAnsi="Calibri" w:cs="Calibri"/>
                <w:sz w:val="22"/>
                <w:lang w:val="en-US"/>
              </w:rPr>
              <w:t>the</w:t>
            </w:r>
            <w:r w:rsidRPr="00881282">
              <w:rPr>
                <w:rFonts w:ascii="Arial" w:eastAsia="Calibri" w:hAnsi="Calibri" w:cs="Calibri"/>
                <w:spacing w:val="-6"/>
                <w:sz w:val="22"/>
                <w:lang w:val="en-US"/>
              </w:rPr>
              <w:t xml:space="preserve"> </w:t>
            </w:r>
            <w:r w:rsidRPr="00881282">
              <w:rPr>
                <w:rFonts w:ascii="Arial" w:eastAsia="Calibri" w:hAnsi="Calibri" w:cs="Calibri"/>
                <w:sz w:val="22"/>
                <w:lang w:val="en-US"/>
              </w:rPr>
              <w:t>information</w:t>
            </w:r>
            <w:r w:rsidRPr="00881282">
              <w:rPr>
                <w:rFonts w:ascii="Arial" w:eastAsia="Calibri" w:hAnsi="Calibri" w:cs="Calibri"/>
                <w:spacing w:val="-6"/>
                <w:sz w:val="22"/>
                <w:lang w:val="en-US"/>
              </w:rPr>
              <w:t xml:space="preserve"> </w:t>
            </w:r>
            <w:r w:rsidRPr="00881282">
              <w:rPr>
                <w:rFonts w:ascii="Arial" w:eastAsia="Calibri" w:hAnsi="Calibri" w:cs="Calibri"/>
                <w:sz w:val="22"/>
                <w:lang w:val="en-US"/>
              </w:rPr>
              <w:t>and</w:t>
            </w:r>
            <w:r w:rsidRPr="00881282">
              <w:rPr>
                <w:rFonts w:ascii="Arial" w:eastAsia="Calibri" w:hAnsi="Calibri" w:cs="Calibri"/>
                <w:spacing w:val="-5"/>
                <w:sz w:val="22"/>
                <w:lang w:val="en-US"/>
              </w:rPr>
              <w:t xml:space="preserve"> </w:t>
            </w:r>
            <w:r w:rsidRPr="00881282">
              <w:rPr>
                <w:rFonts w:ascii="Arial" w:eastAsia="Calibri" w:hAnsi="Calibri" w:cs="Calibri"/>
                <w:sz w:val="22"/>
                <w:lang w:val="en-US"/>
              </w:rPr>
              <w:t>explanations</w:t>
            </w:r>
            <w:r w:rsidRPr="00881282">
              <w:rPr>
                <w:rFonts w:ascii="Arial" w:eastAsia="Calibri" w:hAnsi="Calibri" w:cs="Calibri"/>
                <w:spacing w:val="-7"/>
                <w:sz w:val="22"/>
                <w:lang w:val="en-US"/>
              </w:rPr>
              <w:t xml:space="preserve"> </w:t>
            </w:r>
            <w:r w:rsidRPr="00881282">
              <w:rPr>
                <w:rFonts w:ascii="Arial" w:eastAsia="Calibri" w:hAnsi="Calibri" w:cs="Calibri"/>
                <w:sz w:val="22"/>
                <w:lang w:val="en-US"/>
              </w:rPr>
              <w:t>I</w:t>
            </w:r>
            <w:r w:rsidRPr="00881282">
              <w:rPr>
                <w:rFonts w:ascii="Arial" w:eastAsia="Calibri" w:hAnsi="Calibri" w:cs="Calibri"/>
                <w:spacing w:val="-5"/>
                <w:sz w:val="22"/>
                <w:lang w:val="en-US"/>
              </w:rPr>
              <w:t xml:space="preserve"> </w:t>
            </w:r>
            <w:r w:rsidRPr="00881282">
              <w:rPr>
                <w:rFonts w:ascii="Arial" w:eastAsia="Calibri" w:hAnsi="Calibri" w:cs="Calibri"/>
                <w:spacing w:val="-2"/>
                <w:sz w:val="22"/>
                <w:lang w:val="en-US"/>
              </w:rPr>
              <w:t>required.</w:t>
            </w:r>
          </w:p>
          <w:p w14:paraId="1ABCF4A3" w14:textId="77777777" w:rsidR="00881282" w:rsidRPr="00881282" w:rsidRDefault="00881282" w:rsidP="002F23D4">
            <w:pPr>
              <w:widowControl w:val="0"/>
              <w:numPr>
                <w:ilvl w:val="0"/>
                <w:numId w:val="60"/>
              </w:numPr>
              <w:tabs>
                <w:tab w:val="left" w:pos="785"/>
              </w:tabs>
              <w:autoSpaceDE w:val="0"/>
              <w:autoSpaceDN w:val="0"/>
              <w:spacing w:before="148" w:after="0" w:line="266" w:lineRule="auto"/>
              <w:ind w:right="297"/>
              <w:rPr>
                <w:rFonts w:ascii="Arial" w:eastAsia="Calibri" w:hAnsi="Calibri" w:cs="Calibri"/>
                <w:sz w:val="22"/>
                <w:lang w:val="en-US"/>
              </w:rPr>
            </w:pPr>
            <w:r w:rsidRPr="00881282">
              <w:rPr>
                <w:rFonts w:ascii="Arial" w:eastAsia="Calibri" w:hAnsi="Calibri" w:cs="Calibri"/>
                <w:sz w:val="22"/>
                <w:lang w:val="en-US"/>
              </w:rPr>
              <w:t>I</w:t>
            </w:r>
            <w:r w:rsidRPr="00881282">
              <w:rPr>
                <w:rFonts w:ascii="Arial" w:eastAsia="Calibri" w:hAnsi="Calibri" w:cs="Calibri"/>
                <w:spacing w:val="-1"/>
                <w:sz w:val="22"/>
                <w:lang w:val="en-US"/>
              </w:rPr>
              <w:t xml:space="preserve"> </w:t>
            </w:r>
            <w:r w:rsidRPr="00881282">
              <w:rPr>
                <w:rFonts w:ascii="Arial" w:eastAsia="Calibri" w:hAnsi="Calibri" w:cs="Calibri"/>
                <w:sz w:val="22"/>
                <w:lang w:val="en-US"/>
              </w:rPr>
              <w:t>consider</w:t>
            </w:r>
            <w:r w:rsidRPr="00881282">
              <w:rPr>
                <w:rFonts w:ascii="Arial" w:eastAsia="Calibri" w:hAnsi="Calibri" w:cs="Calibri"/>
                <w:spacing w:val="-4"/>
                <w:sz w:val="22"/>
                <w:lang w:val="en-US"/>
              </w:rPr>
              <w:t xml:space="preserve"> </w:t>
            </w:r>
            <w:r w:rsidRPr="00881282">
              <w:rPr>
                <w:rFonts w:ascii="Arial" w:eastAsia="Calibri" w:hAnsi="Calibri" w:cs="Calibri"/>
                <w:sz w:val="22"/>
                <w:lang w:val="en-US"/>
              </w:rPr>
              <w:t>that,</w:t>
            </w:r>
            <w:r w:rsidRPr="00881282">
              <w:rPr>
                <w:rFonts w:ascii="Arial" w:eastAsia="Calibri" w:hAnsi="Calibri" w:cs="Calibri"/>
                <w:spacing w:val="-4"/>
                <w:sz w:val="22"/>
                <w:lang w:val="en-US"/>
              </w:rPr>
              <w:t xml:space="preserve"> </w:t>
            </w:r>
            <w:r w:rsidRPr="00881282">
              <w:rPr>
                <w:rFonts w:ascii="Arial" w:eastAsia="Calibri" w:hAnsi="Calibri" w:cs="Calibri"/>
                <w:sz w:val="22"/>
                <w:lang w:val="en-US"/>
              </w:rPr>
              <w:t>the</w:t>
            </w:r>
            <w:r w:rsidRPr="00881282">
              <w:rPr>
                <w:rFonts w:ascii="Arial" w:eastAsia="Calibri" w:hAnsi="Calibri" w:cs="Calibri"/>
                <w:spacing w:val="-3"/>
                <w:sz w:val="22"/>
                <w:lang w:val="en-US"/>
              </w:rPr>
              <w:t xml:space="preserve"> </w:t>
            </w:r>
            <w:r w:rsidRPr="00881282">
              <w:rPr>
                <w:rFonts w:ascii="Arial" w:eastAsia="Calibri" w:hAnsi="Calibri" w:cs="Calibri"/>
                <w:sz w:val="22"/>
                <w:lang w:val="en-US"/>
              </w:rPr>
              <w:t>prescribed</w:t>
            </w:r>
            <w:r w:rsidRPr="00881282">
              <w:rPr>
                <w:rFonts w:ascii="Arial" w:eastAsia="Calibri" w:hAnsi="Calibri" w:cs="Calibri"/>
                <w:spacing w:val="-3"/>
                <w:sz w:val="22"/>
                <w:lang w:val="en-US"/>
              </w:rPr>
              <w:t xml:space="preserve"> </w:t>
            </w:r>
            <w:r w:rsidRPr="00881282">
              <w:rPr>
                <w:rFonts w:ascii="Arial" w:eastAsia="Calibri" w:hAnsi="Calibri" w:cs="Calibri"/>
                <w:sz w:val="22"/>
                <w:lang w:val="en-US"/>
              </w:rPr>
              <w:t>requirements</w:t>
            </w:r>
            <w:r w:rsidRPr="00881282">
              <w:rPr>
                <w:rFonts w:ascii="Arial" w:eastAsia="Calibri" w:hAnsi="Calibri" w:cs="Calibri"/>
                <w:spacing w:val="-2"/>
                <w:sz w:val="22"/>
                <w:lang w:val="en-US"/>
              </w:rPr>
              <w:t xml:space="preserve"> </w:t>
            </w:r>
            <w:r w:rsidRPr="00881282">
              <w:rPr>
                <w:rFonts w:ascii="Arial" w:eastAsia="Calibri" w:hAnsi="Calibri" w:cs="Calibri"/>
                <w:sz w:val="22"/>
                <w:lang w:val="en-US"/>
              </w:rPr>
              <w:t>in</w:t>
            </w:r>
            <w:r w:rsidRPr="00881282">
              <w:rPr>
                <w:rFonts w:ascii="Arial" w:eastAsia="Calibri" w:hAnsi="Calibri" w:cs="Calibri"/>
                <w:spacing w:val="-5"/>
                <w:sz w:val="22"/>
                <w:lang w:val="en-US"/>
              </w:rPr>
              <w:t xml:space="preserve"> </w:t>
            </w:r>
            <w:r w:rsidRPr="00881282">
              <w:rPr>
                <w:rFonts w:ascii="Arial" w:eastAsia="Calibri" w:hAnsi="Calibri" w:cs="Calibri"/>
                <w:sz w:val="22"/>
                <w:lang w:val="en-US"/>
              </w:rPr>
              <w:t>relation</w:t>
            </w:r>
            <w:r w:rsidRPr="00881282">
              <w:rPr>
                <w:rFonts w:ascii="Arial" w:eastAsia="Calibri" w:hAnsi="Calibri" w:cs="Calibri"/>
                <w:spacing w:val="-3"/>
                <w:sz w:val="22"/>
                <w:lang w:val="en-US"/>
              </w:rPr>
              <w:t xml:space="preserve"> </w:t>
            </w:r>
            <w:r w:rsidRPr="00881282">
              <w:rPr>
                <w:rFonts w:ascii="Arial" w:eastAsia="Calibri" w:hAnsi="Calibri" w:cs="Calibri"/>
                <w:sz w:val="22"/>
                <w:lang w:val="en-US"/>
              </w:rPr>
              <w:t>to</w:t>
            </w:r>
            <w:r w:rsidRPr="00881282">
              <w:rPr>
                <w:rFonts w:ascii="Arial" w:eastAsia="Calibri" w:hAnsi="Calibri" w:cs="Calibri"/>
                <w:spacing w:val="-5"/>
                <w:sz w:val="22"/>
                <w:lang w:val="en-US"/>
              </w:rPr>
              <w:t xml:space="preserve"> </w:t>
            </w:r>
            <w:r w:rsidRPr="00881282">
              <w:rPr>
                <w:rFonts w:ascii="Arial" w:eastAsia="Calibri" w:hAnsi="Calibri" w:cs="Calibri"/>
                <w:sz w:val="22"/>
                <w:lang w:val="en-US"/>
              </w:rPr>
              <w:t>the</w:t>
            </w:r>
            <w:r w:rsidRPr="00881282">
              <w:rPr>
                <w:rFonts w:ascii="Arial" w:eastAsia="Calibri" w:hAnsi="Calibri" w:cs="Calibri"/>
                <w:spacing w:val="-5"/>
                <w:sz w:val="22"/>
                <w:lang w:val="en-US"/>
              </w:rPr>
              <w:t xml:space="preserve"> </w:t>
            </w:r>
            <w:r w:rsidRPr="00881282">
              <w:rPr>
                <w:rFonts w:ascii="Arial" w:eastAsia="Calibri" w:hAnsi="Calibri" w:cs="Calibri"/>
                <w:sz w:val="22"/>
                <w:lang w:val="en-US"/>
              </w:rPr>
              <w:t>establishment</w:t>
            </w:r>
            <w:r w:rsidRPr="00881282">
              <w:rPr>
                <w:rFonts w:ascii="Arial" w:eastAsia="Calibri" w:hAnsi="Calibri" w:cs="Calibri"/>
                <w:spacing w:val="-1"/>
                <w:sz w:val="22"/>
                <w:lang w:val="en-US"/>
              </w:rPr>
              <w:t xml:space="preserve"> </w:t>
            </w:r>
            <w:r w:rsidRPr="00881282">
              <w:rPr>
                <w:rFonts w:ascii="Arial" w:eastAsia="Calibri" w:hAnsi="Calibri" w:cs="Calibri"/>
                <w:sz w:val="22"/>
                <w:lang w:val="en-US"/>
              </w:rPr>
              <w:t>and keeping of accounts were complied with in all material respects.</w:t>
            </w:r>
          </w:p>
          <w:p w14:paraId="5E01C9A2" w14:textId="77777777" w:rsidR="00881282" w:rsidRPr="00881282" w:rsidRDefault="00881282" w:rsidP="00881282">
            <w:pPr>
              <w:widowControl w:val="0"/>
              <w:autoSpaceDE w:val="0"/>
              <w:autoSpaceDN w:val="0"/>
              <w:spacing w:before="94" w:after="0"/>
              <w:ind w:left="218"/>
              <w:outlineLvl w:val="0"/>
              <w:rPr>
                <w:rFonts w:ascii="Arial" w:eastAsia="Arial" w:hAnsi="Arial" w:cs="Arial"/>
                <w:b/>
                <w:bCs/>
                <w:sz w:val="24"/>
                <w:szCs w:val="24"/>
                <w:lang w:val="en-US"/>
              </w:rPr>
            </w:pPr>
            <w:r w:rsidRPr="00881282">
              <w:rPr>
                <w:rFonts w:ascii="Arial" w:eastAsia="Arial" w:hAnsi="Arial" w:cs="Arial"/>
                <w:b/>
                <w:bCs/>
                <w:sz w:val="24"/>
                <w:szCs w:val="24"/>
                <w:lang w:val="en-US"/>
              </w:rPr>
              <w:t>Prescribed</w:t>
            </w:r>
            <w:r w:rsidRPr="00881282">
              <w:rPr>
                <w:rFonts w:ascii="Arial" w:eastAsia="Arial" w:hAnsi="Arial" w:cs="Arial"/>
                <w:b/>
                <w:bCs/>
                <w:spacing w:val="-8"/>
                <w:sz w:val="24"/>
                <w:szCs w:val="24"/>
                <w:lang w:val="en-US"/>
              </w:rPr>
              <w:t xml:space="preserve"> </w:t>
            </w:r>
            <w:r w:rsidRPr="00881282">
              <w:rPr>
                <w:rFonts w:ascii="Arial" w:eastAsia="Arial" w:hAnsi="Arial" w:cs="Arial"/>
                <w:b/>
                <w:bCs/>
                <w:sz w:val="24"/>
                <w:szCs w:val="24"/>
                <w:lang w:val="en-US"/>
              </w:rPr>
              <w:t>requirements</w:t>
            </w:r>
            <w:r w:rsidRPr="00881282">
              <w:rPr>
                <w:rFonts w:ascii="Arial" w:eastAsia="Arial" w:hAnsi="Arial" w:cs="Arial"/>
                <w:b/>
                <w:bCs/>
                <w:spacing w:val="-7"/>
                <w:sz w:val="24"/>
                <w:szCs w:val="24"/>
                <w:lang w:val="en-US"/>
              </w:rPr>
              <w:t xml:space="preserve"> </w:t>
            </w:r>
            <w:r w:rsidRPr="00881282">
              <w:rPr>
                <w:rFonts w:ascii="Arial" w:eastAsia="Arial" w:hAnsi="Arial" w:cs="Arial"/>
                <w:b/>
                <w:bCs/>
                <w:spacing w:val="-4"/>
                <w:sz w:val="24"/>
                <w:szCs w:val="24"/>
                <w:lang w:val="en-US"/>
              </w:rPr>
              <w:t>scope</w:t>
            </w:r>
          </w:p>
          <w:p w14:paraId="05A14371" w14:textId="77777777" w:rsidR="00881282" w:rsidRDefault="00881282" w:rsidP="00881282">
            <w:pPr>
              <w:widowControl w:val="0"/>
              <w:autoSpaceDE w:val="0"/>
              <w:autoSpaceDN w:val="0"/>
              <w:spacing w:before="149" w:after="0" w:line="266" w:lineRule="auto"/>
              <w:ind w:left="218" w:right="-128"/>
              <w:rPr>
                <w:rFonts w:ascii="Arial" w:eastAsia="Calibri" w:hAnsi="Arial" w:cs="Calibri"/>
                <w:sz w:val="22"/>
                <w:lang w:val="en-US"/>
              </w:rPr>
            </w:pPr>
            <w:r w:rsidRPr="00881282">
              <w:rPr>
                <w:rFonts w:ascii="Arial" w:eastAsia="Calibri" w:hAnsi="Arial" w:cs="Calibri"/>
                <w:sz w:val="22"/>
                <w:lang w:val="en-US"/>
              </w:rPr>
              <w:t xml:space="preserve">The prescribed requirements for the establishment and keeping of accounts are contained in the </w:t>
            </w:r>
            <w:r w:rsidRPr="00881282">
              <w:rPr>
                <w:rFonts w:ascii="Arial" w:eastAsia="Calibri" w:hAnsi="Arial" w:cs="Calibri"/>
                <w:i/>
                <w:sz w:val="22"/>
                <w:lang w:val="en-US"/>
              </w:rPr>
              <w:t>Financial Accountability Act 2009</w:t>
            </w:r>
            <w:r w:rsidRPr="00881282">
              <w:rPr>
                <w:rFonts w:ascii="Arial" w:eastAsia="Calibri" w:hAnsi="Arial" w:cs="Calibri"/>
                <w:sz w:val="22"/>
                <w:lang w:val="en-US"/>
              </w:rPr>
              <w:t>, any other Act and the Financial and Performance Management</w:t>
            </w:r>
            <w:r w:rsidRPr="00881282">
              <w:rPr>
                <w:rFonts w:ascii="Arial" w:eastAsia="Calibri" w:hAnsi="Arial" w:cs="Calibri"/>
                <w:spacing w:val="-1"/>
                <w:sz w:val="22"/>
                <w:lang w:val="en-US"/>
              </w:rPr>
              <w:t xml:space="preserve"> </w:t>
            </w:r>
            <w:r w:rsidRPr="00881282">
              <w:rPr>
                <w:rFonts w:ascii="Arial" w:eastAsia="Calibri" w:hAnsi="Arial" w:cs="Calibri"/>
                <w:sz w:val="22"/>
                <w:lang w:val="en-US"/>
              </w:rPr>
              <w:t>Standard</w:t>
            </w:r>
            <w:r w:rsidRPr="00881282">
              <w:rPr>
                <w:rFonts w:ascii="Arial" w:eastAsia="Calibri" w:hAnsi="Arial" w:cs="Calibri"/>
                <w:spacing w:val="-5"/>
                <w:sz w:val="22"/>
                <w:lang w:val="en-US"/>
              </w:rPr>
              <w:t xml:space="preserve"> </w:t>
            </w:r>
            <w:r w:rsidRPr="00881282">
              <w:rPr>
                <w:rFonts w:ascii="Arial" w:eastAsia="Calibri" w:hAnsi="Arial" w:cs="Calibri"/>
                <w:sz w:val="22"/>
                <w:lang w:val="en-US"/>
              </w:rPr>
              <w:t>2019.</w:t>
            </w:r>
            <w:r w:rsidRPr="00881282">
              <w:rPr>
                <w:rFonts w:ascii="Arial" w:eastAsia="Calibri" w:hAnsi="Arial" w:cs="Calibri"/>
                <w:spacing w:val="-2"/>
                <w:sz w:val="22"/>
                <w:lang w:val="en-US"/>
              </w:rPr>
              <w:t xml:space="preserve"> </w:t>
            </w:r>
            <w:r w:rsidRPr="00881282">
              <w:rPr>
                <w:rFonts w:ascii="Arial" w:eastAsia="Calibri" w:hAnsi="Arial" w:cs="Calibri"/>
                <w:sz w:val="22"/>
                <w:lang w:val="en-US"/>
              </w:rPr>
              <w:t>The</w:t>
            </w:r>
            <w:r w:rsidRPr="00881282">
              <w:rPr>
                <w:rFonts w:ascii="Arial" w:eastAsia="Calibri" w:hAnsi="Arial" w:cs="Calibri"/>
                <w:spacing w:val="-3"/>
                <w:sz w:val="22"/>
                <w:lang w:val="en-US"/>
              </w:rPr>
              <w:t xml:space="preserve"> </w:t>
            </w:r>
            <w:r w:rsidRPr="00881282">
              <w:rPr>
                <w:rFonts w:ascii="Arial" w:eastAsia="Calibri" w:hAnsi="Arial" w:cs="Calibri"/>
                <w:sz w:val="22"/>
                <w:lang w:val="en-US"/>
              </w:rPr>
              <w:t>applicable</w:t>
            </w:r>
            <w:r w:rsidRPr="00881282">
              <w:rPr>
                <w:rFonts w:ascii="Arial" w:eastAsia="Calibri" w:hAnsi="Arial" w:cs="Calibri"/>
                <w:spacing w:val="-3"/>
                <w:sz w:val="22"/>
                <w:lang w:val="en-US"/>
              </w:rPr>
              <w:t xml:space="preserve"> </w:t>
            </w:r>
            <w:r w:rsidRPr="00881282">
              <w:rPr>
                <w:rFonts w:ascii="Arial" w:eastAsia="Calibri" w:hAnsi="Arial" w:cs="Calibri"/>
                <w:sz w:val="22"/>
                <w:lang w:val="en-US"/>
              </w:rPr>
              <w:t>requirements</w:t>
            </w:r>
            <w:r w:rsidRPr="00881282">
              <w:rPr>
                <w:rFonts w:ascii="Arial" w:eastAsia="Calibri" w:hAnsi="Arial" w:cs="Calibri"/>
                <w:spacing w:val="-5"/>
                <w:sz w:val="22"/>
                <w:lang w:val="en-US"/>
              </w:rPr>
              <w:t xml:space="preserve"> </w:t>
            </w:r>
            <w:r w:rsidRPr="00881282">
              <w:rPr>
                <w:rFonts w:ascii="Arial" w:eastAsia="Calibri" w:hAnsi="Arial" w:cs="Calibri"/>
                <w:sz w:val="22"/>
                <w:lang w:val="en-US"/>
              </w:rPr>
              <w:t>include</w:t>
            </w:r>
            <w:r w:rsidRPr="00881282">
              <w:rPr>
                <w:rFonts w:ascii="Arial" w:eastAsia="Calibri" w:hAnsi="Arial" w:cs="Calibri"/>
                <w:spacing w:val="-5"/>
                <w:sz w:val="22"/>
                <w:lang w:val="en-US"/>
              </w:rPr>
              <w:t xml:space="preserve"> </w:t>
            </w:r>
            <w:r w:rsidRPr="00881282">
              <w:rPr>
                <w:rFonts w:ascii="Arial" w:eastAsia="Calibri" w:hAnsi="Arial" w:cs="Calibri"/>
                <w:sz w:val="22"/>
                <w:lang w:val="en-US"/>
              </w:rPr>
              <w:t>those</w:t>
            </w:r>
            <w:r w:rsidRPr="00881282">
              <w:rPr>
                <w:rFonts w:ascii="Arial" w:eastAsia="Calibri" w:hAnsi="Arial" w:cs="Calibri"/>
                <w:spacing w:val="-5"/>
                <w:sz w:val="22"/>
                <w:lang w:val="en-US"/>
              </w:rPr>
              <w:t xml:space="preserve"> </w:t>
            </w:r>
            <w:r w:rsidRPr="00881282">
              <w:rPr>
                <w:rFonts w:ascii="Arial" w:eastAsia="Calibri" w:hAnsi="Arial" w:cs="Calibri"/>
                <w:sz w:val="22"/>
                <w:lang w:val="en-US"/>
              </w:rPr>
              <w:t>for</w:t>
            </w:r>
            <w:r w:rsidRPr="00881282">
              <w:rPr>
                <w:rFonts w:ascii="Arial" w:eastAsia="Calibri" w:hAnsi="Arial" w:cs="Calibri"/>
                <w:spacing w:val="-2"/>
                <w:sz w:val="22"/>
                <w:lang w:val="en-US"/>
              </w:rPr>
              <w:t xml:space="preserve"> </w:t>
            </w:r>
            <w:r w:rsidRPr="00881282">
              <w:rPr>
                <w:rFonts w:ascii="Arial" w:eastAsia="Calibri" w:hAnsi="Arial" w:cs="Calibri"/>
                <w:sz w:val="22"/>
                <w:lang w:val="en-US"/>
              </w:rPr>
              <w:t>keeping</w:t>
            </w:r>
            <w:r w:rsidRPr="00881282">
              <w:rPr>
                <w:rFonts w:ascii="Arial" w:eastAsia="Calibri" w:hAnsi="Arial" w:cs="Calibri"/>
                <w:spacing w:val="-5"/>
                <w:sz w:val="22"/>
                <w:lang w:val="en-US"/>
              </w:rPr>
              <w:t xml:space="preserve"> </w:t>
            </w:r>
            <w:r w:rsidRPr="00881282">
              <w:rPr>
                <w:rFonts w:ascii="Arial" w:eastAsia="Calibri" w:hAnsi="Arial" w:cs="Calibri"/>
                <w:sz w:val="22"/>
                <w:lang w:val="en-US"/>
              </w:rPr>
              <w:t>financial records that correctly record and explain the entity’s transactions and account balances to enable the preparation of a true and fair financial report.</w:t>
            </w:r>
          </w:p>
          <w:p w14:paraId="209D3B57" w14:textId="77777777" w:rsidR="00881282" w:rsidRDefault="00881282" w:rsidP="00881282">
            <w:pPr>
              <w:widowControl w:val="0"/>
              <w:autoSpaceDE w:val="0"/>
              <w:autoSpaceDN w:val="0"/>
              <w:spacing w:before="149" w:after="0" w:line="266" w:lineRule="auto"/>
              <w:ind w:left="218" w:right="624"/>
              <w:rPr>
                <w:rFonts w:ascii="Arial" w:eastAsia="Calibri" w:hAnsi="Arial" w:cs="Calibri"/>
                <w:sz w:val="22"/>
                <w:lang w:val="en-US"/>
              </w:rPr>
            </w:pPr>
          </w:p>
          <w:p w14:paraId="3D89CB42" w14:textId="6200C215" w:rsidR="00881282" w:rsidRPr="00881282" w:rsidRDefault="00881282" w:rsidP="00881282">
            <w:pPr>
              <w:widowControl w:val="0"/>
              <w:autoSpaceDE w:val="0"/>
              <w:autoSpaceDN w:val="0"/>
              <w:spacing w:before="10" w:after="0"/>
              <w:rPr>
                <w:rFonts w:ascii="Arial" w:eastAsia="Calibri" w:hAnsi="Calibri" w:cs="Calibri"/>
                <w:sz w:val="22"/>
                <w:szCs w:val="20"/>
                <w:lang w:val="en-US"/>
              </w:rPr>
            </w:pPr>
            <w:r w:rsidRPr="00881282">
              <w:rPr>
                <w:rFonts w:ascii="Calibri" w:eastAsia="Calibri" w:hAnsi="Calibri" w:cs="Calibri"/>
                <w:noProof/>
                <w:sz w:val="22"/>
                <w:lang w:val="en-US"/>
              </w:rPr>
              <w:drawing>
                <wp:anchor distT="0" distB="0" distL="0" distR="0" simplePos="0" relativeHeight="252492800" behindDoc="0" locked="0" layoutInCell="1" allowOverlap="1" wp14:anchorId="5C03F0B8" wp14:editId="654285DB">
                  <wp:simplePos x="0" y="0"/>
                  <wp:positionH relativeFrom="page">
                    <wp:posOffset>263657</wp:posOffset>
                  </wp:positionH>
                  <wp:positionV relativeFrom="paragraph">
                    <wp:posOffset>109220</wp:posOffset>
                  </wp:positionV>
                  <wp:extent cx="925957" cy="306450"/>
                  <wp:effectExtent l="0" t="0" r="7620" b="0"/>
                  <wp:wrapSquare wrapText="bothSides"/>
                  <wp:docPr id="273" name="Image 273">
                    <a:hlinkClick xmlns:a="http://schemas.openxmlformats.org/drawingml/2006/main" r:id="rId30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a:hlinkClick r:id="rId305"/>
                          </pic:cNvPr>
                          <pic:cNvPicPr/>
                        </pic:nvPicPr>
                        <pic:blipFill>
                          <a:blip r:embed="rId306" cstate="print">
                            <a:extLst>
                              <a:ext uri="{BEBA8EAE-BF5A-486C-A8C5-ECC9F3942E4B}">
                                <a14:imgProps xmlns:a14="http://schemas.microsoft.com/office/drawing/2010/main">
                                  <a14:imgLayer r:embed="rId307">
                                    <a14:imgEffect>
                                      <a14:saturation sat="0"/>
                                    </a14:imgEffect>
                                  </a14:imgLayer>
                                </a14:imgProps>
                              </a:ext>
                            </a:extLst>
                          </a:blip>
                          <a:stretch>
                            <a:fillRect/>
                          </a:stretch>
                        </pic:blipFill>
                        <pic:spPr>
                          <a:xfrm>
                            <a:off x="0" y="0"/>
                            <a:ext cx="925957" cy="306450"/>
                          </a:xfrm>
                          <a:prstGeom prst="rect">
                            <a:avLst/>
                          </a:prstGeom>
                        </pic:spPr>
                      </pic:pic>
                    </a:graphicData>
                  </a:graphic>
                </wp:anchor>
              </w:drawing>
            </w:r>
          </w:p>
          <w:p w14:paraId="6A476702" w14:textId="71659B39" w:rsidR="00881282" w:rsidRPr="00881282" w:rsidRDefault="00881282" w:rsidP="00881282">
            <w:pPr>
              <w:widowControl w:val="0"/>
              <w:autoSpaceDE w:val="0"/>
              <w:autoSpaceDN w:val="0"/>
              <w:spacing w:after="0"/>
              <w:ind w:right="13"/>
              <w:jc w:val="right"/>
              <w:rPr>
                <w:rFonts w:ascii="Arial" w:eastAsia="Calibri" w:hAnsi="Calibri" w:cs="Calibri"/>
                <w:sz w:val="22"/>
                <w:lang w:val="en-US"/>
              </w:rPr>
            </w:pPr>
            <w:r w:rsidRPr="00881282">
              <w:rPr>
                <w:rFonts w:ascii="Arial" w:eastAsia="Calibri" w:hAnsi="Calibri" w:cs="Calibri"/>
                <w:sz w:val="22"/>
                <w:lang w:val="en-US"/>
              </w:rPr>
              <w:t>26</w:t>
            </w:r>
            <w:r w:rsidRPr="00881282">
              <w:rPr>
                <w:rFonts w:ascii="Arial" w:eastAsia="Calibri" w:hAnsi="Calibri" w:cs="Calibri"/>
                <w:spacing w:val="-5"/>
                <w:sz w:val="22"/>
                <w:lang w:val="en-US"/>
              </w:rPr>
              <w:t xml:space="preserve"> </w:t>
            </w:r>
            <w:r w:rsidRPr="00881282">
              <w:rPr>
                <w:rFonts w:ascii="Arial" w:eastAsia="Calibri" w:hAnsi="Calibri" w:cs="Calibri"/>
                <w:sz w:val="22"/>
                <w:lang w:val="en-US"/>
              </w:rPr>
              <w:t>August</w:t>
            </w:r>
            <w:r w:rsidRPr="00881282">
              <w:rPr>
                <w:rFonts w:ascii="Arial" w:eastAsia="Calibri" w:hAnsi="Calibri" w:cs="Calibri"/>
                <w:spacing w:val="-2"/>
                <w:sz w:val="22"/>
                <w:lang w:val="en-US"/>
              </w:rPr>
              <w:t xml:space="preserve"> </w:t>
            </w:r>
            <w:r w:rsidRPr="00881282">
              <w:rPr>
                <w:rFonts w:ascii="Arial" w:eastAsia="Calibri" w:hAnsi="Calibri" w:cs="Calibri"/>
                <w:spacing w:val="-4"/>
                <w:sz w:val="22"/>
                <w:lang w:val="en-US"/>
              </w:rPr>
              <w:t>2024</w:t>
            </w:r>
          </w:p>
          <w:p w14:paraId="5047B53B" w14:textId="77777777" w:rsidR="00881282" w:rsidRPr="00881282" w:rsidRDefault="00881282" w:rsidP="00881282">
            <w:pPr>
              <w:widowControl w:val="0"/>
              <w:autoSpaceDE w:val="0"/>
              <w:autoSpaceDN w:val="0"/>
              <w:spacing w:after="0"/>
              <w:rPr>
                <w:rFonts w:ascii="Arial" w:eastAsia="Calibri" w:hAnsi="Calibri" w:cs="Calibri"/>
                <w:sz w:val="22"/>
                <w:szCs w:val="20"/>
                <w:lang w:val="en-US"/>
              </w:rPr>
            </w:pPr>
          </w:p>
          <w:p w14:paraId="6A007BC9" w14:textId="77777777" w:rsidR="00881282" w:rsidRPr="00881282" w:rsidRDefault="00881282" w:rsidP="00881282">
            <w:pPr>
              <w:widowControl w:val="0"/>
              <w:autoSpaceDE w:val="0"/>
              <w:autoSpaceDN w:val="0"/>
              <w:spacing w:before="11" w:after="0"/>
              <w:rPr>
                <w:rFonts w:ascii="Arial" w:eastAsia="Calibri" w:hAnsi="Calibri" w:cs="Calibri"/>
                <w:sz w:val="22"/>
                <w:szCs w:val="20"/>
                <w:lang w:val="en-US"/>
              </w:rPr>
            </w:pPr>
          </w:p>
          <w:p w14:paraId="2F99C8AE" w14:textId="77777777" w:rsidR="00881282" w:rsidRPr="00881282" w:rsidRDefault="00881282" w:rsidP="00881282">
            <w:pPr>
              <w:widowControl w:val="0"/>
              <w:tabs>
                <w:tab w:val="left" w:pos="6841"/>
              </w:tabs>
              <w:autoSpaceDE w:val="0"/>
              <w:autoSpaceDN w:val="0"/>
              <w:spacing w:after="0"/>
              <w:ind w:left="326"/>
              <w:rPr>
                <w:rFonts w:ascii="Arial" w:eastAsia="Calibri" w:hAnsi="Calibri" w:cs="Calibri"/>
                <w:sz w:val="22"/>
                <w:lang w:val="en-US"/>
              </w:rPr>
            </w:pPr>
            <w:r w:rsidRPr="00881282">
              <w:rPr>
                <w:rFonts w:ascii="Arial" w:eastAsia="Calibri" w:hAnsi="Calibri" w:cs="Calibri"/>
                <w:sz w:val="22"/>
                <w:lang w:val="en-US"/>
              </w:rPr>
              <w:t>Lisa</w:t>
            </w:r>
            <w:r w:rsidRPr="00881282">
              <w:rPr>
                <w:rFonts w:ascii="Arial" w:eastAsia="Calibri" w:hAnsi="Calibri" w:cs="Calibri"/>
                <w:spacing w:val="-4"/>
                <w:sz w:val="22"/>
                <w:lang w:val="en-US"/>
              </w:rPr>
              <w:t xml:space="preserve"> </w:t>
            </w:r>
            <w:r w:rsidRPr="00881282">
              <w:rPr>
                <w:rFonts w:ascii="Arial" w:eastAsia="Calibri" w:hAnsi="Calibri" w:cs="Calibri"/>
                <w:spacing w:val="-2"/>
                <w:sz w:val="22"/>
                <w:lang w:val="en-US"/>
              </w:rPr>
              <w:t>Fraser</w:t>
            </w:r>
            <w:r w:rsidRPr="00881282">
              <w:rPr>
                <w:rFonts w:ascii="Arial" w:eastAsia="Calibri" w:hAnsi="Calibri" w:cs="Calibri"/>
                <w:sz w:val="22"/>
                <w:lang w:val="en-US"/>
              </w:rPr>
              <w:tab/>
            </w:r>
            <w:r w:rsidRPr="00881282">
              <w:rPr>
                <w:rFonts w:ascii="Arial" w:eastAsia="Calibri" w:hAnsi="Calibri" w:cs="Calibri"/>
                <w:spacing w:val="-2"/>
                <w:sz w:val="22"/>
                <w:lang w:val="en-US"/>
              </w:rPr>
              <w:t>Queensland</w:t>
            </w:r>
            <w:r w:rsidRPr="00881282">
              <w:rPr>
                <w:rFonts w:ascii="Arial" w:eastAsia="Calibri" w:hAnsi="Calibri" w:cs="Calibri"/>
                <w:spacing w:val="-10"/>
                <w:sz w:val="22"/>
                <w:lang w:val="en-US"/>
              </w:rPr>
              <w:t xml:space="preserve"> </w:t>
            </w:r>
            <w:r w:rsidRPr="00881282">
              <w:rPr>
                <w:rFonts w:ascii="Arial" w:eastAsia="Calibri" w:hAnsi="Calibri" w:cs="Calibri"/>
                <w:spacing w:val="-2"/>
                <w:sz w:val="22"/>
                <w:lang w:val="en-US"/>
              </w:rPr>
              <w:t>Audit</w:t>
            </w:r>
            <w:r w:rsidRPr="00881282">
              <w:rPr>
                <w:rFonts w:ascii="Arial" w:eastAsia="Calibri" w:hAnsi="Calibri" w:cs="Calibri"/>
                <w:spacing w:val="-7"/>
                <w:sz w:val="22"/>
                <w:lang w:val="en-US"/>
              </w:rPr>
              <w:t xml:space="preserve"> </w:t>
            </w:r>
            <w:r w:rsidRPr="00881282">
              <w:rPr>
                <w:rFonts w:ascii="Arial" w:eastAsia="Calibri" w:hAnsi="Calibri" w:cs="Calibri"/>
                <w:spacing w:val="-2"/>
                <w:sz w:val="22"/>
                <w:lang w:val="en-US"/>
              </w:rPr>
              <w:t>Office</w:t>
            </w:r>
          </w:p>
          <w:p w14:paraId="39B47BF3" w14:textId="77777777" w:rsidR="00881282" w:rsidRPr="00881282" w:rsidRDefault="00881282" w:rsidP="00881282">
            <w:pPr>
              <w:widowControl w:val="0"/>
              <w:tabs>
                <w:tab w:val="left" w:pos="8329"/>
              </w:tabs>
              <w:autoSpaceDE w:val="0"/>
              <w:autoSpaceDN w:val="0"/>
              <w:spacing w:before="2" w:after="0"/>
              <w:ind w:left="326"/>
              <w:rPr>
                <w:rFonts w:ascii="Arial" w:eastAsia="Calibri" w:hAnsi="Calibri" w:cs="Calibri"/>
                <w:sz w:val="22"/>
                <w:lang w:val="en-US"/>
              </w:rPr>
            </w:pPr>
            <w:r w:rsidRPr="00881282">
              <w:rPr>
                <w:rFonts w:ascii="Arial" w:eastAsia="Calibri" w:hAnsi="Calibri" w:cs="Calibri"/>
                <w:spacing w:val="-2"/>
                <w:sz w:val="22"/>
                <w:lang w:val="en-US"/>
              </w:rPr>
              <w:t>as</w:t>
            </w:r>
            <w:r w:rsidRPr="00881282">
              <w:rPr>
                <w:rFonts w:ascii="Arial" w:eastAsia="Calibri" w:hAnsi="Calibri" w:cs="Calibri"/>
                <w:spacing w:val="-6"/>
                <w:sz w:val="22"/>
                <w:lang w:val="en-US"/>
              </w:rPr>
              <w:t xml:space="preserve"> </w:t>
            </w:r>
            <w:r w:rsidRPr="00881282">
              <w:rPr>
                <w:rFonts w:ascii="Arial" w:eastAsia="Calibri" w:hAnsi="Calibri" w:cs="Calibri"/>
                <w:spacing w:val="-2"/>
                <w:sz w:val="22"/>
                <w:lang w:val="en-US"/>
              </w:rPr>
              <w:t>delegate</w:t>
            </w:r>
            <w:r w:rsidRPr="00881282">
              <w:rPr>
                <w:rFonts w:ascii="Arial" w:eastAsia="Calibri" w:hAnsi="Calibri" w:cs="Calibri"/>
                <w:spacing w:val="-6"/>
                <w:sz w:val="22"/>
                <w:lang w:val="en-US"/>
              </w:rPr>
              <w:t xml:space="preserve"> </w:t>
            </w:r>
            <w:r w:rsidRPr="00881282">
              <w:rPr>
                <w:rFonts w:ascii="Arial" w:eastAsia="Calibri" w:hAnsi="Calibri" w:cs="Calibri"/>
                <w:spacing w:val="-2"/>
                <w:sz w:val="22"/>
                <w:lang w:val="en-US"/>
              </w:rPr>
              <w:t>of</w:t>
            </w:r>
            <w:r w:rsidRPr="00881282">
              <w:rPr>
                <w:rFonts w:ascii="Arial" w:eastAsia="Calibri" w:hAnsi="Calibri" w:cs="Calibri"/>
                <w:spacing w:val="-5"/>
                <w:sz w:val="22"/>
                <w:lang w:val="en-US"/>
              </w:rPr>
              <w:t xml:space="preserve"> </w:t>
            </w:r>
            <w:r w:rsidRPr="00881282">
              <w:rPr>
                <w:rFonts w:ascii="Arial" w:eastAsia="Calibri" w:hAnsi="Calibri" w:cs="Calibri"/>
                <w:spacing w:val="-2"/>
                <w:sz w:val="22"/>
                <w:lang w:val="en-US"/>
              </w:rPr>
              <w:t>the</w:t>
            </w:r>
            <w:r w:rsidRPr="00881282">
              <w:rPr>
                <w:rFonts w:ascii="Arial" w:eastAsia="Calibri" w:hAnsi="Calibri" w:cs="Calibri"/>
                <w:spacing w:val="-6"/>
                <w:sz w:val="22"/>
                <w:lang w:val="en-US"/>
              </w:rPr>
              <w:t xml:space="preserve"> </w:t>
            </w:r>
            <w:r w:rsidRPr="00881282">
              <w:rPr>
                <w:rFonts w:ascii="Arial" w:eastAsia="Calibri" w:hAnsi="Calibri" w:cs="Calibri"/>
                <w:spacing w:val="-2"/>
                <w:sz w:val="22"/>
                <w:lang w:val="en-US"/>
              </w:rPr>
              <w:t>Auditor-General</w:t>
            </w:r>
            <w:r w:rsidRPr="00881282">
              <w:rPr>
                <w:rFonts w:ascii="Arial" w:eastAsia="Calibri" w:hAnsi="Calibri" w:cs="Calibri"/>
                <w:sz w:val="22"/>
                <w:lang w:val="en-US"/>
              </w:rPr>
              <w:tab/>
            </w:r>
            <w:r w:rsidRPr="00881282">
              <w:rPr>
                <w:rFonts w:ascii="Arial" w:eastAsia="Calibri" w:hAnsi="Calibri" w:cs="Calibri"/>
                <w:spacing w:val="-2"/>
                <w:sz w:val="22"/>
                <w:lang w:val="en-US"/>
              </w:rPr>
              <w:t>Brisbane</w:t>
            </w:r>
          </w:p>
          <w:p w14:paraId="7ACA6FAD" w14:textId="77777777" w:rsidR="00881282" w:rsidRDefault="00881282" w:rsidP="00881282">
            <w:pPr>
              <w:widowControl w:val="0"/>
              <w:autoSpaceDE w:val="0"/>
              <w:autoSpaceDN w:val="0"/>
              <w:spacing w:before="149" w:after="0" w:line="266" w:lineRule="auto"/>
              <w:ind w:left="218" w:right="624"/>
              <w:rPr>
                <w:rFonts w:ascii="Arial" w:eastAsia="Calibri" w:hAnsi="Arial" w:cs="Calibri"/>
                <w:sz w:val="22"/>
                <w:lang w:val="en-US"/>
              </w:rPr>
            </w:pPr>
          </w:p>
          <w:p w14:paraId="6D2845C3" w14:textId="77777777" w:rsidR="00881282" w:rsidRDefault="00881282" w:rsidP="00881282">
            <w:pPr>
              <w:widowControl w:val="0"/>
              <w:autoSpaceDE w:val="0"/>
              <w:autoSpaceDN w:val="0"/>
              <w:spacing w:before="149" w:after="0" w:line="266" w:lineRule="auto"/>
              <w:ind w:left="218" w:right="624"/>
              <w:rPr>
                <w:rFonts w:ascii="Arial" w:eastAsia="Calibri" w:hAnsi="Arial" w:cs="Calibri"/>
                <w:sz w:val="22"/>
                <w:lang w:val="en-US"/>
              </w:rPr>
            </w:pPr>
          </w:p>
          <w:p w14:paraId="2411EBB8" w14:textId="77777777" w:rsidR="00881282" w:rsidRDefault="00881282" w:rsidP="00881282">
            <w:pPr>
              <w:widowControl w:val="0"/>
              <w:autoSpaceDE w:val="0"/>
              <w:autoSpaceDN w:val="0"/>
              <w:spacing w:before="149" w:after="0" w:line="266" w:lineRule="auto"/>
              <w:ind w:left="218" w:right="624"/>
              <w:rPr>
                <w:rFonts w:ascii="Arial" w:eastAsia="Calibri" w:hAnsi="Arial" w:cs="Calibri"/>
                <w:sz w:val="22"/>
                <w:lang w:val="en-US"/>
              </w:rPr>
            </w:pPr>
          </w:p>
          <w:p w14:paraId="57E80758" w14:textId="77777777" w:rsidR="00881282" w:rsidRDefault="00881282" w:rsidP="00881282">
            <w:pPr>
              <w:widowControl w:val="0"/>
              <w:autoSpaceDE w:val="0"/>
              <w:autoSpaceDN w:val="0"/>
              <w:spacing w:before="149" w:after="0" w:line="266" w:lineRule="auto"/>
              <w:ind w:left="218" w:right="624"/>
              <w:rPr>
                <w:rFonts w:ascii="Arial" w:eastAsia="Calibri" w:hAnsi="Arial" w:cs="Calibri"/>
                <w:sz w:val="22"/>
                <w:lang w:val="en-US"/>
              </w:rPr>
            </w:pPr>
          </w:p>
          <w:p w14:paraId="5D387065" w14:textId="77777777" w:rsidR="00881282" w:rsidRDefault="00881282" w:rsidP="00881282">
            <w:pPr>
              <w:widowControl w:val="0"/>
              <w:autoSpaceDE w:val="0"/>
              <w:autoSpaceDN w:val="0"/>
              <w:spacing w:before="149" w:after="0" w:line="266" w:lineRule="auto"/>
              <w:ind w:left="218" w:right="624"/>
              <w:rPr>
                <w:rFonts w:ascii="Arial" w:eastAsia="Calibri" w:hAnsi="Arial" w:cs="Calibri"/>
                <w:sz w:val="22"/>
                <w:lang w:val="en-US"/>
              </w:rPr>
            </w:pPr>
          </w:p>
          <w:p w14:paraId="095D1BF1" w14:textId="77777777" w:rsidR="00881282" w:rsidRDefault="00881282" w:rsidP="00881282">
            <w:pPr>
              <w:widowControl w:val="0"/>
              <w:autoSpaceDE w:val="0"/>
              <w:autoSpaceDN w:val="0"/>
              <w:spacing w:before="149" w:after="0" w:line="266" w:lineRule="auto"/>
              <w:ind w:left="218" w:right="624"/>
              <w:rPr>
                <w:rFonts w:ascii="Arial" w:eastAsia="Calibri" w:hAnsi="Arial" w:cs="Calibri"/>
                <w:sz w:val="22"/>
                <w:lang w:val="en-US"/>
              </w:rPr>
            </w:pPr>
          </w:p>
          <w:p w14:paraId="3C3FFF9F" w14:textId="77777777" w:rsidR="0081730C" w:rsidRDefault="0081730C" w:rsidP="00881282">
            <w:pPr>
              <w:widowControl w:val="0"/>
              <w:kinsoku w:val="0"/>
              <w:overflowPunct w:val="0"/>
              <w:autoSpaceDE w:val="0"/>
              <w:autoSpaceDN w:val="0"/>
              <w:adjustRightInd w:val="0"/>
              <w:spacing w:before="110" w:after="0"/>
              <w:outlineLvl w:val="0"/>
              <w:rPr>
                <w:rFonts w:ascii="Arial" w:eastAsia="Times New Roman" w:hAnsi="Arial" w:cs="Arial"/>
                <w:b/>
                <w:bCs/>
                <w:color w:val="414042" w:themeColor="text1"/>
                <w:spacing w:val="-2"/>
                <w:sz w:val="24"/>
                <w:szCs w:val="24"/>
                <w:lang w:eastAsia="en-AU"/>
              </w:rPr>
            </w:pPr>
          </w:p>
        </w:tc>
      </w:tr>
    </w:tbl>
    <w:p w14:paraId="2E5772AC" w14:textId="67FDAB9D" w:rsidR="008E121E" w:rsidRPr="007A1087" w:rsidRDefault="008E121E" w:rsidP="00860F16">
      <w:pPr>
        <w:tabs>
          <w:tab w:val="left" w:pos="462"/>
          <w:tab w:val="left" w:pos="1134"/>
          <w:tab w:val="left" w:pos="7132"/>
        </w:tabs>
        <w:spacing w:line="360" w:lineRule="auto"/>
        <w:rPr>
          <w:b/>
          <w:bCs/>
          <w:color w:val="414042" w:themeColor="text1"/>
          <w:szCs w:val="20"/>
        </w:rPr>
        <w:sectPr w:rsidR="008E121E" w:rsidRPr="007A1087" w:rsidSect="00C77834">
          <w:headerReference w:type="even" r:id="rId308"/>
          <w:headerReference w:type="default" r:id="rId309"/>
          <w:headerReference w:type="first" r:id="rId310"/>
          <w:pgSz w:w="11906" w:h="16838"/>
          <w:pgMar w:top="2155" w:right="1134" w:bottom="964" w:left="1134" w:header="720" w:footer="283" w:gutter="0"/>
          <w:cols w:space="708"/>
          <w:docGrid w:linePitch="360"/>
        </w:sectPr>
      </w:pPr>
    </w:p>
    <w:p w14:paraId="6E1EA592" w14:textId="33C8750F" w:rsidR="00571F7A" w:rsidRPr="00F9716C" w:rsidRDefault="00387DE0" w:rsidP="00A52DF0">
      <w:pPr>
        <w:pStyle w:val="1Heading"/>
      </w:pPr>
      <w:bookmarkStart w:id="1549" w:name="_Appendices"/>
      <w:bookmarkStart w:id="1550" w:name="_Toc102038162"/>
      <w:bookmarkStart w:id="1551" w:name="_Toc102038523"/>
      <w:bookmarkStart w:id="1552" w:name="_Toc102038884"/>
      <w:bookmarkStart w:id="1553" w:name="_Toc102039236"/>
      <w:bookmarkStart w:id="1554" w:name="_Toc102039585"/>
      <w:bookmarkStart w:id="1555" w:name="_Toc102039947"/>
      <w:bookmarkStart w:id="1556" w:name="_Toc102040273"/>
      <w:bookmarkStart w:id="1557" w:name="_Toc102040601"/>
      <w:bookmarkStart w:id="1558" w:name="_Toc102040935"/>
      <w:bookmarkStart w:id="1559" w:name="_Toc102041263"/>
      <w:bookmarkStart w:id="1560" w:name="_Toc102041592"/>
      <w:bookmarkStart w:id="1561" w:name="_Toc102041924"/>
      <w:bookmarkStart w:id="1562" w:name="_Toc102042251"/>
      <w:bookmarkStart w:id="1563" w:name="_Toc102042581"/>
      <w:bookmarkStart w:id="1564" w:name="_Toc102045711"/>
      <w:bookmarkStart w:id="1565" w:name="Appendicies"/>
      <w:bookmarkEnd w:id="1549"/>
      <w:r w:rsidRPr="00F9716C">
        <w:t>Appendices</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tbl>
      <w:tblPr>
        <w:tblW w:w="4846" w:type="pct"/>
        <w:tblBorders>
          <w:insideH w:val="single" w:sz="8" w:space="0" w:color="FFFFFF" w:themeColor="background1"/>
        </w:tblBorders>
        <w:tblLook w:val="04A0" w:firstRow="1" w:lastRow="0" w:firstColumn="1" w:lastColumn="0" w:noHBand="0" w:noVBand="1"/>
      </w:tblPr>
      <w:tblGrid>
        <w:gridCol w:w="7833"/>
        <w:gridCol w:w="1508"/>
      </w:tblGrid>
      <w:tr w:rsidR="0006123B" w:rsidRPr="0006123B" w14:paraId="3C3FA4C3" w14:textId="77777777" w:rsidTr="00434199">
        <w:trPr>
          <w:trHeight w:val="737"/>
        </w:trPr>
        <w:tc>
          <w:tcPr>
            <w:tcW w:w="4193" w:type="pct"/>
            <w:tcBorders>
              <w:bottom w:val="single" w:sz="12" w:space="0" w:color="FFFFFF" w:themeColor="background1"/>
            </w:tcBorders>
            <w:shd w:val="clear" w:color="auto" w:fill="auto"/>
            <w:vAlign w:val="center"/>
          </w:tcPr>
          <w:bookmarkEnd w:id="1565"/>
          <w:p w14:paraId="134D182A" w14:textId="26CB7E8E" w:rsidR="005268F0" w:rsidRPr="0006123B" w:rsidRDefault="001A667B" w:rsidP="00DD31B5">
            <w:pPr>
              <w:pStyle w:val="71Sectionnumbering"/>
              <w:framePr w:wrap="around"/>
            </w:pPr>
            <w:r w:rsidRPr="00E6408B">
              <w:fldChar w:fldCharType="begin"/>
            </w:r>
            <w:r w:rsidR="000422C9" w:rsidRPr="0006123B">
              <w:instrText>HYPERLINK  \l "AppendixA"</w:instrText>
            </w:r>
            <w:r w:rsidRPr="00E6408B">
              <w:fldChar w:fldCharType="separate"/>
            </w:r>
            <w:r w:rsidR="005268F0" w:rsidRPr="00E6408B">
              <w:rPr>
                <w:rStyle w:val="Hyperlink"/>
                <w:rFonts w:cs="Calibri Light"/>
                <w:color w:val="auto"/>
                <w:szCs w:val="20"/>
                <w:u w:val="none"/>
              </w:rPr>
              <w:t xml:space="preserve">Appendix A – </w:t>
            </w:r>
            <w:r w:rsidR="00CB70F4" w:rsidRPr="00E6408B">
              <w:rPr>
                <w:rStyle w:val="Hyperlink"/>
                <w:rFonts w:cs="Calibri Light"/>
                <w:color w:val="auto"/>
                <w:szCs w:val="20"/>
                <w:u w:val="none"/>
              </w:rPr>
              <w:t>List of recommendations arising from external inquiries and reviews for which the CCC has direct responsibility</w:t>
            </w:r>
            <w:r w:rsidRPr="00E6408B">
              <w:rPr>
                <w:rStyle w:val="Hyperlink"/>
                <w:rFonts w:cs="Calibri Light"/>
                <w:color w:val="auto"/>
                <w:szCs w:val="20"/>
                <w:u w:val="none"/>
              </w:rPr>
              <w:fldChar w:fldCharType="end"/>
            </w:r>
          </w:p>
        </w:tc>
        <w:tc>
          <w:tcPr>
            <w:tcW w:w="807" w:type="pct"/>
            <w:tcBorders>
              <w:bottom w:val="single" w:sz="12" w:space="0" w:color="FFFFFF" w:themeColor="background1"/>
            </w:tcBorders>
            <w:shd w:val="clear" w:color="auto" w:fill="auto"/>
            <w:vAlign w:val="center"/>
          </w:tcPr>
          <w:p w14:paraId="0FA4B1A4" w14:textId="6D73D734" w:rsidR="005268F0" w:rsidRPr="0006123B" w:rsidRDefault="00507575" w:rsidP="00DD31B5">
            <w:pPr>
              <w:pStyle w:val="71Sectionnumbering"/>
              <w:framePr w:wrap="around"/>
            </w:pPr>
            <w:hyperlink w:anchor="AppendixA" w:history="1">
              <w:r w:rsidR="0005679E" w:rsidRPr="00E6408B">
                <w:rPr>
                  <w:rStyle w:val="Hyperlink"/>
                  <w:color w:val="auto"/>
                  <w:u w:val="none"/>
                </w:rPr>
                <w:t>109</w:t>
              </w:r>
            </w:hyperlink>
          </w:p>
        </w:tc>
      </w:tr>
      <w:tr w:rsidR="0006123B" w:rsidRPr="0006123B" w14:paraId="78815E6A" w14:textId="77777777" w:rsidTr="00434199">
        <w:trPr>
          <w:trHeight w:val="737"/>
        </w:trPr>
        <w:tc>
          <w:tcPr>
            <w:tcW w:w="4193" w:type="pct"/>
            <w:tcBorders>
              <w:bottom w:val="single" w:sz="12" w:space="0" w:color="FFFFFF" w:themeColor="background1"/>
            </w:tcBorders>
            <w:shd w:val="clear" w:color="auto" w:fill="auto"/>
            <w:vAlign w:val="center"/>
          </w:tcPr>
          <w:p w14:paraId="1E232529" w14:textId="1341AC09" w:rsidR="00387DE0" w:rsidRPr="0006123B" w:rsidRDefault="00507575" w:rsidP="00DD31B5">
            <w:pPr>
              <w:pStyle w:val="71Sectionnumbering"/>
              <w:framePr w:wrap="around"/>
            </w:pPr>
            <w:hyperlink w:anchor="AppendixB" w:history="1">
              <w:r w:rsidR="00387DE0" w:rsidRPr="00E6408B">
                <w:rPr>
                  <w:rStyle w:val="Hyperlink"/>
                  <w:rFonts w:cs="Calibri Light"/>
                  <w:color w:val="auto"/>
                  <w:szCs w:val="20"/>
                  <w:u w:val="none"/>
                </w:rPr>
                <w:t xml:space="preserve">Appendix </w:t>
              </w:r>
              <w:r w:rsidR="005268F0" w:rsidRPr="00E6408B">
                <w:rPr>
                  <w:rStyle w:val="Hyperlink"/>
                  <w:rFonts w:cs="Calibri Light"/>
                  <w:color w:val="auto"/>
                  <w:szCs w:val="20"/>
                  <w:u w:val="none"/>
                </w:rPr>
                <w:t>B</w:t>
              </w:r>
              <w:r w:rsidR="00387DE0" w:rsidRPr="00E6408B">
                <w:rPr>
                  <w:rStyle w:val="Hyperlink"/>
                  <w:rFonts w:cs="Calibri Light"/>
                  <w:color w:val="auto"/>
                  <w:szCs w:val="20"/>
                  <w:u w:val="none"/>
                </w:rPr>
                <w:t xml:space="preserve"> – Glossary of terms</w:t>
              </w:r>
            </w:hyperlink>
          </w:p>
        </w:tc>
        <w:tc>
          <w:tcPr>
            <w:tcW w:w="807" w:type="pct"/>
            <w:tcBorders>
              <w:bottom w:val="single" w:sz="12" w:space="0" w:color="FFFFFF" w:themeColor="background1"/>
            </w:tcBorders>
            <w:shd w:val="clear" w:color="auto" w:fill="auto"/>
            <w:vAlign w:val="center"/>
          </w:tcPr>
          <w:p w14:paraId="455567F1" w14:textId="10C4782D" w:rsidR="00387DE0" w:rsidRPr="0006123B" w:rsidRDefault="00507575" w:rsidP="00DD31B5">
            <w:pPr>
              <w:pStyle w:val="71Sectionnumbering"/>
              <w:framePr w:wrap="around"/>
            </w:pPr>
            <w:hyperlink w:anchor="AppendixB" w:history="1">
              <w:r w:rsidR="0005679E" w:rsidRPr="00E6408B">
                <w:rPr>
                  <w:rStyle w:val="Hyperlink"/>
                  <w:color w:val="auto"/>
                  <w:u w:val="none"/>
                </w:rPr>
                <w:t>113</w:t>
              </w:r>
            </w:hyperlink>
          </w:p>
        </w:tc>
      </w:tr>
      <w:tr w:rsidR="0006123B" w:rsidRPr="0006123B" w14:paraId="5F348CAD" w14:textId="77777777" w:rsidTr="00434199">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16100EDB" w14:textId="0EA35BC2" w:rsidR="00387DE0" w:rsidRPr="0006123B" w:rsidRDefault="00507575" w:rsidP="00DD31B5">
            <w:pPr>
              <w:pStyle w:val="71Sectionnumbering"/>
              <w:framePr w:wrap="around"/>
            </w:pPr>
            <w:hyperlink w:anchor="AppendixC" w:history="1">
              <w:r w:rsidR="00387DE0" w:rsidRPr="00E6408B">
                <w:rPr>
                  <w:rStyle w:val="Hyperlink"/>
                  <w:color w:val="auto"/>
                  <w:u w:val="none"/>
                </w:rPr>
                <w:t xml:space="preserve">Appendix </w:t>
              </w:r>
              <w:r w:rsidR="005268F0" w:rsidRPr="00E6408B">
                <w:rPr>
                  <w:rStyle w:val="Hyperlink"/>
                  <w:color w:val="auto"/>
                  <w:u w:val="none"/>
                </w:rPr>
                <w:t>C</w:t>
              </w:r>
              <w:r w:rsidR="00387DE0" w:rsidRPr="00E6408B">
                <w:rPr>
                  <w:rStyle w:val="Hyperlink"/>
                  <w:color w:val="auto"/>
                  <w:u w:val="none"/>
                </w:rPr>
                <w:t xml:space="preserve"> – Compliance checklist</w:t>
              </w:r>
            </w:hyperlink>
          </w:p>
        </w:tc>
        <w:tc>
          <w:tcPr>
            <w:tcW w:w="807" w:type="pct"/>
            <w:tcBorders>
              <w:top w:val="single" w:sz="12" w:space="0" w:color="FFFFFF" w:themeColor="background1"/>
              <w:bottom w:val="single" w:sz="12" w:space="0" w:color="FFFFFF" w:themeColor="background1"/>
            </w:tcBorders>
            <w:shd w:val="clear" w:color="auto" w:fill="auto"/>
            <w:vAlign w:val="center"/>
          </w:tcPr>
          <w:p w14:paraId="0116B543" w14:textId="503C47A0" w:rsidR="00387DE0" w:rsidRPr="0006123B" w:rsidRDefault="00507575" w:rsidP="00DD31B5">
            <w:pPr>
              <w:pStyle w:val="71Sectionnumbering"/>
              <w:framePr w:wrap="around"/>
              <w:rPr>
                <w:bCs/>
              </w:rPr>
            </w:pPr>
            <w:hyperlink w:anchor="AppendixC" w:history="1">
              <w:r w:rsidR="0005679E" w:rsidRPr="00E6408B">
                <w:rPr>
                  <w:rStyle w:val="Hyperlink"/>
                  <w:bCs/>
                  <w:color w:val="auto"/>
                  <w:u w:val="none"/>
                </w:rPr>
                <w:t>114</w:t>
              </w:r>
            </w:hyperlink>
          </w:p>
        </w:tc>
      </w:tr>
    </w:tbl>
    <w:p w14:paraId="068B42E1" w14:textId="77777777" w:rsidR="005268F0" w:rsidRPr="00F9716C" w:rsidRDefault="005268F0" w:rsidP="009F5E9C">
      <w:pPr>
        <w:rPr>
          <w:strike/>
          <w:color w:val="414042" w:themeColor="text1"/>
        </w:rPr>
        <w:sectPr w:rsidR="005268F0" w:rsidRPr="00F9716C" w:rsidSect="00C77834">
          <w:headerReference w:type="even" r:id="rId311"/>
          <w:headerReference w:type="default" r:id="rId312"/>
          <w:footerReference w:type="even" r:id="rId313"/>
          <w:footerReference w:type="default" r:id="rId314"/>
          <w:headerReference w:type="first" r:id="rId315"/>
          <w:pgSz w:w="11906" w:h="16838" w:code="9"/>
          <w:pgMar w:top="2155" w:right="1134" w:bottom="964" w:left="1134" w:header="720" w:footer="284" w:gutter="0"/>
          <w:cols w:space="567"/>
          <w:noEndnote/>
          <w:docGrid w:linePitch="272"/>
        </w:sectPr>
      </w:pPr>
    </w:p>
    <w:p w14:paraId="11EFE91E" w14:textId="1463B025" w:rsidR="005268F0" w:rsidRPr="00F9716C" w:rsidRDefault="005268F0" w:rsidP="005268F0">
      <w:pPr>
        <w:pStyle w:val="Heading2"/>
        <w:rPr>
          <w:rFonts w:asciiTheme="minorHAnsi" w:hAnsiTheme="minorHAnsi" w:cstheme="minorHAnsi"/>
        </w:rPr>
      </w:pPr>
      <w:bookmarkStart w:id="1566" w:name="_Appendix_A_"/>
      <w:bookmarkStart w:id="1567" w:name="AppendixA"/>
      <w:bookmarkEnd w:id="1566"/>
      <w:r w:rsidRPr="00F9716C">
        <w:rPr>
          <w:rFonts w:asciiTheme="minorHAnsi" w:hAnsiTheme="minorHAnsi" w:cstheme="minorHAnsi"/>
          <w:b/>
          <w:bCs/>
        </w:rPr>
        <w:t>Appendix A</w:t>
      </w:r>
      <w:bookmarkEnd w:id="1567"/>
      <w:r w:rsidR="008C1C7E" w:rsidRPr="008C1C7E">
        <w:rPr>
          <w:rFonts w:asciiTheme="minorHAnsi" w:hAnsiTheme="minorHAnsi" w:cstheme="minorHAnsi"/>
          <w:b/>
          <w:bCs/>
        </w:rPr>
        <w:t xml:space="preserve">  </w:t>
      </w:r>
      <w:r w:rsidR="008C1C7E" w:rsidRPr="007F64FE">
        <w:rPr>
          <w:rFonts w:asciiTheme="majorHAnsi" w:hAnsiTheme="majorHAnsi" w:cstheme="majorHAnsi"/>
        </w:rPr>
        <w:t>|</w:t>
      </w:r>
      <w:r w:rsidR="008C1C7E" w:rsidRPr="008C1C7E">
        <w:rPr>
          <w:rFonts w:asciiTheme="minorHAnsi" w:hAnsiTheme="minorHAnsi" w:cstheme="minorHAnsi"/>
          <w:b/>
          <w:bCs/>
        </w:rPr>
        <w:t xml:space="preserve">  </w:t>
      </w:r>
      <w:r w:rsidR="00F2595B" w:rsidRPr="00F9716C">
        <w:rPr>
          <w:rFonts w:asciiTheme="minorHAnsi" w:hAnsiTheme="minorHAnsi" w:cstheme="minorHAnsi"/>
        </w:rPr>
        <w:t>List of r</w:t>
      </w:r>
      <w:r w:rsidRPr="00F9716C">
        <w:rPr>
          <w:rFonts w:asciiTheme="minorHAnsi" w:hAnsiTheme="minorHAnsi" w:cstheme="minorHAnsi"/>
        </w:rPr>
        <w:t xml:space="preserve">ecommendations </w:t>
      </w:r>
      <w:r w:rsidR="00F2595B" w:rsidRPr="00F9716C">
        <w:rPr>
          <w:rFonts w:asciiTheme="minorHAnsi" w:hAnsiTheme="minorHAnsi" w:cstheme="minorHAnsi"/>
        </w:rPr>
        <w:t>arising from external inquiries and reviews for which the CCC has direct responsibility</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9716C" w:rsidRPr="00F9716C" w14:paraId="3E6F9285" w14:textId="77777777" w:rsidTr="00BF5C92">
        <w:trPr>
          <w:trHeight w:val="20"/>
        </w:trPr>
        <w:tc>
          <w:tcPr>
            <w:tcW w:w="5000" w:type="pct"/>
            <w:shd w:val="clear" w:color="auto" w:fill="auto"/>
          </w:tcPr>
          <w:p w14:paraId="29BFCEDC" w14:textId="77777777" w:rsidR="005268F0" w:rsidRPr="00F9716C" w:rsidRDefault="005268F0" w:rsidP="00C903A2">
            <w:pPr>
              <w:pStyle w:val="Heading3"/>
            </w:pPr>
            <w:bookmarkStart w:id="1568" w:name="_Toc102038163"/>
            <w:bookmarkStart w:id="1569" w:name="_Toc102038524"/>
            <w:bookmarkStart w:id="1570" w:name="_Toc102038885"/>
            <w:bookmarkStart w:id="1571" w:name="_Toc102039237"/>
            <w:bookmarkStart w:id="1572" w:name="_Toc102039586"/>
            <w:bookmarkStart w:id="1573" w:name="_Toc102039948"/>
            <w:bookmarkStart w:id="1574" w:name="_Toc102040274"/>
            <w:bookmarkStart w:id="1575" w:name="_Toc102040602"/>
            <w:bookmarkStart w:id="1576" w:name="_Toc102040936"/>
            <w:bookmarkStart w:id="1577" w:name="_Toc102041264"/>
            <w:bookmarkStart w:id="1578" w:name="_Toc102041593"/>
            <w:bookmarkStart w:id="1579" w:name="_Toc102041925"/>
            <w:bookmarkStart w:id="1580" w:name="_Toc102042252"/>
            <w:bookmarkStart w:id="1581" w:name="_Toc102042582"/>
            <w:bookmarkStart w:id="1582" w:name="_Toc102045712"/>
            <w:r w:rsidRPr="00F9716C">
              <w:t>Fitzgerald/Wilson Inquiry</w:t>
            </w:r>
          </w:p>
        </w:tc>
      </w:tr>
      <w:tr w:rsidR="00F9716C" w:rsidRPr="00F9716C" w14:paraId="24DCF804" w14:textId="77777777" w:rsidTr="007F64FE">
        <w:trPr>
          <w:trHeight w:val="20"/>
        </w:trPr>
        <w:tc>
          <w:tcPr>
            <w:tcW w:w="5000" w:type="pct"/>
            <w:shd w:val="clear" w:color="auto" w:fill="F2F2F2" w:themeFill="background1" w:themeFillShade="F2"/>
          </w:tcPr>
          <w:p w14:paraId="5954CA2D" w14:textId="70D383C5" w:rsidR="005268F0" w:rsidRPr="00F9716C" w:rsidRDefault="005268F0" w:rsidP="00B02BC4">
            <w:pPr>
              <w:pStyle w:val="Heading4"/>
              <w:rPr>
                <w:sz w:val="16"/>
                <w:szCs w:val="16"/>
              </w:rPr>
            </w:pPr>
            <w:r w:rsidRPr="00F9716C">
              <w:t>Completed – 1</w:t>
            </w:r>
            <w:r w:rsidR="00F84680" w:rsidRPr="00F9716C">
              <w:t>1</w:t>
            </w:r>
            <w:r w:rsidRPr="00F9716C">
              <w:t xml:space="preserve"> recommendations</w:t>
            </w:r>
          </w:p>
        </w:tc>
      </w:tr>
      <w:tr w:rsidR="00F9716C" w:rsidRPr="00F9716C" w14:paraId="07E06DBC" w14:textId="77777777" w:rsidTr="00BF5C92">
        <w:trPr>
          <w:trHeight w:val="20"/>
        </w:trPr>
        <w:tc>
          <w:tcPr>
            <w:tcW w:w="5000" w:type="pct"/>
            <w:noWrap/>
            <w:hideMark/>
          </w:tcPr>
          <w:p w14:paraId="4C2378DC" w14:textId="77777777" w:rsidR="005268F0" w:rsidRPr="00F9716C" w:rsidRDefault="005268F0" w:rsidP="00836DA9">
            <w:pPr>
              <w:spacing w:before="240"/>
              <w:rPr>
                <w:color w:val="414042" w:themeColor="text1"/>
              </w:rPr>
            </w:pPr>
            <w:bookmarkStart w:id="1583" w:name="_Hlk140752346"/>
            <w:r w:rsidRPr="00F9716C">
              <w:rPr>
                <w:b/>
                <w:bCs/>
                <w:color w:val="414042" w:themeColor="text1"/>
              </w:rPr>
              <w:t>Recommendation 8:</w:t>
            </w:r>
            <w:r w:rsidRPr="00F9716C">
              <w:rPr>
                <w:color w:val="414042" w:themeColor="text1"/>
              </w:rPr>
              <w:t xml:space="preserve"> The Executive Director Corruption Operations be transitioned to a civilian position as soon as possible.</w:t>
            </w:r>
          </w:p>
        </w:tc>
      </w:tr>
      <w:tr w:rsidR="00F9716C" w:rsidRPr="00F9716C" w14:paraId="3F2D7A2F" w14:textId="77777777" w:rsidTr="00BF5C92">
        <w:trPr>
          <w:trHeight w:val="20"/>
        </w:trPr>
        <w:tc>
          <w:tcPr>
            <w:tcW w:w="5000" w:type="pct"/>
            <w:noWrap/>
            <w:hideMark/>
          </w:tcPr>
          <w:p w14:paraId="47DE88A8" w14:textId="77777777" w:rsidR="005268F0" w:rsidRPr="00F9716C" w:rsidRDefault="005268F0" w:rsidP="002910F8">
            <w:pPr>
              <w:rPr>
                <w:color w:val="414042" w:themeColor="text1"/>
              </w:rPr>
            </w:pPr>
            <w:r w:rsidRPr="00F9716C">
              <w:rPr>
                <w:b/>
                <w:bCs/>
                <w:color w:val="414042" w:themeColor="text1"/>
              </w:rPr>
              <w:t>Recommendation 12:</w:t>
            </w:r>
            <w:r w:rsidRPr="00F9716C">
              <w:rPr>
                <w:color w:val="414042" w:themeColor="text1"/>
              </w:rPr>
              <w:t xml:space="preserve"> A dedicated position — a Training and Development Officer — be created by the CCC to coordinate enhanced induction and ongoing training activities.</w:t>
            </w:r>
          </w:p>
        </w:tc>
      </w:tr>
      <w:tr w:rsidR="00F9716C" w:rsidRPr="00F9716C" w14:paraId="1A44B275" w14:textId="77777777" w:rsidTr="00BF5C92">
        <w:trPr>
          <w:trHeight w:val="20"/>
        </w:trPr>
        <w:tc>
          <w:tcPr>
            <w:tcW w:w="5000" w:type="pct"/>
            <w:noWrap/>
            <w:hideMark/>
          </w:tcPr>
          <w:p w14:paraId="4EB53F28" w14:textId="77777777" w:rsidR="005268F0" w:rsidRPr="00F9716C" w:rsidRDefault="005268F0" w:rsidP="002910F8">
            <w:pPr>
              <w:rPr>
                <w:color w:val="414042" w:themeColor="text1"/>
              </w:rPr>
            </w:pPr>
            <w:r w:rsidRPr="00F9716C">
              <w:rPr>
                <w:b/>
                <w:bCs/>
                <w:color w:val="414042" w:themeColor="text1"/>
              </w:rPr>
              <w:t>Recommendation 14:</w:t>
            </w:r>
            <w:r w:rsidRPr="00F9716C">
              <w:rPr>
                <w:color w:val="414042" w:themeColor="text1"/>
              </w:rPr>
              <w:t xml:space="preserve"> The Queensland Government adequately resource the CCC to implement the Training Strategy and Plan and to employ a Training and Development Officer on a permanent basis.</w:t>
            </w:r>
          </w:p>
        </w:tc>
      </w:tr>
      <w:tr w:rsidR="00F9716C" w:rsidRPr="00F9716C" w14:paraId="1846947A" w14:textId="77777777" w:rsidTr="00BF5C92">
        <w:trPr>
          <w:trHeight w:val="20"/>
        </w:trPr>
        <w:tc>
          <w:tcPr>
            <w:tcW w:w="5000" w:type="pct"/>
            <w:noWrap/>
            <w:hideMark/>
          </w:tcPr>
          <w:p w14:paraId="587EEC92" w14:textId="77777777" w:rsidR="005268F0" w:rsidRPr="00F9716C" w:rsidRDefault="005268F0" w:rsidP="002910F8">
            <w:pPr>
              <w:rPr>
                <w:color w:val="414042" w:themeColor="text1"/>
              </w:rPr>
            </w:pPr>
            <w:r w:rsidRPr="00F9716C">
              <w:rPr>
                <w:b/>
                <w:bCs/>
                <w:color w:val="414042" w:themeColor="text1"/>
              </w:rPr>
              <w:t>Recommendation 15:</w:t>
            </w:r>
            <w:r w:rsidRPr="00F9716C">
              <w:rPr>
                <w:color w:val="414042" w:themeColor="text1"/>
              </w:rPr>
              <w:t xml:space="preserve"> The current Corruption Strategy, Prevention and Legal unit of the Corruption Division be split into two separate units — Corruption Legal; and Corruption Strategy and Prevention — and each unit be led by an Executive Director.</w:t>
            </w:r>
          </w:p>
        </w:tc>
      </w:tr>
      <w:tr w:rsidR="00F9716C" w:rsidRPr="00F9716C" w14:paraId="28706359" w14:textId="77777777" w:rsidTr="00BF5C92">
        <w:trPr>
          <w:trHeight w:val="20"/>
        </w:trPr>
        <w:tc>
          <w:tcPr>
            <w:tcW w:w="5000" w:type="pct"/>
            <w:noWrap/>
            <w:hideMark/>
          </w:tcPr>
          <w:p w14:paraId="66BAD453" w14:textId="77777777" w:rsidR="005268F0" w:rsidRPr="00F9716C" w:rsidRDefault="005268F0" w:rsidP="002910F8">
            <w:pPr>
              <w:rPr>
                <w:color w:val="414042" w:themeColor="text1"/>
              </w:rPr>
            </w:pPr>
            <w:r w:rsidRPr="00F9716C">
              <w:rPr>
                <w:b/>
                <w:bCs/>
                <w:color w:val="414042" w:themeColor="text1"/>
              </w:rPr>
              <w:t>Recommendation 17:</w:t>
            </w:r>
            <w:r w:rsidRPr="00F9716C">
              <w:rPr>
                <w:color w:val="414042" w:themeColor="text1"/>
              </w:rPr>
              <w:t xml:space="preserve"> The Executive Director of the Corruption Strategy and Prevention unit have the appropriate skills and experience to deliver the functions of the new unit including proven experience or expertise in the public sector, particularly in public administration and integrity.</w:t>
            </w:r>
          </w:p>
        </w:tc>
      </w:tr>
      <w:tr w:rsidR="00F9716C" w:rsidRPr="00F9716C" w14:paraId="6A7C3224" w14:textId="77777777" w:rsidTr="00BF5C92">
        <w:trPr>
          <w:trHeight w:val="20"/>
        </w:trPr>
        <w:tc>
          <w:tcPr>
            <w:tcW w:w="5000" w:type="pct"/>
            <w:noWrap/>
          </w:tcPr>
          <w:p w14:paraId="7AA01616" w14:textId="77777777" w:rsidR="005268F0" w:rsidRPr="00F9716C" w:rsidRDefault="005268F0" w:rsidP="002910F8">
            <w:pPr>
              <w:rPr>
                <w:color w:val="414042" w:themeColor="text1"/>
              </w:rPr>
            </w:pPr>
            <w:r w:rsidRPr="00F9716C">
              <w:rPr>
                <w:b/>
                <w:bCs/>
                <w:color w:val="414042" w:themeColor="text1"/>
              </w:rPr>
              <w:t>Recommendation 18:</w:t>
            </w:r>
            <w:r w:rsidRPr="00F9716C">
              <w:rPr>
                <w:color w:val="414042" w:themeColor="text1"/>
              </w:rPr>
              <w:t xml:space="preserve"> The Queensland Government adequately resource the CCC to establish the new Corruption Strategy and Prevention unit.</w:t>
            </w:r>
          </w:p>
        </w:tc>
      </w:tr>
      <w:tr w:rsidR="00F9716C" w:rsidRPr="00F9716C" w14:paraId="433AB0F8" w14:textId="77777777" w:rsidTr="00BF5C92">
        <w:trPr>
          <w:trHeight w:val="20"/>
        </w:trPr>
        <w:tc>
          <w:tcPr>
            <w:tcW w:w="5000" w:type="pct"/>
            <w:noWrap/>
            <w:hideMark/>
          </w:tcPr>
          <w:p w14:paraId="399C7B80" w14:textId="77777777" w:rsidR="005268F0" w:rsidRPr="00F9716C" w:rsidRDefault="005268F0" w:rsidP="002910F8">
            <w:pPr>
              <w:rPr>
                <w:color w:val="414042" w:themeColor="text1"/>
              </w:rPr>
            </w:pPr>
            <w:r w:rsidRPr="00F9716C">
              <w:rPr>
                <w:b/>
                <w:bCs/>
                <w:color w:val="414042" w:themeColor="text1"/>
              </w:rPr>
              <w:t>Recommendation 19:</w:t>
            </w:r>
            <w:r w:rsidRPr="00F9716C">
              <w:rPr>
                <w:color w:val="414042" w:themeColor="text1"/>
              </w:rPr>
              <w:t xml:space="preserve"> The CCC establish an executive director‐level governance group within the Corruption Division to oversee corruption investigations. The governance group will report to the Executive Leadership Team, be chaired by the Senior Executive Officer (Corruption) and include (at a minimum) the executive directors of the four business units of the Corruption Division.</w:t>
            </w:r>
          </w:p>
        </w:tc>
      </w:tr>
      <w:tr w:rsidR="00F9716C" w:rsidRPr="00F9716C" w14:paraId="57D1927A" w14:textId="77777777" w:rsidTr="00BF5C92">
        <w:trPr>
          <w:trHeight w:val="20"/>
        </w:trPr>
        <w:tc>
          <w:tcPr>
            <w:tcW w:w="5000" w:type="pct"/>
            <w:noWrap/>
            <w:hideMark/>
          </w:tcPr>
          <w:p w14:paraId="3DA40145" w14:textId="77777777" w:rsidR="005268F0" w:rsidRPr="00F9716C" w:rsidRDefault="005268F0" w:rsidP="002910F8">
            <w:pPr>
              <w:rPr>
                <w:color w:val="414042" w:themeColor="text1"/>
              </w:rPr>
            </w:pPr>
            <w:r w:rsidRPr="00F9716C">
              <w:rPr>
                <w:b/>
                <w:bCs/>
                <w:color w:val="414042" w:themeColor="text1"/>
              </w:rPr>
              <w:t>Recommendation 20:</w:t>
            </w:r>
            <w:r w:rsidRPr="00F9716C">
              <w:rPr>
                <w:color w:val="414042" w:themeColor="text1"/>
              </w:rPr>
              <w:t xml:space="preserve"> The CCC enhance the role of the current director‐level governance group within the Corruption Division in overseeing corruption investigations and ensure it reports to the executive director‐level governance group.</w:t>
            </w:r>
          </w:p>
        </w:tc>
      </w:tr>
      <w:tr w:rsidR="00F9716C" w:rsidRPr="00F9716C" w14:paraId="2E007B5D" w14:textId="77777777" w:rsidTr="00BF5C92">
        <w:trPr>
          <w:trHeight w:val="20"/>
        </w:trPr>
        <w:tc>
          <w:tcPr>
            <w:tcW w:w="5000" w:type="pct"/>
            <w:noWrap/>
            <w:hideMark/>
          </w:tcPr>
          <w:p w14:paraId="1DED2711" w14:textId="77777777" w:rsidR="005268F0" w:rsidRPr="00F9716C" w:rsidRDefault="005268F0" w:rsidP="002910F8">
            <w:pPr>
              <w:rPr>
                <w:color w:val="414042" w:themeColor="text1"/>
              </w:rPr>
            </w:pPr>
            <w:r w:rsidRPr="00F9716C">
              <w:rPr>
                <w:b/>
                <w:bCs/>
                <w:color w:val="414042" w:themeColor="text1"/>
              </w:rPr>
              <w:t>Recommendation 22:</w:t>
            </w:r>
            <w:r w:rsidRPr="00F9716C">
              <w:rPr>
                <w:color w:val="414042" w:themeColor="text1"/>
              </w:rPr>
              <w:t xml:space="preserve"> A dedicated position — a Policy and Procedure Officer — be created by the CCC to centralise, coordinate, and implement the continued review and improvement of the CCC’s operational policies and procedures.</w:t>
            </w:r>
          </w:p>
        </w:tc>
      </w:tr>
      <w:tr w:rsidR="00F9716C" w:rsidRPr="00F9716C" w14:paraId="27D4D29D" w14:textId="77777777" w:rsidTr="00BF5C92">
        <w:trPr>
          <w:trHeight w:val="20"/>
        </w:trPr>
        <w:tc>
          <w:tcPr>
            <w:tcW w:w="5000" w:type="pct"/>
            <w:noWrap/>
            <w:hideMark/>
          </w:tcPr>
          <w:p w14:paraId="3FAC68F3" w14:textId="77777777" w:rsidR="004367A5" w:rsidRPr="00F9716C" w:rsidRDefault="005268F0" w:rsidP="00836DA9">
            <w:pPr>
              <w:rPr>
                <w:color w:val="414042" w:themeColor="text1"/>
              </w:rPr>
            </w:pPr>
            <w:r w:rsidRPr="00F9716C">
              <w:rPr>
                <w:b/>
                <w:bCs/>
                <w:color w:val="414042" w:themeColor="text1"/>
              </w:rPr>
              <w:t>Recommendation 23:</w:t>
            </w:r>
            <w:r w:rsidRPr="00F9716C">
              <w:rPr>
                <w:color w:val="414042" w:themeColor="text1"/>
              </w:rPr>
              <w:t xml:space="preserve"> The Queensland Government adequately resource the CCC to employ a Policy and Procedure Officer on a permanent basis.</w:t>
            </w:r>
          </w:p>
          <w:p w14:paraId="63895D80" w14:textId="25027F9F" w:rsidR="00F84680" w:rsidRPr="00F9716C" w:rsidRDefault="00F84680" w:rsidP="00836DA9">
            <w:pPr>
              <w:rPr>
                <w:color w:val="414042" w:themeColor="text1"/>
              </w:rPr>
            </w:pPr>
            <w:r w:rsidRPr="00F9716C">
              <w:rPr>
                <w:b/>
                <w:bCs/>
                <w:color w:val="414042" w:themeColor="text1"/>
              </w:rPr>
              <w:t>Recommendation 26:</w:t>
            </w:r>
            <w:r w:rsidRPr="00F9716C">
              <w:rPr>
                <w:color w:val="414042" w:themeColor="text1"/>
              </w:rPr>
              <w:t xml:space="preserve"> The CCC and the Director of Public Prosecutions develop a Memorandum of Understanding outlining the practices and procedures for the referral of matters and the provision of advice, including timeframe</w:t>
            </w:r>
            <w:r w:rsidR="00AD7C7D" w:rsidRPr="00F9716C">
              <w:rPr>
                <w:color w:val="414042" w:themeColor="text1"/>
              </w:rPr>
              <w:t>s</w:t>
            </w:r>
            <w:r w:rsidRPr="00F9716C">
              <w:rPr>
                <w:color w:val="414042" w:themeColor="text1"/>
              </w:rPr>
              <w:t>.</w:t>
            </w:r>
          </w:p>
        </w:tc>
      </w:tr>
    </w:tbl>
    <w:p w14:paraId="134167AD" w14:textId="77777777" w:rsidR="00F97DEE" w:rsidRPr="00F9716C" w:rsidRDefault="00F97DEE">
      <w:pPr>
        <w:rPr>
          <w:b/>
          <w:bCs/>
          <w:color w:val="414042" w:themeColor="text1"/>
        </w:rPr>
        <w:sectPr w:rsidR="00F97DEE" w:rsidRPr="00F9716C" w:rsidSect="00F97DEE">
          <w:headerReference w:type="even" r:id="rId316"/>
          <w:headerReference w:type="default" r:id="rId317"/>
          <w:headerReference w:type="first" r:id="rId318"/>
          <w:pgSz w:w="11906" w:h="16838" w:code="9"/>
          <w:pgMar w:top="2155" w:right="1134" w:bottom="964" w:left="1134" w:header="720" w:footer="284" w:gutter="0"/>
          <w:cols w:space="567"/>
          <w:noEndnote/>
          <w:docGrid w:linePitch="272"/>
        </w:sectPr>
      </w:pP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9716C" w:rsidRPr="00F9716C" w14:paraId="70102D52" w14:textId="77777777" w:rsidTr="007F64FE">
        <w:trPr>
          <w:trHeight w:val="20"/>
        </w:trPr>
        <w:tc>
          <w:tcPr>
            <w:tcW w:w="5000" w:type="pct"/>
            <w:shd w:val="clear" w:color="auto" w:fill="F2F2F2" w:themeFill="background1" w:themeFillShade="F2"/>
            <w:vAlign w:val="center"/>
          </w:tcPr>
          <w:p w14:paraId="2AA0A615" w14:textId="5A9F107C" w:rsidR="005268F0" w:rsidRPr="00F9716C" w:rsidRDefault="005268F0" w:rsidP="00B02BC4">
            <w:pPr>
              <w:pStyle w:val="Heading4"/>
              <w:rPr>
                <w:sz w:val="16"/>
                <w:szCs w:val="16"/>
              </w:rPr>
            </w:pPr>
            <w:r w:rsidRPr="00F9716C">
              <w:t>In progress – 1</w:t>
            </w:r>
            <w:r w:rsidR="00194E8D" w:rsidRPr="00F9716C">
              <w:t>9</w:t>
            </w:r>
            <w:r w:rsidRPr="00F9716C">
              <w:t xml:space="preserve"> recommendations</w:t>
            </w:r>
          </w:p>
        </w:tc>
      </w:tr>
      <w:tr w:rsidR="00F9716C" w:rsidRPr="00F9716C" w14:paraId="345B8513" w14:textId="77777777" w:rsidTr="00BF5C92">
        <w:trPr>
          <w:trHeight w:val="20"/>
        </w:trPr>
        <w:tc>
          <w:tcPr>
            <w:tcW w:w="5000" w:type="pct"/>
            <w:noWrap/>
            <w:hideMark/>
          </w:tcPr>
          <w:p w14:paraId="36306477" w14:textId="77777777" w:rsidR="00194E8D" w:rsidRPr="00F9716C" w:rsidRDefault="00194E8D" w:rsidP="00194E8D">
            <w:pPr>
              <w:spacing w:before="240"/>
              <w:rPr>
                <w:color w:val="414042" w:themeColor="text1"/>
              </w:rPr>
            </w:pPr>
            <w:r w:rsidRPr="00F9716C">
              <w:rPr>
                <w:b/>
                <w:bCs/>
                <w:color w:val="414042" w:themeColor="text1"/>
              </w:rPr>
              <w:t>Recommendation 1:</w:t>
            </w:r>
            <w:r w:rsidRPr="00F9716C">
              <w:rPr>
                <w:color w:val="414042" w:themeColor="text1"/>
              </w:rPr>
              <w:t xml:space="preserve"> The use of seconded police officers by the CCC is appropriate and should continue (subject to recommendations below).</w:t>
            </w:r>
          </w:p>
          <w:p w14:paraId="37A79DBF" w14:textId="6BE6B254" w:rsidR="005268F0" w:rsidRPr="00F9716C" w:rsidRDefault="005268F0" w:rsidP="00836DA9">
            <w:pPr>
              <w:spacing w:before="240"/>
              <w:rPr>
                <w:color w:val="414042" w:themeColor="text1"/>
              </w:rPr>
            </w:pPr>
            <w:r w:rsidRPr="00F9716C">
              <w:rPr>
                <w:b/>
                <w:bCs/>
                <w:color w:val="414042" w:themeColor="text1"/>
              </w:rPr>
              <w:t>Recommendation 2:</w:t>
            </w:r>
            <w:r w:rsidRPr="00F9716C">
              <w:rPr>
                <w:color w:val="414042" w:themeColor="text1"/>
              </w:rPr>
              <w:t xml:space="preserve"> Police officers who are seconded to the CCC retain their police powers as per section</w:t>
            </w:r>
            <w:r w:rsidR="00AD7C7D" w:rsidRPr="00F9716C">
              <w:rPr>
                <w:color w:val="414042" w:themeColor="text1"/>
              </w:rPr>
              <w:t>s</w:t>
            </w:r>
            <w:r w:rsidRPr="00F9716C">
              <w:rPr>
                <w:color w:val="414042" w:themeColor="text1"/>
              </w:rPr>
              <w:t xml:space="preserve"> 174 and 255 of the </w:t>
            </w:r>
            <w:r w:rsidRPr="00F9716C">
              <w:rPr>
                <w:i/>
                <w:iCs/>
                <w:color w:val="414042" w:themeColor="text1"/>
              </w:rPr>
              <w:t>Crime and Corruption Act 2001</w:t>
            </w:r>
            <w:r w:rsidRPr="00F9716C">
              <w:rPr>
                <w:color w:val="414042" w:themeColor="text1"/>
              </w:rPr>
              <w:t>.</w:t>
            </w:r>
          </w:p>
        </w:tc>
      </w:tr>
      <w:tr w:rsidR="00F9716C" w:rsidRPr="00F9716C" w14:paraId="2A8C5642" w14:textId="77777777" w:rsidTr="00BF5C92">
        <w:trPr>
          <w:trHeight w:val="20"/>
        </w:trPr>
        <w:tc>
          <w:tcPr>
            <w:tcW w:w="5000" w:type="pct"/>
            <w:noWrap/>
            <w:hideMark/>
          </w:tcPr>
          <w:p w14:paraId="7EBFB21A" w14:textId="13D6EC1D" w:rsidR="005268F0" w:rsidRPr="00F9716C" w:rsidRDefault="005268F0" w:rsidP="002910F8">
            <w:pPr>
              <w:rPr>
                <w:color w:val="414042" w:themeColor="text1"/>
              </w:rPr>
            </w:pPr>
            <w:r w:rsidRPr="00F9716C">
              <w:rPr>
                <w:b/>
                <w:bCs/>
                <w:color w:val="414042" w:themeColor="text1"/>
              </w:rPr>
              <w:t>Recommendation 3:</w:t>
            </w:r>
            <w:r w:rsidRPr="00F9716C">
              <w:rPr>
                <w:color w:val="414042" w:themeColor="text1"/>
              </w:rPr>
              <w:t xml:space="preserve"> The current secondment arrangements between the QPS and the CCC be amended to provide the CCC with adequate and appropriate flexibility over the mix of job positions, skills, and experience within the CCC Police Group.</w:t>
            </w:r>
          </w:p>
          <w:p w14:paraId="360CF7D4" w14:textId="1B209352" w:rsidR="00194E8D" w:rsidRPr="00F9716C" w:rsidRDefault="00194E8D" w:rsidP="002910F8">
            <w:pPr>
              <w:rPr>
                <w:color w:val="414042" w:themeColor="text1"/>
              </w:rPr>
            </w:pPr>
            <w:r w:rsidRPr="00F9716C">
              <w:rPr>
                <w:b/>
                <w:bCs/>
                <w:color w:val="414042" w:themeColor="text1"/>
              </w:rPr>
              <w:t>Recommendation 4:</w:t>
            </w:r>
            <w:r w:rsidRPr="00F9716C">
              <w:rPr>
                <w:color w:val="414042" w:themeColor="text1"/>
              </w:rPr>
              <w:t xml:space="preserve"> The CCC and the QPS jointly review the mix of job positions, skills and experience within the CCC Police Group at least once every two years with a view to ensuring the composition of the CCC Police Group reflects the CCC’s operational needs and priorities.</w:t>
            </w:r>
          </w:p>
        </w:tc>
      </w:tr>
      <w:tr w:rsidR="00F9716C" w:rsidRPr="00F9716C" w14:paraId="008EEE13" w14:textId="77777777" w:rsidTr="00BF5C92">
        <w:trPr>
          <w:trHeight w:val="20"/>
        </w:trPr>
        <w:tc>
          <w:tcPr>
            <w:tcW w:w="5000" w:type="pct"/>
            <w:noWrap/>
            <w:hideMark/>
          </w:tcPr>
          <w:p w14:paraId="64D5FE70" w14:textId="77777777" w:rsidR="005268F0" w:rsidRPr="00F9716C" w:rsidRDefault="005268F0" w:rsidP="002910F8">
            <w:pPr>
              <w:rPr>
                <w:color w:val="414042" w:themeColor="text1"/>
              </w:rPr>
            </w:pPr>
            <w:r w:rsidRPr="00F9716C">
              <w:rPr>
                <w:b/>
                <w:bCs/>
                <w:color w:val="414042" w:themeColor="text1"/>
              </w:rPr>
              <w:t>Recommendation 5:</w:t>
            </w:r>
            <w:r w:rsidRPr="00F9716C">
              <w:rPr>
                <w:color w:val="414042" w:themeColor="text1"/>
              </w:rPr>
              <w:t xml:space="preserve"> The Memorandum of Understanding between the CCC and the QPS be amended to reflect the need for the CCC to have adequate and appropriate flexibility over the mix of job positions, skills and experience within the CCC Police Group.</w:t>
            </w:r>
          </w:p>
        </w:tc>
      </w:tr>
      <w:tr w:rsidR="00F9716C" w:rsidRPr="00F9716C" w14:paraId="47C865C8" w14:textId="77777777" w:rsidTr="00BF5C92">
        <w:trPr>
          <w:trHeight w:val="20"/>
        </w:trPr>
        <w:tc>
          <w:tcPr>
            <w:tcW w:w="5000" w:type="pct"/>
            <w:noWrap/>
            <w:hideMark/>
          </w:tcPr>
          <w:p w14:paraId="06500B26" w14:textId="77777777" w:rsidR="005268F0" w:rsidRPr="00F9716C" w:rsidRDefault="005268F0" w:rsidP="002910F8">
            <w:pPr>
              <w:rPr>
                <w:color w:val="414042" w:themeColor="text1"/>
              </w:rPr>
            </w:pPr>
            <w:r w:rsidRPr="00F9716C">
              <w:rPr>
                <w:b/>
                <w:bCs/>
                <w:color w:val="414042" w:themeColor="text1"/>
              </w:rPr>
              <w:t>Recommendation 6:</w:t>
            </w:r>
            <w:r w:rsidRPr="00F9716C">
              <w:rPr>
                <w:color w:val="414042" w:themeColor="text1"/>
              </w:rPr>
              <w:t xml:space="preserve"> The adequacy of the CCC’s current organisational culture in safeguarding against the risk of institutional capture form part of the external review planned by the CCC in response to Recommendation 4 of Report No. 108 of the PCCC</w:t>
            </w:r>
          </w:p>
        </w:tc>
      </w:tr>
      <w:tr w:rsidR="00F9716C" w:rsidRPr="00F9716C" w14:paraId="7D25C565" w14:textId="77777777" w:rsidTr="00BF5C92">
        <w:trPr>
          <w:trHeight w:val="20"/>
        </w:trPr>
        <w:tc>
          <w:tcPr>
            <w:tcW w:w="5000" w:type="pct"/>
            <w:noWrap/>
            <w:hideMark/>
          </w:tcPr>
          <w:p w14:paraId="6DF578BC" w14:textId="77777777" w:rsidR="005268F0" w:rsidRPr="00F9716C" w:rsidRDefault="005268F0" w:rsidP="002910F8">
            <w:pPr>
              <w:rPr>
                <w:color w:val="414042" w:themeColor="text1"/>
              </w:rPr>
            </w:pPr>
            <w:r w:rsidRPr="00F9716C">
              <w:rPr>
                <w:b/>
                <w:bCs/>
                <w:color w:val="414042" w:themeColor="text1"/>
              </w:rPr>
              <w:t>Recommendation 7:</w:t>
            </w:r>
            <w:r w:rsidRPr="00F9716C">
              <w:rPr>
                <w:color w:val="414042" w:themeColor="text1"/>
              </w:rPr>
              <w:t xml:space="preserve"> The CCC transition to a predominantly civilianised model for its Corruption Division and only retain the number of seconded police officers required at and below director‐level to ensure there are effective and efficient corruption investigations.</w:t>
            </w:r>
          </w:p>
        </w:tc>
      </w:tr>
      <w:tr w:rsidR="00F9716C" w:rsidRPr="00F9716C" w14:paraId="415E2C02" w14:textId="77777777" w:rsidTr="00BF5C92">
        <w:trPr>
          <w:trHeight w:val="20"/>
        </w:trPr>
        <w:tc>
          <w:tcPr>
            <w:tcW w:w="5000" w:type="pct"/>
            <w:noWrap/>
            <w:hideMark/>
          </w:tcPr>
          <w:p w14:paraId="3FD2837D" w14:textId="77777777" w:rsidR="005268F0" w:rsidRPr="00F9716C" w:rsidRDefault="005268F0" w:rsidP="002910F8">
            <w:pPr>
              <w:rPr>
                <w:color w:val="414042" w:themeColor="text1"/>
              </w:rPr>
            </w:pPr>
            <w:r w:rsidRPr="00F9716C">
              <w:rPr>
                <w:b/>
                <w:bCs/>
                <w:color w:val="414042" w:themeColor="text1"/>
              </w:rPr>
              <w:t>Recommendation 9:</w:t>
            </w:r>
            <w:r w:rsidRPr="00F9716C">
              <w:rPr>
                <w:color w:val="414042" w:themeColor="text1"/>
              </w:rPr>
              <w:t xml:space="preserve"> With a view to implementing recommendation 7 over the next five years, the CCC and the QPS jointly review each seconded police officer position within the Corruption Division at or before the conclusion of the secondment period for each of these positions.</w:t>
            </w:r>
          </w:p>
          <w:p w14:paraId="2D12B2B2" w14:textId="0A0B1746" w:rsidR="00194E8D" w:rsidRPr="00F9716C" w:rsidRDefault="00194E8D" w:rsidP="002910F8">
            <w:pPr>
              <w:rPr>
                <w:color w:val="414042" w:themeColor="text1"/>
              </w:rPr>
            </w:pPr>
            <w:r w:rsidRPr="00F9716C">
              <w:rPr>
                <w:b/>
                <w:bCs/>
                <w:color w:val="414042" w:themeColor="text1"/>
              </w:rPr>
              <w:t>Recommendation 10:</w:t>
            </w:r>
            <w:r w:rsidRPr="00F9716C">
              <w:rPr>
                <w:color w:val="414042" w:themeColor="text1"/>
              </w:rPr>
              <w:t xml:space="preserve"> The joint review process be documented in the existing Memorandum of Understanding between the CCC and the QPS and include principles to guide the review process, including: a. the need for the CCC to increase its civilian investigator capability, and b. the benefits of retaining a proportion of seconded police officers in the division for the purpose of exercising policing powers and contributing to investigations where criminal investigation expertise is required.</w:t>
            </w:r>
          </w:p>
        </w:tc>
      </w:tr>
      <w:tr w:rsidR="00F9716C" w:rsidRPr="00F9716C" w14:paraId="0F560DB9" w14:textId="77777777" w:rsidTr="00BF5C92">
        <w:trPr>
          <w:trHeight w:val="20"/>
        </w:trPr>
        <w:tc>
          <w:tcPr>
            <w:tcW w:w="5000" w:type="pct"/>
            <w:noWrap/>
            <w:hideMark/>
          </w:tcPr>
          <w:p w14:paraId="54CB1E4B" w14:textId="77777777" w:rsidR="005268F0" w:rsidRPr="00F9716C" w:rsidRDefault="005268F0" w:rsidP="002910F8">
            <w:pPr>
              <w:rPr>
                <w:color w:val="414042" w:themeColor="text1"/>
              </w:rPr>
            </w:pPr>
            <w:r w:rsidRPr="00F9716C">
              <w:rPr>
                <w:b/>
                <w:bCs/>
                <w:color w:val="414042" w:themeColor="text1"/>
              </w:rPr>
              <w:t>Recommendation 11:</w:t>
            </w:r>
            <w:r w:rsidRPr="00F9716C">
              <w:rPr>
                <w:color w:val="414042" w:themeColor="text1"/>
              </w:rPr>
              <w:t xml:space="preserve"> The CCC ensure investigators assigned to corruption matters are adequately and appropriately inducted on commencement at the CCC and are provided with ongoing training to equip them to investigate corruption effectively.</w:t>
            </w:r>
          </w:p>
        </w:tc>
      </w:tr>
      <w:tr w:rsidR="00F9716C" w:rsidRPr="00F9716C" w14:paraId="3EAB54E0" w14:textId="77777777" w:rsidTr="00BF5C92">
        <w:trPr>
          <w:trHeight w:val="20"/>
        </w:trPr>
        <w:tc>
          <w:tcPr>
            <w:tcW w:w="5000" w:type="pct"/>
            <w:noWrap/>
            <w:hideMark/>
          </w:tcPr>
          <w:p w14:paraId="735929F3" w14:textId="77777777" w:rsidR="005268F0" w:rsidRPr="00F9716C" w:rsidRDefault="005268F0" w:rsidP="002910F8">
            <w:pPr>
              <w:rPr>
                <w:color w:val="414042" w:themeColor="text1"/>
              </w:rPr>
            </w:pPr>
            <w:r w:rsidRPr="00F9716C">
              <w:rPr>
                <w:b/>
                <w:bCs/>
                <w:color w:val="414042" w:themeColor="text1"/>
              </w:rPr>
              <w:t>Recommendation 13:</w:t>
            </w:r>
            <w:r w:rsidRPr="00F9716C">
              <w:rPr>
                <w:color w:val="414042" w:themeColor="text1"/>
              </w:rPr>
              <w:t xml:space="preserve"> The CCC devise and implement a Training Strategy and Plan to enhance the skills of all investigators assigned to corruption investigations which includes, where necessary, external training.</w:t>
            </w:r>
          </w:p>
        </w:tc>
      </w:tr>
      <w:tr w:rsidR="00F9716C" w:rsidRPr="00F9716C" w14:paraId="3B996B72" w14:textId="77777777" w:rsidTr="00BF5C92">
        <w:trPr>
          <w:trHeight w:val="20"/>
        </w:trPr>
        <w:tc>
          <w:tcPr>
            <w:tcW w:w="5000" w:type="pct"/>
            <w:noWrap/>
            <w:hideMark/>
          </w:tcPr>
          <w:p w14:paraId="4DE3EA1E" w14:textId="77777777" w:rsidR="005268F0" w:rsidRPr="00F9716C" w:rsidRDefault="005268F0" w:rsidP="002910F8">
            <w:pPr>
              <w:rPr>
                <w:color w:val="414042" w:themeColor="text1"/>
              </w:rPr>
            </w:pPr>
            <w:r w:rsidRPr="00F9716C">
              <w:rPr>
                <w:b/>
                <w:bCs/>
                <w:color w:val="414042" w:themeColor="text1"/>
              </w:rPr>
              <w:t>Recommendation 16:</w:t>
            </w:r>
            <w:r w:rsidRPr="00F9716C">
              <w:rPr>
                <w:color w:val="414042" w:themeColor="text1"/>
              </w:rPr>
              <w:t xml:space="preserve"> The new Corruption Strategy and Prevention unit is to ensure a corruption prevention and policy perspective informs all corruption investigations.</w:t>
            </w:r>
          </w:p>
        </w:tc>
      </w:tr>
      <w:tr w:rsidR="00F9716C" w:rsidRPr="00F9716C" w14:paraId="4C9391E3" w14:textId="77777777" w:rsidTr="00BF5C92">
        <w:trPr>
          <w:trHeight w:val="20"/>
        </w:trPr>
        <w:tc>
          <w:tcPr>
            <w:tcW w:w="5000" w:type="pct"/>
            <w:noWrap/>
            <w:hideMark/>
          </w:tcPr>
          <w:p w14:paraId="07BBD97F" w14:textId="77777777" w:rsidR="005268F0" w:rsidRPr="00F9716C" w:rsidRDefault="005268F0" w:rsidP="002910F8">
            <w:pPr>
              <w:rPr>
                <w:color w:val="414042" w:themeColor="text1"/>
              </w:rPr>
            </w:pPr>
            <w:r w:rsidRPr="00F9716C">
              <w:rPr>
                <w:b/>
                <w:bCs/>
                <w:color w:val="414042" w:themeColor="text1"/>
              </w:rPr>
              <w:t>Recommendation 21:</w:t>
            </w:r>
            <w:r w:rsidRPr="00F9716C">
              <w:rPr>
                <w:color w:val="414042" w:themeColor="text1"/>
              </w:rPr>
              <w:t xml:space="preserve"> The CCC continue to review and improve its operational policies and procedures to ensure they are clear, concise, consistent, and easy to understand.</w:t>
            </w:r>
          </w:p>
        </w:tc>
      </w:tr>
      <w:tr w:rsidR="00F9716C" w:rsidRPr="00F9716C" w14:paraId="30450949" w14:textId="77777777" w:rsidTr="00BF5C92">
        <w:trPr>
          <w:trHeight w:val="20"/>
        </w:trPr>
        <w:tc>
          <w:tcPr>
            <w:tcW w:w="5000" w:type="pct"/>
            <w:noWrap/>
            <w:hideMark/>
          </w:tcPr>
          <w:p w14:paraId="54508682" w14:textId="77777777" w:rsidR="005268F0" w:rsidRPr="00F9716C" w:rsidRDefault="005268F0" w:rsidP="002910F8">
            <w:pPr>
              <w:rPr>
                <w:color w:val="414042" w:themeColor="text1"/>
              </w:rPr>
            </w:pPr>
            <w:r w:rsidRPr="00F9716C">
              <w:rPr>
                <w:b/>
                <w:bCs/>
                <w:color w:val="414042" w:themeColor="text1"/>
              </w:rPr>
              <w:t>Recommendation 24:</w:t>
            </w:r>
            <w:r w:rsidRPr="00F9716C">
              <w:rPr>
                <w:color w:val="414042" w:themeColor="text1"/>
              </w:rPr>
              <w:t xml:space="preserve"> The CCC work with the Director of Public Prosecutions to develop a process for conducting post‐prosecution reviews.</w:t>
            </w:r>
          </w:p>
        </w:tc>
      </w:tr>
    </w:tbl>
    <w:p w14:paraId="2C6DEFF2" w14:textId="77777777" w:rsidR="00F97DEE" w:rsidRPr="00F9716C" w:rsidRDefault="00F97DEE">
      <w:pPr>
        <w:rPr>
          <w:color w:val="414042" w:themeColor="text1"/>
        </w:rPr>
        <w:sectPr w:rsidR="00F97DEE" w:rsidRPr="00F9716C" w:rsidSect="00F97DEE">
          <w:headerReference w:type="default" r:id="rId319"/>
          <w:type w:val="continuous"/>
          <w:pgSz w:w="11906" w:h="16838" w:code="9"/>
          <w:pgMar w:top="2155" w:right="1134" w:bottom="964" w:left="1134" w:header="720" w:footer="284" w:gutter="0"/>
          <w:cols w:space="567"/>
          <w:noEndnote/>
          <w:docGrid w:linePitch="272"/>
        </w:sectPr>
      </w:pP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9716C" w:rsidRPr="00F9716C" w14:paraId="0ECAD726" w14:textId="77777777" w:rsidTr="00BF5C92">
        <w:trPr>
          <w:trHeight w:val="20"/>
        </w:trPr>
        <w:tc>
          <w:tcPr>
            <w:tcW w:w="5000" w:type="pct"/>
            <w:noWrap/>
            <w:hideMark/>
          </w:tcPr>
          <w:p w14:paraId="63820A1D" w14:textId="25E36584" w:rsidR="005268F0" w:rsidRPr="00F9716C" w:rsidRDefault="005268F0" w:rsidP="002910F8">
            <w:pPr>
              <w:rPr>
                <w:color w:val="414042" w:themeColor="text1"/>
              </w:rPr>
            </w:pPr>
            <w:r w:rsidRPr="00F9716C">
              <w:rPr>
                <w:b/>
                <w:bCs/>
                <w:color w:val="414042" w:themeColor="text1"/>
              </w:rPr>
              <w:t>Recommendation 25:</w:t>
            </w:r>
            <w:r w:rsidRPr="00F9716C">
              <w:rPr>
                <w:color w:val="414042" w:themeColor="text1"/>
              </w:rPr>
              <w:t xml:space="preserve"> The </w:t>
            </w:r>
            <w:r w:rsidRPr="00F9716C">
              <w:rPr>
                <w:i/>
                <w:iCs/>
                <w:color w:val="414042" w:themeColor="text1"/>
              </w:rPr>
              <w:t>Crime and Corruption Act 2001</w:t>
            </w:r>
            <w:r w:rsidRPr="00F9716C">
              <w:rPr>
                <w:color w:val="414042" w:themeColor="text1"/>
              </w:rPr>
              <w:t xml:space="preserve"> be amended as necessary to give effect to the following changes: a. Other than in exceptional circumstances, before a charge is laid by a seconded police officer during, or following, a corruption investigation, the CCC must seek the opinion of the Director of Public Prosecutions concerning whether a charge may properly be brought having regard to the two‐tier test in the Director’s Guidelines. b. Notwithstanding any other law or any other provision of the </w:t>
            </w:r>
            <w:r w:rsidRPr="00F9716C">
              <w:rPr>
                <w:i/>
                <w:iCs/>
                <w:color w:val="414042" w:themeColor="text1"/>
              </w:rPr>
              <w:t>Crime and Corruption Act 2001</w:t>
            </w:r>
            <w:r w:rsidRPr="00F9716C">
              <w:rPr>
                <w:color w:val="414042" w:themeColor="text1"/>
              </w:rPr>
              <w:t>, if the Director of Public Prosecutions advises that a charge should not be brought, the seconded police officer must not charge contrary to that advice. c. If the Director of Public Prosecutions advises a charge may properly be brought and a decision is made by the seconded police officer not to charge, the CCC must report to the PCCC and the Parliamentary Commissioner about the decision made. d. If, because of exceptional circumstances, charges are laid without the Director of Public Prosecutions having first provided its opinion on whether charges may properly be brought, the CCC must, as soon as reasonably practicable, report to the Director of Public Prosecutions in relation to the charge laid and obtain the Director of Public Prosecutions’ opinion about the soundness of the decision to charge.</w:t>
            </w:r>
          </w:p>
        </w:tc>
      </w:tr>
      <w:tr w:rsidR="00F9716C" w:rsidRPr="00F9716C" w14:paraId="75AD7A33" w14:textId="77777777" w:rsidTr="00BF5C92">
        <w:trPr>
          <w:trHeight w:val="20"/>
        </w:trPr>
        <w:tc>
          <w:tcPr>
            <w:tcW w:w="5000" w:type="pct"/>
            <w:noWrap/>
            <w:hideMark/>
          </w:tcPr>
          <w:p w14:paraId="4386F3C1" w14:textId="77777777" w:rsidR="00194E8D" w:rsidRPr="00F9716C" w:rsidRDefault="00194E8D" w:rsidP="00194E8D">
            <w:pPr>
              <w:rPr>
                <w:color w:val="414042" w:themeColor="text1"/>
              </w:rPr>
            </w:pPr>
            <w:r w:rsidRPr="00F9716C">
              <w:rPr>
                <w:b/>
                <w:bCs/>
                <w:color w:val="414042" w:themeColor="text1"/>
              </w:rPr>
              <w:t>Recommendation 27:</w:t>
            </w:r>
            <w:r w:rsidRPr="00F9716C">
              <w:rPr>
                <w:color w:val="414042" w:themeColor="text1"/>
              </w:rPr>
              <w:t xml:space="preserve"> The CCC report to the Minister regarding the arrangement for the provision of advice by the Director of Public Prosecutions to the CCC, and about the effectiveness and utility of the Memorandum of Understanding, including timeframes and timeliness of the advice provided by the Director of Public Prosecutions.</w:t>
            </w:r>
          </w:p>
          <w:p w14:paraId="16AC93C4" w14:textId="7A01FA02" w:rsidR="00194E8D" w:rsidRPr="00F9716C" w:rsidRDefault="00194E8D" w:rsidP="002910F8">
            <w:pPr>
              <w:rPr>
                <w:color w:val="414042" w:themeColor="text1"/>
              </w:rPr>
            </w:pPr>
            <w:r w:rsidRPr="00F9716C">
              <w:rPr>
                <w:b/>
                <w:bCs/>
                <w:color w:val="414042" w:themeColor="text1"/>
              </w:rPr>
              <w:t>Recommendation 28:</w:t>
            </w:r>
            <w:r w:rsidRPr="00F9716C">
              <w:rPr>
                <w:color w:val="414042" w:themeColor="text1"/>
              </w:rPr>
              <w:t xml:space="preserve"> The CCC report to the PCCC and the Parliamentary Commissioner on the effectiveness and utility of the Memorandum of Understanding, including timeframes and timeliness of the advice provided by the Director of Public Prosecutions.</w:t>
            </w:r>
          </w:p>
        </w:tc>
      </w:tr>
      <w:tr w:rsidR="00F9716C" w:rsidRPr="00F9716C" w14:paraId="009D71CE" w14:textId="77777777" w:rsidTr="00BF5C92">
        <w:trPr>
          <w:trHeight w:val="20"/>
        </w:trPr>
        <w:tc>
          <w:tcPr>
            <w:tcW w:w="5000" w:type="pct"/>
            <w:noWrap/>
            <w:hideMark/>
          </w:tcPr>
          <w:p w14:paraId="1B35F8FB" w14:textId="77777777" w:rsidR="005268F0" w:rsidRPr="00F9716C" w:rsidRDefault="005268F0" w:rsidP="002910F8">
            <w:pPr>
              <w:rPr>
                <w:color w:val="414042" w:themeColor="text1"/>
              </w:rPr>
            </w:pPr>
            <w:r w:rsidRPr="00F9716C">
              <w:rPr>
                <w:b/>
                <w:bCs/>
                <w:color w:val="414042" w:themeColor="text1"/>
              </w:rPr>
              <w:t>Recommendation 31:</w:t>
            </w:r>
            <w:r w:rsidRPr="00F9716C">
              <w:rPr>
                <w:color w:val="414042" w:themeColor="text1"/>
              </w:rPr>
              <w:t xml:space="preserve"> The CCC must report regularly and progressively to the Minister about the implementation and delivery of the recommendations.</w:t>
            </w:r>
          </w:p>
        </w:tc>
      </w:tr>
      <w:tr w:rsidR="00F9716C" w:rsidRPr="00F9716C" w14:paraId="7855F539" w14:textId="77777777" w:rsidTr="00BF5C92">
        <w:trPr>
          <w:trHeight w:val="20"/>
        </w:trPr>
        <w:tc>
          <w:tcPr>
            <w:tcW w:w="5000" w:type="pct"/>
            <w:noWrap/>
            <w:hideMark/>
          </w:tcPr>
          <w:p w14:paraId="33239D4A" w14:textId="77777777" w:rsidR="005268F0" w:rsidRPr="00F9716C" w:rsidRDefault="005268F0" w:rsidP="002910F8">
            <w:pPr>
              <w:rPr>
                <w:color w:val="414042" w:themeColor="text1"/>
              </w:rPr>
            </w:pPr>
            <w:r w:rsidRPr="00F9716C">
              <w:rPr>
                <w:b/>
                <w:bCs/>
                <w:color w:val="414042" w:themeColor="text1"/>
              </w:rPr>
              <w:t>Recommendation 32:</w:t>
            </w:r>
            <w:r w:rsidRPr="00F9716C">
              <w:rPr>
                <w:color w:val="414042" w:themeColor="text1"/>
              </w:rPr>
              <w:t xml:space="preserve"> The CCC must report regularly and progressively to the PCCC and the Parliamentary Commissioner about the implementation and delivery of the recommendations.</w:t>
            </w:r>
          </w:p>
        </w:tc>
      </w:tr>
      <w:bookmarkEnd w:id="1583"/>
      <w:tr w:rsidR="00F9716C" w:rsidRPr="00F9716C" w14:paraId="61F29EDF" w14:textId="77777777" w:rsidTr="007F64FE">
        <w:trPr>
          <w:trHeight w:val="20"/>
        </w:trPr>
        <w:tc>
          <w:tcPr>
            <w:tcW w:w="5000" w:type="pct"/>
            <w:shd w:val="clear" w:color="auto" w:fill="F2F2F2" w:themeFill="background1" w:themeFillShade="F2"/>
            <w:vAlign w:val="center"/>
          </w:tcPr>
          <w:p w14:paraId="14AD9325" w14:textId="208D8DF6" w:rsidR="005268F0" w:rsidRPr="00F9716C" w:rsidRDefault="00836DA9" w:rsidP="00B02BC4">
            <w:pPr>
              <w:pStyle w:val="Heading4"/>
            </w:pPr>
            <w:r w:rsidRPr="00F9716C">
              <w:rPr>
                <w:rFonts w:ascii="Calibri Light" w:hAnsi="Calibri Light" w:cstheme="minorBidi"/>
              </w:rPr>
              <w:br w:type="page"/>
            </w:r>
            <w:r w:rsidR="005268F0" w:rsidRPr="00F9716C">
              <w:t xml:space="preserve">Noted but not yet commenced – </w:t>
            </w:r>
            <w:r w:rsidR="00194E8D" w:rsidRPr="00F9716C">
              <w:t>1</w:t>
            </w:r>
            <w:r w:rsidR="005268F0" w:rsidRPr="00F9716C">
              <w:t xml:space="preserve"> recommendation</w:t>
            </w:r>
          </w:p>
        </w:tc>
      </w:tr>
      <w:tr w:rsidR="00F9716C" w:rsidRPr="00F9716C" w14:paraId="45516FAA" w14:textId="77777777" w:rsidTr="00194E8D">
        <w:trPr>
          <w:trHeight w:val="20"/>
        </w:trPr>
        <w:tc>
          <w:tcPr>
            <w:tcW w:w="5000" w:type="pct"/>
            <w:noWrap/>
          </w:tcPr>
          <w:p w14:paraId="33C5C633" w14:textId="6FA2668A" w:rsidR="005268F0" w:rsidRPr="00F9716C" w:rsidRDefault="00194E8D" w:rsidP="00836DA9">
            <w:pPr>
              <w:spacing w:before="240"/>
              <w:rPr>
                <w:color w:val="414042" w:themeColor="text1"/>
              </w:rPr>
            </w:pPr>
            <w:r w:rsidRPr="00F9716C">
              <w:rPr>
                <w:b/>
                <w:bCs/>
                <w:color w:val="414042" w:themeColor="text1"/>
              </w:rPr>
              <w:t>Recommendation 29:</w:t>
            </w:r>
            <w:r w:rsidRPr="00F9716C">
              <w:rPr>
                <w:color w:val="414042" w:themeColor="text1"/>
              </w:rPr>
              <w:t xml:space="preserve"> The Parliamentary Crime and Corruption Committee, as part of its next five-yearly review of the activities of the Crime and Corruption Commission under section 292 of the </w:t>
            </w:r>
            <w:r w:rsidRPr="00F9716C">
              <w:rPr>
                <w:i/>
                <w:iCs/>
                <w:color w:val="414042" w:themeColor="text1"/>
              </w:rPr>
              <w:t xml:space="preserve">Crime and Corruption Act 2001, </w:t>
            </w:r>
            <w:r w:rsidRPr="00F9716C">
              <w:rPr>
                <w:color w:val="414042" w:themeColor="text1"/>
              </w:rPr>
              <w:t>review the arrangement for the provision of advice by the Director of Public Prosecutions to the Crime and Corruption Commission, and examine the effectiveness and utility of the Memorandum of Understanding – thereafter, the Parliamentary Crime and Corruption Committee continue to monitor the arrangements as part of its future five-yearly reviews.</w:t>
            </w:r>
          </w:p>
        </w:tc>
      </w:tr>
      <w:tr w:rsidR="00F9716C" w:rsidRPr="00F9716C" w14:paraId="33516165" w14:textId="77777777" w:rsidTr="00BF5C92">
        <w:trPr>
          <w:trHeight w:val="20"/>
        </w:trPr>
        <w:tc>
          <w:tcPr>
            <w:tcW w:w="5000" w:type="pct"/>
            <w:noWrap/>
          </w:tcPr>
          <w:p w14:paraId="3BFB50A3" w14:textId="77777777" w:rsidR="005268F0" w:rsidRPr="00F9716C" w:rsidRDefault="005268F0" w:rsidP="00C903A2">
            <w:pPr>
              <w:pStyle w:val="Heading3"/>
              <w:rPr>
                <w:sz w:val="16"/>
                <w:szCs w:val="16"/>
              </w:rPr>
            </w:pPr>
            <w:bookmarkStart w:id="1584" w:name="_Hlk167106845"/>
            <w:r w:rsidRPr="00F9716C">
              <w:t>Five-Year Review 2021</w:t>
            </w:r>
            <w:bookmarkEnd w:id="1584"/>
          </w:p>
        </w:tc>
      </w:tr>
      <w:tr w:rsidR="00F9716C" w:rsidRPr="00F9716C" w14:paraId="595E51C7" w14:textId="77777777" w:rsidTr="007F64FE">
        <w:trPr>
          <w:trHeight w:val="20"/>
        </w:trPr>
        <w:tc>
          <w:tcPr>
            <w:tcW w:w="5000" w:type="pct"/>
            <w:shd w:val="clear" w:color="auto" w:fill="F2F2F2" w:themeFill="background1" w:themeFillShade="F2"/>
            <w:noWrap/>
            <w:vAlign w:val="center"/>
          </w:tcPr>
          <w:p w14:paraId="541233E9" w14:textId="77777777" w:rsidR="005268F0" w:rsidRPr="00F9716C" w:rsidRDefault="005268F0" w:rsidP="00B02BC4">
            <w:pPr>
              <w:pStyle w:val="Heading4"/>
              <w:rPr>
                <w:sz w:val="16"/>
                <w:szCs w:val="16"/>
              </w:rPr>
            </w:pPr>
            <w:r w:rsidRPr="00F9716C">
              <w:t>Completed – 1 recommendation</w:t>
            </w:r>
          </w:p>
        </w:tc>
      </w:tr>
      <w:tr w:rsidR="00F9716C" w:rsidRPr="00F9716C" w14:paraId="40E89DF9" w14:textId="77777777" w:rsidTr="00BF5C92">
        <w:trPr>
          <w:trHeight w:val="20"/>
        </w:trPr>
        <w:tc>
          <w:tcPr>
            <w:tcW w:w="5000" w:type="pct"/>
            <w:noWrap/>
          </w:tcPr>
          <w:p w14:paraId="13EE881E" w14:textId="6E7F58C8" w:rsidR="00CF45DC" w:rsidRPr="00F9716C" w:rsidRDefault="00CF45DC" w:rsidP="00836DA9">
            <w:pPr>
              <w:spacing w:before="240"/>
              <w:rPr>
                <w:color w:val="414042" w:themeColor="text1"/>
              </w:rPr>
            </w:pPr>
            <w:r w:rsidRPr="00F9716C">
              <w:rPr>
                <w:b/>
                <w:bCs/>
                <w:color w:val="414042" w:themeColor="text1"/>
              </w:rPr>
              <w:t>Recommendation 11:</w:t>
            </w:r>
            <w:r w:rsidRPr="00F9716C">
              <w:rPr>
                <w:color w:val="414042" w:themeColor="text1"/>
              </w:rPr>
              <w:t xml:space="preserve"> The CCC produce easily accessible material to assist in the education of persons (and their legal representatives) participating in coercive hearings.</w:t>
            </w:r>
          </w:p>
        </w:tc>
      </w:tr>
      <w:tr w:rsidR="00F9716C" w:rsidRPr="00F9716C" w14:paraId="00F57DEF" w14:textId="77777777" w:rsidTr="007F64FE">
        <w:trPr>
          <w:trHeight w:val="20"/>
        </w:trPr>
        <w:tc>
          <w:tcPr>
            <w:tcW w:w="5000" w:type="pct"/>
            <w:shd w:val="clear" w:color="auto" w:fill="F2F2F2" w:themeFill="background1" w:themeFillShade="F2"/>
            <w:noWrap/>
            <w:vAlign w:val="center"/>
          </w:tcPr>
          <w:p w14:paraId="5C3BE60E" w14:textId="77777777" w:rsidR="005268F0" w:rsidRPr="00F9716C" w:rsidRDefault="005268F0" w:rsidP="00B02BC4">
            <w:pPr>
              <w:pStyle w:val="Heading4"/>
              <w:rPr>
                <w:sz w:val="16"/>
                <w:szCs w:val="16"/>
              </w:rPr>
            </w:pPr>
            <w:r w:rsidRPr="00F9716C">
              <w:t>In progress – 4 recommendations</w:t>
            </w:r>
          </w:p>
        </w:tc>
      </w:tr>
      <w:tr w:rsidR="00F9716C" w:rsidRPr="00F9716C" w14:paraId="179EA355" w14:textId="77777777" w:rsidTr="00BF5C92">
        <w:trPr>
          <w:trHeight w:val="20"/>
        </w:trPr>
        <w:tc>
          <w:tcPr>
            <w:tcW w:w="5000" w:type="pct"/>
            <w:noWrap/>
          </w:tcPr>
          <w:p w14:paraId="47BC232F" w14:textId="76761B3E" w:rsidR="00CF45DC" w:rsidRPr="00F9716C" w:rsidRDefault="00CF45DC" w:rsidP="00836DA9">
            <w:pPr>
              <w:spacing w:before="240"/>
              <w:rPr>
                <w:color w:val="414042" w:themeColor="text1"/>
              </w:rPr>
            </w:pPr>
            <w:r w:rsidRPr="00F9716C">
              <w:rPr>
                <w:b/>
                <w:bCs/>
                <w:color w:val="414042" w:themeColor="text1"/>
              </w:rPr>
              <w:t>Recommendation 6:</w:t>
            </w:r>
            <w:r w:rsidRPr="00F9716C">
              <w:rPr>
                <w:color w:val="414042" w:themeColor="text1"/>
              </w:rPr>
              <w:t xml:space="preserve"> The CCC and the QPS update their practices and procedures in regards to public reporting associated with the charging, or investigating, of police officers, to ensure that the outcome is also subject to public reporting, in circumstances where the police officer is cleared of the publicly reported allegations.</w:t>
            </w:r>
          </w:p>
        </w:tc>
      </w:tr>
      <w:tr w:rsidR="00F9716C" w:rsidRPr="00F9716C" w14:paraId="6D983454" w14:textId="77777777" w:rsidTr="00BF5C92">
        <w:trPr>
          <w:trHeight w:val="20"/>
        </w:trPr>
        <w:tc>
          <w:tcPr>
            <w:tcW w:w="5000" w:type="pct"/>
            <w:noWrap/>
            <w:hideMark/>
          </w:tcPr>
          <w:p w14:paraId="64ECDAF1" w14:textId="64753766" w:rsidR="005268F0" w:rsidRPr="00F9716C" w:rsidRDefault="005268F0" w:rsidP="00F12C55">
            <w:pPr>
              <w:rPr>
                <w:color w:val="414042" w:themeColor="text1"/>
              </w:rPr>
            </w:pPr>
            <w:r w:rsidRPr="00F9716C">
              <w:rPr>
                <w:b/>
                <w:bCs/>
                <w:color w:val="414042" w:themeColor="text1"/>
              </w:rPr>
              <w:t>Recommendation 7:</w:t>
            </w:r>
            <w:r w:rsidRPr="00F9716C">
              <w:rPr>
                <w:color w:val="414042" w:themeColor="text1"/>
              </w:rPr>
              <w:t xml:space="preserve"> The secretariat functions for the Commission</w:t>
            </w:r>
            <w:r w:rsidR="0003609D" w:rsidRPr="00F9716C">
              <w:rPr>
                <w:color w:val="414042" w:themeColor="text1"/>
              </w:rPr>
              <w:t>er</w:t>
            </w:r>
            <w:r w:rsidRPr="00F9716C">
              <w:rPr>
                <w:color w:val="414042" w:themeColor="text1"/>
              </w:rPr>
              <w:t xml:space="preserve"> for Police Service Review</w:t>
            </w:r>
            <w:r w:rsidR="003E6B73" w:rsidRPr="00F9716C">
              <w:rPr>
                <w:color w:val="414042" w:themeColor="text1"/>
              </w:rPr>
              <w:t>s</w:t>
            </w:r>
            <w:r w:rsidRPr="00F9716C">
              <w:rPr>
                <w:color w:val="414042" w:themeColor="text1"/>
              </w:rPr>
              <w:t xml:space="preserve"> are transferred from the CCC to another appropriate entity, separate from the QPS.</w:t>
            </w:r>
          </w:p>
        </w:tc>
      </w:tr>
    </w:tbl>
    <w:p w14:paraId="6043336D" w14:textId="77777777" w:rsidR="008C1C7E" w:rsidRDefault="008C1C7E">
      <w: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9716C" w:rsidRPr="00F9716C" w14:paraId="3F529934" w14:textId="77777777" w:rsidTr="00BF5C92">
        <w:trPr>
          <w:trHeight w:val="20"/>
        </w:trPr>
        <w:tc>
          <w:tcPr>
            <w:tcW w:w="5000" w:type="pct"/>
            <w:noWrap/>
            <w:hideMark/>
          </w:tcPr>
          <w:p w14:paraId="7186114D" w14:textId="6AFBFDC4" w:rsidR="005268F0" w:rsidRPr="00F9716C" w:rsidRDefault="005268F0" w:rsidP="00F12C55">
            <w:pPr>
              <w:rPr>
                <w:color w:val="414042" w:themeColor="text1"/>
              </w:rPr>
            </w:pPr>
            <w:r w:rsidRPr="00F9716C">
              <w:rPr>
                <w:b/>
                <w:bCs/>
                <w:color w:val="414042" w:themeColor="text1"/>
              </w:rPr>
              <w:t>Recommendation 23:</w:t>
            </w:r>
            <w:r w:rsidRPr="00F9716C">
              <w:rPr>
                <w:color w:val="414042" w:themeColor="text1"/>
              </w:rPr>
              <w:t xml:space="preserve"> The CCC and the Queensland Parliament (through the Speaker of the Legislative Assembly) consider the development and implementation of an information sharing protocol for the dissemination of information held by the CCC that may be relevant to the Parliament in respect of the conduct of Members of Parliament.</w:t>
            </w:r>
          </w:p>
        </w:tc>
      </w:tr>
      <w:tr w:rsidR="00F9716C" w:rsidRPr="00F9716C" w14:paraId="5C9303CF" w14:textId="77777777" w:rsidTr="00BF5C92">
        <w:trPr>
          <w:trHeight w:val="20"/>
        </w:trPr>
        <w:tc>
          <w:tcPr>
            <w:tcW w:w="5000" w:type="pct"/>
            <w:noWrap/>
            <w:hideMark/>
          </w:tcPr>
          <w:p w14:paraId="5ECC3ED3" w14:textId="2837781A" w:rsidR="00AD6846" w:rsidRPr="00F9716C" w:rsidRDefault="005268F0" w:rsidP="00B87876">
            <w:pPr>
              <w:rPr>
                <w:color w:val="414042" w:themeColor="text1"/>
              </w:rPr>
            </w:pPr>
            <w:r w:rsidRPr="00F9716C">
              <w:rPr>
                <w:b/>
                <w:bCs/>
                <w:color w:val="414042" w:themeColor="text1"/>
              </w:rPr>
              <w:t>Recommendation 29:</w:t>
            </w:r>
            <w:r w:rsidRPr="00F9716C">
              <w:rPr>
                <w:color w:val="414042" w:themeColor="text1"/>
              </w:rPr>
              <w:t xml:space="preserve"> The CCC develop and deliver additional </w:t>
            </w:r>
            <w:r w:rsidRPr="00F9716C">
              <w:rPr>
                <w:i/>
                <w:iCs/>
                <w:color w:val="414042" w:themeColor="text1"/>
              </w:rPr>
              <w:t>[corruption prevention]</w:t>
            </w:r>
            <w:r w:rsidRPr="00F9716C">
              <w:rPr>
                <w:color w:val="414042" w:themeColor="text1"/>
              </w:rPr>
              <w:t xml:space="preserve"> training and educational material.</w:t>
            </w:r>
          </w:p>
        </w:tc>
      </w:tr>
      <w:tr w:rsidR="00F9716C" w:rsidRPr="00F9716C" w14:paraId="76AAC20A" w14:textId="77777777" w:rsidTr="007F64FE">
        <w:trPr>
          <w:trHeight w:val="20"/>
        </w:trPr>
        <w:tc>
          <w:tcPr>
            <w:tcW w:w="5000" w:type="pct"/>
            <w:shd w:val="clear" w:color="auto" w:fill="F2F2F2" w:themeFill="background1" w:themeFillShade="F2"/>
            <w:noWrap/>
            <w:vAlign w:val="center"/>
          </w:tcPr>
          <w:p w14:paraId="0F061044" w14:textId="1D95B573" w:rsidR="005268F0" w:rsidRPr="00F9716C" w:rsidRDefault="005268F0" w:rsidP="00B02BC4">
            <w:pPr>
              <w:pStyle w:val="Heading4"/>
              <w:rPr>
                <w:sz w:val="16"/>
                <w:szCs w:val="16"/>
              </w:rPr>
            </w:pPr>
            <w:r w:rsidRPr="00F9716C">
              <w:t>Noted – 2 recommendations</w:t>
            </w:r>
          </w:p>
        </w:tc>
      </w:tr>
      <w:tr w:rsidR="00F9716C" w:rsidRPr="00F9716C" w14:paraId="0E1680D8" w14:textId="77777777" w:rsidTr="00BF5C92">
        <w:trPr>
          <w:trHeight w:val="20"/>
        </w:trPr>
        <w:tc>
          <w:tcPr>
            <w:tcW w:w="5000" w:type="pct"/>
            <w:noWrap/>
          </w:tcPr>
          <w:p w14:paraId="0FE2E276" w14:textId="77777777" w:rsidR="005268F0" w:rsidRPr="00F9716C" w:rsidRDefault="005268F0" w:rsidP="00836DA9">
            <w:pPr>
              <w:spacing w:before="240"/>
              <w:rPr>
                <w:color w:val="414042" w:themeColor="text1"/>
              </w:rPr>
            </w:pPr>
            <w:r w:rsidRPr="00F9716C">
              <w:rPr>
                <w:b/>
                <w:bCs/>
                <w:color w:val="414042" w:themeColor="text1"/>
              </w:rPr>
              <w:t>Recommendation 26:</w:t>
            </w:r>
            <w:r w:rsidRPr="00F9716C">
              <w:rPr>
                <w:color w:val="414042" w:themeColor="text1"/>
              </w:rPr>
              <w:t xml:space="preserve"> There be an ongoing dialogue between the CCC and relevant Queensland and Commonwealth authorities to ensure all possible forms of foreign influence or interference are subject to scrutiny and investigation by relevant agencies.</w:t>
            </w:r>
          </w:p>
        </w:tc>
      </w:tr>
      <w:tr w:rsidR="00F9716C" w:rsidRPr="00F9716C" w14:paraId="5571F768" w14:textId="77777777" w:rsidTr="00BF5C92">
        <w:trPr>
          <w:trHeight w:val="20"/>
        </w:trPr>
        <w:tc>
          <w:tcPr>
            <w:tcW w:w="5000" w:type="pct"/>
            <w:noWrap/>
          </w:tcPr>
          <w:p w14:paraId="105985E2" w14:textId="77777777" w:rsidR="005268F0" w:rsidRPr="00F9716C" w:rsidRDefault="005268F0" w:rsidP="00F12C55">
            <w:pPr>
              <w:rPr>
                <w:color w:val="414042" w:themeColor="text1"/>
              </w:rPr>
            </w:pPr>
            <w:r w:rsidRPr="00F9716C">
              <w:rPr>
                <w:b/>
                <w:bCs/>
                <w:color w:val="414042" w:themeColor="text1"/>
              </w:rPr>
              <w:t>Recommendation 30:</w:t>
            </w:r>
            <w:r w:rsidRPr="00F9716C">
              <w:rPr>
                <w:color w:val="414042" w:themeColor="text1"/>
              </w:rPr>
              <w:t xml:space="preserve"> The CCC engage with the Department of Justice and Attorney-General if issues regarding application of the </w:t>
            </w:r>
            <w:r w:rsidRPr="00F9716C">
              <w:rPr>
                <w:i/>
                <w:iCs/>
                <w:color w:val="414042" w:themeColor="text1"/>
              </w:rPr>
              <w:t>Human Rights Act 2019</w:t>
            </w:r>
            <w:r w:rsidRPr="00F9716C">
              <w:rPr>
                <w:color w:val="414042" w:themeColor="text1"/>
              </w:rPr>
              <w:t xml:space="preserve"> arise, to ensure the CCC’s powers are not inadvertently undermined.</w:t>
            </w:r>
          </w:p>
        </w:tc>
      </w:tr>
      <w:tr w:rsidR="00F9716C" w:rsidRPr="00F9716C" w14:paraId="3169B4AF" w14:textId="77777777" w:rsidTr="00BF5C92">
        <w:trPr>
          <w:trHeight w:val="20"/>
        </w:trPr>
        <w:tc>
          <w:tcPr>
            <w:tcW w:w="5000" w:type="pct"/>
            <w:noWrap/>
          </w:tcPr>
          <w:p w14:paraId="102D357D" w14:textId="77777777" w:rsidR="005268F0" w:rsidRPr="00F9716C" w:rsidRDefault="005268F0" w:rsidP="00C903A2">
            <w:pPr>
              <w:pStyle w:val="Heading3"/>
            </w:pPr>
            <w:bookmarkStart w:id="1585" w:name="_Hlk141285488"/>
            <w:r w:rsidRPr="00F9716C">
              <w:t>DFV Inquiry</w:t>
            </w:r>
            <w:bookmarkEnd w:id="1585"/>
          </w:p>
        </w:tc>
      </w:tr>
      <w:tr w:rsidR="00F9716C" w:rsidRPr="00F9716C" w14:paraId="63A1B61B" w14:textId="77777777" w:rsidTr="007F64FE">
        <w:trPr>
          <w:trHeight w:val="20"/>
        </w:trPr>
        <w:tc>
          <w:tcPr>
            <w:tcW w:w="5000" w:type="pct"/>
            <w:shd w:val="clear" w:color="auto" w:fill="F2F2F2" w:themeFill="background1" w:themeFillShade="F2"/>
            <w:noWrap/>
            <w:vAlign w:val="center"/>
          </w:tcPr>
          <w:p w14:paraId="3F4560DC" w14:textId="7A40AED8" w:rsidR="005268F0" w:rsidRPr="00F9716C" w:rsidRDefault="0009256E" w:rsidP="00B02BC4">
            <w:pPr>
              <w:pStyle w:val="Heading4"/>
              <w:rPr>
                <w:sz w:val="16"/>
                <w:szCs w:val="16"/>
              </w:rPr>
            </w:pPr>
            <w:r w:rsidRPr="00F9716C">
              <w:t>Noted but not yet commenced</w:t>
            </w:r>
            <w:r w:rsidR="005268F0" w:rsidRPr="00F9716C">
              <w:t xml:space="preserve"> – </w:t>
            </w:r>
            <w:r w:rsidRPr="00F9716C">
              <w:t>2</w:t>
            </w:r>
            <w:r w:rsidR="005268F0" w:rsidRPr="00F9716C">
              <w:t xml:space="preserve"> recommendations</w:t>
            </w:r>
            <w:r w:rsidRPr="00F9716C">
              <w:rPr>
                <w:rStyle w:val="FootnoteReference"/>
              </w:rPr>
              <w:footnoteReference w:id="6"/>
            </w:r>
          </w:p>
        </w:tc>
      </w:tr>
      <w:tr w:rsidR="00F9716C" w:rsidRPr="00F9716C" w14:paraId="682CAF4C" w14:textId="77777777" w:rsidTr="00BF5C92">
        <w:trPr>
          <w:trHeight w:val="20"/>
        </w:trPr>
        <w:tc>
          <w:tcPr>
            <w:tcW w:w="5000" w:type="pct"/>
            <w:noWrap/>
            <w:hideMark/>
          </w:tcPr>
          <w:p w14:paraId="0239382C" w14:textId="77777777" w:rsidR="005268F0" w:rsidRPr="00F9716C" w:rsidRDefault="005268F0" w:rsidP="0009256E">
            <w:pPr>
              <w:spacing w:before="240"/>
              <w:rPr>
                <w:color w:val="414042" w:themeColor="text1"/>
              </w:rPr>
            </w:pPr>
            <w:r w:rsidRPr="00F9716C">
              <w:rPr>
                <w:b/>
                <w:bCs/>
                <w:color w:val="414042" w:themeColor="text1"/>
              </w:rPr>
              <w:t>Recommendation 70:</w:t>
            </w:r>
            <w:r w:rsidRPr="00F9716C">
              <w:rPr>
                <w:color w:val="414042" w:themeColor="text1"/>
              </w:rPr>
              <w:t xml:space="preserve"> The CCC engage external experts in, or those with experience of, civilian control models to assist in the development and implementation of the Police Integrity Unit up until it becomes operational.</w:t>
            </w:r>
          </w:p>
        </w:tc>
      </w:tr>
      <w:tr w:rsidR="00F9716C" w:rsidRPr="00F9716C" w14:paraId="680E743F" w14:textId="77777777" w:rsidTr="00BF5C92">
        <w:trPr>
          <w:trHeight w:val="20"/>
        </w:trPr>
        <w:tc>
          <w:tcPr>
            <w:tcW w:w="5000" w:type="pct"/>
            <w:noWrap/>
            <w:hideMark/>
          </w:tcPr>
          <w:p w14:paraId="154DE31C" w14:textId="5F2F8CA3" w:rsidR="0009256E" w:rsidRPr="00F9716C" w:rsidRDefault="005268F0" w:rsidP="00A93FA7">
            <w:pPr>
              <w:spacing w:after="240"/>
              <w:rPr>
                <w:i/>
                <w:iCs/>
                <w:color w:val="414042" w:themeColor="text1"/>
              </w:rPr>
            </w:pPr>
            <w:r w:rsidRPr="00F9716C">
              <w:rPr>
                <w:b/>
                <w:bCs/>
                <w:color w:val="414042" w:themeColor="text1"/>
              </w:rPr>
              <w:t>Recommendation 71:</w:t>
            </w:r>
            <w:r w:rsidRPr="00F9716C">
              <w:rPr>
                <w:color w:val="414042" w:themeColor="text1"/>
              </w:rPr>
              <w:t xml:space="preserve"> The CCC, in consultation with the QPS, report to the PCCC, and the Premier, or the Attorney-General in support of the Premier, on the implementation plan milestones every three months until the Police Integrity Unit is fully operational.</w:t>
            </w:r>
          </w:p>
        </w:tc>
      </w:tr>
      <w:tr w:rsidR="00F9716C" w:rsidRPr="00F9716C" w14:paraId="4EDD271F" w14:textId="77777777" w:rsidTr="00BF5C92">
        <w:trPr>
          <w:trHeight w:val="20"/>
        </w:trPr>
        <w:tc>
          <w:tcPr>
            <w:tcW w:w="5000" w:type="pct"/>
            <w:noWrap/>
          </w:tcPr>
          <w:p w14:paraId="0876C12A" w14:textId="3A1DCD76" w:rsidR="00374153" w:rsidRPr="00F9716C" w:rsidRDefault="00374153" w:rsidP="00374153">
            <w:pPr>
              <w:rPr>
                <w:b/>
                <w:bCs/>
                <w:color w:val="414042" w:themeColor="text1"/>
              </w:rPr>
            </w:pPr>
            <w:r w:rsidRPr="00F9716C">
              <w:rPr>
                <w:i/>
                <w:iCs/>
                <w:color w:val="414042" w:themeColor="text1"/>
              </w:rPr>
              <w:t>See page</w:t>
            </w:r>
            <w:r w:rsidR="0072416A" w:rsidRPr="00F9716C">
              <w:rPr>
                <w:i/>
                <w:iCs/>
                <w:color w:val="414042" w:themeColor="text1"/>
              </w:rPr>
              <w:t>s</w:t>
            </w:r>
            <w:r w:rsidRPr="00F9716C">
              <w:rPr>
                <w:i/>
                <w:iCs/>
                <w:color w:val="414042" w:themeColor="text1"/>
              </w:rPr>
              <w:t xml:space="preserve"> </w:t>
            </w:r>
            <w:r w:rsidR="00E97B78" w:rsidRPr="00F9716C">
              <w:rPr>
                <w:i/>
                <w:iCs/>
                <w:color w:val="414042" w:themeColor="text1"/>
              </w:rPr>
              <w:t>27</w:t>
            </w:r>
            <w:r w:rsidRPr="00F9716C">
              <w:rPr>
                <w:i/>
                <w:iCs/>
                <w:color w:val="414042" w:themeColor="text1"/>
              </w:rPr>
              <w:t>–</w:t>
            </w:r>
            <w:r w:rsidR="00E97B78" w:rsidRPr="00F9716C">
              <w:rPr>
                <w:i/>
                <w:iCs/>
                <w:color w:val="414042" w:themeColor="text1"/>
              </w:rPr>
              <w:t>30</w:t>
            </w:r>
            <w:r w:rsidRPr="00F9716C">
              <w:rPr>
                <w:i/>
                <w:iCs/>
                <w:color w:val="414042" w:themeColor="text1"/>
              </w:rPr>
              <w:t xml:space="preserve"> for more information regarding these recommendations.</w:t>
            </w:r>
          </w:p>
        </w:tc>
      </w:tr>
    </w:tbl>
    <w:p w14:paraId="38521D2D" w14:textId="77777777" w:rsidR="00F97DEE" w:rsidRPr="00F9716C" w:rsidRDefault="00F97DEE" w:rsidP="00374153">
      <w:pPr>
        <w:rPr>
          <w:i/>
          <w:iCs/>
          <w:color w:val="414042" w:themeColor="text1"/>
        </w:rPr>
        <w:sectPr w:rsidR="00F97DEE" w:rsidRPr="00F9716C" w:rsidSect="00C77834">
          <w:headerReference w:type="default" r:id="rId320"/>
          <w:pgSz w:w="11906" w:h="16838" w:code="9"/>
          <w:pgMar w:top="2155" w:right="1134" w:bottom="964" w:left="1134" w:header="720" w:footer="284" w:gutter="0"/>
          <w:cols w:space="567"/>
          <w:noEndnote/>
          <w:docGrid w:linePitch="272"/>
        </w:sectPr>
      </w:pP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9716C" w:rsidRPr="00F9716C" w14:paraId="19098424" w14:textId="77777777" w:rsidTr="00BF5C92">
        <w:trPr>
          <w:trHeight w:val="20"/>
        </w:trPr>
        <w:tc>
          <w:tcPr>
            <w:tcW w:w="5000" w:type="pct"/>
            <w:noWrap/>
          </w:tcPr>
          <w:p w14:paraId="2FFE8DB4" w14:textId="77777777" w:rsidR="00F97DEE" w:rsidRPr="00F9716C" w:rsidRDefault="00F97DEE" w:rsidP="00374153">
            <w:pPr>
              <w:rPr>
                <w:i/>
                <w:iCs/>
                <w:color w:val="414042" w:themeColor="text1"/>
              </w:rPr>
            </w:pPr>
          </w:p>
          <w:p w14:paraId="621349F7" w14:textId="77777777" w:rsidR="00F97DEE" w:rsidRPr="00F9716C" w:rsidRDefault="00F97DEE" w:rsidP="00374153">
            <w:pPr>
              <w:rPr>
                <w:i/>
                <w:iCs/>
                <w:color w:val="414042" w:themeColor="text1"/>
              </w:rPr>
            </w:pPr>
          </w:p>
        </w:tc>
      </w:tr>
    </w:tbl>
    <w:p w14:paraId="0096CFAD" w14:textId="6CB80746" w:rsidR="00387DE0" w:rsidRPr="00F9716C" w:rsidRDefault="00F83949" w:rsidP="00387DE0">
      <w:pPr>
        <w:pStyle w:val="Heading2"/>
      </w:pPr>
      <w:bookmarkStart w:id="1586" w:name="_Appendix_B_"/>
      <w:bookmarkStart w:id="1587" w:name="AppendixB"/>
      <w:bookmarkEnd w:id="1586"/>
      <w:r w:rsidRPr="00F9716C">
        <w:rPr>
          <w:rFonts w:asciiTheme="minorHAnsi" w:hAnsiTheme="minorHAnsi" w:cstheme="minorHAnsi"/>
          <w:b/>
          <w:bCs/>
        </w:rPr>
        <w:t>A</w:t>
      </w:r>
      <w:r w:rsidR="00714F06" w:rsidRPr="00F9716C">
        <w:rPr>
          <w:rFonts w:asciiTheme="minorHAnsi" w:hAnsiTheme="minorHAnsi" w:cstheme="minorHAnsi"/>
          <w:b/>
          <w:bCs/>
        </w:rPr>
        <w:t xml:space="preserve">ppendix </w:t>
      </w:r>
      <w:r w:rsidR="008C1C7E" w:rsidRPr="00F9716C">
        <w:rPr>
          <w:rFonts w:asciiTheme="minorHAnsi" w:hAnsiTheme="minorHAnsi" w:cstheme="minorHAnsi"/>
          <w:b/>
          <w:bCs/>
        </w:rPr>
        <w:t>B</w:t>
      </w:r>
      <w:r w:rsidR="008C1C7E" w:rsidRPr="008C1C7E">
        <w:rPr>
          <w:rFonts w:asciiTheme="minorHAnsi" w:hAnsiTheme="minorHAnsi" w:cstheme="minorHAnsi"/>
          <w:b/>
          <w:bCs/>
        </w:rPr>
        <w:t xml:space="preserve">  </w:t>
      </w:r>
      <w:bookmarkEnd w:id="1587"/>
      <w:r w:rsidR="008C1C7E" w:rsidRPr="007F64FE">
        <w:rPr>
          <w:rFonts w:asciiTheme="majorHAnsi" w:hAnsiTheme="majorHAnsi" w:cstheme="majorHAnsi"/>
        </w:rPr>
        <w:t>|</w:t>
      </w:r>
      <w:r w:rsidR="008C1C7E" w:rsidRPr="008C1C7E">
        <w:rPr>
          <w:rFonts w:asciiTheme="minorHAnsi" w:hAnsiTheme="minorHAnsi" w:cstheme="minorHAnsi"/>
          <w:b/>
          <w:bCs/>
        </w:rPr>
        <w:t xml:space="preserve">  </w:t>
      </w:r>
      <w:r w:rsidR="00387DE0" w:rsidRPr="00F9716C">
        <w:t xml:space="preserve">Glossary of </w:t>
      </w:r>
      <w:r w:rsidR="007442A7" w:rsidRPr="00F9716C">
        <w:t>t</w:t>
      </w:r>
      <w:r w:rsidR="00387DE0" w:rsidRPr="00F9716C">
        <w:t>erms</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14:paraId="7EA6C416" w14:textId="77777777" w:rsidR="0059172E" w:rsidRPr="00F9716C" w:rsidRDefault="0059172E" w:rsidP="00387DE0">
      <w:pPr>
        <w:spacing w:before="120" w:after="0" w:line="260" w:lineRule="exact"/>
        <w:rPr>
          <w:strike/>
          <w:color w:val="414042" w:themeColor="text1"/>
        </w:rPr>
        <w:sectPr w:rsidR="0059172E" w:rsidRPr="00F9716C" w:rsidSect="00F97DEE">
          <w:headerReference w:type="default" r:id="rId321"/>
          <w:type w:val="continuous"/>
          <w:pgSz w:w="11906" w:h="16838" w:code="9"/>
          <w:pgMar w:top="2155" w:right="1134" w:bottom="964" w:left="1134" w:header="720" w:footer="284" w:gutter="0"/>
          <w:cols w:space="567"/>
          <w:noEndnote/>
          <w:docGrid w:linePitch="272"/>
        </w:sectPr>
      </w:pPr>
    </w:p>
    <w:p w14:paraId="7972BF89" w14:textId="77777777" w:rsidR="008D1425" w:rsidRPr="00F9716C" w:rsidRDefault="008D1425" w:rsidP="00536A10">
      <w:pPr>
        <w:spacing w:before="120" w:after="0" w:line="260" w:lineRule="exact"/>
        <w:ind w:left="1134" w:right="-143" w:hanging="1134"/>
        <w:rPr>
          <w:color w:val="414042" w:themeColor="text1"/>
        </w:rPr>
      </w:pPr>
      <w:r w:rsidRPr="00F9716C">
        <w:rPr>
          <w:color w:val="414042" w:themeColor="text1"/>
        </w:rPr>
        <w:t>ACIC</w:t>
      </w:r>
      <w:r w:rsidRPr="00F9716C">
        <w:rPr>
          <w:color w:val="414042" w:themeColor="text1"/>
        </w:rPr>
        <w:tab/>
        <w:t>Australian Criminal Intelligence Commission</w:t>
      </w:r>
    </w:p>
    <w:p w14:paraId="422AF2D7" w14:textId="77777777" w:rsidR="008D1425" w:rsidRPr="00F9716C" w:rsidRDefault="008D1425" w:rsidP="00536A10">
      <w:pPr>
        <w:spacing w:before="120" w:after="0" w:line="260" w:lineRule="exact"/>
        <w:ind w:left="1134" w:right="-143" w:hanging="1134"/>
        <w:rPr>
          <w:color w:val="414042" w:themeColor="text1"/>
        </w:rPr>
      </w:pPr>
      <w:r w:rsidRPr="00F9716C">
        <w:rPr>
          <w:color w:val="414042" w:themeColor="text1"/>
        </w:rPr>
        <w:t>ADW</w:t>
      </w:r>
      <w:r w:rsidRPr="00F9716C">
        <w:rPr>
          <w:color w:val="414042" w:themeColor="text1"/>
        </w:rPr>
        <w:tab/>
        <w:t>Analytics Data Warehouse</w:t>
      </w:r>
    </w:p>
    <w:p w14:paraId="04B2F68E" w14:textId="77777777" w:rsidR="008D1425" w:rsidRPr="00F9716C" w:rsidRDefault="008D1425" w:rsidP="00536A10">
      <w:pPr>
        <w:spacing w:before="120" w:after="0" w:line="260" w:lineRule="exact"/>
        <w:ind w:left="1134" w:right="-143" w:hanging="1134"/>
        <w:rPr>
          <w:color w:val="414042" w:themeColor="text1"/>
        </w:rPr>
      </w:pPr>
      <w:r w:rsidRPr="00F9716C">
        <w:rPr>
          <w:color w:val="414042" w:themeColor="text1"/>
        </w:rPr>
        <w:t>AFP</w:t>
      </w:r>
      <w:r w:rsidRPr="00F9716C">
        <w:rPr>
          <w:color w:val="414042" w:themeColor="text1"/>
        </w:rPr>
        <w:tab/>
        <w:t>Australian Federal Police</w:t>
      </w:r>
    </w:p>
    <w:p w14:paraId="7A11EC27" w14:textId="4005E3F4" w:rsidR="006F3EF3" w:rsidRPr="00F9716C" w:rsidRDefault="006F3EF3" w:rsidP="00536A10">
      <w:pPr>
        <w:spacing w:before="120" w:after="0" w:line="260" w:lineRule="exact"/>
        <w:ind w:left="1134" w:right="-143" w:hanging="1134"/>
        <w:rPr>
          <w:color w:val="414042" w:themeColor="text1"/>
        </w:rPr>
      </w:pPr>
      <w:r w:rsidRPr="00F9716C">
        <w:rPr>
          <w:color w:val="414042" w:themeColor="text1"/>
        </w:rPr>
        <w:t>APMF</w:t>
      </w:r>
      <w:r w:rsidRPr="00F9716C">
        <w:rPr>
          <w:color w:val="414042" w:themeColor="text1"/>
        </w:rPr>
        <w:tab/>
        <w:t>Application Portfolio Management Framework</w:t>
      </w:r>
    </w:p>
    <w:p w14:paraId="40AE01BD" w14:textId="59536389" w:rsidR="006F3EF3" w:rsidRPr="00F9716C" w:rsidRDefault="006F3EF3" w:rsidP="00536A10">
      <w:pPr>
        <w:spacing w:before="120" w:after="0" w:line="260" w:lineRule="exact"/>
        <w:ind w:left="1134" w:right="-143" w:hanging="1134"/>
        <w:rPr>
          <w:color w:val="414042" w:themeColor="text1"/>
        </w:rPr>
      </w:pPr>
      <w:r w:rsidRPr="00F9716C">
        <w:rPr>
          <w:color w:val="414042" w:themeColor="text1"/>
        </w:rPr>
        <w:t>APSACC</w:t>
      </w:r>
      <w:r w:rsidRPr="00F9716C">
        <w:rPr>
          <w:color w:val="414042" w:themeColor="text1"/>
        </w:rPr>
        <w:tab/>
      </w:r>
      <w:r w:rsidRPr="00F9716C">
        <w:rPr>
          <w:rFonts w:eastAsia="Times New Roman" w:cs="Calibri Light"/>
          <w:snapToGrid w:val="0"/>
          <w:color w:val="414042" w:themeColor="text1"/>
          <w:szCs w:val="20"/>
        </w:rPr>
        <w:t>Australian Public Sector Anti-Corruption Conference</w:t>
      </w:r>
    </w:p>
    <w:p w14:paraId="60A94DE5" w14:textId="77777777" w:rsidR="008D1425" w:rsidRPr="00F9716C" w:rsidRDefault="008D1425" w:rsidP="00536A10">
      <w:pPr>
        <w:spacing w:before="120" w:after="0" w:line="260" w:lineRule="exact"/>
        <w:ind w:left="1134" w:right="-143" w:hanging="1134"/>
        <w:rPr>
          <w:color w:val="414042" w:themeColor="text1"/>
        </w:rPr>
      </w:pPr>
      <w:r w:rsidRPr="00F9716C">
        <w:rPr>
          <w:color w:val="414042" w:themeColor="text1"/>
        </w:rPr>
        <w:t>ARMC</w:t>
      </w:r>
      <w:r w:rsidRPr="00F9716C">
        <w:rPr>
          <w:color w:val="414042" w:themeColor="text1"/>
        </w:rPr>
        <w:tab/>
        <w:t>Audit and Risk Management Committee</w:t>
      </w:r>
    </w:p>
    <w:p w14:paraId="5A1E3FC1" w14:textId="29678F33" w:rsidR="008D1425" w:rsidRPr="00F9716C" w:rsidRDefault="008D1425" w:rsidP="00536A10">
      <w:pPr>
        <w:spacing w:before="120" w:after="0" w:line="260" w:lineRule="exact"/>
        <w:ind w:left="1134" w:right="-143" w:hanging="1134"/>
        <w:rPr>
          <w:color w:val="414042" w:themeColor="text1"/>
        </w:rPr>
      </w:pPr>
      <w:r w:rsidRPr="00F9716C">
        <w:rPr>
          <w:color w:val="414042" w:themeColor="text1"/>
        </w:rPr>
        <w:t>ARRs</w:t>
      </w:r>
      <w:r w:rsidRPr="00F9716C">
        <w:rPr>
          <w:color w:val="414042" w:themeColor="text1"/>
        </w:rPr>
        <w:tab/>
      </w:r>
      <w:r w:rsidRPr="00F9716C">
        <w:rPr>
          <w:i/>
          <w:iCs/>
          <w:color w:val="414042" w:themeColor="text1"/>
          <w:spacing w:val="2"/>
        </w:rPr>
        <w:t xml:space="preserve">Annual report requirements for Queensland Government agencies </w:t>
      </w:r>
      <w:r w:rsidR="002527D1">
        <w:rPr>
          <w:i/>
          <w:iCs/>
          <w:color w:val="414042" w:themeColor="text1"/>
          <w:spacing w:val="2"/>
        </w:rPr>
        <w:br/>
      </w:r>
      <w:r w:rsidRPr="00F9716C">
        <w:rPr>
          <w:i/>
          <w:iCs/>
          <w:color w:val="414042" w:themeColor="text1"/>
          <w:spacing w:val="2"/>
        </w:rPr>
        <w:t>(202</w:t>
      </w:r>
      <w:r w:rsidR="0097236E" w:rsidRPr="00F9716C">
        <w:rPr>
          <w:i/>
          <w:iCs/>
          <w:color w:val="414042" w:themeColor="text1"/>
          <w:spacing w:val="2"/>
        </w:rPr>
        <w:t>3</w:t>
      </w:r>
      <w:r w:rsidRPr="00F9716C">
        <w:rPr>
          <w:i/>
          <w:iCs/>
          <w:color w:val="414042" w:themeColor="text1"/>
          <w:spacing w:val="2"/>
        </w:rPr>
        <w:t>–2</w:t>
      </w:r>
      <w:r w:rsidR="0097236E" w:rsidRPr="00F9716C">
        <w:rPr>
          <w:i/>
          <w:iCs/>
          <w:color w:val="414042" w:themeColor="text1"/>
          <w:spacing w:val="2"/>
        </w:rPr>
        <w:t>4</w:t>
      </w:r>
      <w:r w:rsidRPr="00F9716C">
        <w:rPr>
          <w:i/>
          <w:iCs/>
          <w:color w:val="414042" w:themeColor="text1"/>
          <w:spacing w:val="2"/>
        </w:rPr>
        <w:t xml:space="preserve"> reporting period)</w:t>
      </w:r>
    </w:p>
    <w:p w14:paraId="5580A8BA" w14:textId="77777777" w:rsidR="008D1425" w:rsidRPr="00F9716C" w:rsidRDefault="008D1425" w:rsidP="00536A10">
      <w:pPr>
        <w:spacing w:before="120" w:after="0" w:line="260" w:lineRule="exact"/>
        <w:ind w:left="1134" w:right="-143" w:hanging="1134"/>
        <w:rPr>
          <w:color w:val="414042" w:themeColor="text1"/>
        </w:rPr>
      </w:pPr>
      <w:r w:rsidRPr="00F9716C">
        <w:rPr>
          <w:color w:val="414042" w:themeColor="text1"/>
        </w:rPr>
        <w:t>ATO</w:t>
      </w:r>
      <w:r w:rsidRPr="00F9716C">
        <w:rPr>
          <w:color w:val="414042" w:themeColor="text1"/>
        </w:rPr>
        <w:tab/>
        <w:t>Australian Taxation Office</w:t>
      </w:r>
    </w:p>
    <w:p w14:paraId="43D5CAB3" w14:textId="77777777" w:rsidR="008D1425" w:rsidRPr="00F9716C" w:rsidRDefault="008D1425" w:rsidP="00536A10">
      <w:pPr>
        <w:spacing w:before="120" w:after="0" w:line="260" w:lineRule="exact"/>
        <w:ind w:left="1134" w:right="-143" w:hanging="1134"/>
        <w:rPr>
          <w:color w:val="414042" w:themeColor="text1"/>
        </w:rPr>
      </w:pPr>
      <w:r w:rsidRPr="00F9716C">
        <w:rPr>
          <w:color w:val="414042" w:themeColor="text1"/>
        </w:rPr>
        <w:t xml:space="preserve">AUSTRAC </w:t>
      </w:r>
      <w:r w:rsidRPr="00F9716C">
        <w:rPr>
          <w:color w:val="414042" w:themeColor="text1"/>
        </w:rPr>
        <w:tab/>
        <w:t>Australian Transaction Reports and Analysis Centre</w:t>
      </w:r>
    </w:p>
    <w:p w14:paraId="7BCE1AC7" w14:textId="77777777" w:rsidR="008D1425" w:rsidRPr="00F9716C" w:rsidRDefault="008D1425" w:rsidP="00536A10">
      <w:pPr>
        <w:spacing w:before="120" w:after="0" w:line="260" w:lineRule="exact"/>
        <w:ind w:left="1134" w:right="-143" w:hanging="1134"/>
        <w:rPr>
          <w:color w:val="414042" w:themeColor="text1"/>
        </w:rPr>
      </w:pPr>
      <w:r w:rsidRPr="00F9716C">
        <w:rPr>
          <w:color w:val="414042" w:themeColor="text1"/>
        </w:rPr>
        <w:t>BMC</w:t>
      </w:r>
      <w:r w:rsidRPr="00F9716C">
        <w:rPr>
          <w:color w:val="414042" w:themeColor="text1"/>
        </w:rPr>
        <w:tab/>
        <w:t>Budget Management Committee</w:t>
      </w:r>
    </w:p>
    <w:p w14:paraId="03233EEE" w14:textId="270EC1DA" w:rsidR="00865D7C" w:rsidRPr="00F9716C" w:rsidRDefault="00865D7C" w:rsidP="00536A10">
      <w:pPr>
        <w:spacing w:before="120" w:after="0" w:line="260" w:lineRule="exact"/>
        <w:ind w:left="1134" w:right="-143" w:hanging="1134"/>
        <w:rPr>
          <w:color w:val="414042" w:themeColor="text1"/>
        </w:rPr>
      </w:pPr>
      <w:r w:rsidRPr="00F9716C">
        <w:rPr>
          <w:color w:val="414042" w:themeColor="text1"/>
        </w:rPr>
        <w:t>CAM</w:t>
      </w:r>
      <w:r w:rsidRPr="00F9716C">
        <w:rPr>
          <w:color w:val="414042" w:themeColor="text1"/>
        </w:rPr>
        <w:tab/>
        <w:t>Complaints Assessment Model</w:t>
      </w:r>
    </w:p>
    <w:p w14:paraId="2CE637C2" w14:textId="77777777" w:rsidR="008D1425" w:rsidRPr="00F9716C" w:rsidRDefault="008D1425" w:rsidP="00536A10">
      <w:pPr>
        <w:spacing w:before="120" w:after="0" w:line="260" w:lineRule="exact"/>
        <w:ind w:left="1134" w:right="-143" w:hanging="1134"/>
        <w:rPr>
          <w:color w:val="414042" w:themeColor="text1"/>
        </w:rPr>
      </w:pPr>
      <w:r w:rsidRPr="00F9716C">
        <w:rPr>
          <w:color w:val="414042" w:themeColor="text1"/>
        </w:rPr>
        <w:t>CCC</w:t>
      </w:r>
      <w:r w:rsidRPr="00F9716C">
        <w:rPr>
          <w:color w:val="414042" w:themeColor="text1"/>
        </w:rPr>
        <w:tab/>
        <w:t>Crime and Corruption Commission</w:t>
      </w:r>
    </w:p>
    <w:p w14:paraId="16F5E3DF" w14:textId="77777777" w:rsidR="008D1425" w:rsidRPr="00F9716C" w:rsidRDefault="008D1425" w:rsidP="00536A10">
      <w:pPr>
        <w:spacing w:before="120" w:after="0" w:line="260" w:lineRule="exact"/>
        <w:ind w:left="1134" w:right="-143" w:hanging="1134"/>
        <w:rPr>
          <w:color w:val="414042" w:themeColor="text1"/>
        </w:rPr>
      </w:pPr>
      <w:r w:rsidRPr="00F9716C">
        <w:rPr>
          <w:color w:val="414042" w:themeColor="text1"/>
        </w:rPr>
        <w:t>CEO</w:t>
      </w:r>
      <w:r w:rsidRPr="00F9716C">
        <w:rPr>
          <w:color w:val="414042" w:themeColor="text1"/>
        </w:rPr>
        <w:tab/>
        <w:t>Chief Executive Officer</w:t>
      </w:r>
    </w:p>
    <w:p w14:paraId="7233A60B" w14:textId="77777777" w:rsidR="008D1425" w:rsidRPr="00F9716C" w:rsidRDefault="008D1425" w:rsidP="00536A10">
      <w:pPr>
        <w:spacing w:before="120" w:after="0" w:line="260" w:lineRule="exact"/>
        <w:ind w:left="1134" w:right="-143" w:hanging="1134"/>
        <w:rPr>
          <w:color w:val="414042" w:themeColor="text1"/>
        </w:rPr>
      </w:pPr>
      <w:r w:rsidRPr="00F9716C">
        <w:rPr>
          <w:color w:val="414042" w:themeColor="text1"/>
        </w:rPr>
        <w:t>CMC</w:t>
      </w:r>
      <w:r w:rsidRPr="00F9716C">
        <w:rPr>
          <w:color w:val="414042" w:themeColor="text1"/>
        </w:rPr>
        <w:tab/>
        <w:t>Crime and Misconduct Commission</w:t>
      </w:r>
    </w:p>
    <w:p w14:paraId="6387AEE8" w14:textId="77777777" w:rsidR="00B32CE8" w:rsidRPr="00F9716C" w:rsidRDefault="00B32CE8" w:rsidP="00536A10">
      <w:pPr>
        <w:spacing w:before="120" w:after="0" w:line="260" w:lineRule="exact"/>
        <w:ind w:left="1134" w:right="-143" w:hanging="1134"/>
        <w:rPr>
          <w:i/>
          <w:iCs/>
          <w:color w:val="414042" w:themeColor="text1"/>
        </w:rPr>
      </w:pPr>
      <w:r w:rsidRPr="00F9716C">
        <w:rPr>
          <w:color w:val="414042" w:themeColor="text1"/>
        </w:rPr>
        <w:t>CPCA</w:t>
      </w:r>
      <w:r w:rsidRPr="00F9716C">
        <w:rPr>
          <w:color w:val="414042" w:themeColor="text1"/>
        </w:rPr>
        <w:tab/>
      </w:r>
      <w:r w:rsidRPr="00F9716C">
        <w:rPr>
          <w:i/>
          <w:iCs/>
          <w:color w:val="414042" w:themeColor="text1"/>
        </w:rPr>
        <w:t>Criminal Proceeds Confiscation Act 2002</w:t>
      </w:r>
    </w:p>
    <w:p w14:paraId="4275F180" w14:textId="77777777" w:rsidR="008D1425" w:rsidRPr="00F9716C" w:rsidRDefault="008D1425" w:rsidP="00536A10">
      <w:pPr>
        <w:spacing w:before="120" w:after="0" w:line="260" w:lineRule="exact"/>
        <w:ind w:left="1134" w:right="-143" w:hanging="1134"/>
        <w:rPr>
          <w:color w:val="414042" w:themeColor="text1"/>
        </w:rPr>
      </w:pPr>
      <w:r w:rsidRPr="00F9716C">
        <w:rPr>
          <w:color w:val="414042" w:themeColor="text1"/>
        </w:rPr>
        <w:t xml:space="preserve">CPNQ </w:t>
      </w:r>
      <w:r w:rsidRPr="00F9716C">
        <w:rPr>
          <w:color w:val="414042" w:themeColor="text1"/>
        </w:rPr>
        <w:tab/>
        <w:t>Corruption Prevention Network Queensland</w:t>
      </w:r>
    </w:p>
    <w:p w14:paraId="41BE9EEE" w14:textId="77777777" w:rsidR="008D1425" w:rsidRPr="00F9716C" w:rsidRDefault="008D1425" w:rsidP="00536A10">
      <w:pPr>
        <w:spacing w:before="120" w:after="0" w:line="260" w:lineRule="exact"/>
        <w:ind w:left="1134" w:right="-143" w:hanging="1134"/>
        <w:rPr>
          <w:color w:val="414042" w:themeColor="text1"/>
        </w:rPr>
      </w:pPr>
      <w:r w:rsidRPr="00F9716C">
        <w:rPr>
          <w:color w:val="414042" w:themeColor="text1"/>
        </w:rPr>
        <w:t>Cth</w:t>
      </w:r>
      <w:r w:rsidRPr="00F9716C">
        <w:rPr>
          <w:color w:val="414042" w:themeColor="text1"/>
        </w:rPr>
        <w:tab/>
        <w:t>Commonwealth</w:t>
      </w:r>
    </w:p>
    <w:p w14:paraId="646FE611" w14:textId="77777777" w:rsidR="00B32CE8" w:rsidRPr="00F9716C" w:rsidRDefault="00B32CE8" w:rsidP="00536A10">
      <w:pPr>
        <w:spacing w:before="120" w:after="0" w:line="260" w:lineRule="exact"/>
        <w:ind w:left="1134" w:right="-143" w:hanging="1134"/>
        <w:rPr>
          <w:color w:val="414042" w:themeColor="text1"/>
        </w:rPr>
      </w:pPr>
      <w:r w:rsidRPr="00F9716C">
        <w:rPr>
          <w:color w:val="414042" w:themeColor="text1"/>
        </w:rPr>
        <w:t>dGRC</w:t>
      </w:r>
      <w:r w:rsidRPr="00F9716C">
        <w:rPr>
          <w:color w:val="414042" w:themeColor="text1"/>
        </w:rPr>
        <w:tab/>
        <w:t>Digital Governance, Risk and Compliance system</w:t>
      </w:r>
    </w:p>
    <w:p w14:paraId="325B3620" w14:textId="1217F527" w:rsidR="008D1425" w:rsidRPr="00F9716C" w:rsidRDefault="008D1425" w:rsidP="00536A10">
      <w:pPr>
        <w:spacing w:before="120" w:after="0" w:line="260" w:lineRule="exact"/>
        <w:ind w:left="1134" w:right="-143" w:hanging="1134"/>
        <w:rPr>
          <w:color w:val="414042" w:themeColor="text1"/>
        </w:rPr>
      </w:pPr>
      <w:r w:rsidRPr="00F9716C">
        <w:rPr>
          <w:color w:val="414042" w:themeColor="text1"/>
        </w:rPr>
        <w:t>DJAG</w:t>
      </w:r>
      <w:r w:rsidRPr="00F9716C">
        <w:rPr>
          <w:color w:val="414042" w:themeColor="text1"/>
        </w:rPr>
        <w:tab/>
        <w:t>Department of Justice and Attorney-General</w:t>
      </w:r>
    </w:p>
    <w:p w14:paraId="48E3EBB9" w14:textId="4A8D8604" w:rsidR="008D1425" w:rsidRPr="00F9716C" w:rsidRDefault="008D1425" w:rsidP="00536A10">
      <w:pPr>
        <w:spacing w:before="120" w:after="0" w:line="260" w:lineRule="exact"/>
        <w:ind w:left="1134" w:right="-143" w:hanging="1134"/>
        <w:rPr>
          <w:color w:val="414042" w:themeColor="text1"/>
        </w:rPr>
      </w:pPr>
      <w:r w:rsidRPr="00F9716C">
        <w:rPr>
          <w:color w:val="414042" w:themeColor="text1"/>
        </w:rPr>
        <w:t>DWP</w:t>
      </w:r>
      <w:r w:rsidRPr="00F9716C">
        <w:rPr>
          <w:color w:val="414042" w:themeColor="text1"/>
        </w:rPr>
        <w:tab/>
        <w:t>Digital Workplace Program</w:t>
      </w:r>
    </w:p>
    <w:p w14:paraId="6AD6FB2F" w14:textId="77777777" w:rsidR="008D1425" w:rsidRPr="00F9716C" w:rsidRDefault="008D1425" w:rsidP="00536A10">
      <w:pPr>
        <w:spacing w:before="120" w:after="0" w:line="260" w:lineRule="exact"/>
        <w:ind w:left="1134" w:right="-143" w:hanging="1134"/>
        <w:rPr>
          <w:color w:val="414042" w:themeColor="text1"/>
        </w:rPr>
      </w:pPr>
      <w:r w:rsidRPr="00F9716C">
        <w:rPr>
          <w:color w:val="414042" w:themeColor="text1"/>
        </w:rPr>
        <w:t xml:space="preserve">eDRMS </w:t>
      </w:r>
      <w:r w:rsidRPr="00F9716C">
        <w:rPr>
          <w:color w:val="414042" w:themeColor="text1"/>
        </w:rPr>
        <w:tab/>
        <w:t>Electronic document and records management system</w:t>
      </w:r>
    </w:p>
    <w:p w14:paraId="546F3841" w14:textId="77777777" w:rsidR="008D1425" w:rsidRPr="00F9716C" w:rsidRDefault="008D1425" w:rsidP="00536A10">
      <w:pPr>
        <w:spacing w:before="120" w:after="0" w:line="260" w:lineRule="exact"/>
        <w:ind w:left="1134" w:right="-143" w:hanging="1134"/>
        <w:rPr>
          <w:color w:val="414042" w:themeColor="text1"/>
        </w:rPr>
      </w:pPr>
      <w:r w:rsidRPr="00F9716C">
        <w:rPr>
          <w:color w:val="414042" w:themeColor="text1"/>
        </w:rPr>
        <w:t>ELT</w:t>
      </w:r>
      <w:r w:rsidRPr="00F9716C">
        <w:rPr>
          <w:color w:val="414042" w:themeColor="text1"/>
        </w:rPr>
        <w:tab/>
        <w:t>Executive Leadership Team</w:t>
      </w:r>
    </w:p>
    <w:p w14:paraId="45FBF323" w14:textId="77777777" w:rsidR="0005345B" w:rsidRPr="00F9716C" w:rsidRDefault="0005345B" w:rsidP="00536A10">
      <w:pPr>
        <w:spacing w:before="120" w:after="0" w:line="260" w:lineRule="exact"/>
        <w:ind w:left="1134" w:right="-143" w:hanging="1134"/>
        <w:rPr>
          <w:color w:val="414042" w:themeColor="text1"/>
        </w:rPr>
      </w:pPr>
      <w:r w:rsidRPr="00F9716C">
        <w:rPr>
          <w:color w:val="414042" w:themeColor="text1"/>
        </w:rPr>
        <w:t xml:space="preserve">FAA </w:t>
      </w:r>
      <w:r w:rsidRPr="00F9716C">
        <w:rPr>
          <w:color w:val="414042" w:themeColor="text1"/>
        </w:rPr>
        <w:tab/>
      </w:r>
      <w:r w:rsidRPr="00F9716C">
        <w:rPr>
          <w:i/>
          <w:iCs/>
          <w:color w:val="414042" w:themeColor="text1"/>
        </w:rPr>
        <w:t>Financial Accountability Act 2009</w:t>
      </w:r>
      <w:r w:rsidRPr="00F9716C">
        <w:rPr>
          <w:color w:val="414042" w:themeColor="text1"/>
        </w:rPr>
        <w:t xml:space="preserve"> </w:t>
      </w:r>
    </w:p>
    <w:p w14:paraId="20F94526" w14:textId="6DAB5AE8" w:rsidR="0005345B" w:rsidRPr="00F9716C" w:rsidRDefault="0005345B" w:rsidP="00536A10">
      <w:pPr>
        <w:spacing w:before="120" w:after="0" w:line="260" w:lineRule="exact"/>
        <w:ind w:left="1134" w:right="-143" w:hanging="1134"/>
        <w:rPr>
          <w:color w:val="414042" w:themeColor="text1"/>
        </w:rPr>
      </w:pPr>
      <w:r w:rsidRPr="00F9716C">
        <w:rPr>
          <w:color w:val="414042" w:themeColor="text1"/>
        </w:rPr>
        <w:t xml:space="preserve">FPMS </w:t>
      </w:r>
      <w:r w:rsidRPr="00F9716C">
        <w:rPr>
          <w:color w:val="414042" w:themeColor="text1"/>
        </w:rPr>
        <w:tab/>
        <w:t>Financial and Performance Management Standard 2019</w:t>
      </w:r>
    </w:p>
    <w:p w14:paraId="65596183" w14:textId="77777777" w:rsidR="008D1425" w:rsidRPr="00F9716C" w:rsidRDefault="008D1425" w:rsidP="00536A10">
      <w:pPr>
        <w:spacing w:before="120" w:after="0" w:line="260" w:lineRule="exact"/>
        <w:ind w:left="1276" w:right="-284" w:hanging="992"/>
        <w:rPr>
          <w:color w:val="414042" w:themeColor="text1"/>
        </w:rPr>
      </w:pPr>
      <w:r w:rsidRPr="00F9716C">
        <w:rPr>
          <w:color w:val="414042" w:themeColor="text1"/>
        </w:rPr>
        <w:t>FTE</w:t>
      </w:r>
      <w:r w:rsidRPr="00F9716C">
        <w:rPr>
          <w:color w:val="414042" w:themeColor="text1"/>
        </w:rPr>
        <w:tab/>
        <w:t>Full-time equivalent</w:t>
      </w:r>
    </w:p>
    <w:p w14:paraId="30FEBCC7" w14:textId="77777777" w:rsidR="008D1425" w:rsidRPr="00F9716C" w:rsidRDefault="008D1425" w:rsidP="00536A10">
      <w:pPr>
        <w:spacing w:before="120" w:after="0" w:line="260" w:lineRule="exact"/>
        <w:ind w:left="1276" w:right="-284" w:hanging="992"/>
        <w:rPr>
          <w:color w:val="414042" w:themeColor="text1"/>
        </w:rPr>
      </w:pPr>
      <w:r w:rsidRPr="00F9716C">
        <w:rPr>
          <w:color w:val="414042" w:themeColor="text1"/>
        </w:rPr>
        <w:t>IBAC</w:t>
      </w:r>
      <w:r w:rsidRPr="00F9716C">
        <w:rPr>
          <w:color w:val="414042" w:themeColor="text1"/>
        </w:rPr>
        <w:tab/>
        <w:t xml:space="preserve">Independent Broad-based Anti-corruption Commission </w:t>
      </w:r>
    </w:p>
    <w:p w14:paraId="379CDE22" w14:textId="77777777" w:rsidR="008D1425" w:rsidRPr="00F9716C" w:rsidRDefault="008D1425" w:rsidP="00536A10">
      <w:pPr>
        <w:spacing w:before="120" w:after="0" w:line="260" w:lineRule="exact"/>
        <w:ind w:left="1276" w:right="-284" w:hanging="992"/>
        <w:rPr>
          <w:color w:val="414042" w:themeColor="text1"/>
          <w:szCs w:val="20"/>
        </w:rPr>
      </w:pPr>
      <w:r w:rsidRPr="00F9716C">
        <w:rPr>
          <w:color w:val="414042" w:themeColor="text1"/>
          <w:szCs w:val="20"/>
        </w:rPr>
        <w:t>ICAC</w:t>
      </w:r>
      <w:r w:rsidRPr="00F9716C">
        <w:rPr>
          <w:color w:val="414042" w:themeColor="text1"/>
          <w:szCs w:val="20"/>
        </w:rPr>
        <w:tab/>
        <w:t xml:space="preserve">Independent Commission Against Corruption </w:t>
      </w:r>
    </w:p>
    <w:p w14:paraId="788CA369" w14:textId="77777777" w:rsidR="008D1425" w:rsidRPr="00F9716C" w:rsidRDefault="008D1425" w:rsidP="00536A10">
      <w:pPr>
        <w:spacing w:before="120" w:after="0" w:line="260" w:lineRule="exact"/>
        <w:ind w:left="1276" w:right="-284" w:hanging="992"/>
        <w:rPr>
          <w:color w:val="414042" w:themeColor="text1"/>
        </w:rPr>
      </w:pPr>
      <w:r w:rsidRPr="00F9716C">
        <w:rPr>
          <w:color w:val="414042" w:themeColor="text1"/>
        </w:rPr>
        <w:t>JAMC</w:t>
      </w:r>
      <w:r w:rsidRPr="00F9716C">
        <w:rPr>
          <w:color w:val="414042" w:themeColor="text1"/>
        </w:rPr>
        <w:tab/>
        <w:t>Joint Assessment and Moderation Committee</w:t>
      </w:r>
    </w:p>
    <w:p w14:paraId="4665F3F2" w14:textId="77777777" w:rsidR="008D1425" w:rsidRPr="00F9716C" w:rsidRDefault="008D1425" w:rsidP="00536A10">
      <w:pPr>
        <w:spacing w:before="120" w:after="0" w:line="260" w:lineRule="exact"/>
        <w:ind w:left="1276" w:right="-284" w:hanging="992"/>
        <w:rPr>
          <w:color w:val="414042" w:themeColor="text1"/>
        </w:rPr>
      </w:pPr>
      <w:r w:rsidRPr="00F9716C">
        <w:rPr>
          <w:color w:val="414042" w:themeColor="text1"/>
        </w:rPr>
        <w:t>MHFA</w:t>
      </w:r>
      <w:r w:rsidRPr="00F9716C">
        <w:rPr>
          <w:color w:val="414042" w:themeColor="text1"/>
        </w:rPr>
        <w:tab/>
        <w:t>Mental Health First Aid</w:t>
      </w:r>
    </w:p>
    <w:p w14:paraId="466BD483" w14:textId="77777777" w:rsidR="008D1425" w:rsidRPr="00F9716C" w:rsidRDefault="008D1425" w:rsidP="00536A10">
      <w:pPr>
        <w:spacing w:before="120" w:after="0" w:line="260" w:lineRule="exact"/>
        <w:ind w:left="1276" w:right="-284" w:hanging="992"/>
        <w:rPr>
          <w:color w:val="414042" w:themeColor="text1"/>
        </w:rPr>
      </w:pPr>
      <w:r w:rsidRPr="00F9716C">
        <w:rPr>
          <w:color w:val="414042" w:themeColor="text1"/>
        </w:rPr>
        <w:t>NSW</w:t>
      </w:r>
      <w:r w:rsidRPr="00F9716C">
        <w:rPr>
          <w:color w:val="414042" w:themeColor="text1"/>
        </w:rPr>
        <w:tab/>
        <w:t>New South Wales</w:t>
      </w:r>
    </w:p>
    <w:p w14:paraId="31C48905" w14:textId="77777777" w:rsidR="008D1425" w:rsidRPr="00F9716C" w:rsidRDefault="008D1425" w:rsidP="00536A10">
      <w:pPr>
        <w:spacing w:before="120" w:after="0" w:line="260" w:lineRule="exact"/>
        <w:ind w:left="1276" w:right="-284" w:hanging="992"/>
        <w:rPr>
          <w:color w:val="414042" w:themeColor="text1"/>
        </w:rPr>
      </w:pPr>
      <w:r w:rsidRPr="00F9716C">
        <w:rPr>
          <w:color w:val="414042" w:themeColor="text1"/>
        </w:rPr>
        <w:t>ODPP</w:t>
      </w:r>
      <w:r w:rsidRPr="00F9716C">
        <w:rPr>
          <w:color w:val="414042" w:themeColor="text1"/>
        </w:rPr>
        <w:tab/>
        <w:t>Office of the Director of Public Prosecutions</w:t>
      </w:r>
    </w:p>
    <w:p w14:paraId="25DC4292" w14:textId="6198FF8C" w:rsidR="00864139" w:rsidRPr="00F9716C" w:rsidRDefault="00864139" w:rsidP="00536A10">
      <w:pPr>
        <w:spacing w:before="120" w:after="0" w:line="260" w:lineRule="exact"/>
        <w:ind w:left="1276" w:right="-284" w:hanging="992"/>
        <w:rPr>
          <w:color w:val="414042" w:themeColor="text1"/>
        </w:rPr>
      </w:pPr>
      <w:r w:rsidRPr="00F9716C">
        <w:rPr>
          <w:color w:val="414042" w:themeColor="text1"/>
        </w:rPr>
        <w:t>OIA</w:t>
      </w:r>
      <w:r w:rsidRPr="00F9716C">
        <w:rPr>
          <w:color w:val="414042" w:themeColor="text1"/>
        </w:rPr>
        <w:tab/>
        <w:t>Office of the Independent Assessor</w:t>
      </w:r>
    </w:p>
    <w:p w14:paraId="5BC96014" w14:textId="77777777" w:rsidR="008D1425" w:rsidRPr="00F9716C" w:rsidRDefault="008D1425" w:rsidP="00536A10">
      <w:pPr>
        <w:spacing w:before="120" w:after="0" w:line="260" w:lineRule="exact"/>
        <w:ind w:left="1276" w:right="-284" w:hanging="992"/>
        <w:rPr>
          <w:color w:val="414042" w:themeColor="text1"/>
        </w:rPr>
      </w:pPr>
      <w:r w:rsidRPr="00F9716C">
        <w:rPr>
          <w:color w:val="414042" w:themeColor="text1"/>
        </w:rPr>
        <w:t>OMCG</w:t>
      </w:r>
      <w:r w:rsidRPr="00F9716C">
        <w:rPr>
          <w:color w:val="414042" w:themeColor="text1"/>
        </w:rPr>
        <w:tab/>
        <w:t>Outlaw Motorcycle Gang</w:t>
      </w:r>
    </w:p>
    <w:p w14:paraId="5777C23F" w14:textId="77777777" w:rsidR="008D1425" w:rsidRPr="00F9716C" w:rsidRDefault="008D1425" w:rsidP="00536A10">
      <w:pPr>
        <w:spacing w:before="120" w:after="0" w:line="260" w:lineRule="exact"/>
        <w:ind w:left="1276" w:right="-284" w:hanging="992"/>
        <w:rPr>
          <w:color w:val="414042" w:themeColor="text1"/>
        </w:rPr>
      </w:pPr>
      <w:r w:rsidRPr="00F9716C">
        <w:rPr>
          <w:color w:val="414042" w:themeColor="text1"/>
          <w:spacing w:val="-4"/>
        </w:rPr>
        <w:t xml:space="preserve">OS&amp;W </w:t>
      </w:r>
      <w:r w:rsidRPr="00F9716C">
        <w:rPr>
          <w:color w:val="414042" w:themeColor="text1"/>
          <w:spacing w:val="-4"/>
        </w:rPr>
        <w:tab/>
        <w:t>Organisational Safety and Wellbeing Committee</w:t>
      </w:r>
      <w:r w:rsidRPr="00F9716C">
        <w:rPr>
          <w:color w:val="414042" w:themeColor="text1"/>
        </w:rPr>
        <w:t xml:space="preserve"> </w:t>
      </w:r>
    </w:p>
    <w:p w14:paraId="2863C2B4" w14:textId="77777777" w:rsidR="008D1425" w:rsidRPr="00F9716C" w:rsidRDefault="008D1425" w:rsidP="00536A10">
      <w:pPr>
        <w:spacing w:before="120" w:after="0" w:line="260" w:lineRule="exact"/>
        <w:ind w:left="1276" w:right="-284" w:hanging="992"/>
        <w:rPr>
          <w:color w:val="414042" w:themeColor="text1"/>
        </w:rPr>
      </w:pPr>
      <w:r w:rsidRPr="00F9716C">
        <w:rPr>
          <w:color w:val="414042" w:themeColor="text1"/>
        </w:rPr>
        <w:t>PAICE</w:t>
      </w:r>
      <w:r w:rsidRPr="00F9716C">
        <w:rPr>
          <w:color w:val="414042" w:themeColor="text1"/>
        </w:rPr>
        <w:tab/>
        <w:t>People, Accountability, Integrity, Courage, Excellence (the CCC values)</w:t>
      </w:r>
    </w:p>
    <w:p w14:paraId="163148BD" w14:textId="77777777" w:rsidR="008D1425" w:rsidRPr="00F9716C" w:rsidRDefault="008D1425" w:rsidP="00536A10">
      <w:pPr>
        <w:spacing w:before="120" w:after="0" w:line="260" w:lineRule="exact"/>
        <w:ind w:left="1276" w:right="-284" w:hanging="992"/>
        <w:rPr>
          <w:color w:val="414042" w:themeColor="text1"/>
        </w:rPr>
      </w:pPr>
      <w:r w:rsidRPr="00F9716C">
        <w:rPr>
          <w:color w:val="414042" w:themeColor="text1"/>
        </w:rPr>
        <w:t>PCCC</w:t>
      </w:r>
      <w:r w:rsidRPr="00F9716C">
        <w:rPr>
          <w:color w:val="414042" w:themeColor="text1"/>
        </w:rPr>
        <w:tab/>
        <w:t>Parliamentary Crime and Corruption Committee</w:t>
      </w:r>
    </w:p>
    <w:p w14:paraId="7BC029DD" w14:textId="77777777" w:rsidR="008D1425" w:rsidRPr="00F9716C" w:rsidRDefault="008D1425" w:rsidP="00536A10">
      <w:pPr>
        <w:spacing w:before="120" w:after="0" w:line="260" w:lineRule="exact"/>
        <w:ind w:left="1276" w:right="-284" w:hanging="992"/>
        <w:rPr>
          <w:color w:val="414042" w:themeColor="text1"/>
        </w:rPr>
      </w:pPr>
      <w:r w:rsidRPr="00F9716C">
        <w:rPr>
          <w:color w:val="414042" w:themeColor="text1"/>
        </w:rPr>
        <w:t>PDA</w:t>
      </w:r>
      <w:r w:rsidRPr="00F9716C">
        <w:rPr>
          <w:color w:val="414042" w:themeColor="text1"/>
        </w:rPr>
        <w:tab/>
        <w:t>Performance and Development Agreement</w:t>
      </w:r>
    </w:p>
    <w:p w14:paraId="1612EDC3" w14:textId="77777777" w:rsidR="008D1425" w:rsidRPr="00F9716C" w:rsidRDefault="008D1425" w:rsidP="00536A10">
      <w:pPr>
        <w:spacing w:before="120" w:after="0" w:line="260" w:lineRule="exact"/>
        <w:ind w:left="1276" w:right="-284" w:hanging="992"/>
        <w:rPr>
          <w:color w:val="414042" w:themeColor="text1"/>
        </w:rPr>
      </w:pPr>
      <w:r w:rsidRPr="00F9716C">
        <w:rPr>
          <w:color w:val="414042" w:themeColor="text1"/>
        </w:rPr>
        <w:t>QAO</w:t>
      </w:r>
      <w:r w:rsidRPr="00F9716C">
        <w:rPr>
          <w:color w:val="414042" w:themeColor="text1"/>
        </w:rPr>
        <w:tab/>
        <w:t>Queensland Audit Office</w:t>
      </w:r>
    </w:p>
    <w:p w14:paraId="6F3809A9" w14:textId="77777777" w:rsidR="008D1425" w:rsidRPr="00F9716C" w:rsidRDefault="008D1425" w:rsidP="00536A10">
      <w:pPr>
        <w:spacing w:before="120" w:after="0" w:line="260" w:lineRule="exact"/>
        <w:ind w:left="1276" w:right="-284" w:hanging="992"/>
        <w:rPr>
          <w:color w:val="414042" w:themeColor="text1"/>
        </w:rPr>
      </w:pPr>
      <w:r w:rsidRPr="00F9716C">
        <w:rPr>
          <w:color w:val="414042" w:themeColor="text1"/>
        </w:rPr>
        <w:t>QJAG</w:t>
      </w:r>
      <w:r w:rsidRPr="00F9716C">
        <w:rPr>
          <w:color w:val="414042" w:themeColor="text1"/>
        </w:rPr>
        <w:tab/>
        <w:t>Queensland Joint Analyst Group</w:t>
      </w:r>
    </w:p>
    <w:p w14:paraId="53D77E99" w14:textId="77777777" w:rsidR="008D1425" w:rsidRPr="00F9716C" w:rsidRDefault="008D1425" w:rsidP="00536A10">
      <w:pPr>
        <w:spacing w:before="120" w:after="0" w:line="260" w:lineRule="exact"/>
        <w:ind w:left="1276" w:right="-284" w:hanging="992"/>
        <w:rPr>
          <w:color w:val="414042" w:themeColor="text1"/>
        </w:rPr>
      </w:pPr>
      <w:r w:rsidRPr="00F9716C">
        <w:rPr>
          <w:color w:val="414042" w:themeColor="text1"/>
        </w:rPr>
        <w:t>Qld</w:t>
      </w:r>
      <w:r w:rsidRPr="00F9716C">
        <w:rPr>
          <w:color w:val="414042" w:themeColor="text1"/>
        </w:rPr>
        <w:tab/>
        <w:t>Queensland</w:t>
      </w:r>
    </w:p>
    <w:p w14:paraId="0D208422" w14:textId="77777777" w:rsidR="008D1425" w:rsidRPr="00F9716C" w:rsidRDefault="008D1425" w:rsidP="00536A10">
      <w:pPr>
        <w:spacing w:before="120" w:after="0" w:line="260" w:lineRule="exact"/>
        <w:ind w:left="1276" w:right="-284" w:hanging="992"/>
        <w:rPr>
          <w:color w:val="414042" w:themeColor="text1"/>
        </w:rPr>
      </w:pPr>
      <w:r w:rsidRPr="00F9716C">
        <w:rPr>
          <w:color w:val="414042" w:themeColor="text1"/>
        </w:rPr>
        <w:t>QPS</w:t>
      </w:r>
      <w:r w:rsidRPr="00F9716C">
        <w:rPr>
          <w:color w:val="414042" w:themeColor="text1"/>
        </w:rPr>
        <w:tab/>
        <w:t>Queensland Police Service</w:t>
      </w:r>
    </w:p>
    <w:p w14:paraId="3379C9F2" w14:textId="77777777" w:rsidR="008D1425" w:rsidRPr="00F9716C" w:rsidRDefault="008D1425" w:rsidP="00536A10">
      <w:pPr>
        <w:spacing w:before="120" w:after="0" w:line="260" w:lineRule="exact"/>
        <w:ind w:left="1276" w:right="-284" w:hanging="992"/>
        <w:rPr>
          <w:color w:val="414042" w:themeColor="text1"/>
        </w:rPr>
      </w:pPr>
      <w:r w:rsidRPr="00F9716C">
        <w:rPr>
          <w:color w:val="414042" w:themeColor="text1"/>
        </w:rPr>
        <w:t>QSA</w:t>
      </w:r>
      <w:r w:rsidRPr="00F9716C">
        <w:rPr>
          <w:color w:val="414042" w:themeColor="text1"/>
        </w:rPr>
        <w:tab/>
        <w:t>Queensland State Archives</w:t>
      </w:r>
    </w:p>
    <w:p w14:paraId="563DD78B" w14:textId="18B910C0" w:rsidR="00FD14B0" w:rsidRPr="00F9716C" w:rsidRDefault="00FD14B0" w:rsidP="00536A10">
      <w:pPr>
        <w:spacing w:before="120" w:after="0" w:line="260" w:lineRule="exact"/>
        <w:ind w:left="1276" w:right="-284" w:hanging="992"/>
        <w:rPr>
          <w:color w:val="414042" w:themeColor="text1"/>
        </w:rPr>
      </w:pPr>
      <w:r w:rsidRPr="00F9716C">
        <w:rPr>
          <w:color w:val="414042" w:themeColor="text1"/>
        </w:rPr>
        <w:t>RAP</w:t>
      </w:r>
      <w:r w:rsidRPr="00F9716C">
        <w:rPr>
          <w:color w:val="414042" w:themeColor="text1"/>
        </w:rPr>
        <w:tab/>
        <w:t>Reconciliation Action Plan</w:t>
      </w:r>
    </w:p>
    <w:p w14:paraId="743ECD80" w14:textId="4472F948" w:rsidR="00EA22DF" w:rsidRPr="00F9716C" w:rsidRDefault="00EA22DF" w:rsidP="00536A10">
      <w:pPr>
        <w:spacing w:before="120" w:after="0" w:line="260" w:lineRule="exact"/>
        <w:ind w:left="1276" w:right="-284" w:hanging="992"/>
        <w:rPr>
          <w:color w:val="414042" w:themeColor="text1"/>
        </w:rPr>
      </w:pPr>
      <w:r w:rsidRPr="00F9716C">
        <w:rPr>
          <w:color w:val="414042" w:themeColor="text1"/>
        </w:rPr>
        <w:t>SSS</w:t>
      </w:r>
      <w:r w:rsidRPr="00F9716C">
        <w:rPr>
          <w:color w:val="414042" w:themeColor="text1"/>
        </w:rPr>
        <w:tab/>
        <w:t>Strategic, Systemic and/or Strategic</w:t>
      </w:r>
    </w:p>
    <w:p w14:paraId="6245083A" w14:textId="675D898E" w:rsidR="008D1425" w:rsidRPr="00F9716C" w:rsidRDefault="008D1425" w:rsidP="00536A10">
      <w:pPr>
        <w:spacing w:before="120" w:after="0" w:line="260" w:lineRule="exact"/>
        <w:ind w:left="1276" w:right="-284" w:hanging="992"/>
        <w:rPr>
          <w:color w:val="414042" w:themeColor="text1"/>
        </w:rPr>
      </w:pPr>
      <w:r w:rsidRPr="00F9716C">
        <w:rPr>
          <w:color w:val="414042" w:themeColor="text1"/>
        </w:rPr>
        <w:t>TI</w:t>
      </w:r>
      <w:r w:rsidR="00C92707" w:rsidRPr="00F9716C">
        <w:rPr>
          <w:color w:val="414042" w:themeColor="text1"/>
        </w:rPr>
        <w:t xml:space="preserve"> Act</w:t>
      </w:r>
      <w:r w:rsidRPr="00F9716C">
        <w:rPr>
          <w:color w:val="414042" w:themeColor="text1"/>
        </w:rPr>
        <w:tab/>
      </w:r>
      <w:r w:rsidRPr="00F9716C">
        <w:rPr>
          <w:i/>
          <w:iCs/>
          <w:color w:val="414042" w:themeColor="text1"/>
        </w:rPr>
        <w:t>Telecommunications Interception Act 2009</w:t>
      </w:r>
      <w:r w:rsidRPr="00F9716C">
        <w:rPr>
          <w:color w:val="414042" w:themeColor="text1"/>
        </w:rPr>
        <w:t xml:space="preserve"> (Qld)</w:t>
      </w:r>
    </w:p>
    <w:p w14:paraId="0D598592" w14:textId="73D99BF0" w:rsidR="008D1425" w:rsidRPr="00F9716C" w:rsidRDefault="008D1425" w:rsidP="00536A10">
      <w:pPr>
        <w:spacing w:before="120" w:after="0" w:line="260" w:lineRule="exact"/>
        <w:ind w:left="1276" w:right="-284" w:hanging="992"/>
        <w:rPr>
          <w:color w:val="414042" w:themeColor="text1"/>
        </w:rPr>
      </w:pPr>
      <w:r w:rsidRPr="00F9716C">
        <w:rPr>
          <w:color w:val="414042" w:themeColor="text1"/>
        </w:rPr>
        <w:t>TIA</w:t>
      </w:r>
      <w:r w:rsidR="00C92707" w:rsidRPr="00F9716C">
        <w:rPr>
          <w:color w:val="414042" w:themeColor="text1"/>
        </w:rPr>
        <w:t xml:space="preserve"> Act</w:t>
      </w:r>
      <w:r w:rsidRPr="00F9716C">
        <w:rPr>
          <w:color w:val="414042" w:themeColor="text1"/>
        </w:rPr>
        <w:tab/>
      </w:r>
      <w:r w:rsidRPr="00F9716C">
        <w:rPr>
          <w:i/>
          <w:iCs/>
          <w:color w:val="414042" w:themeColor="text1"/>
        </w:rPr>
        <w:t>Telecommunications (Interception and Access) Act 1979</w:t>
      </w:r>
      <w:r w:rsidRPr="00F9716C">
        <w:rPr>
          <w:color w:val="414042" w:themeColor="text1"/>
        </w:rPr>
        <w:t xml:space="preserve"> (Cth) (TIA Act)</w:t>
      </w:r>
    </w:p>
    <w:p w14:paraId="3E65E61D" w14:textId="5A46F164" w:rsidR="008D1425" w:rsidRPr="00F9716C" w:rsidRDefault="008D1425" w:rsidP="00536A10">
      <w:pPr>
        <w:spacing w:before="120" w:after="0" w:line="260" w:lineRule="exact"/>
        <w:ind w:left="1276" w:right="-284" w:hanging="992"/>
        <w:rPr>
          <w:color w:val="414042" w:themeColor="text1"/>
        </w:rPr>
      </w:pPr>
      <w:r w:rsidRPr="00F9716C">
        <w:rPr>
          <w:color w:val="414042" w:themeColor="text1"/>
        </w:rPr>
        <w:t>UPA</w:t>
      </w:r>
      <w:r w:rsidRPr="00F9716C">
        <w:rPr>
          <w:color w:val="414042" w:themeColor="text1"/>
        </w:rPr>
        <w:tab/>
        <w:t>Unit of public administration</w:t>
      </w:r>
    </w:p>
    <w:p w14:paraId="6639C997" w14:textId="77777777" w:rsidR="008D1425" w:rsidRDefault="008D1425" w:rsidP="00536A10">
      <w:pPr>
        <w:spacing w:before="120" w:after="0" w:line="260" w:lineRule="exact"/>
        <w:ind w:left="1276" w:right="-284" w:hanging="992"/>
        <w:rPr>
          <w:color w:val="414042" w:themeColor="text1"/>
        </w:rPr>
      </w:pPr>
      <w:r w:rsidRPr="00F9716C">
        <w:rPr>
          <w:color w:val="414042" w:themeColor="text1"/>
        </w:rPr>
        <w:t>VCG</w:t>
      </w:r>
      <w:r w:rsidRPr="00F9716C">
        <w:rPr>
          <w:color w:val="414042" w:themeColor="text1"/>
        </w:rPr>
        <w:tab/>
        <w:t>Values and Culture Group</w:t>
      </w:r>
    </w:p>
    <w:p w14:paraId="4C6E0A30" w14:textId="77777777" w:rsidR="00FF7819" w:rsidRPr="00F9716C" w:rsidRDefault="00FF7819" w:rsidP="00FF7819">
      <w:pPr>
        <w:rPr>
          <w:i/>
          <w:iCs/>
          <w:strike/>
          <w:color w:val="414042" w:themeColor="text1"/>
        </w:rPr>
      </w:pPr>
    </w:p>
    <w:p w14:paraId="056298AE" w14:textId="24C59EE9" w:rsidR="007F64FE" w:rsidRPr="00F9716C" w:rsidRDefault="007F64FE" w:rsidP="00FF7819">
      <w:pPr>
        <w:rPr>
          <w:color w:val="414042" w:themeColor="text1"/>
        </w:rPr>
        <w:sectPr w:rsidR="007F64FE" w:rsidRPr="00F9716C" w:rsidSect="00536A10">
          <w:type w:val="continuous"/>
          <w:pgSz w:w="11906" w:h="16838" w:code="9"/>
          <w:pgMar w:top="2155" w:right="1134" w:bottom="964" w:left="1134" w:header="720" w:footer="284" w:gutter="0"/>
          <w:cols w:num="2" w:space="568"/>
          <w:noEndnote/>
          <w:docGrid w:linePitch="272"/>
        </w:sectPr>
      </w:pPr>
    </w:p>
    <w:p w14:paraId="54A417A5" w14:textId="4F4E0A58" w:rsidR="000A4898" w:rsidRPr="00F9716C" w:rsidRDefault="000A4898" w:rsidP="00E018C4">
      <w:pPr>
        <w:rPr>
          <w:color w:val="414042" w:themeColor="text1"/>
        </w:rPr>
      </w:pPr>
      <w:r w:rsidRPr="00F9716C">
        <w:rPr>
          <w:color w:val="414042" w:themeColor="text1"/>
        </w:rPr>
        <w:br w:type="page"/>
      </w:r>
    </w:p>
    <w:p w14:paraId="716E1F85" w14:textId="77777777" w:rsidR="000A4898" w:rsidRPr="00F9716C" w:rsidRDefault="000A4898" w:rsidP="00E018C4">
      <w:pPr>
        <w:rPr>
          <w:strike/>
          <w:color w:val="414042" w:themeColor="text1"/>
        </w:rPr>
        <w:sectPr w:rsidR="000A4898" w:rsidRPr="00F9716C" w:rsidSect="00C77834">
          <w:type w:val="continuous"/>
          <w:pgSz w:w="11906" w:h="16838" w:code="9"/>
          <w:pgMar w:top="2155" w:right="1134" w:bottom="964" w:left="1134" w:header="720" w:footer="284" w:gutter="0"/>
          <w:cols w:num="2" w:space="567"/>
          <w:noEndnote/>
          <w:docGrid w:linePitch="272"/>
        </w:sectPr>
      </w:pPr>
    </w:p>
    <w:p w14:paraId="413D2995" w14:textId="3F3F8F17" w:rsidR="00387DE0" w:rsidRPr="003A0EBF" w:rsidRDefault="00714F06" w:rsidP="00F83949">
      <w:pPr>
        <w:pStyle w:val="Heading2"/>
      </w:pPr>
      <w:bookmarkStart w:id="1588" w:name="_Appendix_C_"/>
      <w:bookmarkStart w:id="1589" w:name="AppendixC"/>
      <w:bookmarkStart w:id="1590" w:name="_Toc102038164"/>
      <w:bookmarkStart w:id="1591" w:name="_Toc102038525"/>
      <w:bookmarkStart w:id="1592" w:name="_Toc102038886"/>
      <w:bookmarkStart w:id="1593" w:name="_Toc102039238"/>
      <w:bookmarkStart w:id="1594" w:name="_Toc102039587"/>
      <w:bookmarkStart w:id="1595" w:name="_Toc102039949"/>
      <w:bookmarkStart w:id="1596" w:name="_Toc102040275"/>
      <w:bookmarkStart w:id="1597" w:name="_Toc102040603"/>
      <w:bookmarkStart w:id="1598" w:name="_Toc102040937"/>
      <w:bookmarkStart w:id="1599" w:name="_Toc102041265"/>
      <w:bookmarkStart w:id="1600" w:name="_Toc102041594"/>
      <w:bookmarkStart w:id="1601" w:name="_Toc102041926"/>
      <w:bookmarkStart w:id="1602" w:name="_Toc102042253"/>
      <w:bookmarkStart w:id="1603" w:name="_Toc102042583"/>
      <w:bookmarkStart w:id="1604" w:name="_Toc102045713"/>
      <w:bookmarkEnd w:id="1588"/>
      <w:r w:rsidRPr="003A0EBF">
        <w:rPr>
          <w:rFonts w:asciiTheme="minorHAnsi" w:hAnsiTheme="minorHAnsi" w:cstheme="minorHAnsi"/>
          <w:b/>
          <w:bCs/>
        </w:rPr>
        <w:t xml:space="preserve">Appendix </w:t>
      </w:r>
      <w:r w:rsidR="005268F0" w:rsidRPr="003A0EBF">
        <w:rPr>
          <w:rFonts w:asciiTheme="minorHAnsi" w:hAnsiTheme="minorHAnsi" w:cstheme="minorHAnsi"/>
          <w:b/>
          <w:bCs/>
        </w:rPr>
        <w:t>C</w:t>
      </w:r>
      <w:bookmarkStart w:id="1605" w:name="_Hlk175753211"/>
      <w:bookmarkEnd w:id="1589"/>
      <w:r w:rsidRPr="003A0EBF">
        <w:rPr>
          <w:rFonts w:asciiTheme="minorHAnsi" w:hAnsiTheme="minorHAnsi" w:cstheme="minorHAnsi"/>
          <w:b/>
          <w:bCs/>
        </w:rPr>
        <w:t xml:space="preserve">  </w:t>
      </w:r>
      <w:r w:rsidRPr="007F64FE">
        <w:rPr>
          <w:rFonts w:asciiTheme="majorHAnsi" w:hAnsiTheme="majorHAnsi" w:cstheme="majorHAnsi"/>
        </w:rPr>
        <w:t>|</w:t>
      </w:r>
      <w:r w:rsidRPr="003A0EBF">
        <w:rPr>
          <w:rFonts w:asciiTheme="minorHAnsi" w:hAnsiTheme="minorHAnsi" w:cstheme="minorHAnsi"/>
          <w:b/>
          <w:bCs/>
        </w:rPr>
        <w:t xml:space="preserve">  </w:t>
      </w:r>
      <w:bookmarkEnd w:id="1605"/>
      <w:r w:rsidR="00387DE0" w:rsidRPr="003A0EBF">
        <w:t xml:space="preserve">Compliance </w:t>
      </w:r>
      <w:r w:rsidR="007442A7" w:rsidRPr="003A0EBF">
        <w:t>c</w:t>
      </w:r>
      <w:r w:rsidR="00387DE0" w:rsidRPr="003A0EBF">
        <w:t>hecklist</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r w:rsidR="00387DE0" w:rsidRPr="003A0EBF">
        <w:t xml:space="preserve"> </w:t>
      </w:r>
    </w:p>
    <w:tbl>
      <w:tblPr>
        <w:tblW w:w="5000" w:type="pct"/>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tblLook w:val="01E0" w:firstRow="1" w:lastRow="1" w:firstColumn="1" w:lastColumn="1" w:noHBand="0" w:noVBand="0"/>
      </w:tblPr>
      <w:tblGrid>
        <w:gridCol w:w="2267"/>
        <w:gridCol w:w="3539"/>
        <w:gridCol w:w="2124"/>
        <w:gridCol w:w="1698"/>
      </w:tblGrid>
      <w:tr w:rsidR="00F9716C" w:rsidRPr="00F9716C" w14:paraId="1EBAAD07" w14:textId="77777777" w:rsidTr="008F085B">
        <w:trPr>
          <w:cantSplit/>
          <w:tblHeader/>
        </w:trPr>
        <w:tc>
          <w:tcPr>
            <w:tcW w:w="3015" w:type="pct"/>
            <w:gridSpan w:val="2"/>
            <w:shd w:val="clear" w:color="auto" w:fill="E6E6E6"/>
            <w:vAlign w:val="center"/>
          </w:tcPr>
          <w:p w14:paraId="588AE1F3" w14:textId="77777777" w:rsidR="00B267CC" w:rsidRPr="00A52DF0" w:rsidRDefault="00B267CC" w:rsidP="00573772">
            <w:pPr>
              <w:pStyle w:val="Text"/>
              <w:spacing w:before="0" w:after="0"/>
              <w:rPr>
                <w:rFonts w:asciiTheme="minorHAnsi" w:hAnsiTheme="minorHAnsi" w:cstheme="minorHAnsi"/>
                <w:b/>
                <w:color w:val="414042" w:themeColor="text1"/>
                <w:sz w:val="18"/>
                <w:szCs w:val="18"/>
              </w:rPr>
            </w:pPr>
            <w:r w:rsidRPr="00A52DF0">
              <w:rPr>
                <w:rFonts w:asciiTheme="minorHAnsi" w:hAnsiTheme="minorHAnsi" w:cstheme="minorHAnsi"/>
                <w:b/>
                <w:color w:val="414042" w:themeColor="text1"/>
                <w:sz w:val="18"/>
                <w:szCs w:val="18"/>
              </w:rPr>
              <w:t>Summary of requirement</w:t>
            </w:r>
          </w:p>
        </w:tc>
        <w:tc>
          <w:tcPr>
            <w:tcW w:w="1103" w:type="pct"/>
            <w:shd w:val="clear" w:color="auto" w:fill="E6E6E6"/>
            <w:vAlign w:val="center"/>
          </w:tcPr>
          <w:p w14:paraId="630B02C3" w14:textId="77777777" w:rsidR="00B267CC" w:rsidRPr="00A52DF0" w:rsidRDefault="00B267CC" w:rsidP="008F085B">
            <w:pPr>
              <w:pStyle w:val="Text"/>
              <w:spacing w:before="0" w:after="0"/>
              <w:jc w:val="center"/>
              <w:rPr>
                <w:rFonts w:asciiTheme="minorHAnsi" w:hAnsiTheme="minorHAnsi" w:cstheme="minorHAnsi"/>
                <w:b/>
                <w:color w:val="414042" w:themeColor="text1"/>
                <w:sz w:val="18"/>
                <w:szCs w:val="18"/>
              </w:rPr>
            </w:pPr>
            <w:r w:rsidRPr="00A52DF0">
              <w:rPr>
                <w:rFonts w:asciiTheme="minorHAnsi" w:hAnsiTheme="minorHAnsi" w:cstheme="minorHAnsi"/>
                <w:b/>
                <w:color w:val="414042" w:themeColor="text1"/>
                <w:sz w:val="18"/>
                <w:szCs w:val="18"/>
              </w:rPr>
              <w:t>Basis for requirement</w:t>
            </w:r>
          </w:p>
        </w:tc>
        <w:tc>
          <w:tcPr>
            <w:tcW w:w="882" w:type="pct"/>
            <w:shd w:val="clear" w:color="auto" w:fill="E6E6E6"/>
            <w:vAlign w:val="center"/>
          </w:tcPr>
          <w:p w14:paraId="3875EABA" w14:textId="77777777" w:rsidR="00B267CC" w:rsidRPr="00A52DF0" w:rsidRDefault="00B267CC" w:rsidP="00573772">
            <w:pPr>
              <w:pStyle w:val="Text"/>
              <w:spacing w:before="0" w:after="0"/>
              <w:jc w:val="center"/>
              <w:rPr>
                <w:rFonts w:asciiTheme="minorHAnsi" w:hAnsiTheme="minorHAnsi" w:cstheme="minorHAnsi"/>
                <w:b/>
                <w:color w:val="414042" w:themeColor="text1"/>
                <w:sz w:val="18"/>
                <w:szCs w:val="18"/>
              </w:rPr>
            </w:pPr>
            <w:r w:rsidRPr="00A52DF0">
              <w:rPr>
                <w:rFonts w:asciiTheme="minorHAnsi" w:hAnsiTheme="minorHAnsi" w:cstheme="minorHAnsi"/>
                <w:b/>
                <w:color w:val="414042" w:themeColor="text1"/>
                <w:sz w:val="18"/>
                <w:szCs w:val="18"/>
              </w:rPr>
              <w:t>Annual report reference</w:t>
            </w:r>
          </w:p>
        </w:tc>
      </w:tr>
      <w:tr w:rsidR="00F9716C" w:rsidRPr="00F9716C" w14:paraId="1DD1ACF0" w14:textId="77777777" w:rsidTr="007662C8">
        <w:trPr>
          <w:cantSplit/>
        </w:trPr>
        <w:tc>
          <w:tcPr>
            <w:tcW w:w="1177" w:type="pct"/>
            <w:shd w:val="clear" w:color="auto" w:fill="FFFFFF" w:themeFill="background1"/>
          </w:tcPr>
          <w:p w14:paraId="7A8C95A5"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Letter of compliance</w:t>
            </w:r>
          </w:p>
        </w:tc>
        <w:tc>
          <w:tcPr>
            <w:tcW w:w="1838" w:type="pct"/>
            <w:shd w:val="clear" w:color="auto" w:fill="FFFFFF" w:themeFill="background1"/>
          </w:tcPr>
          <w:p w14:paraId="7E55CC4E"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A letter of compliance from the accountable officer or statutory body to the relevant Minister/s</w:t>
            </w:r>
          </w:p>
        </w:tc>
        <w:tc>
          <w:tcPr>
            <w:tcW w:w="1103" w:type="pct"/>
            <w:shd w:val="clear" w:color="auto" w:fill="FFFFFF" w:themeFill="background1"/>
            <w:vAlign w:val="center"/>
          </w:tcPr>
          <w:p w14:paraId="3C8BC5CC"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w:t>
            </w:r>
            <w:r w:rsidRPr="00F9716C">
              <w:rPr>
                <w:rFonts w:asciiTheme="minorHAnsi" w:hAnsiTheme="minorHAnsi" w:cstheme="minorHAnsi"/>
                <w:i/>
                <w:color w:val="414042" w:themeColor="text1"/>
                <w:sz w:val="14"/>
                <w:szCs w:val="14"/>
              </w:rPr>
              <w:t xml:space="preserve"> – </w:t>
            </w:r>
            <w:r w:rsidRPr="00F9716C">
              <w:rPr>
                <w:rFonts w:asciiTheme="minorHAnsi" w:hAnsiTheme="minorHAnsi" w:cstheme="minorHAnsi"/>
                <w:color w:val="414042" w:themeColor="text1"/>
                <w:sz w:val="14"/>
                <w:szCs w:val="14"/>
              </w:rPr>
              <w:t>section 7</w:t>
            </w:r>
          </w:p>
        </w:tc>
        <w:tc>
          <w:tcPr>
            <w:tcW w:w="882" w:type="pct"/>
            <w:shd w:val="clear" w:color="auto" w:fill="F2F2F2" w:themeFill="background1" w:themeFillShade="F2"/>
            <w:vAlign w:val="center"/>
          </w:tcPr>
          <w:p w14:paraId="592FE785" w14:textId="0A0CF839"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4</w:t>
            </w:r>
          </w:p>
        </w:tc>
      </w:tr>
      <w:tr w:rsidR="00F9716C" w:rsidRPr="00F9716C" w14:paraId="02EBBA56" w14:textId="77777777" w:rsidTr="007662C8">
        <w:trPr>
          <w:cantSplit/>
        </w:trPr>
        <w:tc>
          <w:tcPr>
            <w:tcW w:w="1177" w:type="pct"/>
            <w:vMerge w:val="restart"/>
            <w:shd w:val="clear" w:color="auto" w:fill="FFFFFF" w:themeFill="background1"/>
          </w:tcPr>
          <w:p w14:paraId="0FE441F1"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Accessibility</w:t>
            </w:r>
          </w:p>
        </w:tc>
        <w:tc>
          <w:tcPr>
            <w:tcW w:w="1838" w:type="pct"/>
            <w:shd w:val="clear" w:color="auto" w:fill="FFFFFF" w:themeFill="background1"/>
          </w:tcPr>
          <w:p w14:paraId="42C26A5B"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Table of contents</w:t>
            </w:r>
          </w:p>
          <w:p w14:paraId="3776FA8D"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Glossary</w:t>
            </w:r>
          </w:p>
        </w:tc>
        <w:tc>
          <w:tcPr>
            <w:tcW w:w="1103" w:type="pct"/>
            <w:shd w:val="clear" w:color="auto" w:fill="FFFFFF" w:themeFill="background1"/>
            <w:vAlign w:val="center"/>
          </w:tcPr>
          <w:p w14:paraId="6A76D6BA"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9.1</w:t>
            </w:r>
          </w:p>
        </w:tc>
        <w:tc>
          <w:tcPr>
            <w:tcW w:w="882" w:type="pct"/>
            <w:shd w:val="clear" w:color="auto" w:fill="F2F2F2" w:themeFill="background1" w:themeFillShade="F2"/>
            <w:vAlign w:val="center"/>
          </w:tcPr>
          <w:p w14:paraId="6C187FCD" w14:textId="43137972"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3, 11</w:t>
            </w:r>
            <w:r w:rsidR="00565D15">
              <w:rPr>
                <w:rFonts w:asciiTheme="majorHAnsi" w:hAnsiTheme="majorHAnsi" w:cstheme="majorHAnsi"/>
                <w:color w:val="414042" w:themeColor="text1"/>
                <w:sz w:val="14"/>
                <w:szCs w:val="14"/>
              </w:rPr>
              <w:t>3</w:t>
            </w:r>
          </w:p>
        </w:tc>
      </w:tr>
      <w:tr w:rsidR="00F9716C" w:rsidRPr="00F9716C" w14:paraId="758FBE0B" w14:textId="77777777" w:rsidTr="007662C8">
        <w:trPr>
          <w:cantSplit/>
        </w:trPr>
        <w:tc>
          <w:tcPr>
            <w:tcW w:w="1177" w:type="pct"/>
            <w:vMerge/>
            <w:shd w:val="clear" w:color="auto" w:fill="FFFFFF" w:themeFill="background1"/>
          </w:tcPr>
          <w:p w14:paraId="28582739"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58E56F1A"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Public availability</w:t>
            </w:r>
          </w:p>
        </w:tc>
        <w:tc>
          <w:tcPr>
            <w:tcW w:w="1103" w:type="pct"/>
            <w:shd w:val="clear" w:color="auto" w:fill="FFFFFF" w:themeFill="background1"/>
            <w:vAlign w:val="center"/>
          </w:tcPr>
          <w:p w14:paraId="74E42E88"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9.2</w:t>
            </w:r>
          </w:p>
        </w:tc>
        <w:tc>
          <w:tcPr>
            <w:tcW w:w="882" w:type="pct"/>
            <w:shd w:val="clear" w:color="auto" w:fill="F2F2F2" w:themeFill="background1" w:themeFillShade="F2"/>
            <w:vAlign w:val="center"/>
          </w:tcPr>
          <w:p w14:paraId="70D9FB6F" w14:textId="0D4D1595"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2, 4</w:t>
            </w:r>
          </w:p>
        </w:tc>
      </w:tr>
      <w:tr w:rsidR="00F9716C" w:rsidRPr="00F9716C" w14:paraId="3E33208C" w14:textId="77777777" w:rsidTr="007662C8">
        <w:trPr>
          <w:cantSplit/>
        </w:trPr>
        <w:tc>
          <w:tcPr>
            <w:tcW w:w="1177" w:type="pct"/>
            <w:vMerge/>
            <w:shd w:val="clear" w:color="auto" w:fill="FFFFFF" w:themeFill="background1"/>
          </w:tcPr>
          <w:p w14:paraId="267A9B6B"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48A90F3E"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Interpreter service statement</w:t>
            </w:r>
          </w:p>
        </w:tc>
        <w:tc>
          <w:tcPr>
            <w:tcW w:w="1103" w:type="pct"/>
            <w:shd w:val="clear" w:color="auto" w:fill="FFFFFF" w:themeFill="background1"/>
            <w:vAlign w:val="center"/>
          </w:tcPr>
          <w:p w14:paraId="18BAA048" w14:textId="77777777" w:rsidR="00570578" w:rsidRPr="00F9716C" w:rsidRDefault="00570578" w:rsidP="008F085B">
            <w:pPr>
              <w:pStyle w:val="Text"/>
              <w:spacing w:before="0" w:after="0"/>
              <w:jc w:val="center"/>
              <w:rPr>
                <w:rFonts w:asciiTheme="minorHAnsi" w:hAnsiTheme="minorHAnsi" w:cstheme="minorHAnsi"/>
                <w:i/>
                <w:color w:val="414042" w:themeColor="text1"/>
                <w:sz w:val="14"/>
                <w:szCs w:val="14"/>
              </w:rPr>
            </w:pPr>
            <w:r w:rsidRPr="00F9716C">
              <w:rPr>
                <w:rFonts w:asciiTheme="minorHAnsi" w:hAnsiTheme="minorHAnsi" w:cstheme="minorHAnsi"/>
                <w:i/>
                <w:color w:val="414042" w:themeColor="text1"/>
                <w:sz w:val="14"/>
                <w:szCs w:val="14"/>
              </w:rPr>
              <w:t>Queensland Government Language Services Policy</w:t>
            </w:r>
          </w:p>
          <w:p w14:paraId="4AA3AD11"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9.3</w:t>
            </w:r>
          </w:p>
        </w:tc>
        <w:tc>
          <w:tcPr>
            <w:tcW w:w="882" w:type="pct"/>
            <w:shd w:val="clear" w:color="auto" w:fill="F2F2F2" w:themeFill="background1" w:themeFillShade="F2"/>
            <w:vAlign w:val="center"/>
          </w:tcPr>
          <w:p w14:paraId="043346E3" w14:textId="2EF3D3B9"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4</w:t>
            </w:r>
          </w:p>
        </w:tc>
      </w:tr>
      <w:tr w:rsidR="00F9716C" w:rsidRPr="00F9716C" w14:paraId="720481CF" w14:textId="77777777" w:rsidTr="007662C8">
        <w:trPr>
          <w:cantSplit/>
        </w:trPr>
        <w:tc>
          <w:tcPr>
            <w:tcW w:w="1177" w:type="pct"/>
            <w:vMerge/>
            <w:shd w:val="clear" w:color="auto" w:fill="FFFFFF" w:themeFill="background1"/>
          </w:tcPr>
          <w:p w14:paraId="4A746989"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6F017BF7"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Copyright notice</w:t>
            </w:r>
          </w:p>
        </w:tc>
        <w:tc>
          <w:tcPr>
            <w:tcW w:w="1103" w:type="pct"/>
            <w:shd w:val="clear" w:color="auto" w:fill="FFFFFF" w:themeFill="background1"/>
            <w:vAlign w:val="center"/>
          </w:tcPr>
          <w:p w14:paraId="26FDB2B6" w14:textId="77777777" w:rsidR="00570578" w:rsidRPr="00F9716C" w:rsidRDefault="00570578" w:rsidP="008F085B">
            <w:pPr>
              <w:pStyle w:val="Text"/>
              <w:spacing w:before="0" w:after="0"/>
              <w:jc w:val="center"/>
              <w:rPr>
                <w:rFonts w:asciiTheme="minorHAnsi" w:hAnsiTheme="minorHAnsi" w:cstheme="minorHAnsi"/>
                <w:i/>
                <w:color w:val="414042" w:themeColor="text1"/>
                <w:sz w:val="14"/>
                <w:szCs w:val="14"/>
              </w:rPr>
            </w:pPr>
            <w:r w:rsidRPr="00F9716C">
              <w:rPr>
                <w:rFonts w:asciiTheme="minorHAnsi" w:hAnsiTheme="minorHAnsi" w:cstheme="minorHAnsi"/>
                <w:i/>
                <w:color w:val="414042" w:themeColor="text1"/>
                <w:sz w:val="14"/>
                <w:szCs w:val="14"/>
              </w:rPr>
              <w:t>Copyright Act 1968</w:t>
            </w:r>
          </w:p>
          <w:p w14:paraId="6DBDACE2"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9.4</w:t>
            </w:r>
          </w:p>
        </w:tc>
        <w:tc>
          <w:tcPr>
            <w:tcW w:w="882" w:type="pct"/>
            <w:shd w:val="clear" w:color="auto" w:fill="F2F2F2" w:themeFill="background1" w:themeFillShade="F2"/>
            <w:vAlign w:val="center"/>
          </w:tcPr>
          <w:p w14:paraId="209E3FDB" w14:textId="4A883F08"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2</w:t>
            </w:r>
          </w:p>
        </w:tc>
      </w:tr>
      <w:tr w:rsidR="00F9716C" w:rsidRPr="00F9716C" w14:paraId="0C996500" w14:textId="77777777" w:rsidTr="007662C8">
        <w:trPr>
          <w:cantSplit/>
        </w:trPr>
        <w:tc>
          <w:tcPr>
            <w:tcW w:w="1177" w:type="pct"/>
            <w:vMerge/>
            <w:shd w:val="clear" w:color="auto" w:fill="FFFFFF" w:themeFill="background1"/>
          </w:tcPr>
          <w:p w14:paraId="31F4C674"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166E2B7B"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Information Licensing</w:t>
            </w:r>
          </w:p>
        </w:tc>
        <w:tc>
          <w:tcPr>
            <w:tcW w:w="1103" w:type="pct"/>
            <w:shd w:val="clear" w:color="auto" w:fill="FFFFFF" w:themeFill="background1"/>
            <w:vAlign w:val="center"/>
          </w:tcPr>
          <w:p w14:paraId="1B86D145" w14:textId="77777777" w:rsidR="00570578" w:rsidRPr="00F9716C" w:rsidRDefault="00570578" w:rsidP="008F085B">
            <w:pPr>
              <w:pStyle w:val="Text"/>
              <w:spacing w:before="0" w:after="0"/>
              <w:jc w:val="center"/>
              <w:rPr>
                <w:rFonts w:asciiTheme="minorHAnsi" w:hAnsiTheme="minorHAnsi" w:cstheme="minorHAnsi"/>
                <w:i/>
                <w:color w:val="414042" w:themeColor="text1"/>
                <w:sz w:val="14"/>
                <w:szCs w:val="14"/>
              </w:rPr>
            </w:pPr>
            <w:r w:rsidRPr="00F9716C">
              <w:rPr>
                <w:rFonts w:asciiTheme="minorHAnsi" w:hAnsiTheme="minorHAnsi" w:cstheme="minorHAnsi"/>
                <w:i/>
                <w:color w:val="414042" w:themeColor="text1"/>
                <w:sz w:val="14"/>
                <w:szCs w:val="14"/>
              </w:rPr>
              <w:t>QGEA – Information Licensing</w:t>
            </w:r>
          </w:p>
          <w:p w14:paraId="1E1717C4"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9.5</w:t>
            </w:r>
          </w:p>
        </w:tc>
        <w:tc>
          <w:tcPr>
            <w:tcW w:w="882" w:type="pct"/>
            <w:shd w:val="clear" w:color="auto" w:fill="F2F2F2" w:themeFill="background1" w:themeFillShade="F2"/>
            <w:vAlign w:val="center"/>
          </w:tcPr>
          <w:p w14:paraId="76F7698E" w14:textId="241D6651"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2</w:t>
            </w:r>
          </w:p>
        </w:tc>
      </w:tr>
      <w:tr w:rsidR="00F9716C" w:rsidRPr="00F9716C" w14:paraId="683880E4" w14:textId="77777777" w:rsidTr="007662C8">
        <w:trPr>
          <w:cantSplit/>
          <w:trHeight w:val="485"/>
        </w:trPr>
        <w:tc>
          <w:tcPr>
            <w:tcW w:w="1177" w:type="pct"/>
            <w:shd w:val="clear" w:color="auto" w:fill="FFFFFF" w:themeFill="background1"/>
          </w:tcPr>
          <w:p w14:paraId="73C46094"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General information</w:t>
            </w:r>
          </w:p>
        </w:tc>
        <w:tc>
          <w:tcPr>
            <w:tcW w:w="1838" w:type="pct"/>
            <w:shd w:val="clear" w:color="auto" w:fill="FFFFFF" w:themeFill="background1"/>
          </w:tcPr>
          <w:p w14:paraId="4FB9F4B7"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Introductory Information</w:t>
            </w:r>
          </w:p>
        </w:tc>
        <w:tc>
          <w:tcPr>
            <w:tcW w:w="1103" w:type="pct"/>
            <w:shd w:val="clear" w:color="auto" w:fill="FFFFFF" w:themeFill="background1"/>
            <w:vAlign w:val="center"/>
          </w:tcPr>
          <w:p w14:paraId="2BEE0080"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lang w:val="fr-FR"/>
              </w:rPr>
            </w:pPr>
            <w:r w:rsidRPr="00F9716C">
              <w:rPr>
                <w:rFonts w:asciiTheme="minorHAnsi" w:hAnsiTheme="minorHAnsi" w:cstheme="minorHAnsi"/>
                <w:color w:val="414042" w:themeColor="text1"/>
                <w:sz w:val="14"/>
                <w:szCs w:val="14"/>
                <w:lang w:val="fr-FR"/>
              </w:rPr>
              <w:t xml:space="preserve">ARRs – section </w:t>
            </w:r>
            <w:r w:rsidRPr="00F9716C">
              <w:rPr>
                <w:rFonts w:asciiTheme="minorHAnsi" w:hAnsiTheme="minorHAnsi" w:cstheme="minorHAnsi"/>
                <w:color w:val="414042" w:themeColor="text1"/>
                <w:sz w:val="14"/>
                <w:szCs w:val="14"/>
              </w:rPr>
              <w:t>10</w:t>
            </w:r>
          </w:p>
        </w:tc>
        <w:tc>
          <w:tcPr>
            <w:tcW w:w="882" w:type="pct"/>
            <w:shd w:val="clear" w:color="auto" w:fill="F2F2F2" w:themeFill="background1" w:themeFillShade="F2"/>
            <w:vAlign w:val="center"/>
          </w:tcPr>
          <w:p w14:paraId="6495F72E" w14:textId="4DFA30F7"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5–15</w:t>
            </w:r>
          </w:p>
        </w:tc>
      </w:tr>
      <w:tr w:rsidR="00F9716C" w:rsidRPr="00F9716C" w14:paraId="74E3A55E" w14:textId="77777777" w:rsidTr="007662C8">
        <w:trPr>
          <w:cantSplit/>
        </w:trPr>
        <w:tc>
          <w:tcPr>
            <w:tcW w:w="1177" w:type="pct"/>
            <w:vMerge w:val="restart"/>
            <w:shd w:val="clear" w:color="auto" w:fill="FFFFFF" w:themeFill="background1"/>
          </w:tcPr>
          <w:p w14:paraId="5AB59B38"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Non-financial performance</w:t>
            </w:r>
          </w:p>
        </w:tc>
        <w:tc>
          <w:tcPr>
            <w:tcW w:w="1838" w:type="pct"/>
            <w:shd w:val="clear" w:color="auto" w:fill="FFFFFF" w:themeFill="background1"/>
          </w:tcPr>
          <w:p w14:paraId="04109EDF"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Government’s objectives for the community and whole-of-government plans/specific initiatives</w:t>
            </w:r>
          </w:p>
        </w:tc>
        <w:tc>
          <w:tcPr>
            <w:tcW w:w="1103" w:type="pct"/>
            <w:shd w:val="clear" w:color="auto" w:fill="FFFFFF" w:themeFill="background1"/>
            <w:vAlign w:val="center"/>
          </w:tcPr>
          <w:p w14:paraId="0CAB773B"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11.1</w:t>
            </w:r>
          </w:p>
        </w:tc>
        <w:tc>
          <w:tcPr>
            <w:tcW w:w="882" w:type="pct"/>
            <w:shd w:val="clear" w:color="auto" w:fill="F2F2F2" w:themeFill="background1" w:themeFillShade="F2"/>
            <w:vAlign w:val="center"/>
          </w:tcPr>
          <w:p w14:paraId="2909B7F9" w14:textId="6599442D" w:rsidR="00570578" w:rsidRPr="00A52DF0" w:rsidRDefault="00211DB2"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N/A</w:t>
            </w:r>
            <w:r w:rsidR="00570578" w:rsidRPr="00A52DF0">
              <w:rPr>
                <w:rFonts w:asciiTheme="majorHAnsi" w:hAnsiTheme="majorHAnsi" w:cstheme="majorHAnsi"/>
                <w:color w:val="414042" w:themeColor="text1"/>
                <w:sz w:val="14"/>
                <w:szCs w:val="14"/>
              </w:rPr>
              <w:t xml:space="preserve"> </w:t>
            </w:r>
          </w:p>
        </w:tc>
      </w:tr>
      <w:tr w:rsidR="00F9716C" w:rsidRPr="00F9716C" w14:paraId="32E01F37" w14:textId="77777777" w:rsidTr="007662C8">
        <w:trPr>
          <w:cantSplit/>
        </w:trPr>
        <w:tc>
          <w:tcPr>
            <w:tcW w:w="1177" w:type="pct"/>
            <w:vMerge/>
            <w:shd w:val="clear" w:color="auto" w:fill="FFFFFF" w:themeFill="background1"/>
          </w:tcPr>
          <w:p w14:paraId="5C4C0627"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6B94DB82"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Agency objectives and performance indicators</w:t>
            </w:r>
          </w:p>
        </w:tc>
        <w:tc>
          <w:tcPr>
            <w:tcW w:w="1103" w:type="pct"/>
            <w:shd w:val="clear" w:color="auto" w:fill="FFFFFF" w:themeFill="background1"/>
            <w:vAlign w:val="center"/>
          </w:tcPr>
          <w:p w14:paraId="48B60628"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11.2</w:t>
            </w:r>
          </w:p>
        </w:tc>
        <w:tc>
          <w:tcPr>
            <w:tcW w:w="882" w:type="pct"/>
            <w:shd w:val="clear" w:color="auto" w:fill="F2F2F2" w:themeFill="background1" w:themeFillShade="F2"/>
            <w:vAlign w:val="center"/>
          </w:tcPr>
          <w:p w14:paraId="0A171728" w14:textId="0A732564"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17–20, 22–24, 31–56</w:t>
            </w:r>
          </w:p>
        </w:tc>
      </w:tr>
      <w:tr w:rsidR="00F9716C" w:rsidRPr="00F9716C" w14:paraId="12C2FA20" w14:textId="77777777" w:rsidTr="007662C8">
        <w:trPr>
          <w:cantSplit/>
        </w:trPr>
        <w:tc>
          <w:tcPr>
            <w:tcW w:w="1177" w:type="pct"/>
            <w:vMerge/>
            <w:shd w:val="clear" w:color="auto" w:fill="FFFFFF" w:themeFill="background1"/>
          </w:tcPr>
          <w:p w14:paraId="5B1A57F9"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1CADC0E1"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 xml:space="preserve">Agency service areas and service standards </w:t>
            </w:r>
          </w:p>
        </w:tc>
        <w:tc>
          <w:tcPr>
            <w:tcW w:w="1103" w:type="pct"/>
            <w:shd w:val="clear" w:color="auto" w:fill="FFFFFF" w:themeFill="background1"/>
            <w:vAlign w:val="center"/>
          </w:tcPr>
          <w:p w14:paraId="50CD2DE9" w14:textId="77777777" w:rsidR="00570578" w:rsidRPr="00F9716C" w:rsidRDefault="00570578" w:rsidP="008F085B">
            <w:pPr>
              <w:pStyle w:val="Text"/>
              <w:spacing w:before="0" w:after="0"/>
              <w:jc w:val="center"/>
              <w:rPr>
                <w:rFonts w:asciiTheme="minorHAnsi" w:hAnsiTheme="minorHAnsi" w:cstheme="minorHAnsi"/>
                <w:i/>
                <w:color w:val="414042" w:themeColor="text1"/>
                <w:sz w:val="14"/>
                <w:szCs w:val="14"/>
              </w:rPr>
            </w:pPr>
            <w:r w:rsidRPr="00F9716C">
              <w:rPr>
                <w:rFonts w:asciiTheme="minorHAnsi" w:hAnsiTheme="minorHAnsi" w:cstheme="minorHAnsi"/>
                <w:color w:val="414042" w:themeColor="text1"/>
                <w:sz w:val="14"/>
                <w:szCs w:val="14"/>
              </w:rPr>
              <w:t>ARRs – section 11.3</w:t>
            </w:r>
          </w:p>
        </w:tc>
        <w:tc>
          <w:tcPr>
            <w:tcW w:w="882" w:type="pct"/>
            <w:shd w:val="clear" w:color="auto" w:fill="F2F2F2" w:themeFill="background1" w:themeFillShade="F2"/>
            <w:vAlign w:val="center"/>
          </w:tcPr>
          <w:p w14:paraId="6A6729FF" w14:textId="63298248"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21</w:t>
            </w:r>
          </w:p>
        </w:tc>
      </w:tr>
      <w:tr w:rsidR="00F9716C" w:rsidRPr="00F9716C" w14:paraId="43CF0326" w14:textId="77777777" w:rsidTr="007662C8">
        <w:trPr>
          <w:cantSplit/>
        </w:trPr>
        <w:tc>
          <w:tcPr>
            <w:tcW w:w="1177" w:type="pct"/>
            <w:shd w:val="clear" w:color="auto" w:fill="FFFFFF" w:themeFill="background1"/>
          </w:tcPr>
          <w:p w14:paraId="5D0252F9"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Financial performance</w:t>
            </w:r>
          </w:p>
        </w:tc>
        <w:tc>
          <w:tcPr>
            <w:tcW w:w="1838" w:type="pct"/>
            <w:shd w:val="clear" w:color="auto" w:fill="FFFFFF" w:themeFill="background1"/>
          </w:tcPr>
          <w:p w14:paraId="3D3600E2"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Summary of financial performance</w:t>
            </w:r>
          </w:p>
        </w:tc>
        <w:tc>
          <w:tcPr>
            <w:tcW w:w="1103" w:type="pct"/>
            <w:shd w:val="clear" w:color="auto" w:fill="FFFFFF" w:themeFill="background1"/>
            <w:vAlign w:val="center"/>
          </w:tcPr>
          <w:p w14:paraId="5BCCC38E"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12.1</w:t>
            </w:r>
          </w:p>
        </w:tc>
        <w:tc>
          <w:tcPr>
            <w:tcW w:w="882" w:type="pct"/>
            <w:shd w:val="clear" w:color="auto" w:fill="F2F2F2" w:themeFill="background1" w:themeFillShade="F2"/>
            <w:vAlign w:val="center"/>
          </w:tcPr>
          <w:p w14:paraId="5976F62D" w14:textId="748945ED"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25–26</w:t>
            </w:r>
          </w:p>
        </w:tc>
      </w:tr>
      <w:tr w:rsidR="00F9716C" w:rsidRPr="00F9716C" w14:paraId="6F09410A" w14:textId="77777777" w:rsidTr="007662C8">
        <w:trPr>
          <w:cantSplit/>
        </w:trPr>
        <w:tc>
          <w:tcPr>
            <w:tcW w:w="1177" w:type="pct"/>
            <w:vMerge w:val="restart"/>
            <w:shd w:val="clear" w:color="auto" w:fill="FFFFFF" w:themeFill="background1"/>
          </w:tcPr>
          <w:p w14:paraId="77B8AABC"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Governance – management and structure</w:t>
            </w:r>
          </w:p>
        </w:tc>
        <w:tc>
          <w:tcPr>
            <w:tcW w:w="1838" w:type="pct"/>
            <w:shd w:val="clear" w:color="auto" w:fill="FFFFFF" w:themeFill="background1"/>
          </w:tcPr>
          <w:p w14:paraId="027AD7A6"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 xml:space="preserve">Organisational structure </w:t>
            </w:r>
          </w:p>
        </w:tc>
        <w:tc>
          <w:tcPr>
            <w:tcW w:w="1103" w:type="pct"/>
            <w:shd w:val="clear" w:color="auto" w:fill="FFFFFF" w:themeFill="background1"/>
            <w:vAlign w:val="center"/>
          </w:tcPr>
          <w:p w14:paraId="3DAFBDC4"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13.1</w:t>
            </w:r>
          </w:p>
        </w:tc>
        <w:tc>
          <w:tcPr>
            <w:tcW w:w="882" w:type="pct"/>
            <w:shd w:val="clear" w:color="auto" w:fill="F2F2F2" w:themeFill="background1" w:themeFillShade="F2"/>
            <w:vAlign w:val="center"/>
          </w:tcPr>
          <w:p w14:paraId="1A0FE678" w14:textId="7F5C5B7F"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12</w:t>
            </w:r>
          </w:p>
        </w:tc>
      </w:tr>
      <w:tr w:rsidR="00F9716C" w:rsidRPr="00F9716C" w14:paraId="0676E0EB" w14:textId="77777777" w:rsidTr="007662C8">
        <w:trPr>
          <w:cantSplit/>
        </w:trPr>
        <w:tc>
          <w:tcPr>
            <w:tcW w:w="1177" w:type="pct"/>
            <w:vMerge/>
            <w:shd w:val="clear" w:color="auto" w:fill="FFFFFF" w:themeFill="background1"/>
          </w:tcPr>
          <w:p w14:paraId="5111065B"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152DB64A"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Executive management</w:t>
            </w:r>
          </w:p>
        </w:tc>
        <w:tc>
          <w:tcPr>
            <w:tcW w:w="1103" w:type="pct"/>
            <w:shd w:val="clear" w:color="auto" w:fill="FFFFFF" w:themeFill="background1"/>
            <w:vAlign w:val="center"/>
          </w:tcPr>
          <w:p w14:paraId="15B6F792"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13.2</w:t>
            </w:r>
          </w:p>
        </w:tc>
        <w:tc>
          <w:tcPr>
            <w:tcW w:w="882" w:type="pct"/>
            <w:shd w:val="clear" w:color="auto" w:fill="F2F2F2" w:themeFill="background1" w:themeFillShade="F2"/>
            <w:vAlign w:val="center"/>
          </w:tcPr>
          <w:p w14:paraId="274468D8" w14:textId="491B27BC"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58–60</w:t>
            </w:r>
          </w:p>
        </w:tc>
      </w:tr>
      <w:tr w:rsidR="00F9716C" w:rsidRPr="00F9716C" w14:paraId="0313C059" w14:textId="77777777" w:rsidTr="007662C8">
        <w:trPr>
          <w:cantSplit/>
        </w:trPr>
        <w:tc>
          <w:tcPr>
            <w:tcW w:w="1177" w:type="pct"/>
            <w:vMerge/>
            <w:shd w:val="clear" w:color="auto" w:fill="FFFFFF" w:themeFill="background1"/>
          </w:tcPr>
          <w:p w14:paraId="199F3E90"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0D2FCDB7"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Government bodies (statutory bodies and other entities)</w:t>
            </w:r>
          </w:p>
        </w:tc>
        <w:tc>
          <w:tcPr>
            <w:tcW w:w="1103" w:type="pct"/>
            <w:shd w:val="clear" w:color="auto" w:fill="FFFFFF" w:themeFill="background1"/>
            <w:vAlign w:val="center"/>
          </w:tcPr>
          <w:p w14:paraId="7DF3B02E"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13.3</w:t>
            </w:r>
          </w:p>
        </w:tc>
        <w:tc>
          <w:tcPr>
            <w:tcW w:w="882" w:type="pct"/>
            <w:shd w:val="clear" w:color="auto" w:fill="F2F2F2" w:themeFill="background1" w:themeFillShade="F2"/>
            <w:vAlign w:val="center"/>
          </w:tcPr>
          <w:p w14:paraId="08BAD897" w14:textId="1DCB5CEE"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4, 70</w:t>
            </w:r>
          </w:p>
        </w:tc>
      </w:tr>
      <w:tr w:rsidR="00F9716C" w:rsidRPr="00F9716C" w14:paraId="7A7C2214" w14:textId="77777777" w:rsidTr="007662C8">
        <w:trPr>
          <w:cantSplit/>
        </w:trPr>
        <w:tc>
          <w:tcPr>
            <w:tcW w:w="1177" w:type="pct"/>
            <w:vMerge/>
            <w:shd w:val="clear" w:color="auto" w:fill="FFFFFF" w:themeFill="background1"/>
          </w:tcPr>
          <w:p w14:paraId="27C6BF3F"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0EA38E1D"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Public Sector Ethics</w:t>
            </w:r>
            <w:r w:rsidRPr="00F9716C">
              <w:rPr>
                <w:rFonts w:asciiTheme="majorHAnsi" w:hAnsiTheme="majorHAnsi" w:cstheme="majorHAnsi"/>
                <w:bCs/>
                <w:i/>
                <w:color w:val="414042" w:themeColor="text1"/>
                <w:sz w:val="16"/>
                <w:szCs w:val="16"/>
              </w:rPr>
              <w:t xml:space="preserve"> </w:t>
            </w:r>
          </w:p>
        </w:tc>
        <w:tc>
          <w:tcPr>
            <w:tcW w:w="1103" w:type="pct"/>
            <w:shd w:val="clear" w:color="auto" w:fill="FFFFFF" w:themeFill="background1"/>
            <w:vAlign w:val="center"/>
          </w:tcPr>
          <w:p w14:paraId="338F97D2" w14:textId="77777777" w:rsidR="00570578" w:rsidRPr="00F9716C" w:rsidRDefault="00570578" w:rsidP="008F085B">
            <w:pPr>
              <w:pStyle w:val="Text"/>
              <w:spacing w:before="0" w:after="0"/>
              <w:jc w:val="center"/>
              <w:rPr>
                <w:rFonts w:asciiTheme="minorHAnsi" w:hAnsiTheme="minorHAnsi" w:cstheme="minorHAnsi"/>
                <w:i/>
                <w:color w:val="414042" w:themeColor="text1"/>
                <w:sz w:val="14"/>
                <w:szCs w:val="14"/>
              </w:rPr>
            </w:pPr>
            <w:r w:rsidRPr="00F9716C">
              <w:rPr>
                <w:rFonts w:asciiTheme="minorHAnsi" w:hAnsiTheme="minorHAnsi" w:cstheme="minorHAnsi"/>
                <w:i/>
                <w:color w:val="414042" w:themeColor="text1"/>
                <w:sz w:val="14"/>
                <w:szCs w:val="14"/>
              </w:rPr>
              <w:t>Public Sector Ethics Act 1994</w:t>
            </w:r>
          </w:p>
          <w:p w14:paraId="26C0305A"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13.4</w:t>
            </w:r>
          </w:p>
        </w:tc>
        <w:tc>
          <w:tcPr>
            <w:tcW w:w="882" w:type="pct"/>
            <w:shd w:val="clear" w:color="auto" w:fill="F2F2F2" w:themeFill="background1" w:themeFillShade="F2"/>
            <w:vAlign w:val="center"/>
          </w:tcPr>
          <w:p w14:paraId="360BB71A" w14:textId="554D2C2D"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47</w:t>
            </w:r>
          </w:p>
        </w:tc>
      </w:tr>
      <w:tr w:rsidR="00F9716C" w:rsidRPr="00F9716C" w14:paraId="1D3C42CA" w14:textId="77777777" w:rsidTr="007662C8">
        <w:trPr>
          <w:cantSplit/>
        </w:trPr>
        <w:tc>
          <w:tcPr>
            <w:tcW w:w="1177" w:type="pct"/>
            <w:vMerge/>
            <w:shd w:val="clear" w:color="auto" w:fill="FFFFFF" w:themeFill="background1"/>
          </w:tcPr>
          <w:p w14:paraId="07345DF8"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7F059A94"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 xml:space="preserve">Human Rights </w:t>
            </w:r>
          </w:p>
        </w:tc>
        <w:tc>
          <w:tcPr>
            <w:tcW w:w="1103" w:type="pct"/>
            <w:shd w:val="clear" w:color="auto" w:fill="FFFFFF" w:themeFill="background1"/>
            <w:vAlign w:val="center"/>
          </w:tcPr>
          <w:p w14:paraId="15081568" w14:textId="77777777" w:rsidR="00570578" w:rsidRPr="00F9716C" w:rsidRDefault="00570578" w:rsidP="008F085B">
            <w:pPr>
              <w:pStyle w:val="Text"/>
              <w:spacing w:before="0" w:after="0"/>
              <w:jc w:val="center"/>
              <w:rPr>
                <w:rFonts w:asciiTheme="minorHAnsi" w:hAnsiTheme="minorHAnsi" w:cstheme="minorHAnsi"/>
                <w:i/>
                <w:color w:val="414042" w:themeColor="text1"/>
                <w:sz w:val="14"/>
                <w:szCs w:val="14"/>
              </w:rPr>
            </w:pPr>
            <w:r w:rsidRPr="00F9716C">
              <w:rPr>
                <w:rFonts w:asciiTheme="minorHAnsi" w:hAnsiTheme="minorHAnsi" w:cstheme="minorHAnsi"/>
                <w:i/>
                <w:color w:val="414042" w:themeColor="text1"/>
                <w:sz w:val="14"/>
                <w:szCs w:val="14"/>
              </w:rPr>
              <w:t>Human Rights Act 2019</w:t>
            </w:r>
          </w:p>
          <w:p w14:paraId="7229F126"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13.5</w:t>
            </w:r>
          </w:p>
        </w:tc>
        <w:tc>
          <w:tcPr>
            <w:tcW w:w="882" w:type="pct"/>
            <w:shd w:val="clear" w:color="auto" w:fill="F2F2F2" w:themeFill="background1" w:themeFillShade="F2"/>
            <w:vAlign w:val="center"/>
          </w:tcPr>
          <w:p w14:paraId="4E152BC0" w14:textId="243CBFED"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46</w:t>
            </w:r>
          </w:p>
        </w:tc>
      </w:tr>
      <w:tr w:rsidR="00F9716C" w:rsidRPr="00F9716C" w14:paraId="64196D8E" w14:textId="77777777" w:rsidTr="007662C8">
        <w:trPr>
          <w:cantSplit/>
        </w:trPr>
        <w:tc>
          <w:tcPr>
            <w:tcW w:w="1177" w:type="pct"/>
            <w:vMerge/>
            <w:shd w:val="clear" w:color="auto" w:fill="FFFFFF" w:themeFill="background1"/>
          </w:tcPr>
          <w:p w14:paraId="2BDAF149"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09675650" w14:textId="77777777" w:rsidR="00570578" w:rsidRPr="00F9716C" w:rsidRDefault="00570578" w:rsidP="00570578">
            <w:pPr>
              <w:pStyle w:val="Text"/>
              <w:tabs>
                <w:tab w:val="clear" w:pos="1713"/>
              </w:tabs>
              <w:spacing w:before="0" w:after="0"/>
              <w:rPr>
                <w:rFonts w:asciiTheme="majorHAnsi" w:hAnsiTheme="majorHAnsi" w:cstheme="majorHAnsi"/>
                <w:bCs/>
                <w:i/>
                <w:color w:val="414042" w:themeColor="text1"/>
                <w:sz w:val="16"/>
                <w:szCs w:val="16"/>
              </w:rPr>
            </w:pPr>
            <w:r w:rsidRPr="00F9716C">
              <w:rPr>
                <w:rFonts w:asciiTheme="majorHAnsi" w:hAnsiTheme="majorHAnsi" w:cstheme="majorHAnsi"/>
                <w:bCs/>
                <w:color w:val="414042" w:themeColor="text1"/>
                <w:sz w:val="16"/>
                <w:szCs w:val="16"/>
              </w:rPr>
              <w:t>Queensland public service values</w:t>
            </w:r>
          </w:p>
        </w:tc>
        <w:tc>
          <w:tcPr>
            <w:tcW w:w="1103" w:type="pct"/>
            <w:shd w:val="clear" w:color="auto" w:fill="FFFFFF" w:themeFill="background1"/>
            <w:vAlign w:val="center"/>
          </w:tcPr>
          <w:p w14:paraId="5C66F7E7" w14:textId="77777777" w:rsidR="00570578" w:rsidRPr="00F9716C" w:rsidRDefault="00570578" w:rsidP="008F085B">
            <w:pPr>
              <w:pStyle w:val="Text"/>
              <w:spacing w:before="0" w:after="0"/>
              <w:jc w:val="center"/>
              <w:rPr>
                <w:rFonts w:asciiTheme="minorHAnsi" w:hAnsiTheme="minorHAnsi" w:cstheme="minorHAnsi"/>
                <w:i/>
                <w:color w:val="414042" w:themeColor="text1"/>
                <w:sz w:val="14"/>
                <w:szCs w:val="14"/>
              </w:rPr>
            </w:pPr>
            <w:r w:rsidRPr="00F9716C">
              <w:rPr>
                <w:rFonts w:asciiTheme="minorHAnsi" w:hAnsiTheme="minorHAnsi" w:cstheme="minorHAnsi"/>
                <w:color w:val="414042" w:themeColor="text1"/>
                <w:sz w:val="14"/>
                <w:szCs w:val="14"/>
              </w:rPr>
              <w:t>ARRs – section 13.6</w:t>
            </w:r>
          </w:p>
        </w:tc>
        <w:tc>
          <w:tcPr>
            <w:tcW w:w="882" w:type="pct"/>
            <w:shd w:val="clear" w:color="auto" w:fill="F2F2F2" w:themeFill="background1" w:themeFillShade="F2"/>
            <w:vAlign w:val="center"/>
          </w:tcPr>
          <w:p w14:paraId="754145A3" w14:textId="740C8DF9"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N/A</w:t>
            </w:r>
          </w:p>
        </w:tc>
      </w:tr>
      <w:tr w:rsidR="00F9716C" w:rsidRPr="00F9716C" w14:paraId="44E772DA" w14:textId="77777777" w:rsidTr="007662C8">
        <w:trPr>
          <w:cantSplit/>
        </w:trPr>
        <w:tc>
          <w:tcPr>
            <w:tcW w:w="1177" w:type="pct"/>
            <w:vMerge w:val="restart"/>
            <w:shd w:val="clear" w:color="auto" w:fill="FFFFFF" w:themeFill="background1"/>
          </w:tcPr>
          <w:p w14:paraId="3E8CDDCB"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Governance – risk management and accountability</w:t>
            </w:r>
          </w:p>
        </w:tc>
        <w:tc>
          <w:tcPr>
            <w:tcW w:w="1838" w:type="pct"/>
            <w:shd w:val="clear" w:color="auto" w:fill="FFFFFF" w:themeFill="background1"/>
          </w:tcPr>
          <w:p w14:paraId="3D257C3A"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Risk management</w:t>
            </w:r>
          </w:p>
        </w:tc>
        <w:tc>
          <w:tcPr>
            <w:tcW w:w="1103" w:type="pct"/>
            <w:shd w:val="clear" w:color="auto" w:fill="FFFFFF" w:themeFill="background1"/>
            <w:vAlign w:val="center"/>
          </w:tcPr>
          <w:p w14:paraId="621BA1D9" w14:textId="77777777" w:rsidR="00570578" w:rsidRPr="00F9716C" w:rsidRDefault="00570578" w:rsidP="008F085B">
            <w:pPr>
              <w:pStyle w:val="Text"/>
              <w:tabs>
                <w:tab w:val="right" w:pos="2304"/>
              </w:tabs>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14.1</w:t>
            </w:r>
          </w:p>
        </w:tc>
        <w:tc>
          <w:tcPr>
            <w:tcW w:w="882" w:type="pct"/>
            <w:shd w:val="clear" w:color="auto" w:fill="F2F2F2" w:themeFill="background1" w:themeFillShade="F2"/>
            <w:vAlign w:val="center"/>
          </w:tcPr>
          <w:p w14:paraId="591CE76F" w14:textId="0835963F"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66</w:t>
            </w:r>
          </w:p>
        </w:tc>
      </w:tr>
      <w:tr w:rsidR="00F9716C" w:rsidRPr="00F9716C" w14:paraId="6C7C7E2E" w14:textId="77777777" w:rsidTr="007662C8">
        <w:trPr>
          <w:cantSplit/>
        </w:trPr>
        <w:tc>
          <w:tcPr>
            <w:tcW w:w="1177" w:type="pct"/>
            <w:vMerge/>
            <w:shd w:val="clear" w:color="auto" w:fill="FFFFFF" w:themeFill="background1"/>
          </w:tcPr>
          <w:p w14:paraId="7E2DF3C0"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43ED15CB"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Audit committee</w:t>
            </w:r>
          </w:p>
        </w:tc>
        <w:tc>
          <w:tcPr>
            <w:tcW w:w="1103" w:type="pct"/>
            <w:shd w:val="clear" w:color="auto" w:fill="FFFFFF" w:themeFill="background1"/>
            <w:vAlign w:val="center"/>
          </w:tcPr>
          <w:p w14:paraId="7969EF20"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14.2</w:t>
            </w:r>
          </w:p>
        </w:tc>
        <w:tc>
          <w:tcPr>
            <w:tcW w:w="882" w:type="pct"/>
            <w:shd w:val="clear" w:color="auto" w:fill="F2F2F2" w:themeFill="background1" w:themeFillShade="F2"/>
            <w:vAlign w:val="center"/>
          </w:tcPr>
          <w:p w14:paraId="70078B6B" w14:textId="2945A4D4"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65</w:t>
            </w:r>
          </w:p>
        </w:tc>
      </w:tr>
      <w:tr w:rsidR="00F9716C" w:rsidRPr="00F9716C" w14:paraId="33F9D447" w14:textId="77777777" w:rsidTr="007662C8">
        <w:trPr>
          <w:cantSplit/>
          <w:trHeight w:val="422"/>
        </w:trPr>
        <w:tc>
          <w:tcPr>
            <w:tcW w:w="1177" w:type="pct"/>
            <w:vMerge/>
            <w:shd w:val="clear" w:color="auto" w:fill="FFFFFF" w:themeFill="background1"/>
          </w:tcPr>
          <w:p w14:paraId="7F01A3B7"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7CF2B12B"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Internal audit</w:t>
            </w:r>
          </w:p>
        </w:tc>
        <w:tc>
          <w:tcPr>
            <w:tcW w:w="1103" w:type="pct"/>
            <w:shd w:val="clear" w:color="auto" w:fill="FFFFFF" w:themeFill="background1"/>
            <w:vAlign w:val="center"/>
          </w:tcPr>
          <w:p w14:paraId="0583AB0C"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14.3</w:t>
            </w:r>
          </w:p>
        </w:tc>
        <w:tc>
          <w:tcPr>
            <w:tcW w:w="882" w:type="pct"/>
            <w:shd w:val="clear" w:color="auto" w:fill="F2F2F2" w:themeFill="background1" w:themeFillShade="F2"/>
            <w:vAlign w:val="center"/>
          </w:tcPr>
          <w:p w14:paraId="2745988B" w14:textId="42EFE2E7"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67</w:t>
            </w:r>
          </w:p>
        </w:tc>
      </w:tr>
      <w:tr w:rsidR="00F9716C" w:rsidRPr="00F9716C" w14:paraId="3D0C5E2C" w14:textId="77777777" w:rsidTr="007662C8">
        <w:trPr>
          <w:cantSplit/>
          <w:trHeight w:val="422"/>
        </w:trPr>
        <w:tc>
          <w:tcPr>
            <w:tcW w:w="1177" w:type="pct"/>
            <w:vMerge/>
            <w:shd w:val="clear" w:color="auto" w:fill="FFFFFF" w:themeFill="background1"/>
          </w:tcPr>
          <w:p w14:paraId="12518216"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5BF834BF"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External scrutiny</w:t>
            </w:r>
          </w:p>
        </w:tc>
        <w:tc>
          <w:tcPr>
            <w:tcW w:w="1103" w:type="pct"/>
            <w:shd w:val="clear" w:color="auto" w:fill="FFFFFF" w:themeFill="background1"/>
            <w:vAlign w:val="center"/>
          </w:tcPr>
          <w:p w14:paraId="5C0C6A69"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14.4</w:t>
            </w:r>
          </w:p>
        </w:tc>
        <w:tc>
          <w:tcPr>
            <w:tcW w:w="882" w:type="pct"/>
            <w:shd w:val="clear" w:color="auto" w:fill="F2F2F2" w:themeFill="background1" w:themeFillShade="F2"/>
            <w:vAlign w:val="center"/>
          </w:tcPr>
          <w:p w14:paraId="635B34FB" w14:textId="4ACC2D9A"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67–69</w:t>
            </w:r>
          </w:p>
        </w:tc>
      </w:tr>
      <w:tr w:rsidR="00F9716C" w:rsidRPr="00F9716C" w14:paraId="397FB2A0" w14:textId="77777777" w:rsidTr="007662C8">
        <w:trPr>
          <w:cantSplit/>
          <w:trHeight w:val="422"/>
        </w:trPr>
        <w:tc>
          <w:tcPr>
            <w:tcW w:w="1177" w:type="pct"/>
            <w:vMerge/>
            <w:shd w:val="clear" w:color="auto" w:fill="FFFFFF" w:themeFill="background1"/>
          </w:tcPr>
          <w:p w14:paraId="1E85816C"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02C2D1FF"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Information systems and recordkeeping</w:t>
            </w:r>
          </w:p>
        </w:tc>
        <w:tc>
          <w:tcPr>
            <w:tcW w:w="1103" w:type="pct"/>
            <w:shd w:val="clear" w:color="auto" w:fill="FFFFFF" w:themeFill="background1"/>
            <w:vAlign w:val="center"/>
          </w:tcPr>
          <w:p w14:paraId="06FEDB3D"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14.5</w:t>
            </w:r>
          </w:p>
        </w:tc>
        <w:tc>
          <w:tcPr>
            <w:tcW w:w="882" w:type="pct"/>
            <w:shd w:val="clear" w:color="auto" w:fill="F2F2F2" w:themeFill="background1" w:themeFillShade="F2"/>
            <w:vAlign w:val="center"/>
          </w:tcPr>
          <w:p w14:paraId="7A2D5E18" w14:textId="54C0B7C8"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70</w:t>
            </w:r>
          </w:p>
        </w:tc>
      </w:tr>
      <w:tr w:rsidR="00F9716C" w:rsidRPr="00F9716C" w14:paraId="4F5EBADB" w14:textId="77777777" w:rsidTr="007662C8">
        <w:trPr>
          <w:cantSplit/>
          <w:trHeight w:val="422"/>
        </w:trPr>
        <w:tc>
          <w:tcPr>
            <w:tcW w:w="1177" w:type="pct"/>
            <w:vMerge/>
            <w:shd w:val="clear" w:color="auto" w:fill="FFFFFF" w:themeFill="background1"/>
          </w:tcPr>
          <w:p w14:paraId="72F46EAD"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2646D8C9"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Information Security attestation</w:t>
            </w:r>
          </w:p>
        </w:tc>
        <w:tc>
          <w:tcPr>
            <w:tcW w:w="1103" w:type="pct"/>
            <w:shd w:val="clear" w:color="auto" w:fill="FFFFFF" w:themeFill="background1"/>
            <w:vAlign w:val="center"/>
          </w:tcPr>
          <w:p w14:paraId="06F76D44"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14.6</w:t>
            </w:r>
          </w:p>
        </w:tc>
        <w:tc>
          <w:tcPr>
            <w:tcW w:w="882" w:type="pct"/>
            <w:shd w:val="clear" w:color="auto" w:fill="F2F2F2" w:themeFill="background1" w:themeFillShade="F2"/>
            <w:vAlign w:val="center"/>
          </w:tcPr>
          <w:p w14:paraId="5D277FCD" w14:textId="2F47DE31"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70</w:t>
            </w:r>
          </w:p>
        </w:tc>
      </w:tr>
      <w:tr w:rsidR="00F9716C" w:rsidRPr="00F9716C" w14:paraId="6147CE50" w14:textId="77777777" w:rsidTr="007662C8">
        <w:trPr>
          <w:cantSplit/>
        </w:trPr>
        <w:tc>
          <w:tcPr>
            <w:tcW w:w="1177" w:type="pct"/>
            <w:vMerge w:val="restart"/>
            <w:shd w:val="clear" w:color="auto" w:fill="FFFFFF" w:themeFill="background1"/>
          </w:tcPr>
          <w:p w14:paraId="0033462B"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Governance – human resources</w:t>
            </w:r>
          </w:p>
        </w:tc>
        <w:tc>
          <w:tcPr>
            <w:tcW w:w="1838" w:type="pct"/>
            <w:shd w:val="clear" w:color="auto" w:fill="FFFFFF" w:themeFill="background1"/>
          </w:tcPr>
          <w:p w14:paraId="4A179498"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Strategic workforce planning and performance</w:t>
            </w:r>
          </w:p>
        </w:tc>
        <w:tc>
          <w:tcPr>
            <w:tcW w:w="1103" w:type="pct"/>
            <w:shd w:val="clear" w:color="auto" w:fill="FFFFFF" w:themeFill="background1"/>
            <w:vAlign w:val="center"/>
          </w:tcPr>
          <w:p w14:paraId="05AC752C"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15.1</w:t>
            </w:r>
          </w:p>
        </w:tc>
        <w:tc>
          <w:tcPr>
            <w:tcW w:w="882" w:type="pct"/>
            <w:shd w:val="clear" w:color="auto" w:fill="F2F2F2" w:themeFill="background1" w:themeFillShade="F2"/>
            <w:vAlign w:val="center"/>
          </w:tcPr>
          <w:p w14:paraId="4417D4B4" w14:textId="3DDE73A0"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43–47</w:t>
            </w:r>
          </w:p>
        </w:tc>
      </w:tr>
      <w:tr w:rsidR="00F9716C" w:rsidRPr="00F9716C" w14:paraId="29B8AAB4" w14:textId="77777777" w:rsidTr="007662C8">
        <w:trPr>
          <w:cantSplit/>
        </w:trPr>
        <w:tc>
          <w:tcPr>
            <w:tcW w:w="1177" w:type="pct"/>
            <w:vMerge/>
            <w:shd w:val="clear" w:color="auto" w:fill="FFFFFF" w:themeFill="background1"/>
          </w:tcPr>
          <w:p w14:paraId="1AC2B37F"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3A6CE036"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Early retirement, redundancy and retrenchment</w:t>
            </w:r>
          </w:p>
        </w:tc>
        <w:tc>
          <w:tcPr>
            <w:tcW w:w="1103" w:type="pct"/>
            <w:shd w:val="clear" w:color="auto" w:fill="FFFFFF" w:themeFill="background1"/>
            <w:vAlign w:val="center"/>
          </w:tcPr>
          <w:p w14:paraId="7DE23F9F" w14:textId="3AD1D6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 xml:space="preserve">Directive No.04/18 </w:t>
            </w:r>
            <w:r w:rsidRPr="00F9716C">
              <w:rPr>
                <w:rFonts w:asciiTheme="minorHAnsi" w:hAnsiTheme="minorHAnsi" w:cstheme="minorHAnsi"/>
                <w:i/>
                <w:color w:val="414042" w:themeColor="text1"/>
                <w:sz w:val="14"/>
                <w:szCs w:val="14"/>
              </w:rPr>
              <w:t>Early Retirement, Redundancy and Retrenchment</w:t>
            </w:r>
          </w:p>
          <w:p w14:paraId="6BAFA5F4"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15.2</w:t>
            </w:r>
          </w:p>
        </w:tc>
        <w:tc>
          <w:tcPr>
            <w:tcW w:w="882" w:type="pct"/>
            <w:shd w:val="clear" w:color="auto" w:fill="F2F2F2" w:themeFill="background1" w:themeFillShade="F2"/>
            <w:vAlign w:val="center"/>
          </w:tcPr>
          <w:p w14:paraId="4C7E70C2" w14:textId="081262D3"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63</w:t>
            </w:r>
          </w:p>
        </w:tc>
      </w:tr>
      <w:tr w:rsidR="00F9716C" w:rsidRPr="00F9716C" w14:paraId="2CD0561B" w14:textId="77777777" w:rsidTr="007662C8">
        <w:trPr>
          <w:cantSplit/>
        </w:trPr>
        <w:tc>
          <w:tcPr>
            <w:tcW w:w="1177" w:type="pct"/>
            <w:vMerge w:val="restart"/>
            <w:shd w:val="clear" w:color="auto" w:fill="FFFFFF" w:themeFill="background1"/>
          </w:tcPr>
          <w:p w14:paraId="2C798845"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Open Data</w:t>
            </w:r>
          </w:p>
        </w:tc>
        <w:tc>
          <w:tcPr>
            <w:tcW w:w="1838" w:type="pct"/>
            <w:shd w:val="clear" w:color="auto" w:fill="FFFFFF" w:themeFill="background1"/>
          </w:tcPr>
          <w:p w14:paraId="4D6D807A"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Statement advising publication of information</w:t>
            </w:r>
          </w:p>
        </w:tc>
        <w:tc>
          <w:tcPr>
            <w:tcW w:w="1103" w:type="pct"/>
            <w:shd w:val="clear" w:color="auto" w:fill="FFFFFF" w:themeFill="background1"/>
            <w:vAlign w:val="center"/>
          </w:tcPr>
          <w:p w14:paraId="7CE6B81C"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16</w:t>
            </w:r>
          </w:p>
        </w:tc>
        <w:tc>
          <w:tcPr>
            <w:tcW w:w="882" w:type="pct"/>
            <w:shd w:val="clear" w:color="auto" w:fill="F2F2F2" w:themeFill="background1" w:themeFillShade="F2"/>
            <w:vAlign w:val="center"/>
          </w:tcPr>
          <w:p w14:paraId="3A320AAD" w14:textId="13C1CF71"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4, 70</w:t>
            </w:r>
          </w:p>
        </w:tc>
      </w:tr>
      <w:tr w:rsidR="00F9716C" w:rsidRPr="00F9716C" w14:paraId="1BBD4F26" w14:textId="77777777" w:rsidTr="007662C8">
        <w:trPr>
          <w:cantSplit/>
        </w:trPr>
        <w:tc>
          <w:tcPr>
            <w:tcW w:w="1177" w:type="pct"/>
            <w:vMerge/>
            <w:shd w:val="clear" w:color="auto" w:fill="FFFFFF" w:themeFill="background1"/>
          </w:tcPr>
          <w:p w14:paraId="4F8419AE"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19DA1A2E"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 xml:space="preserve">Consultancies </w:t>
            </w:r>
          </w:p>
        </w:tc>
        <w:tc>
          <w:tcPr>
            <w:tcW w:w="1103" w:type="pct"/>
            <w:shd w:val="clear" w:color="auto" w:fill="FFFFFF" w:themeFill="background1"/>
            <w:vAlign w:val="center"/>
          </w:tcPr>
          <w:p w14:paraId="5F2B14C0"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31.1</w:t>
            </w:r>
          </w:p>
        </w:tc>
        <w:tc>
          <w:tcPr>
            <w:tcW w:w="882" w:type="pct"/>
            <w:shd w:val="clear" w:color="auto" w:fill="F2F2F2" w:themeFill="background1" w:themeFillShade="F2"/>
            <w:vAlign w:val="center"/>
          </w:tcPr>
          <w:p w14:paraId="12C7F2E1" w14:textId="65796781"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Style w:val="Hyperlink"/>
                <w:rFonts w:asciiTheme="majorHAnsi" w:hAnsiTheme="majorHAnsi" w:cstheme="majorHAnsi"/>
                <w:color w:val="414042" w:themeColor="text1"/>
                <w:sz w:val="14"/>
                <w:szCs w:val="14"/>
              </w:rPr>
              <w:t>https://data.qld.gov.au</w:t>
            </w:r>
          </w:p>
        </w:tc>
      </w:tr>
      <w:tr w:rsidR="00F9716C" w:rsidRPr="00F9716C" w14:paraId="103F1181" w14:textId="77777777" w:rsidTr="007662C8">
        <w:trPr>
          <w:cantSplit/>
        </w:trPr>
        <w:tc>
          <w:tcPr>
            <w:tcW w:w="1177" w:type="pct"/>
            <w:vMerge/>
            <w:shd w:val="clear" w:color="auto" w:fill="FFFFFF" w:themeFill="background1"/>
          </w:tcPr>
          <w:p w14:paraId="48921B21"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28278EEA"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Overseas travel</w:t>
            </w:r>
          </w:p>
        </w:tc>
        <w:tc>
          <w:tcPr>
            <w:tcW w:w="1103" w:type="pct"/>
            <w:shd w:val="clear" w:color="auto" w:fill="FFFFFF" w:themeFill="background1"/>
            <w:vAlign w:val="center"/>
          </w:tcPr>
          <w:p w14:paraId="10A27D41"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31.2</w:t>
            </w:r>
          </w:p>
        </w:tc>
        <w:tc>
          <w:tcPr>
            <w:tcW w:w="882" w:type="pct"/>
            <w:shd w:val="clear" w:color="auto" w:fill="F2F2F2" w:themeFill="background1" w:themeFillShade="F2"/>
            <w:vAlign w:val="center"/>
          </w:tcPr>
          <w:p w14:paraId="44ABDCB6" w14:textId="67D1E8F8"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Style w:val="Hyperlink"/>
                <w:rFonts w:asciiTheme="majorHAnsi" w:hAnsiTheme="majorHAnsi" w:cstheme="majorHAnsi"/>
                <w:color w:val="414042" w:themeColor="text1"/>
                <w:sz w:val="14"/>
                <w:szCs w:val="14"/>
              </w:rPr>
              <w:t>https://data.qld.gov.au</w:t>
            </w:r>
          </w:p>
        </w:tc>
      </w:tr>
      <w:tr w:rsidR="00F9716C" w:rsidRPr="00F9716C" w14:paraId="779749E5" w14:textId="77777777" w:rsidTr="007662C8">
        <w:trPr>
          <w:cantSplit/>
        </w:trPr>
        <w:tc>
          <w:tcPr>
            <w:tcW w:w="1177" w:type="pct"/>
            <w:vMerge/>
            <w:shd w:val="clear" w:color="auto" w:fill="FFFFFF" w:themeFill="background1"/>
          </w:tcPr>
          <w:p w14:paraId="5E8F3E1B"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384E6D26"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Queensland Language Services Policy</w:t>
            </w:r>
          </w:p>
        </w:tc>
        <w:tc>
          <w:tcPr>
            <w:tcW w:w="1103" w:type="pct"/>
            <w:shd w:val="clear" w:color="auto" w:fill="FFFFFF" w:themeFill="background1"/>
            <w:vAlign w:val="center"/>
          </w:tcPr>
          <w:p w14:paraId="33BE0E64"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31.3</w:t>
            </w:r>
          </w:p>
        </w:tc>
        <w:tc>
          <w:tcPr>
            <w:tcW w:w="882" w:type="pct"/>
            <w:shd w:val="clear" w:color="auto" w:fill="F2F2F2" w:themeFill="background1" w:themeFillShade="F2"/>
            <w:vAlign w:val="center"/>
          </w:tcPr>
          <w:p w14:paraId="1D3AE607" w14:textId="7E32527E"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Style w:val="Hyperlink"/>
                <w:rFonts w:asciiTheme="majorHAnsi" w:hAnsiTheme="majorHAnsi" w:cstheme="majorHAnsi"/>
                <w:color w:val="414042" w:themeColor="text1"/>
                <w:sz w:val="14"/>
                <w:szCs w:val="14"/>
              </w:rPr>
              <w:t>https://data.qld.gov.au</w:t>
            </w:r>
          </w:p>
        </w:tc>
      </w:tr>
      <w:tr w:rsidR="00F9716C" w:rsidRPr="00F9716C" w14:paraId="4679695A" w14:textId="77777777" w:rsidTr="007662C8">
        <w:trPr>
          <w:cantSplit/>
        </w:trPr>
        <w:tc>
          <w:tcPr>
            <w:tcW w:w="1177" w:type="pct"/>
            <w:vMerge w:val="restart"/>
            <w:shd w:val="clear" w:color="auto" w:fill="FFFFFF" w:themeFill="background1"/>
          </w:tcPr>
          <w:p w14:paraId="01FACE9B"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Financial statements</w:t>
            </w:r>
          </w:p>
        </w:tc>
        <w:tc>
          <w:tcPr>
            <w:tcW w:w="1838" w:type="pct"/>
            <w:shd w:val="clear" w:color="auto" w:fill="FFFFFF" w:themeFill="background1"/>
          </w:tcPr>
          <w:p w14:paraId="0DD4BFE4"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Certification of financial statements</w:t>
            </w:r>
          </w:p>
        </w:tc>
        <w:tc>
          <w:tcPr>
            <w:tcW w:w="1103" w:type="pct"/>
            <w:shd w:val="clear" w:color="auto" w:fill="FFFFFF" w:themeFill="background1"/>
            <w:vAlign w:val="center"/>
          </w:tcPr>
          <w:p w14:paraId="35D24E6B"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FAA – section 62</w:t>
            </w:r>
          </w:p>
          <w:p w14:paraId="60173F61"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FPMS – sections 38, 39 and 46</w:t>
            </w:r>
          </w:p>
          <w:p w14:paraId="76E74447"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17.1</w:t>
            </w:r>
          </w:p>
        </w:tc>
        <w:tc>
          <w:tcPr>
            <w:tcW w:w="882" w:type="pct"/>
            <w:shd w:val="clear" w:color="auto" w:fill="F2F2F2" w:themeFill="background1" w:themeFillShade="F2"/>
            <w:vAlign w:val="center"/>
          </w:tcPr>
          <w:p w14:paraId="2133420B" w14:textId="0C18935D"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10</w:t>
            </w:r>
            <w:r w:rsidR="002527D1" w:rsidRPr="00A52DF0">
              <w:rPr>
                <w:rFonts w:asciiTheme="majorHAnsi" w:hAnsiTheme="majorHAnsi" w:cstheme="majorHAnsi"/>
                <w:color w:val="414042" w:themeColor="text1"/>
                <w:sz w:val="14"/>
                <w:szCs w:val="14"/>
              </w:rPr>
              <w:t>5</w:t>
            </w:r>
          </w:p>
        </w:tc>
      </w:tr>
      <w:tr w:rsidR="00F9716C" w:rsidRPr="00F9716C" w14:paraId="4E079AE1" w14:textId="77777777" w:rsidTr="007662C8">
        <w:trPr>
          <w:cantSplit/>
        </w:trPr>
        <w:tc>
          <w:tcPr>
            <w:tcW w:w="1177" w:type="pct"/>
            <w:vMerge/>
            <w:shd w:val="clear" w:color="auto" w:fill="FFFFFF" w:themeFill="background1"/>
          </w:tcPr>
          <w:p w14:paraId="3ACB74DE" w14:textId="77777777" w:rsidR="00570578" w:rsidRPr="00F9716C" w:rsidRDefault="00570578" w:rsidP="00570578">
            <w:pPr>
              <w:pStyle w:val="Text"/>
              <w:spacing w:before="0" w:after="0"/>
              <w:rPr>
                <w:rFonts w:asciiTheme="majorHAnsi" w:hAnsiTheme="majorHAnsi" w:cstheme="majorHAnsi"/>
                <w:bCs/>
                <w:color w:val="414042" w:themeColor="text1"/>
                <w:sz w:val="16"/>
                <w:szCs w:val="16"/>
              </w:rPr>
            </w:pPr>
          </w:p>
        </w:tc>
        <w:tc>
          <w:tcPr>
            <w:tcW w:w="1838" w:type="pct"/>
            <w:shd w:val="clear" w:color="auto" w:fill="FFFFFF" w:themeFill="background1"/>
          </w:tcPr>
          <w:p w14:paraId="2A4F33F4" w14:textId="77777777" w:rsidR="00570578" w:rsidRPr="00F9716C" w:rsidRDefault="00570578" w:rsidP="00570578">
            <w:pPr>
              <w:pStyle w:val="Text"/>
              <w:tabs>
                <w:tab w:val="clear" w:pos="1713"/>
              </w:tabs>
              <w:spacing w:before="0" w:after="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Independent Auditor’s Report</w:t>
            </w:r>
          </w:p>
        </w:tc>
        <w:tc>
          <w:tcPr>
            <w:tcW w:w="1103" w:type="pct"/>
            <w:shd w:val="clear" w:color="auto" w:fill="FFFFFF" w:themeFill="background1"/>
            <w:vAlign w:val="center"/>
          </w:tcPr>
          <w:p w14:paraId="3B88E02C"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FAA – section 62</w:t>
            </w:r>
          </w:p>
          <w:p w14:paraId="0D0CCB3C"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FPMS – section 46</w:t>
            </w:r>
          </w:p>
          <w:p w14:paraId="3EDD68B5" w14:textId="6FE09A0A"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17.2</w:t>
            </w:r>
          </w:p>
        </w:tc>
        <w:tc>
          <w:tcPr>
            <w:tcW w:w="882" w:type="pct"/>
            <w:shd w:val="clear" w:color="auto" w:fill="F2F2F2" w:themeFill="background1" w:themeFillShade="F2"/>
            <w:vAlign w:val="center"/>
          </w:tcPr>
          <w:p w14:paraId="4F06AC2A" w14:textId="038AEDEE" w:rsidR="00570578" w:rsidRPr="00A52DF0" w:rsidRDefault="00570578" w:rsidP="00570578">
            <w:pPr>
              <w:pStyle w:val="Text"/>
              <w:spacing w:before="0" w:after="0"/>
              <w:jc w:val="center"/>
              <w:rPr>
                <w:rFonts w:asciiTheme="majorHAnsi" w:hAnsiTheme="majorHAnsi" w:cstheme="majorHAnsi"/>
                <w:color w:val="414042" w:themeColor="text1"/>
                <w:sz w:val="14"/>
                <w:szCs w:val="14"/>
              </w:rPr>
            </w:pPr>
            <w:r w:rsidRPr="00A52DF0">
              <w:rPr>
                <w:rFonts w:asciiTheme="majorHAnsi" w:hAnsiTheme="majorHAnsi" w:cstheme="majorHAnsi"/>
                <w:color w:val="414042" w:themeColor="text1"/>
                <w:sz w:val="14"/>
                <w:szCs w:val="14"/>
              </w:rPr>
              <w:t>10</w:t>
            </w:r>
            <w:r w:rsidR="002527D1" w:rsidRPr="00A52DF0">
              <w:rPr>
                <w:rFonts w:asciiTheme="majorHAnsi" w:hAnsiTheme="majorHAnsi" w:cstheme="majorHAnsi"/>
                <w:color w:val="414042" w:themeColor="text1"/>
                <w:sz w:val="14"/>
                <w:szCs w:val="14"/>
              </w:rPr>
              <w:t>6</w:t>
            </w:r>
            <w:r w:rsidRPr="00A52DF0">
              <w:rPr>
                <w:rFonts w:asciiTheme="majorHAnsi" w:hAnsiTheme="majorHAnsi" w:cstheme="majorHAnsi"/>
                <w:color w:val="414042" w:themeColor="text1"/>
                <w:sz w:val="14"/>
                <w:szCs w:val="14"/>
              </w:rPr>
              <w:t>–</w:t>
            </w:r>
            <w:r w:rsidR="002527D1" w:rsidRPr="00A52DF0">
              <w:rPr>
                <w:rFonts w:asciiTheme="majorHAnsi" w:hAnsiTheme="majorHAnsi" w:cstheme="majorHAnsi"/>
                <w:color w:val="414042" w:themeColor="text1"/>
                <w:sz w:val="14"/>
                <w:szCs w:val="14"/>
              </w:rPr>
              <w:t>107</w:t>
            </w:r>
          </w:p>
        </w:tc>
      </w:tr>
    </w:tbl>
    <w:p w14:paraId="68E62E55" w14:textId="21245EF8" w:rsidR="00980434" w:rsidRPr="007A1087" w:rsidRDefault="00980434" w:rsidP="00714F06">
      <w:pPr>
        <w:spacing w:before="120" w:after="0" w:line="260" w:lineRule="exact"/>
        <w:rPr>
          <w:color w:val="414042" w:themeColor="text1"/>
        </w:rPr>
      </w:pPr>
      <w:r w:rsidRPr="007A1087">
        <w:rPr>
          <w:color w:val="414042" w:themeColor="text1"/>
        </w:rPr>
        <w:br w:type="page"/>
      </w:r>
    </w:p>
    <w:p w14:paraId="3071A11C" w14:textId="77777777" w:rsidR="00707720" w:rsidRPr="007A1087" w:rsidRDefault="00707720">
      <w:pPr>
        <w:spacing w:before="120" w:after="0" w:line="260" w:lineRule="exact"/>
        <w:rPr>
          <w:color w:val="414042" w:themeColor="text1"/>
        </w:rPr>
      </w:pPr>
    </w:p>
    <w:p w14:paraId="7FCE1B4A" w14:textId="77777777" w:rsidR="00707720" w:rsidRPr="007A1087" w:rsidRDefault="00707720">
      <w:pPr>
        <w:spacing w:before="120" w:after="0" w:line="260" w:lineRule="exact"/>
        <w:rPr>
          <w:color w:val="414042" w:themeColor="text1"/>
        </w:rPr>
      </w:pPr>
    </w:p>
    <w:p w14:paraId="2EBD4327" w14:textId="77777777" w:rsidR="00707720" w:rsidRPr="007A1087" w:rsidRDefault="00707720">
      <w:pPr>
        <w:spacing w:before="120" w:after="0" w:line="260" w:lineRule="exact"/>
        <w:rPr>
          <w:color w:val="414042" w:themeColor="text1"/>
        </w:rPr>
      </w:pPr>
    </w:p>
    <w:p w14:paraId="1C77BB66" w14:textId="77777777" w:rsidR="00707720" w:rsidRPr="007A1087" w:rsidRDefault="00707720">
      <w:pPr>
        <w:spacing w:before="120" w:after="0" w:line="260" w:lineRule="exact"/>
        <w:rPr>
          <w:color w:val="414042" w:themeColor="text1"/>
        </w:rPr>
      </w:pPr>
    </w:p>
    <w:p w14:paraId="62A750D7" w14:textId="77777777" w:rsidR="00707720" w:rsidRPr="007A1087" w:rsidRDefault="00707720">
      <w:pPr>
        <w:spacing w:before="120" w:after="0" w:line="260" w:lineRule="exact"/>
        <w:rPr>
          <w:color w:val="414042" w:themeColor="text1"/>
        </w:rPr>
      </w:pPr>
    </w:p>
    <w:p w14:paraId="58B4995E" w14:textId="77777777" w:rsidR="00707720" w:rsidRPr="007A1087" w:rsidRDefault="00707720">
      <w:pPr>
        <w:spacing w:before="120" w:after="0" w:line="260" w:lineRule="exact"/>
        <w:rPr>
          <w:color w:val="414042" w:themeColor="text1"/>
        </w:rPr>
      </w:pPr>
    </w:p>
    <w:p w14:paraId="15730CDE" w14:textId="77777777" w:rsidR="00707720" w:rsidRPr="007A1087" w:rsidRDefault="00707720">
      <w:pPr>
        <w:spacing w:before="120" w:after="0" w:line="260" w:lineRule="exact"/>
        <w:rPr>
          <w:color w:val="414042" w:themeColor="text1"/>
        </w:rPr>
      </w:pPr>
    </w:p>
    <w:p w14:paraId="0CFB10CE" w14:textId="77777777" w:rsidR="00707720" w:rsidRPr="007A1087" w:rsidRDefault="00707720">
      <w:pPr>
        <w:spacing w:before="120" w:after="0" w:line="260" w:lineRule="exact"/>
        <w:rPr>
          <w:color w:val="414042" w:themeColor="text1"/>
        </w:rPr>
      </w:pPr>
    </w:p>
    <w:p w14:paraId="6BD93C22" w14:textId="77777777" w:rsidR="00707720" w:rsidRPr="007A1087" w:rsidRDefault="00707720">
      <w:pPr>
        <w:spacing w:before="120" w:after="0" w:line="260" w:lineRule="exact"/>
        <w:rPr>
          <w:color w:val="414042" w:themeColor="text1"/>
        </w:rPr>
      </w:pPr>
    </w:p>
    <w:p w14:paraId="6DF6A8D2" w14:textId="77777777" w:rsidR="00707720" w:rsidRPr="007A1087" w:rsidRDefault="00707720">
      <w:pPr>
        <w:spacing w:before="120" w:after="0" w:line="260" w:lineRule="exact"/>
        <w:rPr>
          <w:color w:val="414042" w:themeColor="text1"/>
        </w:rPr>
      </w:pPr>
    </w:p>
    <w:p w14:paraId="5A64EF24" w14:textId="77777777" w:rsidR="00707720" w:rsidRPr="007A1087" w:rsidRDefault="00707720">
      <w:pPr>
        <w:spacing w:before="120" w:after="0" w:line="260" w:lineRule="exact"/>
        <w:rPr>
          <w:color w:val="414042" w:themeColor="text1"/>
        </w:rPr>
      </w:pPr>
    </w:p>
    <w:p w14:paraId="760D46A6" w14:textId="77777777" w:rsidR="00707720" w:rsidRPr="007A1087" w:rsidRDefault="00707720">
      <w:pPr>
        <w:spacing w:before="120" w:after="0" w:line="260" w:lineRule="exact"/>
        <w:rPr>
          <w:color w:val="414042" w:themeColor="text1"/>
        </w:rPr>
      </w:pPr>
    </w:p>
    <w:p w14:paraId="4F6D5544" w14:textId="77777777" w:rsidR="00707720" w:rsidRPr="007A1087" w:rsidRDefault="00707720">
      <w:pPr>
        <w:spacing w:before="120" w:after="0" w:line="260" w:lineRule="exact"/>
        <w:rPr>
          <w:color w:val="414042" w:themeColor="text1"/>
        </w:rPr>
      </w:pPr>
    </w:p>
    <w:p w14:paraId="5C58D364" w14:textId="77777777" w:rsidR="00707720" w:rsidRPr="007A1087" w:rsidRDefault="00707720">
      <w:pPr>
        <w:spacing w:before="120" w:after="0" w:line="260" w:lineRule="exact"/>
        <w:rPr>
          <w:color w:val="414042" w:themeColor="text1"/>
        </w:rPr>
      </w:pPr>
    </w:p>
    <w:p w14:paraId="1D18F703" w14:textId="77777777" w:rsidR="00707720" w:rsidRPr="007A1087" w:rsidRDefault="00707720">
      <w:pPr>
        <w:spacing w:before="120" w:after="0" w:line="260" w:lineRule="exact"/>
        <w:rPr>
          <w:color w:val="414042" w:themeColor="text1"/>
        </w:rPr>
      </w:pPr>
    </w:p>
    <w:p w14:paraId="76B558FA" w14:textId="77777777" w:rsidR="00707720" w:rsidRPr="007A1087" w:rsidRDefault="00707720">
      <w:pPr>
        <w:spacing w:before="120" w:after="0" w:line="260" w:lineRule="exact"/>
        <w:rPr>
          <w:color w:val="414042" w:themeColor="text1"/>
        </w:rPr>
      </w:pPr>
    </w:p>
    <w:p w14:paraId="37531758" w14:textId="77777777" w:rsidR="00707720" w:rsidRPr="007A1087" w:rsidRDefault="00707720">
      <w:pPr>
        <w:spacing w:before="120" w:after="0" w:line="260" w:lineRule="exact"/>
        <w:rPr>
          <w:color w:val="414042" w:themeColor="text1"/>
        </w:rPr>
      </w:pPr>
    </w:p>
    <w:p w14:paraId="3F356D25" w14:textId="77777777" w:rsidR="00707720" w:rsidRPr="007A1087" w:rsidRDefault="00707720">
      <w:pPr>
        <w:spacing w:before="120" w:after="0" w:line="260" w:lineRule="exact"/>
        <w:rPr>
          <w:color w:val="414042" w:themeColor="text1"/>
        </w:rPr>
      </w:pPr>
    </w:p>
    <w:p w14:paraId="0E0DE5EA" w14:textId="77777777" w:rsidR="00707720" w:rsidRPr="007A1087" w:rsidRDefault="00707720">
      <w:pPr>
        <w:spacing w:before="120" w:after="0" w:line="260" w:lineRule="exact"/>
        <w:rPr>
          <w:color w:val="414042" w:themeColor="text1"/>
        </w:rPr>
      </w:pPr>
    </w:p>
    <w:p w14:paraId="3851EA4E" w14:textId="77777777" w:rsidR="00707720" w:rsidRPr="007A1087" w:rsidRDefault="00707720">
      <w:pPr>
        <w:spacing w:before="120" w:after="0" w:line="260" w:lineRule="exact"/>
        <w:rPr>
          <w:color w:val="414042" w:themeColor="text1"/>
        </w:rPr>
      </w:pPr>
    </w:p>
    <w:p w14:paraId="6055A2F7" w14:textId="77777777" w:rsidR="00707720" w:rsidRPr="007A1087" w:rsidRDefault="00707720">
      <w:pPr>
        <w:spacing w:before="120" w:after="0" w:line="260" w:lineRule="exact"/>
        <w:rPr>
          <w:color w:val="414042" w:themeColor="text1"/>
        </w:rPr>
      </w:pPr>
    </w:p>
    <w:p w14:paraId="1F960EAD" w14:textId="77777777" w:rsidR="00707720" w:rsidRPr="007A1087" w:rsidRDefault="00707720">
      <w:pPr>
        <w:spacing w:before="120" w:after="0" w:line="260" w:lineRule="exact"/>
        <w:rPr>
          <w:color w:val="414042" w:themeColor="text1"/>
        </w:rPr>
      </w:pPr>
    </w:p>
    <w:p w14:paraId="3C39121E" w14:textId="77777777" w:rsidR="00707720" w:rsidRPr="007A1087" w:rsidRDefault="00707720">
      <w:pPr>
        <w:spacing w:before="120" w:after="0" w:line="260" w:lineRule="exact"/>
        <w:rPr>
          <w:color w:val="414042" w:themeColor="text1"/>
        </w:rPr>
      </w:pPr>
    </w:p>
    <w:p w14:paraId="5A54D8B7" w14:textId="77777777" w:rsidR="00707720" w:rsidRPr="007A1087" w:rsidRDefault="00707720">
      <w:pPr>
        <w:spacing w:before="120" w:after="0" w:line="260" w:lineRule="exact"/>
        <w:rPr>
          <w:color w:val="414042" w:themeColor="text1"/>
        </w:rPr>
      </w:pPr>
    </w:p>
    <w:p w14:paraId="2AAA27AC" w14:textId="77777777" w:rsidR="00707720" w:rsidRPr="007A1087" w:rsidRDefault="00707720">
      <w:pPr>
        <w:spacing w:before="120" w:after="0" w:line="260" w:lineRule="exact"/>
        <w:rPr>
          <w:color w:val="414042" w:themeColor="text1"/>
        </w:rPr>
      </w:pPr>
    </w:p>
    <w:p w14:paraId="6659F978" w14:textId="77777777" w:rsidR="00707720" w:rsidRPr="007A1087" w:rsidRDefault="00707720">
      <w:pPr>
        <w:spacing w:before="120" w:after="0" w:line="260" w:lineRule="exact"/>
        <w:rPr>
          <w:color w:val="414042" w:themeColor="text1"/>
        </w:rPr>
      </w:pPr>
    </w:p>
    <w:p w14:paraId="19A1D36A" w14:textId="77777777" w:rsidR="00707720" w:rsidRPr="007A1087" w:rsidRDefault="00707720">
      <w:pPr>
        <w:spacing w:before="120" w:after="0" w:line="260" w:lineRule="exact"/>
        <w:rPr>
          <w:color w:val="414042" w:themeColor="text1"/>
        </w:rPr>
      </w:pPr>
    </w:p>
    <w:p w14:paraId="379CABD3" w14:textId="77777777" w:rsidR="00707720" w:rsidRPr="007A1087" w:rsidRDefault="00707720">
      <w:pPr>
        <w:spacing w:before="120" w:after="0" w:line="260" w:lineRule="exact"/>
        <w:rPr>
          <w:color w:val="414042" w:themeColor="text1"/>
        </w:rPr>
      </w:pPr>
    </w:p>
    <w:p w14:paraId="7C2D9BE4" w14:textId="77777777" w:rsidR="00707720" w:rsidRPr="007A1087" w:rsidRDefault="00707720">
      <w:pPr>
        <w:spacing w:before="120" w:after="0" w:line="260" w:lineRule="exact"/>
        <w:rPr>
          <w:color w:val="414042" w:themeColor="text1"/>
        </w:rPr>
      </w:pPr>
    </w:p>
    <w:p w14:paraId="4CBC0C0C" w14:textId="77777777" w:rsidR="00707720" w:rsidRPr="007A1087" w:rsidRDefault="00707720">
      <w:pPr>
        <w:spacing w:before="120" w:after="0" w:line="260" w:lineRule="exact"/>
        <w:rPr>
          <w:color w:val="414042" w:themeColor="text1"/>
        </w:rPr>
      </w:pPr>
    </w:p>
    <w:p w14:paraId="26A2D825" w14:textId="77777777" w:rsidR="00707720" w:rsidRPr="007A1087" w:rsidRDefault="00707720">
      <w:pPr>
        <w:spacing w:before="120" w:after="0" w:line="260" w:lineRule="exact"/>
        <w:rPr>
          <w:color w:val="414042" w:themeColor="text1"/>
        </w:rPr>
      </w:pPr>
    </w:p>
    <w:p w14:paraId="6323644F" w14:textId="77777777" w:rsidR="00707720" w:rsidRPr="007A1087" w:rsidRDefault="00707720">
      <w:pPr>
        <w:spacing w:before="120" w:after="0" w:line="260" w:lineRule="exact"/>
        <w:rPr>
          <w:color w:val="414042" w:themeColor="text1"/>
        </w:rPr>
      </w:pPr>
    </w:p>
    <w:p w14:paraId="340D0ED2" w14:textId="77777777" w:rsidR="00707720" w:rsidRPr="007A1087" w:rsidRDefault="00707720">
      <w:pPr>
        <w:spacing w:before="120" w:after="0" w:line="260" w:lineRule="exact"/>
        <w:rPr>
          <w:color w:val="414042" w:themeColor="text1"/>
        </w:rPr>
      </w:pPr>
    </w:p>
    <w:p w14:paraId="43CA571B" w14:textId="5FCC19F7" w:rsidR="00980434" w:rsidRPr="007A1087" w:rsidRDefault="00965624" w:rsidP="00820EDD">
      <w:pPr>
        <w:spacing w:before="120" w:after="0" w:line="260" w:lineRule="exact"/>
        <w:jc w:val="center"/>
        <w:rPr>
          <w:color w:val="414042" w:themeColor="text1"/>
        </w:rPr>
        <w:sectPr w:rsidR="00980434" w:rsidRPr="007A1087" w:rsidSect="00C77834">
          <w:headerReference w:type="even" r:id="rId322"/>
          <w:headerReference w:type="default" r:id="rId323"/>
          <w:footerReference w:type="even" r:id="rId324"/>
          <w:headerReference w:type="first" r:id="rId325"/>
          <w:pgSz w:w="11906" w:h="16838" w:code="9"/>
          <w:pgMar w:top="2155" w:right="1134" w:bottom="964" w:left="1134" w:header="720" w:footer="284" w:gutter="0"/>
          <w:cols w:space="567"/>
          <w:noEndnote/>
          <w:docGrid w:linePitch="272"/>
        </w:sectPr>
      </w:pPr>
      <w:r w:rsidRPr="007A1087">
        <w:rPr>
          <w:color w:val="414042" w:themeColor="text1"/>
        </w:rPr>
        <w:t>This page has been left intentionally blank.</w:t>
      </w:r>
      <w:r w:rsidR="00CA7F44" w:rsidRPr="007A1087">
        <w:rPr>
          <w:color w:val="414042" w:themeColor="text1"/>
        </w:rPr>
        <w:br w:type="page"/>
      </w:r>
    </w:p>
    <w:p w14:paraId="31EA0553" w14:textId="3CB50E91" w:rsidR="00F83949" w:rsidRPr="00B62C45" w:rsidRDefault="00737C3B" w:rsidP="00714F06">
      <w:pPr>
        <w:spacing w:before="120" w:after="0" w:line="260" w:lineRule="exact"/>
        <w:rPr>
          <w:strike/>
          <w:color w:val="414042" w:themeColor="text1"/>
        </w:rPr>
      </w:pPr>
      <w:r>
        <w:rPr>
          <w:noProof/>
        </w:rPr>
        <w:drawing>
          <wp:anchor distT="0" distB="0" distL="114300" distR="114300" simplePos="0" relativeHeight="252490752" behindDoc="1" locked="0" layoutInCell="1" allowOverlap="1" wp14:anchorId="45982D57" wp14:editId="593D89CE">
            <wp:simplePos x="0" y="0"/>
            <wp:positionH relativeFrom="column">
              <wp:posOffset>-720535</wp:posOffset>
            </wp:positionH>
            <wp:positionV relativeFrom="paragraph">
              <wp:posOffset>-1356360</wp:posOffset>
            </wp:positionV>
            <wp:extent cx="7551420" cy="10681970"/>
            <wp:effectExtent l="0" t="0" r="0" b="5080"/>
            <wp:wrapNone/>
            <wp:docPr id="2087419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19244" name="Picture 2"/>
                    <pic:cNvPicPr/>
                  </pic:nvPicPr>
                  <pic:blipFill>
                    <a:blip r:embed="rId326">
                      <a:extLst>
                        <a:ext uri="{28A0092B-C50C-407E-A947-70E740481C1C}">
                          <a14:useLocalDpi xmlns:a14="http://schemas.microsoft.com/office/drawing/2010/main" val="0"/>
                        </a:ext>
                      </a:extLst>
                    </a:blip>
                    <a:stretch>
                      <a:fillRect/>
                    </a:stretch>
                  </pic:blipFill>
                  <pic:spPr>
                    <a:xfrm>
                      <a:off x="0" y="0"/>
                      <a:ext cx="7551420" cy="10681970"/>
                    </a:xfrm>
                    <a:prstGeom prst="rect">
                      <a:avLst/>
                    </a:prstGeom>
                  </pic:spPr>
                </pic:pic>
              </a:graphicData>
            </a:graphic>
            <wp14:sizeRelH relativeFrom="page">
              <wp14:pctWidth>0</wp14:pctWidth>
            </wp14:sizeRelH>
            <wp14:sizeRelV relativeFrom="page">
              <wp14:pctHeight>0</wp14:pctHeight>
            </wp14:sizeRelV>
          </wp:anchor>
        </w:drawing>
      </w:r>
      <w:bookmarkEnd w:id="0"/>
      <w:r w:rsidR="0003412B" w:rsidRPr="00B62C45">
        <w:rPr>
          <w:strike/>
          <w:color w:val="414042" w:themeColor="text1"/>
        </w:rPr>
        <w:t xml:space="preserve"> </w:t>
      </w:r>
    </w:p>
    <w:sectPr w:rsidR="00F83949" w:rsidRPr="00B62C45" w:rsidSect="00C77834">
      <w:headerReference w:type="even" r:id="rId327"/>
      <w:headerReference w:type="default" r:id="rId328"/>
      <w:footerReference w:type="even" r:id="rId329"/>
      <w:footerReference w:type="default" r:id="rId330"/>
      <w:headerReference w:type="first" r:id="rId331"/>
      <w:pgSz w:w="11906" w:h="16838" w:code="9"/>
      <w:pgMar w:top="2155" w:right="1134" w:bottom="964" w:left="1134" w:header="720" w:footer="284" w:gutter="0"/>
      <w:cols w:space="567"/>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76A64" w14:textId="77777777" w:rsidR="00E37A75" w:rsidRDefault="00E37A75" w:rsidP="008F384A">
      <w:pPr>
        <w:spacing w:after="0"/>
      </w:pPr>
      <w:r>
        <w:separator/>
      </w:r>
    </w:p>
  </w:endnote>
  <w:endnote w:type="continuationSeparator" w:id="0">
    <w:p w14:paraId="1134AF49" w14:textId="77777777" w:rsidR="00E37A75" w:rsidRDefault="00E37A75" w:rsidP="008F38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Pro-Regular">
    <w:altName w:val="Calibri"/>
    <w:panose1 w:val="00000000000000000000"/>
    <w:charset w:val="00"/>
    <w:family w:val="auto"/>
    <w:notTrueType/>
    <w:pitch w:val="default"/>
    <w:sig w:usb0="00000003" w:usb1="00000000" w:usb2="00000000" w:usb3="00000000" w:csb0="00000001" w:csb1="00000000"/>
  </w:font>
  <w:font w:name="Dax-Bold 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axPro-Bold">
    <w:panose1 w:val="020B0804030101020102"/>
    <w:charset w:val="00"/>
    <w:family w:val="swiss"/>
    <w:notTrueType/>
    <w:pitch w:val="variable"/>
    <w:sig w:usb0="A00002BF" w:usb1="4000A4FB" w:usb2="00000000" w:usb3="00000000" w:csb0="0000009F" w:csb1="00000000"/>
  </w:font>
  <w:font w:name="DaxPro-Medium">
    <w:panose1 w:val="020B0604030101020102"/>
    <w:charset w:val="00"/>
    <w:family w:val="swiss"/>
    <w:notTrueType/>
    <w:pitch w:val="variable"/>
    <w:sig w:usb0="A00002BF" w:usb1="4000A4FB" w:usb2="00000000" w:usb3="00000000" w:csb0="0000009F" w:csb1="00000000"/>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84712" w14:textId="0073D4A5" w:rsidR="005F42AC" w:rsidRPr="0006746C" w:rsidRDefault="00507575" w:rsidP="002D5AE6">
    <w:pPr>
      <w:pStyle w:val="Footer"/>
      <w:spacing w:after="0"/>
      <w:rPr>
        <w:b/>
        <w:bCs/>
        <w:color w:val="414042" w:themeColor="text1"/>
        <w:sz w:val="26"/>
        <w:szCs w:val="26"/>
      </w:rPr>
    </w:pPr>
    <w:sdt>
      <w:sdtPr>
        <w:rPr>
          <w:b/>
          <w:bCs/>
          <w:color w:val="414042" w:themeColor="text1"/>
          <w:sz w:val="28"/>
          <w:szCs w:val="28"/>
        </w:rPr>
        <w:id w:val="807902356"/>
        <w:docPartObj>
          <w:docPartGallery w:val="Page Numbers (Bottom of Page)"/>
          <w:docPartUnique/>
        </w:docPartObj>
      </w:sdtPr>
      <w:sdtEndPr>
        <w:rPr>
          <w:noProof/>
          <w:sz w:val="26"/>
          <w:szCs w:val="26"/>
        </w:rPr>
      </w:sdtEndPr>
      <w:sdtContent>
        <w:r w:rsidR="005F42AC" w:rsidRPr="009846B4">
          <w:rPr>
            <w:rStyle w:val="PagenumberChar"/>
          </w:rPr>
          <w:fldChar w:fldCharType="begin"/>
        </w:r>
        <w:r w:rsidR="005F42AC" w:rsidRPr="009846B4">
          <w:rPr>
            <w:rStyle w:val="PagenumberChar"/>
          </w:rPr>
          <w:instrText xml:space="preserve"> PAGE   \* MERGEFORMAT </w:instrText>
        </w:r>
        <w:r w:rsidR="005F42AC" w:rsidRPr="009846B4">
          <w:rPr>
            <w:rStyle w:val="PagenumberChar"/>
          </w:rPr>
          <w:fldChar w:fldCharType="separate"/>
        </w:r>
        <w:r w:rsidR="005F42AC" w:rsidRPr="009846B4">
          <w:rPr>
            <w:rStyle w:val="PagenumberChar"/>
          </w:rPr>
          <w:t>2</w:t>
        </w:r>
        <w:r w:rsidR="005F42AC" w:rsidRPr="009846B4">
          <w:rPr>
            <w:rStyle w:val="PagenumberChar"/>
          </w:rPr>
          <w:fldChar w:fldCharType="end"/>
        </w:r>
        <w:r w:rsidR="005F42AC" w:rsidRPr="005A3524">
          <w:rPr>
            <w:rFonts w:cs="Calibri Light"/>
            <w:caps/>
            <w:color w:val="58585B"/>
            <w:sz w:val="16"/>
            <w:szCs w:val="16"/>
          </w:rPr>
          <w:t xml:space="preserve"> </w:t>
        </w:r>
        <w:r w:rsidR="005F42AC">
          <w:rPr>
            <w:rFonts w:cs="Calibri Light"/>
            <w:caps/>
            <w:color w:val="58585B"/>
            <w:sz w:val="16"/>
            <w:szCs w:val="16"/>
          </w:rPr>
          <w:tab/>
          <w:t xml:space="preserve">                                    </w:t>
        </w:r>
        <w:r w:rsidR="005F42AC" w:rsidRPr="005A3524">
          <w:rPr>
            <w:rFonts w:cs="Calibri Light"/>
            <w:caps/>
            <w:color w:val="58585B"/>
            <w:sz w:val="16"/>
            <w:szCs w:val="16"/>
          </w:rPr>
          <w:t xml:space="preserve">annual report </w:t>
        </w:r>
        <w:r w:rsidR="00370F00">
          <w:rPr>
            <w:rFonts w:cs="Calibri Light"/>
            <w:caps/>
            <w:color w:val="58585B"/>
            <w:sz w:val="16"/>
            <w:szCs w:val="16"/>
          </w:rPr>
          <w:t>2023–24</w:t>
        </w:r>
        <w:r w:rsidR="005F42AC">
          <w:rPr>
            <w:rFonts w:cs="Calibri Light"/>
            <w:caps/>
            <w:color w:val="58585B"/>
            <w:sz w:val="16"/>
            <w:szCs w:val="16"/>
          </w:rPr>
          <w:t xml:space="preserve">   </w:t>
        </w:r>
        <w:r w:rsidR="005F42AC" w:rsidRPr="005A3524">
          <w:rPr>
            <w:rFonts w:cs="Calibri Light"/>
            <w:caps/>
            <w:color w:val="58585B"/>
            <w:sz w:val="16"/>
            <w:szCs w:val="16"/>
          </w:rPr>
          <w:t xml:space="preserve">    </w:t>
        </w:r>
        <w:r w:rsidR="005F42AC">
          <w:rPr>
            <w:rFonts w:cs="Calibri Light"/>
            <w:caps/>
            <w:color w:val="58585B"/>
            <w:sz w:val="16"/>
            <w:szCs w:val="16"/>
          </w:rPr>
          <w:t xml:space="preserve"> </w:t>
        </w:r>
        <w:r w:rsidR="005F42AC" w:rsidRPr="005A3524">
          <w:rPr>
            <w:rFonts w:cs="Calibri Light"/>
            <w:caps/>
            <w:color w:val="58585B"/>
            <w:sz w:val="16"/>
            <w:szCs w:val="16"/>
          </w:rPr>
          <w:t xml:space="preserve"> </w:t>
        </w:r>
        <w:r w:rsidR="005F42AC" w:rsidRPr="005A3524">
          <w:rPr>
            <w:rFonts w:ascii="Calibri" w:hAnsi="Calibri" w:cs="Calibri"/>
            <w:b/>
            <w:bCs/>
            <w:caps/>
            <w:color w:val="404041"/>
            <w:sz w:val="16"/>
            <w:szCs w:val="16"/>
          </w:rPr>
          <w:t>crime and corruption commission</w:t>
        </w:r>
        <w:r w:rsidR="005F42AC">
          <w:rPr>
            <w:rFonts w:ascii="Calibri" w:hAnsi="Calibri" w:cs="Calibri"/>
            <w:b/>
            <w:bCs/>
            <w:caps/>
            <w:color w:val="404041"/>
            <w:sz w:val="16"/>
            <w:szCs w:val="16"/>
          </w:rPr>
          <w:t xml:space="preserve">                                                 </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57DBE" w14:textId="5A121F32" w:rsidR="00507AF5" w:rsidRPr="00E65504" w:rsidRDefault="00507575" w:rsidP="00E65504">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584807542"/>
        <w:docPartObj>
          <w:docPartGallery w:val="Page Numbers (Bottom of Page)"/>
          <w:docPartUnique/>
        </w:docPartObj>
      </w:sdtPr>
      <w:sdtEndPr>
        <w:rPr>
          <w:noProof/>
          <w:sz w:val="26"/>
          <w:szCs w:val="26"/>
        </w:rPr>
      </w:sdtEndPr>
      <w:sdtContent>
        <w:r w:rsidR="00507AF5" w:rsidRPr="003550DF">
          <w:rPr>
            <w:rFonts w:asciiTheme="majorHAnsi" w:hAnsiTheme="majorHAnsi" w:cstheme="majorHAnsi"/>
            <w:b/>
            <w:bCs/>
            <w:color w:val="414042" w:themeColor="text1"/>
            <w:sz w:val="20"/>
            <w:szCs w:val="20"/>
          </w:rPr>
          <w:fldChar w:fldCharType="begin"/>
        </w:r>
        <w:r w:rsidR="00507AF5" w:rsidRPr="003550DF">
          <w:rPr>
            <w:rFonts w:asciiTheme="majorHAnsi" w:hAnsiTheme="majorHAnsi" w:cstheme="majorHAnsi"/>
            <w:b/>
            <w:bCs/>
            <w:color w:val="414042" w:themeColor="text1"/>
            <w:sz w:val="20"/>
            <w:szCs w:val="20"/>
          </w:rPr>
          <w:instrText xml:space="preserve"> PAGE   \* MERGEFORMAT </w:instrText>
        </w:r>
        <w:r w:rsidR="00507AF5" w:rsidRPr="003550DF">
          <w:rPr>
            <w:rFonts w:asciiTheme="majorHAnsi" w:hAnsiTheme="majorHAnsi" w:cstheme="majorHAnsi"/>
            <w:b/>
            <w:bCs/>
            <w:color w:val="414042" w:themeColor="text1"/>
            <w:sz w:val="20"/>
            <w:szCs w:val="20"/>
          </w:rPr>
          <w:fldChar w:fldCharType="separate"/>
        </w:r>
        <w:r w:rsidR="00507AF5" w:rsidRPr="003550DF">
          <w:rPr>
            <w:rFonts w:asciiTheme="majorHAnsi" w:hAnsiTheme="majorHAnsi" w:cstheme="majorHAnsi"/>
            <w:b/>
            <w:bCs/>
            <w:color w:val="414042" w:themeColor="text1"/>
            <w:sz w:val="20"/>
            <w:szCs w:val="20"/>
          </w:rPr>
          <w:t>2</w:t>
        </w:r>
        <w:r w:rsidR="00507AF5" w:rsidRPr="003550DF">
          <w:rPr>
            <w:rFonts w:asciiTheme="majorHAnsi" w:hAnsiTheme="majorHAnsi" w:cstheme="majorHAnsi"/>
            <w:b/>
            <w:bCs/>
            <w:noProof/>
            <w:color w:val="414042" w:themeColor="text1"/>
            <w:sz w:val="20"/>
            <w:szCs w:val="20"/>
          </w:rPr>
          <w:fldChar w:fldCharType="end"/>
        </w:r>
        <w:r w:rsidR="00507AF5" w:rsidRPr="003550DF">
          <w:rPr>
            <w:rFonts w:ascii="Calibri Light" w:hAnsi="Calibri Light" w:cs="Calibri Light"/>
            <w:caps/>
            <w:color w:val="58585B"/>
            <w:sz w:val="10"/>
            <w:szCs w:val="10"/>
          </w:rPr>
          <w:t xml:space="preserve">   </w:t>
        </w:r>
        <w:r w:rsidR="00507AF5">
          <w:rPr>
            <w:rFonts w:ascii="Calibri Light" w:hAnsi="Calibri Light" w:cs="Calibri Light"/>
            <w:caps/>
            <w:color w:val="58585B"/>
            <w:sz w:val="16"/>
            <w:szCs w:val="16"/>
          </w:rPr>
          <w:t xml:space="preserve">                                              </w:t>
        </w:r>
        <w:r w:rsidR="00AF2677">
          <w:rPr>
            <w:rFonts w:ascii="Calibri Light" w:hAnsi="Calibri Light" w:cs="Calibri Light"/>
            <w:caps/>
            <w:color w:val="58585B"/>
            <w:sz w:val="16"/>
            <w:szCs w:val="16"/>
          </w:rPr>
          <w:t xml:space="preserve">     </w:t>
        </w:r>
        <w:r w:rsidR="00507AF5">
          <w:rPr>
            <w:rFonts w:ascii="Calibri Light" w:hAnsi="Calibri Light" w:cs="Calibri Light"/>
            <w:caps/>
            <w:color w:val="58585B"/>
            <w:sz w:val="16"/>
            <w:szCs w:val="16"/>
          </w:rPr>
          <w:t xml:space="preserve">                          </w:t>
        </w:r>
        <w:r w:rsidR="00507AF5" w:rsidRPr="005A3524">
          <w:rPr>
            <w:rFonts w:ascii="Calibri Light" w:hAnsi="Calibri Light" w:cs="Calibri Light"/>
            <w:caps/>
            <w:color w:val="58585B"/>
            <w:sz w:val="16"/>
            <w:szCs w:val="16"/>
          </w:rPr>
          <w:t xml:space="preserve">annual report </w:t>
        </w:r>
        <w:r w:rsidR="00370F00">
          <w:rPr>
            <w:rFonts w:ascii="Calibri Light" w:hAnsi="Calibri Light" w:cs="Calibri Light"/>
            <w:caps/>
            <w:color w:val="58585B"/>
            <w:sz w:val="16"/>
            <w:szCs w:val="16"/>
          </w:rPr>
          <w:t>2023–24</w:t>
        </w:r>
        <w:r w:rsidR="00507AF5" w:rsidRPr="005A3524">
          <w:rPr>
            <w:rFonts w:ascii="Calibri Light" w:hAnsi="Calibri Light" w:cs="Calibri Light"/>
            <w:caps/>
            <w:color w:val="58585B"/>
            <w:sz w:val="16"/>
            <w:szCs w:val="16"/>
          </w:rPr>
          <w:t xml:space="preserve">         </w:t>
        </w:r>
        <w:r w:rsidR="00507AF5" w:rsidRPr="005A3524">
          <w:rPr>
            <w:rFonts w:ascii="Calibri" w:hAnsi="Calibri" w:cs="Calibri"/>
            <w:b/>
            <w:bCs/>
            <w:caps/>
            <w:color w:val="404041"/>
            <w:sz w:val="16"/>
            <w:szCs w:val="16"/>
          </w:rPr>
          <w:t>crime and corruption commission</w:t>
        </w:r>
        <w:r w:rsidR="00507AF5">
          <w:rPr>
            <w:rFonts w:ascii="Calibri" w:hAnsi="Calibri" w:cs="Calibri"/>
            <w:b/>
            <w:bCs/>
            <w:caps/>
            <w:color w:val="404041"/>
            <w:sz w:val="16"/>
            <w:szCs w:val="16"/>
          </w:rPr>
          <w:t xml:space="preserve"> </w:t>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465D0" w14:textId="77777777" w:rsidR="00507AF5" w:rsidRDefault="00507AF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AD42E" w14:textId="46A682E2" w:rsidR="002227D3" w:rsidRPr="00C072F0" w:rsidRDefault="00507575" w:rsidP="00C072F0">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417482682"/>
        <w:docPartObj>
          <w:docPartGallery w:val="Page Numbers (Bottom of Page)"/>
          <w:docPartUnique/>
        </w:docPartObj>
      </w:sdtPr>
      <w:sdtEndPr>
        <w:rPr>
          <w:noProof/>
          <w:sz w:val="26"/>
          <w:szCs w:val="26"/>
        </w:rPr>
      </w:sdtEndPr>
      <w:sdtContent>
        <w:r w:rsidR="002227D3">
          <w:rPr>
            <w:rFonts w:ascii="Calibri Light" w:hAnsi="Calibri Light" w:cs="Calibri Light"/>
            <w:caps/>
            <w:color w:val="58585B"/>
            <w:sz w:val="16"/>
            <w:szCs w:val="16"/>
          </w:rPr>
          <w:t xml:space="preserve">                                                                                  </w:t>
        </w:r>
        <w:r w:rsidR="002227D3" w:rsidRPr="005A3524">
          <w:rPr>
            <w:rFonts w:ascii="Calibri Light" w:hAnsi="Calibri Light" w:cs="Calibri Light"/>
            <w:caps/>
            <w:color w:val="58585B"/>
            <w:sz w:val="16"/>
            <w:szCs w:val="16"/>
          </w:rPr>
          <w:t xml:space="preserve">annual report </w:t>
        </w:r>
        <w:r w:rsidR="00370F00">
          <w:rPr>
            <w:rFonts w:ascii="Calibri Light" w:hAnsi="Calibri Light" w:cs="Calibri Light"/>
            <w:caps/>
            <w:color w:val="58585B"/>
            <w:sz w:val="16"/>
            <w:szCs w:val="16"/>
          </w:rPr>
          <w:t>2023–24</w:t>
        </w:r>
        <w:r w:rsidR="002227D3" w:rsidRPr="005A3524">
          <w:rPr>
            <w:rFonts w:ascii="Calibri Light" w:hAnsi="Calibri Light" w:cs="Calibri Light"/>
            <w:caps/>
            <w:color w:val="58585B"/>
            <w:sz w:val="16"/>
            <w:szCs w:val="16"/>
          </w:rPr>
          <w:t xml:space="preserve">         </w:t>
        </w:r>
        <w:r w:rsidR="002227D3" w:rsidRPr="005A3524">
          <w:rPr>
            <w:rFonts w:ascii="Calibri" w:hAnsi="Calibri" w:cs="Calibri"/>
            <w:b/>
            <w:bCs/>
            <w:caps/>
            <w:color w:val="404041"/>
            <w:sz w:val="16"/>
            <w:szCs w:val="16"/>
          </w:rPr>
          <w:t>crime and corruption commission</w:t>
        </w:r>
        <w:r w:rsidR="002227D3">
          <w:rPr>
            <w:rFonts w:ascii="Calibri" w:hAnsi="Calibri" w:cs="Calibri"/>
            <w:b/>
            <w:bCs/>
            <w:caps/>
            <w:color w:val="404041"/>
            <w:sz w:val="16"/>
            <w:szCs w:val="16"/>
          </w:rPr>
          <w:tab/>
        </w:r>
        <w:r w:rsidR="002227D3">
          <w:rPr>
            <w:rFonts w:ascii="Calibri" w:hAnsi="Calibri" w:cs="Calibri"/>
            <w:b/>
            <w:bCs/>
            <w:caps/>
            <w:color w:val="404041"/>
            <w:sz w:val="16"/>
            <w:szCs w:val="16"/>
          </w:rPr>
          <w:tab/>
        </w:r>
        <w:r w:rsidR="002227D3">
          <w:rPr>
            <w:rFonts w:ascii="Calibri" w:hAnsi="Calibri" w:cs="Calibri"/>
            <w:b/>
            <w:bCs/>
            <w:caps/>
            <w:color w:val="404041"/>
            <w:sz w:val="16"/>
            <w:szCs w:val="16"/>
          </w:rPr>
          <w:tab/>
        </w:r>
        <w:r w:rsidR="002227D3" w:rsidRPr="00811C7B">
          <w:rPr>
            <w:rStyle w:val="PagenumberChar"/>
          </w:rPr>
          <w:fldChar w:fldCharType="begin"/>
        </w:r>
        <w:r w:rsidR="002227D3" w:rsidRPr="00811C7B">
          <w:rPr>
            <w:rStyle w:val="PagenumberChar"/>
          </w:rPr>
          <w:instrText xml:space="preserve"> PAGE   \* MERGEFORMAT </w:instrText>
        </w:r>
        <w:r w:rsidR="002227D3" w:rsidRPr="00811C7B">
          <w:rPr>
            <w:rStyle w:val="PagenumberChar"/>
          </w:rPr>
          <w:fldChar w:fldCharType="separate"/>
        </w:r>
        <w:r w:rsidR="002227D3" w:rsidRPr="00811C7B">
          <w:rPr>
            <w:rStyle w:val="PagenumberChar"/>
          </w:rPr>
          <w:t>11</w:t>
        </w:r>
        <w:r w:rsidR="002227D3" w:rsidRPr="00811C7B">
          <w:rPr>
            <w:rStyle w:val="PagenumberChar"/>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EB9A8" w14:textId="1252009D" w:rsidR="007608E7" w:rsidRPr="00C449F8" w:rsidRDefault="00CE578F" w:rsidP="00C449F8">
    <w:pPr>
      <w:pStyle w:val="Footer"/>
      <w:spacing w:after="0"/>
      <w:jc w:val="right"/>
      <w:rPr>
        <w:b/>
        <w:bCs/>
        <w:color w:val="414042" w:themeColor="text1"/>
        <w:sz w:val="26"/>
        <w:szCs w:val="26"/>
      </w:rPr>
    </w:pPr>
    <w:r>
      <w:rPr>
        <w:noProof/>
      </w:rPr>
      <w:drawing>
        <wp:anchor distT="0" distB="0" distL="114300" distR="114300" simplePos="0" relativeHeight="251663360" behindDoc="1" locked="0" layoutInCell="1" allowOverlap="1" wp14:anchorId="09BF7671" wp14:editId="28C288AD">
          <wp:simplePos x="0" y="0"/>
          <wp:positionH relativeFrom="page">
            <wp:posOffset>-60821</wp:posOffset>
          </wp:positionH>
          <wp:positionV relativeFrom="paragraph">
            <wp:posOffset>459101</wp:posOffset>
          </wp:positionV>
          <wp:extent cx="7558765" cy="10691997"/>
          <wp:effectExtent l="0" t="0" r="0" b="0"/>
          <wp:wrapNone/>
          <wp:docPr id="1403445669" name="Picture 140344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00AF2677">
      <w:rPr>
        <w:noProof/>
      </w:rPr>
      <w:drawing>
        <wp:anchor distT="0" distB="0" distL="114300" distR="114300" simplePos="0" relativeHeight="251583488" behindDoc="1" locked="0" layoutInCell="1" allowOverlap="1" wp14:anchorId="5E139459" wp14:editId="4E233838">
          <wp:simplePos x="0" y="0"/>
          <wp:positionH relativeFrom="page">
            <wp:posOffset>-2540</wp:posOffset>
          </wp:positionH>
          <wp:positionV relativeFrom="paragraph">
            <wp:posOffset>445770</wp:posOffset>
          </wp:positionV>
          <wp:extent cx="7558405" cy="10691495"/>
          <wp:effectExtent l="0" t="0" r="0" b="0"/>
          <wp:wrapNone/>
          <wp:docPr id="24431796" name="Picture 2443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sdt>
      <w:sdtPr>
        <w:rPr>
          <w:b/>
          <w:bCs/>
          <w:color w:val="414042" w:themeColor="text1"/>
          <w:sz w:val="28"/>
          <w:szCs w:val="28"/>
        </w:rPr>
        <w:id w:val="616726770"/>
        <w:docPartObj>
          <w:docPartGallery w:val="Page Numbers (Bottom of Page)"/>
          <w:docPartUnique/>
        </w:docPartObj>
      </w:sdtPr>
      <w:sdtEndPr>
        <w:rPr>
          <w:noProof/>
          <w:sz w:val="26"/>
          <w:szCs w:val="26"/>
        </w:rPr>
      </w:sdtEndPr>
      <w:sdtContent>
        <w:r w:rsidR="00E27336" w:rsidRPr="005A3524">
          <w:rPr>
            <w:rFonts w:cs="Calibri Light"/>
            <w:caps/>
            <w:color w:val="58585B"/>
            <w:sz w:val="16"/>
            <w:szCs w:val="16"/>
          </w:rPr>
          <w:t xml:space="preserve">annual report </w:t>
        </w:r>
        <w:r w:rsidR="00370F00">
          <w:rPr>
            <w:rFonts w:cs="Calibri Light"/>
            <w:caps/>
            <w:color w:val="58585B"/>
            <w:sz w:val="16"/>
            <w:szCs w:val="16"/>
          </w:rPr>
          <w:t>2023–24</w:t>
        </w:r>
        <w:r w:rsidR="00E27336" w:rsidRPr="005A3524">
          <w:rPr>
            <w:rFonts w:cs="Calibri Light"/>
            <w:caps/>
            <w:color w:val="58585B"/>
            <w:sz w:val="16"/>
            <w:szCs w:val="16"/>
          </w:rPr>
          <w:t xml:space="preserve"> </w:t>
        </w:r>
        <w:r w:rsidR="00E27336">
          <w:rPr>
            <w:rFonts w:cs="Calibri Light"/>
            <w:caps/>
            <w:color w:val="58585B"/>
            <w:sz w:val="16"/>
            <w:szCs w:val="16"/>
          </w:rPr>
          <w:t xml:space="preserve">  </w:t>
        </w:r>
        <w:r w:rsidR="00E27336" w:rsidRPr="005A3524">
          <w:rPr>
            <w:rFonts w:cs="Calibri Light"/>
            <w:caps/>
            <w:color w:val="58585B"/>
            <w:sz w:val="16"/>
            <w:szCs w:val="16"/>
          </w:rPr>
          <w:t xml:space="preserve">     </w:t>
        </w:r>
        <w:r w:rsidR="00E27336">
          <w:rPr>
            <w:rFonts w:cs="Calibri Light"/>
            <w:caps/>
            <w:color w:val="58585B"/>
            <w:sz w:val="16"/>
            <w:szCs w:val="16"/>
          </w:rPr>
          <w:t xml:space="preserve"> </w:t>
        </w:r>
        <w:r w:rsidR="00E27336" w:rsidRPr="005A3524">
          <w:rPr>
            <w:rFonts w:cs="Calibri Light"/>
            <w:caps/>
            <w:color w:val="58585B"/>
            <w:sz w:val="16"/>
            <w:szCs w:val="16"/>
          </w:rPr>
          <w:t xml:space="preserve">   </w:t>
        </w:r>
        <w:r w:rsidR="00E27336" w:rsidRPr="005A3524">
          <w:rPr>
            <w:rFonts w:ascii="Calibri" w:hAnsi="Calibri" w:cs="Calibri"/>
            <w:b/>
            <w:bCs/>
            <w:caps/>
            <w:color w:val="404041"/>
            <w:sz w:val="16"/>
            <w:szCs w:val="16"/>
          </w:rPr>
          <w:t>crime and corruption commission</w:t>
        </w:r>
        <w:r w:rsidR="00E27336">
          <w:rPr>
            <w:rFonts w:ascii="Calibri" w:hAnsi="Calibri" w:cs="Calibri"/>
            <w:b/>
            <w:bCs/>
            <w:caps/>
            <w:color w:val="404041"/>
            <w:sz w:val="16"/>
            <w:szCs w:val="16"/>
          </w:rPr>
          <w:t xml:space="preserve">                                                  </w:t>
        </w:r>
        <w:r w:rsidR="00E27336" w:rsidRPr="00862E3E">
          <w:rPr>
            <w:rStyle w:val="PagenumberChar"/>
          </w:rPr>
          <w:fldChar w:fldCharType="begin"/>
        </w:r>
        <w:r w:rsidR="00E27336" w:rsidRPr="00862E3E">
          <w:rPr>
            <w:rStyle w:val="PagenumberChar"/>
          </w:rPr>
          <w:instrText xml:space="preserve"> PAGE   \* MERGEFORMAT </w:instrText>
        </w:r>
        <w:r w:rsidR="00E27336" w:rsidRPr="00862E3E">
          <w:rPr>
            <w:rStyle w:val="PagenumberChar"/>
          </w:rPr>
          <w:fldChar w:fldCharType="separate"/>
        </w:r>
        <w:r w:rsidR="00E27336">
          <w:rPr>
            <w:rStyle w:val="PagenumberChar"/>
          </w:rPr>
          <w:t>5</w:t>
        </w:r>
        <w:r w:rsidR="00E27336" w:rsidRPr="00862E3E">
          <w:rPr>
            <w:rStyle w:val="PagenumberChar"/>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6696B" w14:textId="2FAA064A" w:rsidR="000442BE" w:rsidRPr="0006746C" w:rsidRDefault="00CE578F" w:rsidP="002D5AE6">
    <w:pPr>
      <w:pStyle w:val="Footer"/>
      <w:spacing w:after="0"/>
      <w:rPr>
        <w:b/>
        <w:bCs/>
        <w:color w:val="414042" w:themeColor="text1"/>
        <w:sz w:val="26"/>
        <w:szCs w:val="26"/>
      </w:rPr>
    </w:pPr>
    <w:r>
      <w:rPr>
        <w:noProof/>
      </w:rPr>
      <w:drawing>
        <wp:anchor distT="0" distB="0" distL="114300" distR="114300" simplePos="0" relativeHeight="251667456" behindDoc="1" locked="0" layoutInCell="1" allowOverlap="1" wp14:anchorId="4774E984" wp14:editId="6E252857">
          <wp:simplePos x="0" y="0"/>
          <wp:positionH relativeFrom="page">
            <wp:posOffset>-4088</wp:posOffset>
          </wp:positionH>
          <wp:positionV relativeFrom="paragraph">
            <wp:posOffset>461492</wp:posOffset>
          </wp:positionV>
          <wp:extent cx="7558765" cy="10691997"/>
          <wp:effectExtent l="0" t="0" r="4445" b="0"/>
          <wp:wrapNone/>
          <wp:docPr id="1048082357" name="Picture 104808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00D07CB2">
      <w:rPr>
        <w:noProof/>
      </w:rPr>
      <mc:AlternateContent>
        <mc:Choice Requires="wps">
          <w:drawing>
            <wp:anchor distT="0" distB="0" distL="114300" distR="114300" simplePos="0" relativeHeight="251595776" behindDoc="1" locked="0" layoutInCell="1" allowOverlap="1" wp14:anchorId="5346FF73" wp14:editId="7B978A9D">
              <wp:simplePos x="0" y="0"/>
              <wp:positionH relativeFrom="page">
                <wp:posOffset>-48395</wp:posOffset>
              </wp:positionH>
              <wp:positionV relativeFrom="paragraph">
                <wp:posOffset>314393</wp:posOffset>
              </wp:positionV>
              <wp:extent cx="7552481" cy="10683433"/>
              <wp:effectExtent l="0" t="0" r="0" b="3810"/>
              <wp:wrapNone/>
              <wp:docPr id="203" name="Text Box 203"/>
              <wp:cNvGraphicFramePr/>
              <a:graphic xmlns:a="http://schemas.openxmlformats.org/drawingml/2006/main">
                <a:graphicData uri="http://schemas.microsoft.com/office/word/2010/wordprocessingShape">
                  <wps:wsp>
                    <wps:cNvSpPr txBox="1"/>
                    <wps:spPr>
                      <a:xfrm>
                        <a:off x="0" y="0"/>
                        <a:ext cx="7552481" cy="10683433"/>
                      </a:xfrm>
                      <a:prstGeom prst="rect">
                        <a:avLst/>
                      </a:prstGeom>
                      <a:solidFill>
                        <a:schemeClr val="bg1">
                          <a:lumMod val="95000"/>
                        </a:schemeClr>
                      </a:solidFill>
                      <a:ln w="6350">
                        <a:noFill/>
                      </a:ln>
                    </wps:spPr>
                    <wps:txbx>
                      <w:txbxContent>
                        <w:p w14:paraId="65D9563E" w14:textId="77777777" w:rsidR="00D07CB2" w:rsidRDefault="00D07CB2" w:rsidP="00D07C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6FF73" id="_x0000_t202" coordsize="21600,21600" o:spt="202" path="m,l,21600r21600,l21600,xe">
              <v:stroke joinstyle="miter"/>
              <v:path gradientshapeok="t" o:connecttype="rect"/>
            </v:shapetype>
            <v:shape id="Text Box 203" o:spid="_x0000_s1051" type="#_x0000_t202" style="position:absolute;margin-left:-3.8pt;margin-top:24.75pt;width:594.7pt;height:841.2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" fillcolor="#f2f2f2 [3052]" stroked="f" strokeweight=".5pt">
              <v:textbox>
                <w:txbxContent>
                  <w:p w14:paraId="65D9563E" w14:textId="77777777" w:rsidR="00D07CB2" w:rsidRDefault="00D07CB2" w:rsidP="00D07CB2"/>
                </w:txbxContent>
              </v:textbox>
              <w10:wrap anchorx="page"/>
            </v:shape>
          </w:pict>
        </mc:Fallback>
      </mc:AlternateContent>
    </w:r>
    <w:r w:rsidR="00D07CB2">
      <w:rPr>
        <w:noProof/>
      </w:rPr>
      <mc:AlternateContent>
        <mc:Choice Requires="wps">
          <w:drawing>
            <wp:anchor distT="0" distB="0" distL="114300" distR="114300" simplePos="0" relativeHeight="251594752" behindDoc="1" locked="0" layoutInCell="1" allowOverlap="1" wp14:anchorId="5751C18B" wp14:editId="23B957D0">
              <wp:simplePos x="0" y="0"/>
              <wp:positionH relativeFrom="page">
                <wp:posOffset>-12881</wp:posOffset>
              </wp:positionH>
              <wp:positionV relativeFrom="paragraph">
                <wp:posOffset>452665</wp:posOffset>
              </wp:positionV>
              <wp:extent cx="7552481" cy="10683433"/>
              <wp:effectExtent l="0" t="0" r="0" b="3810"/>
              <wp:wrapNone/>
              <wp:docPr id="202" name="Text Box 202"/>
              <wp:cNvGraphicFramePr/>
              <a:graphic xmlns:a="http://schemas.openxmlformats.org/drawingml/2006/main">
                <a:graphicData uri="http://schemas.microsoft.com/office/word/2010/wordprocessingShape">
                  <wps:wsp>
                    <wps:cNvSpPr txBox="1"/>
                    <wps:spPr>
                      <a:xfrm>
                        <a:off x="0" y="0"/>
                        <a:ext cx="7552481" cy="10683433"/>
                      </a:xfrm>
                      <a:prstGeom prst="rect">
                        <a:avLst/>
                      </a:prstGeom>
                      <a:solidFill>
                        <a:schemeClr val="bg1">
                          <a:lumMod val="95000"/>
                        </a:schemeClr>
                      </a:solidFill>
                      <a:ln w="6350">
                        <a:noFill/>
                      </a:ln>
                    </wps:spPr>
                    <wps:txbx>
                      <w:txbxContent>
                        <w:p w14:paraId="36FCD8B2" w14:textId="77777777" w:rsidR="00D07CB2" w:rsidRDefault="00D07CB2" w:rsidP="00D07C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1C18B" id="Text Box 202" o:spid="_x0000_s1052" type="#_x0000_t202" style="position:absolute;margin-left:-1pt;margin-top:35.65pt;width:594.7pt;height:841.2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" fillcolor="#f2f2f2 [3052]" stroked="f" strokeweight=".5pt">
              <v:textbox>
                <w:txbxContent>
                  <w:p w14:paraId="36FCD8B2" w14:textId="77777777" w:rsidR="00D07CB2" w:rsidRDefault="00D07CB2" w:rsidP="00D07CB2"/>
                </w:txbxContent>
              </v:textbox>
              <w10:wrap anchorx="page"/>
            </v:shape>
          </w:pict>
        </mc:Fallback>
      </mc:AlternateContent>
    </w:r>
    <w:r w:rsidR="00D056C7">
      <w:rPr>
        <w:noProof/>
      </w:rPr>
      <mc:AlternateContent>
        <mc:Choice Requires="wps">
          <w:drawing>
            <wp:anchor distT="0" distB="0" distL="114300" distR="114300" simplePos="0" relativeHeight="251587584" behindDoc="1" locked="0" layoutInCell="1" allowOverlap="1" wp14:anchorId="47E707C7" wp14:editId="29B9DF2A">
              <wp:simplePos x="0" y="0"/>
              <wp:positionH relativeFrom="page">
                <wp:posOffset>-113287</wp:posOffset>
              </wp:positionH>
              <wp:positionV relativeFrom="paragraph">
                <wp:posOffset>367094</wp:posOffset>
              </wp:positionV>
              <wp:extent cx="7552481" cy="10683433"/>
              <wp:effectExtent l="0" t="0" r="0" b="3810"/>
              <wp:wrapNone/>
              <wp:docPr id="1756629157" name="Text Box 1756629157"/>
              <wp:cNvGraphicFramePr/>
              <a:graphic xmlns:a="http://schemas.openxmlformats.org/drawingml/2006/main">
                <a:graphicData uri="http://schemas.microsoft.com/office/word/2010/wordprocessingShape">
                  <wps:wsp>
                    <wps:cNvSpPr txBox="1"/>
                    <wps:spPr>
                      <a:xfrm>
                        <a:off x="0" y="0"/>
                        <a:ext cx="7552481" cy="10683433"/>
                      </a:xfrm>
                      <a:prstGeom prst="rect">
                        <a:avLst/>
                      </a:prstGeom>
                      <a:solidFill>
                        <a:schemeClr val="bg1">
                          <a:lumMod val="95000"/>
                        </a:schemeClr>
                      </a:solidFill>
                      <a:ln w="6350">
                        <a:noFill/>
                      </a:ln>
                    </wps:spPr>
                    <wps:txbx>
                      <w:txbxContent>
                        <w:p w14:paraId="56C5CD25" w14:textId="77777777" w:rsidR="00D056C7" w:rsidRDefault="00D056C7" w:rsidP="00D056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707C7" id="Text Box 1756629157" o:spid="_x0000_s1053" type="#_x0000_t202" style="position:absolute;margin-left:-8.9pt;margin-top:28.9pt;width:594.7pt;height:841.2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" fillcolor="#f2f2f2 [3052]" stroked="f" strokeweight=".5pt">
              <v:textbox>
                <w:txbxContent>
                  <w:p w14:paraId="56C5CD25" w14:textId="77777777" w:rsidR="00D056C7" w:rsidRDefault="00D056C7" w:rsidP="00D056C7"/>
                </w:txbxContent>
              </v:textbox>
              <w10:wrap anchorx="page"/>
            </v:shape>
          </w:pict>
        </mc:Fallback>
      </mc:AlternateContent>
    </w:r>
    <w:r w:rsidR="00AF2677">
      <w:rPr>
        <w:noProof/>
      </w:rPr>
      <w:drawing>
        <wp:anchor distT="0" distB="0" distL="114300" distR="114300" simplePos="0" relativeHeight="251582464" behindDoc="1" locked="0" layoutInCell="1" allowOverlap="1" wp14:anchorId="5459CD23" wp14:editId="55B694FB">
          <wp:simplePos x="0" y="0"/>
          <wp:positionH relativeFrom="page">
            <wp:posOffset>-13557</wp:posOffset>
          </wp:positionH>
          <wp:positionV relativeFrom="paragraph">
            <wp:posOffset>477727</wp:posOffset>
          </wp:positionV>
          <wp:extent cx="7558405" cy="10691495"/>
          <wp:effectExtent l="0" t="0" r="0" b="0"/>
          <wp:wrapNone/>
          <wp:docPr id="403226791" name="Picture 40322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sidR="00855F7F">
      <w:rPr>
        <w:noProof/>
      </w:rPr>
      <w:drawing>
        <wp:anchor distT="0" distB="0" distL="114300" distR="114300" simplePos="0" relativeHeight="251561984" behindDoc="1" locked="0" layoutInCell="1" allowOverlap="1" wp14:anchorId="676E2ADC" wp14:editId="412E35A0">
          <wp:simplePos x="0" y="0"/>
          <wp:positionH relativeFrom="page">
            <wp:posOffset>-3810</wp:posOffset>
          </wp:positionH>
          <wp:positionV relativeFrom="paragraph">
            <wp:posOffset>463550</wp:posOffset>
          </wp:positionV>
          <wp:extent cx="7558765" cy="10691997"/>
          <wp:effectExtent l="0" t="0" r="4445" b="0"/>
          <wp:wrapNone/>
          <wp:docPr id="2050783020" name="Picture 205078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sdt>
      <w:sdtPr>
        <w:rPr>
          <w:rStyle w:val="PagenumberChar"/>
        </w:rPr>
        <w:id w:val="-1637023978"/>
        <w:docPartObj>
          <w:docPartGallery w:val="Page Numbers (Bottom of Page)"/>
          <w:docPartUnique/>
        </w:docPartObj>
      </w:sdtPr>
      <w:sdtEndPr>
        <w:rPr>
          <w:rStyle w:val="DefaultParagraphFont"/>
          <w:rFonts w:ascii="Calibri Light" w:hAnsi="Calibri Light" w:cstheme="minorBidi"/>
          <w:b w:val="0"/>
          <w:bCs w:val="0"/>
          <w:noProof/>
          <w:color w:val="auto"/>
          <w:sz w:val="26"/>
          <w:szCs w:val="26"/>
          <w:lang w:val="en-AU"/>
        </w:rPr>
      </w:sdtEndPr>
      <w:sdtContent>
        <w:r w:rsidR="000442BE" w:rsidRPr="009846B4">
          <w:rPr>
            <w:rStyle w:val="PagenumberChar"/>
          </w:rPr>
          <w:fldChar w:fldCharType="begin"/>
        </w:r>
        <w:r w:rsidR="000442BE" w:rsidRPr="009846B4">
          <w:rPr>
            <w:rStyle w:val="PagenumberChar"/>
          </w:rPr>
          <w:instrText xml:space="preserve"> PAGE   \* MERGEFORMAT </w:instrText>
        </w:r>
        <w:r w:rsidR="000442BE" w:rsidRPr="009846B4">
          <w:rPr>
            <w:rStyle w:val="PagenumberChar"/>
          </w:rPr>
          <w:fldChar w:fldCharType="separate"/>
        </w:r>
        <w:r w:rsidR="000442BE" w:rsidRPr="009846B4">
          <w:rPr>
            <w:rStyle w:val="PagenumberChar"/>
          </w:rPr>
          <w:t>10</w:t>
        </w:r>
        <w:r w:rsidR="000442BE" w:rsidRPr="009846B4">
          <w:rPr>
            <w:rStyle w:val="PagenumberChar"/>
          </w:rPr>
          <w:fldChar w:fldCharType="end"/>
        </w:r>
        <w:r w:rsidR="000442BE" w:rsidRPr="005A3524">
          <w:rPr>
            <w:rFonts w:cs="Calibri Light"/>
            <w:caps/>
            <w:color w:val="58585B"/>
            <w:sz w:val="16"/>
            <w:szCs w:val="16"/>
          </w:rPr>
          <w:t xml:space="preserve"> </w:t>
        </w:r>
        <w:r w:rsidR="000442BE">
          <w:rPr>
            <w:rFonts w:cs="Calibri Light"/>
            <w:caps/>
            <w:color w:val="58585B"/>
            <w:sz w:val="16"/>
            <w:szCs w:val="16"/>
          </w:rPr>
          <w:tab/>
          <w:t xml:space="preserve">                                            </w:t>
        </w:r>
        <w:r w:rsidR="000442BE" w:rsidRPr="005A3524">
          <w:rPr>
            <w:rFonts w:cs="Calibri Light"/>
            <w:caps/>
            <w:color w:val="58585B"/>
            <w:sz w:val="16"/>
            <w:szCs w:val="16"/>
          </w:rPr>
          <w:t xml:space="preserve">annual report </w:t>
        </w:r>
        <w:r w:rsidR="00370F00">
          <w:rPr>
            <w:rFonts w:cs="Calibri Light"/>
            <w:caps/>
            <w:color w:val="58585B"/>
            <w:sz w:val="16"/>
            <w:szCs w:val="16"/>
          </w:rPr>
          <w:t>2023–24</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sidRPr="005A3524">
          <w:rPr>
            <w:rFonts w:ascii="Calibri" w:hAnsi="Calibri" w:cs="Calibri"/>
            <w:b/>
            <w:bCs/>
            <w:caps/>
            <w:color w:val="404041"/>
            <w:sz w:val="16"/>
            <w:szCs w:val="16"/>
          </w:rPr>
          <w:t>crime and corruption commission</w:t>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78F20" w14:textId="77777777" w:rsidR="00481A5F" w:rsidRPr="00C072F0" w:rsidRDefault="00507575" w:rsidP="00C75068">
    <w:pPr>
      <w:pStyle w:val="BasicParagraph"/>
      <w:spacing w:after="0" w:line="240" w:lineRule="auto"/>
      <w:jc w:val="center"/>
      <w:rPr>
        <w:rFonts w:asciiTheme="minorHAnsi" w:hAnsiTheme="minorHAnsi" w:cstheme="minorHAnsi"/>
        <w:b/>
        <w:bCs/>
        <w:caps/>
        <w:color w:val="404041"/>
        <w:sz w:val="16"/>
        <w:szCs w:val="16"/>
      </w:rPr>
    </w:pPr>
    <w:sdt>
      <w:sdtPr>
        <w:rPr>
          <w:b/>
          <w:bCs/>
          <w:color w:val="414042" w:themeColor="text1"/>
          <w:sz w:val="28"/>
          <w:szCs w:val="28"/>
        </w:rPr>
        <w:id w:val="1589107679"/>
        <w:docPartObj>
          <w:docPartGallery w:val="Page Numbers (Bottom of Page)"/>
          <w:docPartUnique/>
        </w:docPartObj>
      </w:sdtPr>
      <w:sdtEndPr>
        <w:rPr>
          <w:noProof/>
          <w:sz w:val="26"/>
          <w:szCs w:val="26"/>
        </w:rPr>
      </w:sdtEndPr>
      <w:sdtContent>
        <w:r w:rsidR="00481A5F">
          <w:rPr>
            <w:rFonts w:ascii="Calibri Light" w:hAnsi="Calibri Light" w:cs="Calibri Light"/>
            <w:caps/>
            <w:color w:val="58585B"/>
            <w:sz w:val="16"/>
            <w:szCs w:val="16"/>
          </w:rPr>
          <w:t xml:space="preserve">                                                                      </w:t>
        </w:r>
        <w:r w:rsidR="00481A5F" w:rsidRPr="005A3524">
          <w:rPr>
            <w:rFonts w:cs="Calibri Light"/>
            <w:caps/>
            <w:color w:val="58585B"/>
            <w:sz w:val="16"/>
            <w:szCs w:val="16"/>
          </w:rPr>
          <w:t>annual report 202</w:t>
        </w:r>
        <w:r w:rsidR="00481A5F">
          <w:rPr>
            <w:rFonts w:cs="Calibri Light"/>
            <w:caps/>
            <w:color w:val="58585B"/>
            <w:sz w:val="16"/>
            <w:szCs w:val="16"/>
          </w:rPr>
          <w:t>1–</w:t>
        </w:r>
        <w:r w:rsidR="00481A5F" w:rsidRPr="005A3524">
          <w:rPr>
            <w:rFonts w:cs="Calibri Light"/>
            <w:caps/>
            <w:color w:val="58585B"/>
            <w:sz w:val="16"/>
            <w:szCs w:val="16"/>
          </w:rPr>
          <w:t>2</w:t>
        </w:r>
        <w:r w:rsidR="00481A5F">
          <w:rPr>
            <w:rFonts w:cs="Calibri Light"/>
            <w:caps/>
            <w:color w:val="58585B"/>
            <w:sz w:val="16"/>
            <w:szCs w:val="16"/>
          </w:rPr>
          <w:t xml:space="preserve">2    </w:t>
        </w:r>
        <w:r w:rsidR="00481A5F" w:rsidRPr="005A3524">
          <w:rPr>
            <w:rFonts w:cs="Calibri Light"/>
            <w:caps/>
            <w:color w:val="58585B"/>
            <w:sz w:val="16"/>
            <w:szCs w:val="16"/>
          </w:rPr>
          <w:t xml:space="preserve">    </w:t>
        </w:r>
        <w:r w:rsidR="00481A5F">
          <w:rPr>
            <w:rFonts w:cs="Calibri Light"/>
            <w:caps/>
            <w:color w:val="58585B"/>
            <w:sz w:val="16"/>
            <w:szCs w:val="16"/>
          </w:rPr>
          <w:t xml:space="preserve"> </w:t>
        </w:r>
        <w:r w:rsidR="00481A5F" w:rsidRPr="005A3524">
          <w:rPr>
            <w:rFonts w:cs="Calibri Light"/>
            <w:caps/>
            <w:color w:val="58585B"/>
            <w:sz w:val="16"/>
            <w:szCs w:val="16"/>
          </w:rPr>
          <w:t xml:space="preserve"> </w:t>
        </w:r>
        <w:r w:rsidR="00481A5F" w:rsidRPr="005A3524">
          <w:rPr>
            <w:rFonts w:ascii="Calibri" w:hAnsi="Calibri" w:cs="Calibri"/>
            <w:b/>
            <w:bCs/>
            <w:caps/>
            <w:color w:val="404041"/>
            <w:sz w:val="16"/>
            <w:szCs w:val="16"/>
          </w:rPr>
          <w:t>crime and corruption commission</w:t>
        </w:r>
        <w:r w:rsidR="00481A5F">
          <w:rPr>
            <w:rFonts w:ascii="Calibri" w:hAnsi="Calibri" w:cs="Calibri"/>
            <w:b/>
            <w:bCs/>
            <w:caps/>
            <w:color w:val="404041"/>
            <w:sz w:val="16"/>
            <w:szCs w:val="16"/>
          </w:rPr>
          <w:tab/>
        </w:r>
        <w:r w:rsidR="00481A5F">
          <w:rPr>
            <w:rFonts w:ascii="Calibri" w:hAnsi="Calibri" w:cs="Calibri"/>
            <w:b/>
            <w:bCs/>
            <w:caps/>
            <w:color w:val="404041"/>
            <w:sz w:val="16"/>
            <w:szCs w:val="16"/>
          </w:rPr>
          <w:tab/>
        </w:r>
        <w:r w:rsidR="00481A5F" w:rsidRPr="002D5AE6">
          <w:rPr>
            <w:rFonts w:ascii="Calibri" w:hAnsi="Calibri" w:cs="Calibri"/>
            <w:caps/>
            <w:color w:val="404041"/>
            <w:sz w:val="16"/>
            <w:szCs w:val="16"/>
          </w:rPr>
          <w:t xml:space="preserve"> </w:t>
        </w:r>
        <w:r w:rsidR="00481A5F" w:rsidRPr="009846B4">
          <w:rPr>
            <w:rStyle w:val="PagenumberChar"/>
          </w:rPr>
          <w:fldChar w:fldCharType="begin"/>
        </w:r>
        <w:r w:rsidR="00481A5F" w:rsidRPr="009846B4">
          <w:rPr>
            <w:rStyle w:val="PagenumberChar"/>
          </w:rPr>
          <w:instrText xml:space="preserve"> PAGE   \* MERGEFORMAT </w:instrText>
        </w:r>
        <w:r w:rsidR="00481A5F" w:rsidRPr="009846B4">
          <w:rPr>
            <w:rStyle w:val="PagenumberChar"/>
          </w:rPr>
          <w:fldChar w:fldCharType="separate"/>
        </w:r>
        <w:r w:rsidR="00481A5F" w:rsidRPr="009846B4">
          <w:rPr>
            <w:rStyle w:val="PagenumberChar"/>
          </w:rPr>
          <w:t>9</w:t>
        </w:r>
        <w:r w:rsidR="00481A5F" w:rsidRPr="009846B4">
          <w:rPr>
            <w:rStyle w:val="PagenumberChar"/>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A3A09" w14:textId="39BF6C77" w:rsidR="004B30BB" w:rsidRPr="00C072F0" w:rsidRDefault="00507575" w:rsidP="00C75068">
    <w:pPr>
      <w:pStyle w:val="BasicParagraph"/>
      <w:spacing w:after="0" w:line="240" w:lineRule="auto"/>
      <w:jc w:val="center"/>
      <w:rPr>
        <w:rFonts w:asciiTheme="minorHAnsi" w:hAnsiTheme="minorHAnsi" w:cstheme="minorHAnsi"/>
        <w:b/>
        <w:bCs/>
        <w:caps/>
        <w:color w:val="404041"/>
        <w:sz w:val="16"/>
        <w:szCs w:val="16"/>
      </w:rPr>
    </w:pPr>
    <w:sdt>
      <w:sdtPr>
        <w:rPr>
          <w:b/>
          <w:bCs/>
          <w:color w:val="414042" w:themeColor="text1"/>
          <w:sz w:val="28"/>
          <w:szCs w:val="28"/>
        </w:rPr>
        <w:id w:val="-606960714"/>
        <w:docPartObj>
          <w:docPartGallery w:val="Page Numbers (Bottom of Page)"/>
          <w:docPartUnique/>
        </w:docPartObj>
      </w:sdtPr>
      <w:sdtEndPr>
        <w:rPr>
          <w:noProof/>
          <w:sz w:val="26"/>
          <w:szCs w:val="26"/>
        </w:rPr>
      </w:sdtEndPr>
      <w:sdtContent>
        <w:r w:rsidR="00C75068">
          <w:rPr>
            <w:rFonts w:ascii="Calibri Light" w:hAnsi="Calibri Light" w:cs="Calibri Light"/>
            <w:caps/>
            <w:color w:val="58585B"/>
            <w:sz w:val="16"/>
            <w:szCs w:val="16"/>
          </w:rPr>
          <w:t xml:space="preserve">                                                                      </w:t>
        </w:r>
        <w:r w:rsidR="00C75068" w:rsidRPr="005A3524">
          <w:rPr>
            <w:rFonts w:cs="Calibri Light"/>
            <w:caps/>
            <w:color w:val="58585B"/>
            <w:sz w:val="16"/>
            <w:szCs w:val="16"/>
          </w:rPr>
          <w:t xml:space="preserve">annual report </w:t>
        </w:r>
        <w:r w:rsidR="00370F00">
          <w:rPr>
            <w:rFonts w:cs="Calibri Light"/>
            <w:caps/>
            <w:color w:val="58585B"/>
            <w:sz w:val="16"/>
            <w:szCs w:val="16"/>
          </w:rPr>
          <w:t>2023–24</w:t>
        </w:r>
        <w:r w:rsidR="00C75068">
          <w:rPr>
            <w:rFonts w:cs="Calibri Light"/>
            <w:caps/>
            <w:color w:val="58585B"/>
            <w:sz w:val="16"/>
            <w:szCs w:val="16"/>
          </w:rPr>
          <w:t xml:space="preserve">    </w:t>
        </w:r>
        <w:r w:rsidR="00C75068" w:rsidRPr="005A3524">
          <w:rPr>
            <w:rFonts w:cs="Calibri Light"/>
            <w:caps/>
            <w:color w:val="58585B"/>
            <w:sz w:val="16"/>
            <w:szCs w:val="16"/>
          </w:rPr>
          <w:t xml:space="preserve">    </w:t>
        </w:r>
        <w:r w:rsidR="00C75068">
          <w:rPr>
            <w:rFonts w:cs="Calibri Light"/>
            <w:caps/>
            <w:color w:val="58585B"/>
            <w:sz w:val="16"/>
            <w:szCs w:val="16"/>
          </w:rPr>
          <w:t xml:space="preserve"> </w:t>
        </w:r>
        <w:r w:rsidR="00C75068" w:rsidRPr="005A3524">
          <w:rPr>
            <w:rFonts w:cs="Calibri Light"/>
            <w:caps/>
            <w:color w:val="58585B"/>
            <w:sz w:val="16"/>
            <w:szCs w:val="16"/>
          </w:rPr>
          <w:t xml:space="preserve"> </w:t>
        </w:r>
        <w:r w:rsidR="00C75068" w:rsidRPr="005A3524">
          <w:rPr>
            <w:rFonts w:ascii="Calibri" w:hAnsi="Calibri" w:cs="Calibri"/>
            <w:b/>
            <w:bCs/>
            <w:caps/>
            <w:color w:val="404041"/>
            <w:sz w:val="16"/>
            <w:szCs w:val="16"/>
          </w:rPr>
          <w:t>crime and corruption commission</w:t>
        </w:r>
        <w:r w:rsidR="00C75068">
          <w:rPr>
            <w:rFonts w:ascii="Calibri" w:hAnsi="Calibri" w:cs="Calibri"/>
            <w:b/>
            <w:bCs/>
            <w:caps/>
            <w:color w:val="404041"/>
            <w:sz w:val="16"/>
            <w:szCs w:val="16"/>
          </w:rPr>
          <w:tab/>
        </w:r>
        <w:r w:rsidR="00C75068">
          <w:rPr>
            <w:rFonts w:ascii="Calibri" w:hAnsi="Calibri" w:cs="Calibri"/>
            <w:b/>
            <w:bCs/>
            <w:caps/>
            <w:color w:val="404041"/>
            <w:sz w:val="16"/>
            <w:szCs w:val="16"/>
          </w:rPr>
          <w:tab/>
        </w:r>
        <w:r w:rsidR="00C75068" w:rsidRPr="002D5AE6">
          <w:rPr>
            <w:rFonts w:ascii="Calibri" w:hAnsi="Calibri" w:cs="Calibri"/>
            <w:caps/>
            <w:color w:val="404041"/>
            <w:sz w:val="16"/>
            <w:szCs w:val="16"/>
          </w:rPr>
          <w:t xml:space="preserve"> </w:t>
        </w:r>
        <w:r w:rsidR="00C75068" w:rsidRPr="009846B4">
          <w:rPr>
            <w:rStyle w:val="PagenumberChar"/>
          </w:rPr>
          <w:fldChar w:fldCharType="begin"/>
        </w:r>
        <w:r w:rsidR="00C75068" w:rsidRPr="009846B4">
          <w:rPr>
            <w:rStyle w:val="PagenumberChar"/>
          </w:rPr>
          <w:instrText xml:space="preserve"> PAGE   \* MERGEFORMAT </w:instrText>
        </w:r>
        <w:r w:rsidR="00C75068" w:rsidRPr="009846B4">
          <w:rPr>
            <w:rStyle w:val="PagenumberChar"/>
          </w:rPr>
          <w:fldChar w:fldCharType="separate"/>
        </w:r>
        <w:r w:rsidR="00C75068" w:rsidRPr="009846B4">
          <w:rPr>
            <w:rStyle w:val="PagenumberChar"/>
          </w:rPr>
          <w:t>9</w:t>
        </w:r>
        <w:r w:rsidR="00C75068" w:rsidRPr="009846B4">
          <w:rPr>
            <w:rStyle w:val="PagenumberChar"/>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BCFF6" w14:textId="408AE0F6" w:rsidR="000442BE" w:rsidRPr="00C072F0" w:rsidRDefault="00507575" w:rsidP="00C072F0">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440796225"/>
        <w:docPartObj>
          <w:docPartGallery w:val="Page Numbers (Bottom of Page)"/>
          <w:docPartUnique/>
        </w:docPartObj>
      </w:sdtPr>
      <w:sdtEndPr>
        <w:rPr>
          <w:noProof/>
          <w:sz w:val="26"/>
          <w:szCs w:val="26"/>
        </w:rPr>
      </w:sdtEndPr>
      <w:sdtContent>
        <w:r w:rsidR="000442BE">
          <w:rPr>
            <w:rFonts w:ascii="Calibri Light" w:hAnsi="Calibri Light" w:cs="Calibri Light"/>
            <w:caps/>
            <w:color w:val="58585B"/>
            <w:sz w:val="16"/>
            <w:szCs w:val="16"/>
          </w:rPr>
          <w:t xml:space="preserve">                                                                                  </w:t>
        </w:r>
        <w:r w:rsidR="000442BE" w:rsidRPr="005A3524">
          <w:rPr>
            <w:rFonts w:ascii="Calibri Light" w:hAnsi="Calibri Light" w:cs="Calibri Light"/>
            <w:caps/>
            <w:color w:val="58585B"/>
            <w:sz w:val="16"/>
            <w:szCs w:val="16"/>
          </w:rPr>
          <w:t xml:space="preserve">annual report </w:t>
        </w:r>
        <w:r w:rsidR="00370F00">
          <w:rPr>
            <w:rFonts w:ascii="Calibri Light" w:hAnsi="Calibri Light" w:cs="Calibri Light"/>
            <w:caps/>
            <w:color w:val="58585B"/>
            <w:sz w:val="16"/>
            <w:szCs w:val="16"/>
          </w:rPr>
          <w:t>2023–24</w:t>
        </w:r>
        <w:r w:rsidR="000442BE" w:rsidRPr="005A3524">
          <w:rPr>
            <w:rFonts w:ascii="Calibri Light" w:hAnsi="Calibri Light" w:cs="Calibri Light"/>
            <w:caps/>
            <w:color w:val="58585B"/>
            <w:sz w:val="16"/>
            <w:szCs w:val="16"/>
          </w:rPr>
          <w:t xml:space="preserve">         </w:t>
        </w:r>
        <w:r w:rsidR="000442BE" w:rsidRPr="005A3524">
          <w:rPr>
            <w:rFonts w:ascii="Calibri" w:hAnsi="Calibri" w:cs="Calibri"/>
            <w:b/>
            <w:bCs/>
            <w:caps/>
            <w:color w:val="404041"/>
            <w:sz w:val="16"/>
            <w:szCs w:val="16"/>
          </w:rPr>
          <w:t>crime and corruption commission</w:t>
        </w:r>
        <w:r w:rsidR="000442BE">
          <w:rPr>
            <w:rFonts w:ascii="Calibri" w:hAnsi="Calibri" w:cs="Calibri"/>
            <w:b/>
            <w:bCs/>
            <w:caps/>
            <w:color w:val="404041"/>
            <w:sz w:val="16"/>
            <w:szCs w:val="16"/>
          </w:rPr>
          <w:tab/>
        </w:r>
        <w:r w:rsidR="000442BE">
          <w:rPr>
            <w:rFonts w:ascii="Calibri" w:hAnsi="Calibri" w:cs="Calibri"/>
            <w:b/>
            <w:bCs/>
            <w:caps/>
            <w:color w:val="404041"/>
            <w:sz w:val="16"/>
            <w:szCs w:val="16"/>
          </w:rPr>
          <w:tab/>
        </w:r>
        <w:r w:rsidR="000442BE">
          <w:rPr>
            <w:rFonts w:ascii="Calibri" w:hAnsi="Calibri" w:cs="Calibri"/>
            <w:b/>
            <w:bCs/>
            <w:caps/>
            <w:color w:val="404041"/>
            <w:sz w:val="16"/>
            <w:szCs w:val="16"/>
          </w:rPr>
          <w:tab/>
        </w:r>
        <w:r w:rsidR="000442BE" w:rsidRPr="00485BDF">
          <w:rPr>
            <w:rStyle w:val="PagenumberChar"/>
          </w:rPr>
          <w:fldChar w:fldCharType="begin"/>
        </w:r>
        <w:r w:rsidR="000442BE" w:rsidRPr="00485BDF">
          <w:rPr>
            <w:rStyle w:val="PagenumberChar"/>
          </w:rPr>
          <w:instrText xml:space="preserve"> PAGE   \* MERGEFORMAT </w:instrText>
        </w:r>
        <w:r w:rsidR="000442BE" w:rsidRPr="00485BDF">
          <w:rPr>
            <w:rStyle w:val="PagenumberChar"/>
          </w:rPr>
          <w:fldChar w:fldCharType="separate"/>
        </w:r>
        <w:r w:rsidR="000442BE" w:rsidRPr="00485BDF">
          <w:rPr>
            <w:rStyle w:val="PagenumberChar"/>
          </w:rPr>
          <w:t>11</w:t>
        </w:r>
        <w:r w:rsidR="000442BE" w:rsidRPr="00485BDF">
          <w:rPr>
            <w:rStyle w:val="PagenumberChar"/>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ACF87" w14:textId="40284085" w:rsidR="002232A6" w:rsidRPr="002232A6" w:rsidRDefault="00C676DC" w:rsidP="00954847">
    <w:pPr>
      <w:pStyle w:val="BasicParagraph"/>
      <w:spacing w:after="0" w:line="240" w:lineRule="auto"/>
      <w:jc w:val="center"/>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728896" behindDoc="1" locked="0" layoutInCell="1" allowOverlap="1" wp14:anchorId="155AD38C" wp14:editId="7626DF2E">
          <wp:simplePos x="0" y="0"/>
          <wp:positionH relativeFrom="page">
            <wp:posOffset>7686675</wp:posOffset>
          </wp:positionH>
          <wp:positionV relativeFrom="page">
            <wp:posOffset>9686925</wp:posOffset>
          </wp:positionV>
          <wp:extent cx="7557770" cy="1014730"/>
          <wp:effectExtent l="0" t="0" r="0" b="0"/>
          <wp:wrapNone/>
          <wp:docPr id="427669340" name="Picture 42766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2A6">
      <w:rPr>
        <w:noProof/>
      </w:rPr>
      <w:drawing>
        <wp:anchor distT="0" distB="0" distL="114300" distR="114300" simplePos="0" relativeHeight="251718656" behindDoc="1" locked="0" layoutInCell="1" allowOverlap="1" wp14:anchorId="058C738F" wp14:editId="0AD17383">
          <wp:simplePos x="0" y="0"/>
          <wp:positionH relativeFrom="page">
            <wp:posOffset>-56087</wp:posOffset>
          </wp:positionH>
          <wp:positionV relativeFrom="paragraph">
            <wp:posOffset>456462</wp:posOffset>
          </wp:positionV>
          <wp:extent cx="7558765" cy="10691997"/>
          <wp:effectExtent l="0" t="0" r="4445" b="0"/>
          <wp:wrapNone/>
          <wp:docPr id="2029212312" name="Picture 202921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002232A6">
      <w:rPr>
        <w:noProof/>
      </w:rPr>
      <w:drawing>
        <wp:anchor distT="0" distB="0" distL="114300" distR="114300" simplePos="0" relativeHeight="251717632" behindDoc="1" locked="0" layoutInCell="1" allowOverlap="1" wp14:anchorId="6228DD2A" wp14:editId="54B96C4C">
          <wp:simplePos x="0" y="0"/>
          <wp:positionH relativeFrom="page">
            <wp:posOffset>-56087</wp:posOffset>
          </wp:positionH>
          <wp:positionV relativeFrom="paragraph">
            <wp:posOffset>456462</wp:posOffset>
          </wp:positionV>
          <wp:extent cx="7558765" cy="10691997"/>
          <wp:effectExtent l="0" t="0" r="4445" b="0"/>
          <wp:wrapNone/>
          <wp:docPr id="1754688012" name="Picture 175468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002232A6" w:rsidRPr="005D41A2">
      <w:rPr>
        <w:b/>
        <w:bCs/>
        <w:color w:val="414042" w:themeColor="text1"/>
        <w:sz w:val="28"/>
        <w:szCs w:val="28"/>
      </w:rPr>
      <w:t xml:space="preserve"> </w:t>
    </w:r>
    <w:sdt>
      <w:sdtPr>
        <w:rPr>
          <w:b/>
          <w:bCs/>
          <w:color w:val="414042" w:themeColor="text1"/>
          <w:sz w:val="28"/>
          <w:szCs w:val="28"/>
        </w:rPr>
        <w:id w:val="-1654136544"/>
        <w:docPartObj>
          <w:docPartGallery w:val="Page Numbers (Bottom of Page)"/>
          <w:docPartUnique/>
        </w:docPartObj>
      </w:sdtPr>
      <w:sdtEndPr>
        <w:rPr>
          <w:noProof/>
          <w:sz w:val="26"/>
          <w:szCs w:val="26"/>
        </w:rPr>
      </w:sdtEndPr>
      <w:sdtContent>
        <w:r w:rsidR="00954847">
          <w:rPr>
            <w:noProof/>
          </w:rPr>
          <w:drawing>
            <wp:anchor distT="0" distB="0" distL="114300" distR="114300" simplePos="0" relativeHeight="251720704" behindDoc="1" locked="0" layoutInCell="1" allowOverlap="1" wp14:anchorId="77595C0D" wp14:editId="4E125575">
              <wp:simplePos x="0" y="0"/>
              <wp:positionH relativeFrom="page">
                <wp:posOffset>-56087</wp:posOffset>
              </wp:positionH>
              <wp:positionV relativeFrom="paragraph">
                <wp:posOffset>456462</wp:posOffset>
              </wp:positionV>
              <wp:extent cx="7558765" cy="10691997"/>
              <wp:effectExtent l="0" t="0" r="4445" b="0"/>
              <wp:wrapNone/>
              <wp:docPr id="2144819272" name="Picture 214481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00954847">
          <w:rPr>
            <w:noProof/>
          </w:rPr>
          <w:drawing>
            <wp:anchor distT="0" distB="0" distL="114300" distR="114300" simplePos="0" relativeHeight="251719680" behindDoc="1" locked="0" layoutInCell="1" allowOverlap="1" wp14:anchorId="7AECECD7" wp14:editId="6E46E924">
              <wp:simplePos x="0" y="0"/>
              <wp:positionH relativeFrom="page">
                <wp:posOffset>-56087</wp:posOffset>
              </wp:positionH>
              <wp:positionV relativeFrom="paragraph">
                <wp:posOffset>456462</wp:posOffset>
              </wp:positionV>
              <wp:extent cx="7558765" cy="10691997"/>
              <wp:effectExtent l="0" t="0" r="4445" b="0"/>
              <wp:wrapNone/>
              <wp:docPr id="1222005334" name="Picture 122200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Pr="005D41A2">
          <w:rPr>
            <w:b/>
            <w:bCs/>
            <w:color w:val="414042" w:themeColor="text1"/>
            <w:sz w:val="28"/>
            <w:szCs w:val="28"/>
          </w:rPr>
          <w:t xml:space="preserve"> </w:t>
        </w:r>
        <w:r>
          <w:rPr>
            <w:noProof/>
          </w:rPr>
          <w:drawing>
            <wp:anchor distT="0" distB="0" distL="114300" distR="114300" simplePos="0" relativeHeight="251738112" behindDoc="1" locked="0" layoutInCell="1" allowOverlap="1" wp14:anchorId="5B37A856" wp14:editId="0141C71C">
              <wp:simplePos x="0" y="0"/>
              <wp:positionH relativeFrom="page">
                <wp:posOffset>-56087</wp:posOffset>
              </wp:positionH>
              <wp:positionV relativeFrom="paragraph">
                <wp:posOffset>456462</wp:posOffset>
              </wp:positionV>
              <wp:extent cx="7558765" cy="10691997"/>
              <wp:effectExtent l="0" t="0" r="4445" b="0"/>
              <wp:wrapNone/>
              <wp:docPr id="424494677" name="Picture 42449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1" locked="0" layoutInCell="1" allowOverlap="1" wp14:anchorId="538024CF" wp14:editId="7610F669">
              <wp:simplePos x="0" y="0"/>
              <wp:positionH relativeFrom="page">
                <wp:posOffset>-56087</wp:posOffset>
              </wp:positionH>
              <wp:positionV relativeFrom="paragraph">
                <wp:posOffset>456462</wp:posOffset>
              </wp:positionV>
              <wp:extent cx="7558765" cy="10691997"/>
              <wp:effectExtent l="0" t="0" r="4445" b="0"/>
              <wp:wrapNone/>
              <wp:docPr id="2068611812" name="Picture 206861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Pr="005D41A2">
          <w:rPr>
            <w:b/>
            <w:bCs/>
            <w:color w:val="414042" w:themeColor="text1"/>
            <w:sz w:val="28"/>
            <w:szCs w:val="28"/>
          </w:rPr>
          <w:t xml:space="preserve"> </w:t>
        </w:r>
        <w:r>
          <w:rPr>
            <w:noProof/>
          </w:rPr>
          <w:drawing>
            <wp:anchor distT="0" distB="0" distL="114300" distR="114300" simplePos="0" relativeHeight="251740160" behindDoc="1" locked="0" layoutInCell="1" allowOverlap="1" wp14:anchorId="03C9FDF4" wp14:editId="77202B04">
              <wp:simplePos x="0" y="0"/>
              <wp:positionH relativeFrom="page">
                <wp:posOffset>-56087</wp:posOffset>
              </wp:positionH>
              <wp:positionV relativeFrom="paragraph">
                <wp:posOffset>456462</wp:posOffset>
              </wp:positionV>
              <wp:extent cx="7558765" cy="10691997"/>
              <wp:effectExtent l="0" t="0" r="4445" b="0"/>
              <wp:wrapNone/>
              <wp:docPr id="30808453" name="Picture 3080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1" locked="0" layoutInCell="1" allowOverlap="1" wp14:anchorId="281F2D31" wp14:editId="4F158AA4">
              <wp:simplePos x="0" y="0"/>
              <wp:positionH relativeFrom="page">
                <wp:posOffset>-56087</wp:posOffset>
              </wp:positionH>
              <wp:positionV relativeFrom="paragraph">
                <wp:posOffset>456462</wp:posOffset>
              </wp:positionV>
              <wp:extent cx="7558765" cy="10691997"/>
              <wp:effectExtent l="0" t="0" r="4445" b="0"/>
              <wp:wrapNone/>
              <wp:docPr id="307085167" name="Picture 30708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Pr="005D41A2">
          <w:rPr>
            <w:b/>
            <w:bCs/>
            <w:color w:val="414042" w:themeColor="text1"/>
            <w:sz w:val="28"/>
            <w:szCs w:val="28"/>
          </w:rPr>
          <w:t xml:space="preserve"> </w:t>
        </w:r>
        <w:sdt>
          <w:sdtPr>
            <w:rPr>
              <w:b/>
              <w:bCs/>
              <w:color w:val="414042" w:themeColor="text1"/>
              <w:sz w:val="28"/>
              <w:szCs w:val="28"/>
            </w:rPr>
            <w:id w:val="701910129"/>
            <w:docPartObj>
              <w:docPartGallery w:val="Page Numbers (Bottom of Page)"/>
              <w:docPartUnique/>
            </w:docPartObj>
          </w:sdtPr>
          <w:sdtEndPr>
            <w:rPr>
              <w:noProof/>
              <w:sz w:val="26"/>
              <w:szCs w:val="26"/>
            </w:rPr>
          </w:sdtEndPr>
          <w:sdtContent>
            <w:r>
              <w:rPr>
                <w:rFonts w:ascii="Calibri Light" w:hAnsi="Calibri Light" w:cs="Calibri Light"/>
                <w:caps/>
                <w:color w:val="58585B"/>
                <w:sz w:val="16"/>
                <w:szCs w:val="16"/>
              </w:rPr>
              <w:t xml:space="preserve">                                                              A</w:t>
            </w:r>
            <w:r w:rsidRPr="005A3524">
              <w:rPr>
                <w:rFonts w:ascii="Calibri Light" w:hAnsi="Calibri Light" w:cs="Calibri Light"/>
                <w:caps/>
                <w:color w:val="58585B"/>
                <w:sz w:val="16"/>
                <w:szCs w:val="16"/>
              </w:rPr>
              <w:t>nnual report 202</w:t>
            </w:r>
            <w:r>
              <w:rPr>
                <w:rFonts w:ascii="Calibri Light" w:hAnsi="Calibri Light" w:cs="Calibri Light"/>
                <w:caps/>
                <w:color w:val="58585B"/>
                <w:sz w:val="16"/>
                <w:szCs w:val="16"/>
              </w:rPr>
              <w:t>3–</w:t>
            </w:r>
            <w:r w:rsidRPr="005A3524">
              <w:rPr>
                <w:rFonts w:ascii="Calibri Light" w:hAnsi="Calibri Light" w:cs="Calibri Light"/>
                <w:caps/>
                <w:color w:val="58585B"/>
                <w:sz w:val="16"/>
                <w:szCs w:val="16"/>
              </w:rPr>
              <w:t>2</w:t>
            </w:r>
            <w:r>
              <w:rPr>
                <w:rFonts w:ascii="Calibri Light" w:hAnsi="Calibri Light" w:cs="Calibri Light"/>
                <w:caps/>
                <w:color w:val="58585B"/>
                <w:sz w:val="16"/>
                <w:szCs w:val="16"/>
              </w:rPr>
              <w:t xml:space="preserve">4  </w:t>
            </w:r>
            <w:r w:rsidRPr="005A3524">
              <w:rPr>
                <w:rFonts w:ascii="Calibri Light" w:hAnsi="Calibri Light" w:cs="Calibri Light"/>
                <w:caps/>
                <w:color w:val="58585B"/>
                <w:sz w:val="16"/>
                <w:szCs w:val="16"/>
              </w:rPr>
              <w:t xml:space="preserve">        </w:t>
            </w:r>
            <w:r w:rsidRPr="005A3524">
              <w:rPr>
                <w:rFonts w:ascii="Calibri" w:hAnsi="Calibri" w:cs="Calibri"/>
                <w:b/>
                <w:bCs/>
                <w:caps/>
                <w:color w:val="404041"/>
                <w:sz w:val="16"/>
                <w:szCs w:val="16"/>
              </w:rPr>
              <w:t>crime and corruption commission</w:t>
            </w:r>
            <w:r>
              <w:rPr>
                <w:rFonts w:ascii="Calibri" w:hAnsi="Calibri" w:cs="Calibri"/>
                <w:b/>
                <w:bCs/>
                <w:caps/>
                <w:color w:val="404041"/>
                <w:sz w:val="16"/>
                <w:szCs w:val="16"/>
              </w:rPr>
              <w:tab/>
            </w:r>
            <w:r>
              <w:rPr>
                <w:rFonts w:ascii="Calibri" w:hAnsi="Calibri" w:cs="Calibri"/>
                <w:b/>
                <w:bCs/>
                <w:caps/>
                <w:color w:val="404041"/>
                <w:sz w:val="16"/>
                <w:szCs w:val="16"/>
              </w:rPr>
              <w:tab/>
            </w:r>
            <w:r w:rsidRPr="00754346">
              <w:rPr>
                <w:rStyle w:val="PagenumberChar"/>
              </w:rPr>
              <w:fldChar w:fldCharType="begin"/>
            </w:r>
            <w:r w:rsidRPr="00754346">
              <w:rPr>
                <w:rStyle w:val="PagenumberChar"/>
              </w:rPr>
              <w:instrText xml:space="preserve"> PAGE   \* MERGEFORMAT </w:instrText>
            </w:r>
            <w:r w:rsidRPr="00754346">
              <w:rPr>
                <w:rStyle w:val="PagenumberChar"/>
              </w:rPr>
              <w:fldChar w:fldCharType="separate"/>
            </w:r>
            <w:r>
              <w:rPr>
                <w:rStyle w:val="PagenumberChar"/>
              </w:rPr>
              <w:t>73</w:t>
            </w:r>
            <w:r w:rsidRPr="00754346">
              <w:rPr>
                <w:rStyle w:val="PagenumberChar"/>
              </w:rPr>
              <w:fldChar w:fldCharType="end"/>
            </w:r>
          </w:sdtContent>
        </w:sdt>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04681" w14:textId="362B2702" w:rsidR="006852D9" w:rsidRPr="0006746C" w:rsidRDefault="00507575" w:rsidP="002D5AE6">
    <w:pPr>
      <w:pStyle w:val="Footer"/>
      <w:spacing w:after="0"/>
      <w:rPr>
        <w:b/>
        <w:bCs/>
        <w:color w:val="414042" w:themeColor="text1"/>
        <w:sz w:val="26"/>
        <w:szCs w:val="26"/>
      </w:rPr>
    </w:pPr>
    <w:sdt>
      <w:sdtPr>
        <w:rPr>
          <w:rStyle w:val="PagenumberChar"/>
        </w:rPr>
        <w:id w:val="-794284845"/>
        <w:docPartObj>
          <w:docPartGallery w:val="Page Numbers (Bottom of Page)"/>
          <w:docPartUnique/>
        </w:docPartObj>
      </w:sdtPr>
      <w:sdtEndPr>
        <w:rPr>
          <w:rStyle w:val="DefaultParagraphFont"/>
          <w:rFonts w:ascii="Calibri Light" w:hAnsi="Calibri Light" w:cstheme="minorBidi"/>
          <w:b w:val="0"/>
          <w:bCs w:val="0"/>
          <w:noProof/>
          <w:color w:val="auto"/>
          <w:sz w:val="26"/>
          <w:szCs w:val="26"/>
          <w:lang w:val="en-AU"/>
        </w:rPr>
      </w:sdtEndPr>
      <w:sdtContent>
        <w:r w:rsidR="006852D9" w:rsidRPr="009846B4">
          <w:rPr>
            <w:rStyle w:val="PagenumberChar"/>
          </w:rPr>
          <w:fldChar w:fldCharType="begin"/>
        </w:r>
        <w:r w:rsidR="006852D9" w:rsidRPr="009846B4">
          <w:rPr>
            <w:rStyle w:val="PagenumberChar"/>
          </w:rPr>
          <w:instrText xml:space="preserve"> PAGE   \* MERGEFORMAT </w:instrText>
        </w:r>
        <w:r w:rsidR="006852D9" w:rsidRPr="009846B4">
          <w:rPr>
            <w:rStyle w:val="PagenumberChar"/>
          </w:rPr>
          <w:fldChar w:fldCharType="separate"/>
        </w:r>
        <w:r w:rsidR="006852D9" w:rsidRPr="009846B4">
          <w:rPr>
            <w:rStyle w:val="PagenumberChar"/>
          </w:rPr>
          <w:t>10</w:t>
        </w:r>
        <w:r w:rsidR="006852D9" w:rsidRPr="009846B4">
          <w:rPr>
            <w:rStyle w:val="PagenumberChar"/>
          </w:rPr>
          <w:fldChar w:fldCharType="end"/>
        </w:r>
        <w:r w:rsidR="006852D9" w:rsidRPr="005A3524">
          <w:rPr>
            <w:rFonts w:cs="Calibri Light"/>
            <w:caps/>
            <w:color w:val="58585B"/>
            <w:sz w:val="16"/>
            <w:szCs w:val="16"/>
          </w:rPr>
          <w:t xml:space="preserve"> </w:t>
        </w:r>
        <w:r w:rsidR="006852D9">
          <w:rPr>
            <w:rFonts w:cs="Calibri Light"/>
            <w:caps/>
            <w:color w:val="58585B"/>
            <w:sz w:val="16"/>
            <w:szCs w:val="16"/>
          </w:rPr>
          <w:tab/>
          <w:t xml:space="preserve">                                            </w:t>
        </w:r>
        <w:r w:rsidR="006852D9" w:rsidRPr="005A3524">
          <w:rPr>
            <w:rFonts w:cs="Calibri Light"/>
            <w:caps/>
            <w:color w:val="58585B"/>
            <w:sz w:val="16"/>
            <w:szCs w:val="16"/>
          </w:rPr>
          <w:t>annual report 202</w:t>
        </w:r>
        <w:r w:rsidR="00280BEA">
          <w:rPr>
            <w:rFonts w:cs="Calibri Light"/>
            <w:caps/>
            <w:color w:val="58585B"/>
            <w:sz w:val="16"/>
            <w:szCs w:val="16"/>
          </w:rPr>
          <w:t>3</w:t>
        </w:r>
        <w:r w:rsidR="006852D9">
          <w:rPr>
            <w:rFonts w:cs="Calibri Light"/>
            <w:caps/>
            <w:color w:val="58585B"/>
            <w:sz w:val="16"/>
            <w:szCs w:val="16"/>
          </w:rPr>
          <w:t>–</w:t>
        </w:r>
        <w:r w:rsidR="006852D9" w:rsidRPr="005A3524">
          <w:rPr>
            <w:rFonts w:cs="Calibri Light"/>
            <w:caps/>
            <w:color w:val="58585B"/>
            <w:sz w:val="16"/>
            <w:szCs w:val="16"/>
          </w:rPr>
          <w:t>2</w:t>
        </w:r>
        <w:r w:rsidR="00280BEA">
          <w:rPr>
            <w:rFonts w:cs="Calibri Light"/>
            <w:caps/>
            <w:color w:val="58585B"/>
            <w:sz w:val="16"/>
            <w:szCs w:val="16"/>
          </w:rPr>
          <w:t>4</w:t>
        </w:r>
        <w:r w:rsidR="006852D9">
          <w:rPr>
            <w:rFonts w:cs="Calibri Light"/>
            <w:caps/>
            <w:color w:val="58585B"/>
            <w:sz w:val="16"/>
            <w:szCs w:val="16"/>
          </w:rPr>
          <w:t xml:space="preserve">    </w:t>
        </w:r>
        <w:r w:rsidR="006852D9" w:rsidRPr="005A3524">
          <w:rPr>
            <w:rFonts w:cs="Calibri Light"/>
            <w:caps/>
            <w:color w:val="58585B"/>
            <w:sz w:val="16"/>
            <w:szCs w:val="16"/>
          </w:rPr>
          <w:t xml:space="preserve">    </w:t>
        </w:r>
        <w:r w:rsidR="006852D9">
          <w:rPr>
            <w:rFonts w:cs="Calibri Light"/>
            <w:caps/>
            <w:color w:val="58585B"/>
            <w:sz w:val="16"/>
            <w:szCs w:val="16"/>
          </w:rPr>
          <w:t xml:space="preserve"> </w:t>
        </w:r>
        <w:r w:rsidR="006852D9" w:rsidRPr="005A3524">
          <w:rPr>
            <w:rFonts w:cs="Calibri Light"/>
            <w:caps/>
            <w:color w:val="58585B"/>
            <w:sz w:val="16"/>
            <w:szCs w:val="16"/>
          </w:rPr>
          <w:t xml:space="preserve"> </w:t>
        </w:r>
        <w:r w:rsidR="006852D9" w:rsidRPr="005A3524">
          <w:rPr>
            <w:rFonts w:ascii="Calibri" w:hAnsi="Calibri" w:cs="Calibri"/>
            <w:b/>
            <w:bCs/>
            <w:caps/>
            <w:color w:val="404041"/>
            <w:sz w:val="16"/>
            <w:szCs w:val="16"/>
          </w:rPr>
          <w:t>crime and corruption commission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1E34A" w14:textId="77777777" w:rsidR="005F42AC" w:rsidRPr="002D5AE6" w:rsidRDefault="00507575" w:rsidP="008B0438">
    <w:pPr>
      <w:pStyle w:val="BasicParagraph"/>
      <w:spacing w:after="0" w:line="240" w:lineRule="auto"/>
      <w:rPr>
        <w:rFonts w:asciiTheme="majorHAnsi" w:hAnsiTheme="majorHAnsi" w:cstheme="majorHAnsi"/>
        <w:b/>
        <w:bCs/>
        <w:caps/>
        <w:color w:val="404041"/>
        <w:sz w:val="14"/>
        <w:szCs w:val="14"/>
      </w:rPr>
    </w:pPr>
    <w:sdt>
      <w:sdtPr>
        <w:rPr>
          <w:b/>
          <w:bCs/>
          <w:color w:val="414042" w:themeColor="text1"/>
          <w:sz w:val="28"/>
          <w:szCs w:val="28"/>
        </w:rPr>
        <w:id w:val="848527634"/>
        <w:docPartObj>
          <w:docPartGallery w:val="Page Numbers (Bottom of Page)"/>
          <w:docPartUnique/>
        </w:docPartObj>
      </w:sdtPr>
      <w:sdtEndPr>
        <w:rPr>
          <w:rFonts w:asciiTheme="majorHAnsi" w:hAnsiTheme="majorHAnsi" w:cstheme="majorHAnsi"/>
          <w:noProof/>
          <w:sz w:val="24"/>
          <w:szCs w:val="24"/>
        </w:rPr>
      </w:sdtEndPr>
      <w:sdtContent>
        <w:r w:rsidR="005F42AC" w:rsidRPr="007C6F91">
          <w:rPr>
            <w:rFonts w:ascii="Calibri Light" w:hAnsi="Calibri Light" w:cs="Calibri Light"/>
            <w:caps/>
            <w:color w:val="58585B"/>
            <w:sz w:val="16"/>
            <w:szCs w:val="16"/>
          </w:rPr>
          <w:t xml:space="preserve"> </w:t>
        </w:r>
        <w:r w:rsidR="005F42AC">
          <w:rPr>
            <w:rFonts w:ascii="Calibri Light" w:hAnsi="Calibri Light" w:cs="Calibri Light"/>
            <w:caps/>
            <w:color w:val="58585B"/>
            <w:sz w:val="16"/>
            <w:szCs w:val="16"/>
          </w:rPr>
          <w:t xml:space="preserve">                                                                                 </w:t>
        </w:r>
        <w:r w:rsidR="005F42AC" w:rsidRPr="005A3524">
          <w:rPr>
            <w:rFonts w:ascii="Calibri Light" w:hAnsi="Calibri Light" w:cs="Calibri Light"/>
            <w:caps/>
            <w:color w:val="58585B"/>
            <w:sz w:val="16"/>
            <w:szCs w:val="16"/>
          </w:rPr>
          <w:t>annual report 202</w:t>
        </w:r>
        <w:r w:rsidR="005F42AC">
          <w:rPr>
            <w:rFonts w:ascii="Calibri Light" w:hAnsi="Calibri Light" w:cs="Calibri Light"/>
            <w:caps/>
            <w:color w:val="58585B"/>
            <w:sz w:val="16"/>
            <w:szCs w:val="16"/>
          </w:rPr>
          <w:t>1–</w:t>
        </w:r>
        <w:r w:rsidR="005F42AC" w:rsidRPr="005A3524">
          <w:rPr>
            <w:rFonts w:ascii="Calibri Light" w:hAnsi="Calibri Light" w:cs="Calibri Light"/>
            <w:caps/>
            <w:color w:val="58585B"/>
            <w:sz w:val="16"/>
            <w:szCs w:val="16"/>
          </w:rPr>
          <w:t>2</w:t>
        </w:r>
        <w:r w:rsidR="005F42AC">
          <w:rPr>
            <w:rFonts w:ascii="Calibri Light" w:hAnsi="Calibri Light" w:cs="Calibri Light"/>
            <w:caps/>
            <w:color w:val="58585B"/>
            <w:sz w:val="16"/>
            <w:szCs w:val="16"/>
          </w:rPr>
          <w:t>2</w:t>
        </w:r>
        <w:r w:rsidR="005F42AC" w:rsidRPr="005A3524">
          <w:rPr>
            <w:rFonts w:ascii="Calibri Light" w:hAnsi="Calibri Light" w:cs="Calibri Light"/>
            <w:caps/>
            <w:color w:val="58585B"/>
            <w:sz w:val="16"/>
            <w:szCs w:val="16"/>
          </w:rPr>
          <w:t xml:space="preserve">  </w:t>
        </w:r>
        <w:r w:rsidR="005F42AC">
          <w:rPr>
            <w:rFonts w:ascii="Calibri Light" w:hAnsi="Calibri Light" w:cs="Calibri Light"/>
            <w:caps/>
            <w:color w:val="58585B"/>
            <w:sz w:val="16"/>
            <w:szCs w:val="16"/>
          </w:rPr>
          <w:t xml:space="preserve"> </w:t>
        </w:r>
        <w:r w:rsidR="005F42AC" w:rsidRPr="005A3524">
          <w:rPr>
            <w:rFonts w:ascii="Calibri Light" w:hAnsi="Calibri Light" w:cs="Calibri Light"/>
            <w:caps/>
            <w:color w:val="58585B"/>
            <w:sz w:val="16"/>
            <w:szCs w:val="16"/>
          </w:rPr>
          <w:t xml:space="preserve">       </w:t>
        </w:r>
        <w:r w:rsidR="005F42AC" w:rsidRPr="005A3524">
          <w:rPr>
            <w:rFonts w:ascii="Calibri" w:hAnsi="Calibri" w:cs="Calibri"/>
            <w:b/>
            <w:bCs/>
            <w:caps/>
            <w:color w:val="404041"/>
            <w:sz w:val="16"/>
            <w:szCs w:val="16"/>
          </w:rPr>
          <w:t>crime and corruption commission</w:t>
        </w:r>
        <w:r w:rsidR="005F42AC">
          <w:rPr>
            <w:rFonts w:ascii="Calibri" w:hAnsi="Calibri" w:cs="Calibri"/>
            <w:b/>
            <w:bCs/>
            <w:caps/>
            <w:color w:val="404041"/>
            <w:sz w:val="16"/>
            <w:szCs w:val="16"/>
          </w:rPr>
          <w:tab/>
        </w:r>
        <w:r w:rsidR="005F42AC">
          <w:rPr>
            <w:rFonts w:ascii="Calibri" w:hAnsi="Calibri" w:cs="Calibri"/>
            <w:b/>
            <w:bCs/>
            <w:caps/>
            <w:color w:val="404041"/>
            <w:sz w:val="16"/>
            <w:szCs w:val="16"/>
          </w:rPr>
          <w:tab/>
        </w:r>
        <w:r w:rsidR="005F42AC">
          <w:rPr>
            <w:rFonts w:ascii="Calibri" w:hAnsi="Calibri" w:cs="Calibri"/>
            <w:b/>
            <w:bCs/>
            <w:caps/>
            <w:color w:val="404041"/>
            <w:sz w:val="16"/>
            <w:szCs w:val="16"/>
          </w:rPr>
          <w:tab/>
        </w:r>
        <w:r w:rsidR="005F42AC" w:rsidRPr="002D5AE6">
          <w:rPr>
            <w:rFonts w:ascii="Calibri" w:hAnsi="Calibri" w:cs="Calibri"/>
            <w:caps/>
            <w:color w:val="404041"/>
            <w:sz w:val="16"/>
            <w:szCs w:val="16"/>
          </w:rPr>
          <w:t xml:space="preserve"> </w:t>
        </w:r>
        <w:r w:rsidR="005F42AC" w:rsidRPr="002D5AE6">
          <w:rPr>
            <w:rFonts w:asciiTheme="majorHAnsi" w:hAnsiTheme="majorHAnsi" w:cstheme="majorHAnsi"/>
            <w:color w:val="414042" w:themeColor="text1"/>
            <w:lang w:val="en-AU"/>
          </w:rPr>
          <w:fldChar w:fldCharType="begin"/>
        </w:r>
        <w:r w:rsidR="005F42AC" w:rsidRPr="002D5AE6">
          <w:rPr>
            <w:rFonts w:asciiTheme="majorHAnsi" w:hAnsiTheme="majorHAnsi" w:cstheme="majorHAnsi"/>
            <w:color w:val="414042" w:themeColor="text1"/>
            <w:lang w:val="en-AU"/>
          </w:rPr>
          <w:instrText xml:space="preserve"> PAGE   \* MERGEFORMAT </w:instrText>
        </w:r>
        <w:r w:rsidR="005F42AC" w:rsidRPr="002D5AE6">
          <w:rPr>
            <w:rFonts w:asciiTheme="majorHAnsi" w:hAnsiTheme="majorHAnsi" w:cstheme="majorHAnsi"/>
            <w:color w:val="414042" w:themeColor="text1"/>
            <w:lang w:val="en-AU"/>
          </w:rPr>
          <w:fldChar w:fldCharType="separate"/>
        </w:r>
        <w:r w:rsidR="005F42AC" w:rsidRPr="002D5AE6">
          <w:rPr>
            <w:rFonts w:asciiTheme="majorHAnsi" w:hAnsiTheme="majorHAnsi" w:cstheme="majorHAnsi"/>
            <w:color w:val="414042" w:themeColor="text1"/>
          </w:rPr>
          <w:t>3</w:t>
        </w:r>
        <w:r w:rsidR="005F42AC" w:rsidRPr="002D5AE6">
          <w:rPr>
            <w:rFonts w:asciiTheme="majorHAnsi" w:hAnsiTheme="majorHAnsi" w:cstheme="majorHAnsi"/>
            <w:color w:val="414042" w:themeColor="text1"/>
            <w:lang w:val="en-AU"/>
          </w:rPr>
          <w:fldChar w:fldCharType="end"/>
        </w:r>
        <w:r w:rsidR="005F42AC" w:rsidRPr="002D5AE6">
          <w:rPr>
            <w:rFonts w:asciiTheme="majorHAnsi" w:hAnsiTheme="majorHAnsi" w:cstheme="majorHAnsi"/>
            <w:b/>
            <w:bCs/>
            <w:caps/>
            <w:color w:val="404041"/>
            <w:sz w:val="14"/>
            <w:szCs w:val="14"/>
          </w:rPr>
          <w:t xml:space="preserve"> </w:t>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1A7DA" w14:textId="349AC28C" w:rsidR="00D07CB2" w:rsidRPr="0006746C" w:rsidRDefault="00507575" w:rsidP="002D5AE6">
    <w:pPr>
      <w:pStyle w:val="Footer"/>
      <w:spacing w:after="0"/>
      <w:rPr>
        <w:b/>
        <w:bCs/>
        <w:color w:val="414042" w:themeColor="text1"/>
        <w:sz w:val="26"/>
        <w:szCs w:val="26"/>
      </w:rPr>
    </w:pPr>
    <w:sdt>
      <w:sdtPr>
        <w:rPr>
          <w:rStyle w:val="PagenumberChar"/>
        </w:rPr>
        <w:id w:val="1293491535"/>
        <w:docPartObj>
          <w:docPartGallery w:val="Page Numbers (Bottom of Page)"/>
          <w:docPartUnique/>
        </w:docPartObj>
      </w:sdtPr>
      <w:sdtEndPr>
        <w:rPr>
          <w:rStyle w:val="DefaultParagraphFont"/>
          <w:rFonts w:ascii="Calibri Light" w:hAnsi="Calibri Light" w:cstheme="minorBidi"/>
          <w:b w:val="0"/>
          <w:bCs w:val="0"/>
          <w:noProof/>
          <w:color w:val="auto"/>
          <w:sz w:val="26"/>
          <w:szCs w:val="26"/>
          <w:lang w:val="en-AU"/>
        </w:rPr>
      </w:sdtEndPr>
      <w:sdtContent>
        <w:r w:rsidR="00D07CB2" w:rsidRPr="009846B4">
          <w:rPr>
            <w:rStyle w:val="PagenumberChar"/>
          </w:rPr>
          <w:fldChar w:fldCharType="begin"/>
        </w:r>
        <w:r w:rsidR="00D07CB2" w:rsidRPr="009846B4">
          <w:rPr>
            <w:rStyle w:val="PagenumberChar"/>
          </w:rPr>
          <w:instrText xml:space="preserve"> PAGE   \* MERGEFORMAT </w:instrText>
        </w:r>
        <w:r w:rsidR="00D07CB2" w:rsidRPr="009846B4">
          <w:rPr>
            <w:rStyle w:val="PagenumberChar"/>
          </w:rPr>
          <w:fldChar w:fldCharType="separate"/>
        </w:r>
        <w:r w:rsidR="00D07CB2" w:rsidRPr="009846B4">
          <w:rPr>
            <w:rStyle w:val="PagenumberChar"/>
          </w:rPr>
          <w:t>10</w:t>
        </w:r>
        <w:r w:rsidR="00D07CB2" w:rsidRPr="009846B4">
          <w:rPr>
            <w:rStyle w:val="PagenumberChar"/>
          </w:rPr>
          <w:fldChar w:fldCharType="end"/>
        </w:r>
        <w:r w:rsidR="00D07CB2" w:rsidRPr="005A3524">
          <w:rPr>
            <w:rFonts w:cs="Calibri Light"/>
            <w:caps/>
            <w:color w:val="58585B"/>
            <w:sz w:val="16"/>
            <w:szCs w:val="16"/>
          </w:rPr>
          <w:t xml:space="preserve"> </w:t>
        </w:r>
        <w:r w:rsidR="00D07CB2">
          <w:rPr>
            <w:rFonts w:cs="Calibri Light"/>
            <w:caps/>
            <w:color w:val="58585B"/>
            <w:sz w:val="16"/>
            <w:szCs w:val="16"/>
          </w:rPr>
          <w:tab/>
          <w:t xml:space="preserve">                                            </w:t>
        </w:r>
        <w:r w:rsidR="00D07CB2" w:rsidRPr="005A3524">
          <w:rPr>
            <w:rFonts w:cs="Calibri Light"/>
            <w:caps/>
            <w:color w:val="58585B"/>
            <w:sz w:val="16"/>
            <w:szCs w:val="16"/>
          </w:rPr>
          <w:t>annual report 202</w:t>
        </w:r>
        <w:r w:rsidR="00284F37">
          <w:rPr>
            <w:rFonts w:cs="Calibri Light"/>
            <w:caps/>
            <w:color w:val="58585B"/>
            <w:sz w:val="16"/>
            <w:szCs w:val="16"/>
          </w:rPr>
          <w:t>3</w:t>
        </w:r>
        <w:r w:rsidR="00D07CB2">
          <w:rPr>
            <w:rFonts w:cs="Calibri Light"/>
            <w:caps/>
            <w:color w:val="58585B"/>
            <w:sz w:val="16"/>
            <w:szCs w:val="16"/>
          </w:rPr>
          <w:t>–</w:t>
        </w:r>
        <w:r w:rsidR="00D07CB2" w:rsidRPr="005A3524">
          <w:rPr>
            <w:rFonts w:cs="Calibri Light"/>
            <w:caps/>
            <w:color w:val="58585B"/>
            <w:sz w:val="16"/>
            <w:szCs w:val="16"/>
          </w:rPr>
          <w:t>2</w:t>
        </w:r>
        <w:r w:rsidR="00284F37">
          <w:rPr>
            <w:rFonts w:cs="Calibri Light"/>
            <w:caps/>
            <w:color w:val="58585B"/>
            <w:sz w:val="16"/>
            <w:szCs w:val="16"/>
          </w:rPr>
          <w:t>4</w:t>
        </w:r>
        <w:r w:rsidR="00D07CB2">
          <w:rPr>
            <w:rFonts w:cs="Calibri Light"/>
            <w:caps/>
            <w:color w:val="58585B"/>
            <w:sz w:val="16"/>
            <w:szCs w:val="16"/>
          </w:rPr>
          <w:t xml:space="preserve">    </w:t>
        </w:r>
        <w:r w:rsidR="00D07CB2" w:rsidRPr="005A3524">
          <w:rPr>
            <w:rFonts w:cs="Calibri Light"/>
            <w:caps/>
            <w:color w:val="58585B"/>
            <w:sz w:val="16"/>
            <w:szCs w:val="16"/>
          </w:rPr>
          <w:t xml:space="preserve">    </w:t>
        </w:r>
        <w:r w:rsidR="00D07CB2">
          <w:rPr>
            <w:rFonts w:cs="Calibri Light"/>
            <w:caps/>
            <w:color w:val="58585B"/>
            <w:sz w:val="16"/>
            <w:szCs w:val="16"/>
          </w:rPr>
          <w:t xml:space="preserve"> </w:t>
        </w:r>
        <w:r w:rsidR="00D07CB2" w:rsidRPr="005A3524">
          <w:rPr>
            <w:rFonts w:cs="Calibri Light"/>
            <w:caps/>
            <w:color w:val="58585B"/>
            <w:sz w:val="16"/>
            <w:szCs w:val="16"/>
          </w:rPr>
          <w:t xml:space="preserve"> </w:t>
        </w:r>
        <w:r w:rsidR="00D07CB2" w:rsidRPr="005A3524">
          <w:rPr>
            <w:rFonts w:ascii="Calibri" w:hAnsi="Calibri" w:cs="Calibri"/>
            <w:b/>
            <w:bCs/>
            <w:caps/>
            <w:color w:val="404041"/>
            <w:sz w:val="16"/>
            <w:szCs w:val="16"/>
          </w:rPr>
          <w:t>crime and corruption commission</w:t>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BFF3" w14:textId="77777777" w:rsidR="00C676DC" w:rsidRPr="0006746C" w:rsidRDefault="00507575" w:rsidP="002D5AE6">
    <w:pPr>
      <w:pStyle w:val="Footer"/>
      <w:spacing w:after="0"/>
      <w:rPr>
        <w:b/>
        <w:bCs/>
        <w:color w:val="414042" w:themeColor="text1"/>
        <w:sz w:val="26"/>
        <w:szCs w:val="26"/>
      </w:rPr>
    </w:pPr>
    <w:sdt>
      <w:sdtPr>
        <w:rPr>
          <w:rStyle w:val="PagenumberChar"/>
        </w:rPr>
        <w:id w:val="572477294"/>
        <w:docPartObj>
          <w:docPartGallery w:val="Page Numbers (Bottom of Page)"/>
          <w:docPartUnique/>
        </w:docPartObj>
      </w:sdtPr>
      <w:sdtEndPr>
        <w:rPr>
          <w:rStyle w:val="DefaultParagraphFont"/>
          <w:rFonts w:ascii="Calibri Light" w:hAnsi="Calibri Light" w:cstheme="minorBidi"/>
          <w:b w:val="0"/>
          <w:bCs w:val="0"/>
          <w:noProof/>
          <w:color w:val="auto"/>
          <w:sz w:val="26"/>
          <w:szCs w:val="26"/>
          <w:lang w:val="en-AU"/>
        </w:rPr>
      </w:sdtEndPr>
      <w:sdtContent>
        <w:r w:rsidR="00C676DC" w:rsidRPr="009846B4">
          <w:rPr>
            <w:rStyle w:val="PagenumberChar"/>
          </w:rPr>
          <w:fldChar w:fldCharType="begin"/>
        </w:r>
        <w:r w:rsidR="00C676DC" w:rsidRPr="009846B4">
          <w:rPr>
            <w:rStyle w:val="PagenumberChar"/>
          </w:rPr>
          <w:instrText xml:space="preserve"> PAGE   \* MERGEFORMAT </w:instrText>
        </w:r>
        <w:r w:rsidR="00C676DC" w:rsidRPr="009846B4">
          <w:rPr>
            <w:rStyle w:val="PagenumberChar"/>
          </w:rPr>
          <w:fldChar w:fldCharType="separate"/>
        </w:r>
        <w:r w:rsidR="00C676DC" w:rsidRPr="009846B4">
          <w:rPr>
            <w:rStyle w:val="PagenumberChar"/>
          </w:rPr>
          <w:t>10</w:t>
        </w:r>
        <w:r w:rsidR="00C676DC" w:rsidRPr="009846B4">
          <w:rPr>
            <w:rStyle w:val="PagenumberChar"/>
          </w:rPr>
          <w:fldChar w:fldCharType="end"/>
        </w:r>
        <w:r w:rsidR="00C676DC" w:rsidRPr="005A3524">
          <w:rPr>
            <w:rFonts w:cs="Calibri Light"/>
            <w:caps/>
            <w:color w:val="58585B"/>
            <w:sz w:val="16"/>
            <w:szCs w:val="16"/>
          </w:rPr>
          <w:t xml:space="preserve"> </w:t>
        </w:r>
        <w:r w:rsidR="00C676DC">
          <w:rPr>
            <w:rFonts w:cs="Calibri Light"/>
            <w:caps/>
            <w:color w:val="58585B"/>
            <w:sz w:val="16"/>
            <w:szCs w:val="16"/>
          </w:rPr>
          <w:tab/>
          <w:t xml:space="preserve">                                            </w:t>
        </w:r>
        <w:r w:rsidR="00C676DC" w:rsidRPr="005A3524">
          <w:rPr>
            <w:rFonts w:cs="Calibri Light"/>
            <w:caps/>
            <w:color w:val="58585B"/>
            <w:sz w:val="16"/>
            <w:szCs w:val="16"/>
          </w:rPr>
          <w:t>annual report 202</w:t>
        </w:r>
        <w:r w:rsidR="00C676DC">
          <w:rPr>
            <w:rFonts w:cs="Calibri Light"/>
            <w:caps/>
            <w:color w:val="58585B"/>
            <w:sz w:val="16"/>
            <w:szCs w:val="16"/>
          </w:rPr>
          <w:t>3–</w:t>
        </w:r>
        <w:r w:rsidR="00C676DC" w:rsidRPr="005A3524">
          <w:rPr>
            <w:rFonts w:cs="Calibri Light"/>
            <w:caps/>
            <w:color w:val="58585B"/>
            <w:sz w:val="16"/>
            <w:szCs w:val="16"/>
          </w:rPr>
          <w:t>2</w:t>
        </w:r>
        <w:r w:rsidR="00C676DC">
          <w:rPr>
            <w:rFonts w:cs="Calibri Light"/>
            <w:caps/>
            <w:color w:val="58585B"/>
            <w:sz w:val="16"/>
            <w:szCs w:val="16"/>
          </w:rPr>
          <w:t xml:space="preserve">4    </w:t>
        </w:r>
        <w:r w:rsidR="00C676DC" w:rsidRPr="005A3524">
          <w:rPr>
            <w:rFonts w:cs="Calibri Light"/>
            <w:caps/>
            <w:color w:val="58585B"/>
            <w:sz w:val="16"/>
            <w:szCs w:val="16"/>
          </w:rPr>
          <w:t xml:space="preserve">    </w:t>
        </w:r>
        <w:r w:rsidR="00C676DC">
          <w:rPr>
            <w:rFonts w:cs="Calibri Light"/>
            <w:caps/>
            <w:color w:val="58585B"/>
            <w:sz w:val="16"/>
            <w:szCs w:val="16"/>
          </w:rPr>
          <w:t xml:space="preserve"> </w:t>
        </w:r>
        <w:r w:rsidR="00C676DC" w:rsidRPr="005A3524">
          <w:rPr>
            <w:rFonts w:cs="Calibri Light"/>
            <w:caps/>
            <w:color w:val="58585B"/>
            <w:sz w:val="16"/>
            <w:szCs w:val="16"/>
          </w:rPr>
          <w:t xml:space="preserve"> </w:t>
        </w:r>
        <w:r w:rsidR="00C676DC" w:rsidRPr="005A3524">
          <w:rPr>
            <w:rFonts w:ascii="Calibri" w:hAnsi="Calibri" w:cs="Calibri"/>
            <w:b/>
            <w:bCs/>
            <w:caps/>
            <w:color w:val="404041"/>
            <w:sz w:val="16"/>
            <w:szCs w:val="16"/>
          </w:rPr>
          <w:t>crime and corruption commission</w:t>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5E2FC" w14:textId="26EB0E14" w:rsidR="00CF1D36" w:rsidRPr="002232A6" w:rsidRDefault="00C676DC" w:rsidP="00DA6B72">
    <w:pPr>
      <w:pStyle w:val="BasicParagraph"/>
      <w:spacing w:after="0" w:line="240" w:lineRule="auto"/>
      <w:rPr>
        <w:rFonts w:asciiTheme="minorHAnsi" w:hAnsiTheme="minorHAnsi" w:cstheme="minorHAnsi"/>
        <w:b/>
        <w:bCs/>
        <w:caps/>
        <w:color w:val="404041"/>
        <w:sz w:val="16"/>
        <w:szCs w:val="16"/>
      </w:rPr>
    </w:pPr>
    <w:r>
      <w:rPr>
        <w:noProof/>
      </w:rPr>
      <w:drawing>
        <wp:anchor distT="0" distB="0" distL="114300" distR="114300" simplePos="0" relativeHeight="251734016" behindDoc="1" locked="0" layoutInCell="1" allowOverlap="1" wp14:anchorId="7BF257E8" wp14:editId="1B235C90">
          <wp:simplePos x="0" y="0"/>
          <wp:positionH relativeFrom="page">
            <wp:posOffset>-56087</wp:posOffset>
          </wp:positionH>
          <wp:positionV relativeFrom="paragraph">
            <wp:posOffset>456462</wp:posOffset>
          </wp:positionV>
          <wp:extent cx="7558765" cy="10691997"/>
          <wp:effectExtent l="0" t="0" r="4445" b="0"/>
          <wp:wrapNone/>
          <wp:docPr id="1564580842" name="Picture 156458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36A2CEC3" wp14:editId="1EE2EF80">
          <wp:simplePos x="0" y="0"/>
          <wp:positionH relativeFrom="page">
            <wp:posOffset>-56087</wp:posOffset>
          </wp:positionH>
          <wp:positionV relativeFrom="paragraph">
            <wp:posOffset>456462</wp:posOffset>
          </wp:positionV>
          <wp:extent cx="7558765" cy="10691997"/>
          <wp:effectExtent l="0" t="0" r="4445" b="0"/>
          <wp:wrapNone/>
          <wp:docPr id="1705866092" name="Picture 170586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1" locked="0" layoutInCell="1" allowOverlap="1" wp14:anchorId="030AC11E" wp14:editId="4E9F578A">
          <wp:simplePos x="0" y="0"/>
          <wp:positionH relativeFrom="page">
            <wp:posOffset>-56087</wp:posOffset>
          </wp:positionH>
          <wp:positionV relativeFrom="paragraph">
            <wp:posOffset>456462</wp:posOffset>
          </wp:positionV>
          <wp:extent cx="7558765" cy="10691997"/>
          <wp:effectExtent l="0" t="0" r="4445" b="0"/>
          <wp:wrapNone/>
          <wp:docPr id="1074288666" name="Picture 107428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1" locked="0" layoutInCell="1" allowOverlap="1" wp14:anchorId="51EE3974" wp14:editId="3B1EEC56">
          <wp:simplePos x="0" y="0"/>
          <wp:positionH relativeFrom="page">
            <wp:posOffset>-56087</wp:posOffset>
          </wp:positionH>
          <wp:positionV relativeFrom="paragraph">
            <wp:posOffset>456462</wp:posOffset>
          </wp:positionV>
          <wp:extent cx="7558765" cy="10691997"/>
          <wp:effectExtent l="0" t="0" r="4445" b="0"/>
          <wp:wrapNone/>
          <wp:docPr id="1534052968" name="Picture 153405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sdt>
      <w:sdtPr>
        <w:rPr>
          <w:b/>
          <w:bCs/>
          <w:color w:val="414042" w:themeColor="text1"/>
          <w:sz w:val="28"/>
          <w:szCs w:val="28"/>
        </w:rPr>
        <w:id w:val="274222222"/>
        <w:docPartObj>
          <w:docPartGallery w:val="Page Numbers (Bottom of Page)"/>
          <w:docPartUnique/>
        </w:docPartObj>
      </w:sdtPr>
      <w:sdtEndPr>
        <w:rPr>
          <w:noProof/>
          <w:sz w:val="26"/>
          <w:szCs w:val="26"/>
        </w:rPr>
      </w:sdtEndPr>
      <w:sdtContent>
        <w:sdt>
          <w:sdtPr>
            <w:rPr>
              <w:b/>
              <w:bCs/>
              <w:color w:val="414042" w:themeColor="text1"/>
              <w:sz w:val="28"/>
              <w:szCs w:val="28"/>
            </w:rPr>
            <w:id w:val="-1557700473"/>
            <w:docPartObj>
              <w:docPartGallery w:val="Page Numbers (Bottom of Page)"/>
              <w:docPartUnique/>
            </w:docPartObj>
          </w:sdtPr>
          <w:sdtEndPr>
            <w:rPr>
              <w:noProof/>
              <w:sz w:val="26"/>
              <w:szCs w:val="26"/>
            </w:rPr>
          </w:sdtEndPr>
          <w:sdtContent>
            <w:sdt>
              <w:sdtPr>
                <w:rPr>
                  <w:rStyle w:val="PagenumberChar"/>
                </w:rPr>
                <w:id w:val="280226556"/>
                <w:docPartObj>
                  <w:docPartGallery w:val="Page Numbers (Bottom of Page)"/>
                  <w:docPartUnique/>
                </w:docPartObj>
              </w:sdtPr>
              <w:sdtEndPr>
                <w:rPr>
                  <w:rStyle w:val="DefaultParagraphFont"/>
                  <w:rFonts w:ascii="MinionPro-Regular" w:hAnsi="MinionPro-Regular" w:cs="MinionPro-Regular"/>
                  <w:b w:val="0"/>
                  <w:bCs w:val="0"/>
                  <w:noProof/>
                  <w:color w:val="000000"/>
                  <w:sz w:val="26"/>
                  <w:szCs w:val="26"/>
                </w:rPr>
              </w:sdtEndPr>
              <w:sdtContent>
                <w:sdt>
                  <w:sdtPr>
                    <w:rPr>
                      <w:b/>
                      <w:bCs/>
                      <w:color w:val="414042" w:themeColor="text1"/>
                      <w:sz w:val="28"/>
                      <w:szCs w:val="28"/>
                    </w:rPr>
                    <w:id w:val="-323592389"/>
                    <w:docPartObj>
                      <w:docPartGallery w:val="Page Numbers (Bottom of Page)"/>
                      <w:docPartUnique/>
                    </w:docPartObj>
                  </w:sdtPr>
                  <w:sdtEndPr>
                    <w:rPr>
                      <w:noProof/>
                      <w:sz w:val="26"/>
                      <w:szCs w:val="26"/>
                    </w:rPr>
                  </w:sdtEndPr>
                  <w:sdtContent>
                    <w:sdt>
                      <w:sdtPr>
                        <w:rPr>
                          <w:b/>
                          <w:bCs/>
                          <w:color w:val="414042" w:themeColor="text1"/>
                          <w:sz w:val="28"/>
                          <w:szCs w:val="28"/>
                        </w:rPr>
                        <w:id w:val="-855034045"/>
                        <w:docPartObj>
                          <w:docPartGallery w:val="Page Numbers (Bottom of Page)"/>
                          <w:docPartUnique/>
                        </w:docPartObj>
                      </w:sdtPr>
                      <w:sdtEndPr>
                        <w:rPr>
                          <w:noProof/>
                          <w:sz w:val="26"/>
                          <w:szCs w:val="26"/>
                        </w:rPr>
                      </w:sdtEndPr>
                      <w:sdtContent>
                        <w:sdt>
                          <w:sdtPr>
                            <w:rPr>
                              <w:rStyle w:val="PagenumberChar"/>
                            </w:rPr>
                            <w:id w:val="1699343006"/>
                            <w:docPartObj>
                              <w:docPartGallery w:val="Page Numbers (Bottom of Page)"/>
                              <w:docPartUnique/>
                            </w:docPartObj>
                          </w:sdtPr>
                          <w:sdtEndPr>
                            <w:rPr>
                              <w:rStyle w:val="DefaultParagraphFont"/>
                              <w:rFonts w:ascii="MinionPro-Regular" w:hAnsi="MinionPro-Regular" w:cs="MinionPro-Regular"/>
                              <w:b w:val="0"/>
                              <w:bCs w:val="0"/>
                              <w:noProof/>
                              <w:color w:val="000000"/>
                              <w:sz w:val="26"/>
                              <w:szCs w:val="26"/>
                            </w:rPr>
                          </w:sdtEndPr>
                          <w:sdtContent>
                            <w:r w:rsidR="00DA6B72" w:rsidRPr="009846B4">
                              <w:rPr>
                                <w:rStyle w:val="PagenumberChar"/>
                              </w:rPr>
                              <w:fldChar w:fldCharType="begin"/>
                            </w:r>
                            <w:r w:rsidR="00DA6B72" w:rsidRPr="009846B4">
                              <w:rPr>
                                <w:rStyle w:val="PagenumberChar"/>
                              </w:rPr>
                              <w:instrText xml:space="preserve"> PAGE   \* MERGEFORMAT </w:instrText>
                            </w:r>
                            <w:r w:rsidR="00DA6B72" w:rsidRPr="009846B4">
                              <w:rPr>
                                <w:rStyle w:val="PagenumberChar"/>
                              </w:rPr>
                              <w:fldChar w:fldCharType="separate"/>
                            </w:r>
                            <w:r w:rsidR="00DA6B72">
                              <w:rPr>
                                <w:rStyle w:val="PagenumberChar"/>
                              </w:rPr>
                              <w:t>74</w:t>
                            </w:r>
                            <w:r w:rsidR="00DA6B72" w:rsidRPr="009846B4">
                              <w:rPr>
                                <w:rStyle w:val="PagenumberChar"/>
                              </w:rPr>
                              <w:fldChar w:fldCharType="end"/>
                            </w:r>
                            <w:r w:rsidR="00DA6B72" w:rsidRPr="005A3524">
                              <w:rPr>
                                <w:rFonts w:cs="Calibri Light"/>
                                <w:caps/>
                                <w:color w:val="58585B"/>
                                <w:sz w:val="16"/>
                                <w:szCs w:val="16"/>
                              </w:rPr>
                              <w:t xml:space="preserve"> </w:t>
                            </w:r>
                            <w:r w:rsidR="00DA6B72">
                              <w:rPr>
                                <w:rFonts w:cs="Calibri Light"/>
                                <w:caps/>
                                <w:color w:val="58585B"/>
                                <w:sz w:val="16"/>
                                <w:szCs w:val="16"/>
                              </w:rPr>
                              <w:t xml:space="preserve">                                                              </w:t>
                            </w:r>
                            <w:r w:rsidR="00DA6B72" w:rsidRPr="005A3524">
                              <w:rPr>
                                <w:rFonts w:cs="Calibri Light"/>
                                <w:caps/>
                                <w:color w:val="58585B"/>
                                <w:sz w:val="16"/>
                                <w:szCs w:val="16"/>
                              </w:rPr>
                              <w:t>annual report 202</w:t>
                            </w:r>
                            <w:r w:rsidR="00DA6B72">
                              <w:rPr>
                                <w:rFonts w:cs="Calibri Light"/>
                                <w:caps/>
                                <w:color w:val="58585B"/>
                                <w:sz w:val="16"/>
                                <w:szCs w:val="16"/>
                              </w:rPr>
                              <w:t>3–</w:t>
                            </w:r>
                            <w:r w:rsidR="00DA6B72" w:rsidRPr="005A3524">
                              <w:rPr>
                                <w:rFonts w:cs="Calibri Light"/>
                                <w:caps/>
                                <w:color w:val="58585B"/>
                                <w:sz w:val="16"/>
                                <w:szCs w:val="16"/>
                              </w:rPr>
                              <w:t>2</w:t>
                            </w:r>
                            <w:r w:rsidR="00DA6B72">
                              <w:rPr>
                                <w:rFonts w:cs="Calibri Light"/>
                                <w:caps/>
                                <w:color w:val="58585B"/>
                                <w:sz w:val="16"/>
                                <w:szCs w:val="16"/>
                              </w:rPr>
                              <w:t xml:space="preserve">4    </w:t>
                            </w:r>
                            <w:r w:rsidR="00DA6B72" w:rsidRPr="005A3524">
                              <w:rPr>
                                <w:rFonts w:cs="Calibri Light"/>
                                <w:caps/>
                                <w:color w:val="58585B"/>
                                <w:sz w:val="16"/>
                                <w:szCs w:val="16"/>
                              </w:rPr>
                              <w:t xml:space="preserve">    </w:t>
                            </w:r>
                            <w:r w:rsidR="00DA6B72">
                              <w:rPr>
                                <w:rFonts w:cs="Calibri Light"/>
                                <w:caps/>
                                <w:color w:val="58585B"/>
                                <w:sz w:val="16"/>
                                <w:szCs w:val="16"/>
                              </w:rPr>
                              <w:t xml:space="preserve"> </w:t>
                            </w:r>
                            <w:r w:rsidR="00DA6B72" w:rsidRPr="005A3524">
                              <w:rPr>
                                <w:rFonts w:cs="Calibri Light"/>
                                <w:caps/>
                                <w:color w:val="58585B"/>
                                <w:sz w:val="16"/>
                                <w:szCs w:val="16"/>
                              </w:rPr>
                              <w:t xml:space="preserve"> </w:t>
                            </w:r>
                            <w:r w:rsidR="00DA6B72">
                              <w:rPr>
                                <w:rFonts w:cs="Calibri Light"/>
                                <w:caps/>
                                <w:color w:val="58585B"/>
                                <w:sz w:val="16"/>
                                <w:szCs w:val="16"/>
                              </w:rPr>
                              <w:t xml:space="preserve">       </w:t>
                            </w:r>
                            <w:r w:rsidR="00DA6B72" w:rsidRPr="005A3524">
                              <w:rPr>
                                <w:rFonts w:ascii="Calibri" w:hAnsi="Calibri" w:cs="Calibri"/>
                                <w:b/>
                                <w:bCs/>
                                <w:caps/>
                                <w:color w:val="404041"/>
                                <w:sz w:val="16"/>
                                <w:szCs w:val="16"/>
                              </w:rPr>
                              <w:t>crime and corruption commission</w:t>
                            </w:r>
                          </w:sdtContent>
                        </w:sdt>
                        <w:r w:rsidR="00DA6B72">
                          <w:rPr>
                            <w:noProof/>
                            <w:sz w:val="26"/>
                            <w:szCs w:val="26"/>
                          </w:rPr>
                          <w:t xml:space="preserve"> </w:t>
                        </w:r>
                      </w:sdtContent>
                    </w:sdt>
                  </w:sdtContent>
                </w:sdt>
              </w:sdtContent>
            </w:sdt>
            <w:r w:rsidR="00DA6B72">
              <w:rPr>
                <w:noProof/>
                <w:sz w:val="26"/>
                <w:szCs w:val="26"/>
              </w:rPr>
              <w:t xml:space="preserve"> </w:t>
            </w:r>
          </w:sdtContent>
        </w:sdt>
      </w:sdtContent>
    </w:sdt>
    <w:r w:rsidRPr="00F41888">
      <w:rPr>
        <w:rFonts w:asciiTheme="minorHAnsi" w:hAnsiTheme="minorHAnsi" w:cstheme="minorHAnsi"/>
        <w:b/>
        <w:noProof/>
        <w:color w:val="EF3340"/>
        <w:sz w:val="22"/>
        <w:lang w:eastAsia="en-AU"/>
      </w:rPr>
      <w:t xml:space="preserve"> </w:t>
    </w:r>
    <w:r w:rsidR="002232A6" w:rsidRPr="00F41888">
      <w:rPr>
        <w:rFonts w:asciiTheme="minorHAnsi" w:hAnsiTheme="minorHAnsi" w:cstheme="minorHAnsi"/>
        <w:b/>
        <w:noProof/>
        <w:color w:val="EF3340"/>
        <w:sz w:val="22"/>
        <w:lang w:eastAsia="en-AU"/>
      </w:rPr>
      <w:drawing>
        <wp:anchor distT="0" distB="0" distL="114300" distR="114300" simplePos="0" relativeHeight="251716608" behindDoc="1" locked="0" layoutInCell="1" allowOverlap="1" wp14:anchorId="3072309C" wp14:editId="5EB3396B">
          <wp:simplePos x="0" y="0"/>
          <wp:positionH relativeFrom="page">
            <wp:posOffset>-36304</wp:posOffset>
          </wp:positionH>
          <wp:positionV relativeFrom="page">
            <wp:posOffset>9685020</wp:posOffset>
          </wp:positionV>
          <wp:extent cx="7557770" cy="1014730"/>
          <wp:effectExtent l="0" t="0" r="0" b="0"/>
          <wp:wrapNone/>
          <wp:docPr id="741067090" name="Picture 74106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2">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2A6">
      <w:rPr>
        <w:noProof/>
      </w:rPr>
      <w:drawing>
        <wp:anchor distT="0" distB="0" distL="114300" distR="114300" simplePos="0" relativeHeight="251715584" behindDoc="1" locked="0" layoutInCell="1" allowOverlap="1" wp14:anchorId="7DBE239D" wp14:editId="02693ADF">
          <wp:simplePos x="0" y="0"/>
          <wp:positionH relativeFrom="page">
            <wp:posOffset>-56087</wp:posOffset>
          </wp:positionH>
          <wp:positionV relativeFrom="paragraph">
            <wp:posOffset>456462</wp:posOffset>
          </wp:positionV>
          <wp:extent cx="7558765" cy="10691997"/>
          <wp:effectExtent l="0" t="0" r="4445" b="0"/>
          <wp:wrapNone/>
          <wp:docPr id="1195826641" name="Picture 119582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002232A6">
      <w:rPr>
        <w:noProof/>
      </w:rPr>
      <w:drawing>
        <wp:anchor distT="0" distB="0" distL="114300" distR="114300" simplePos="0" relativeHeight="251714560" behindDoc="1" locked="0" layoutInCell="1" allowOverlap="1" wp14:anchorId="1A0421CE" wp14:editId="2B91966F">
          <wp:simplePos x="0" y="0"/>
          <wp:positionH relativeFrom="page">
            <wp:posOffset>-56087</wp:posOffset>
          </wp:positionH>
          <wp:positionV relativeFrom="paragraph">
            <wp:posOffset>456462</wp:posOffset>
          </wp:positionV>
          <wp:extent cx="7558765" cy="10691997"/>
          <wp:effectExtent l="0" t="0" r="4445" b="0"/>
          <wp:wrapNone/>
          <wp:docPr id="34786393" name="Picture 3478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00954847" w:rsidRPr="00F41888">
      <w:rPr>
        <w:rFonts w:asciiTheme="minorHAnsi" w:hAnsiTheme="minorHAnsi" w:cstheme="minorHAnsi"/>
        <w:b/>
        <w:noProof/>
        <w:color w:val="EF3340"/>
        <w:sz w:val="22"/>
        <w:lang w:eastAsia="en-AU"/>
      </w:rPr>
      <w:drawing>
        <wp:anchor distT="0" distB="0" distL="114300" distR="114300" simplePos="0" relativeHeight="251723776" behindDoc="1" locked="0" layoutInCell="1" allowOverlap="1" wp14:anchorId="69FD8F08" wp14:editId="3F6515ED">
          <wp:simplePos x="0" y="0"/>
          <wp:positionH relativeFrom="page">
            <wp:posOffset>-36304</wp:posOffset>
          </wp:positionH>
          <wp:positionV relativeFrom="page">
            <wp:posOffset>9685020</wp:posOffset>
          </wp:positionV>
          <wp:extent cx="7557770" cy="1014730"/>
          <wp:effectExtent l="0" t="0" r="0" b="0"/>
          <wp:wrapNone/>
          <wp:docPr id="438303264" name="Picture 43830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2">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847">
      <w:rPr>
        <w:noProof/>
      </w:rPr>
      <w:drawing>
        <wp:anchor distT="0" distB="0" distL="114300" distR="114300" simplePos="0" relativeHeight="251722752" behindDoc="1" locked="0" layoutInCell="1" allowOverlap="1" wp14:anchorId="2406EDC8" wp14:editId="38DCCC7A">
          <wp:simplePos x="0" y="0"/>
          <wp:positionH relativeFrom="page">
            <wp:posOffset>-56087</wp:posOffset>
          </wp:positionH>
          <wp:positionV relativeFrom="paragraph">
            <wp:posOffset>456462</wp:posOffset>
          </wp:positionV>
          <wp:extent cx="7558765" cy="10691997"/>
          <wp:effectExtent l="0" t="0" r="4445" b="0"/>
          <wp:wrapNone/>
          <wp:docPr id="910276632" name="Picture 91027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00954847">
      <w:rPr>
        <w:noProof/>
      </w:rPr>
      <w:drawing>
        <wp:anchor distT="0" distB="0" distL="114300" distR="114300" simplePos="0" relativeHeight="251721728" behindDoc="1" locked="0" layoutInCell="1" allowOverlap="1" wp14:anchorId="099D2E5A" wp14:editId="6E07F7DA">
          <wp:simplePos x="0" y="0"/>
          <wp:positionH relativeFrom="page">
            <wp:posOffset>-56087</wp:posOffset>
          </wp:positionH>
          <wp:positionV relativeFrom="paragraph">
            <wp:posOffset>456462</wp:posOffset>
          </wp:positionV>
          <wp:extent cx="7558765" cy="10691997"/>
          <wp:effectExtent l="0" t="0" r="4445" b="0"/>
          <wp:wrapNone/>
          <wp:docPr id="1521352090" name="Picture 152135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00954847">
      <w:rPr>
        <w:noProof/>
      </w:rPr>
      <w:drawing>
        <wp:anchor distT="0" distB="0" distL="114300" distR="114300" simplePos="0" relativeHeight="251724800" behindDoc="1" locked="0" layoutInCell="1" allowOverlap="1" wp14:anchorId="7EF24D20" wp14:editId="5B4F32F3">
          <wp:simplePos x="0" y="0"/>
          <wp:positionH relativeFrom="page">
            <wp:posOffset>-56087</wp:posOffset>
          </wp:positionH>
          <wp:positionV relativeFrom="paragraph">
            <wp:posOffset>456462</wp:posOffset>
          </wp:positionV>
          <wp:extent cx="7558765" cy="10691997"/>
          <wp:effectExtent l="0" t="0" r="4445" b="0"/>
          <wp:wrapNone/>
          <wp:docPr id="1742539639" name="Picture 174253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7896" w14:textId="683ADBA2" w:rsidR="00CF1D36" w:rsidRPr="009D4A78" w:rsidRDefault="00CF1D36" w:rsidP="009D4A78">
    <w:pPr>
      <w:pStyle w:val="Footer"/>
      <w:spacing w:after="0"/>
      <w:rPr>
        <w:b/>
        <w:bCs/>
        <w:color w:val="414042" w:themeColor="text1"/>
        <w:sz w:val="26"/>
        <w:szCs w:val="26"/>
      </w:rPr>
    </w:pPr>
    <w:r w:rsidRPr="00F41888">
      <w:rPr>
        <w:rFonts w:asciiTheme="minorHAnsi" w:hAnsiTheme="minorHAnsi" w:cstheme="minorHAnsi"/>
        <w:b/>
        <w:noProof/>
        <w:color w:val="EF3340"/>
        <w:sz w:val="22"/>
        <w:lang w:eastAsia="en-AU"/>
      </w:rPr>
      <w:drawing>
        <wp:anchor distT="0" distB="0" distL="114300" distR="114300" simplePos="0" relativeHeight="251560960" behindDoc="1" locked="0" layoutInCell="1" allowOverlap="1" wp14:anchorId="322A317D" wp14:editId="17B962C7">
          <wp:simplePos x="0" y="0"/>
          <wp:positionH relativeFrom="page">
            <wp:posOffset>-879</wp:posOffset>
          </wp:positionH>
          <wp:positionV relativeFrom="page">
            <wp:posOffset>9696792</wp:posOffset>
          </wp:positionV>
          <wp:extent cx="7557770" cy="1014730"/>
          <wp:effectExtent l="0" t="0" r="0" b="0"/>
          <wp:wrapNone/>
          <wp:docPr id="1423567392" name="Picture 142356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b/>
          <w:bCs/>
          <w:color w:val="414042" w:themeColor="text1"/>
          <w:sz w:val="28"/>
          <w:szCs w:val="28"/>
        </w:rPr>
        <w:id w:val="984125809"/>
        <w:docPartObj>
          <w:docPartGallery w:val="Page Numbers (Bottom of Page)"/>
          <w:docPartUnique/>
        </w:docPartObj>
      </w:sdtPr>
      <w:sdtEndPr>
        <w:rPr>
          <w:noProof/>
          <w:sz w:val="26"/>
          <w:szCs w:val="26"/>
        </w:rPr>
      </w:sdtEndPr>
      <w:sdtContent>
        <w:r w:rsidRPr="00FD75EF">
          <w:rPr>
            <w:rStyle w:val="PagenumberChar"/>
          </w:rPr>
          <w:fldChar w:fldCharType="begin"/>
        </w:r>
        <w:r w:rsidRPr="00FD75EF">
          <w:rPr>
            <w:rStyle w:val="PagenumberChar"/>
          </w:rPr>
          <w:instrText xml:space="preserve"> PAGE   \* MERGEFORMAT </w:instrText>
        </w:r>
        <w:r w:rsidRPr="00FD75EF">
          <w:rPr>
            <w:rStyle w:val="PagenumberChar"/>
          </w:rPr>
          <w:fldChar w:fldCharType="separate"/>
        </w:r>
        <w:r>
          <w:rPr>
            <w:rStyle w:val="PagenumberChar"/>
          </w:rPr>
          <w:t>78</w:t>
        </w:r>
        <w:r w:rsidRPr="00FD75EF">
          <w:rPr>
            <w:rStyle w:val="PagenumberChar"/>
          </w:rPr>
          <w:fldChar w:fldCharType="end"/>
        </w:r>
        <w:r w:rsidRPr="005A3524">
          <w:rPr>
            <w:rFonts w:cs="Calibri Light"/>
            <w:caps/>
            <w:color w:val="58585B"/>
            <w:sz w:val="16"/>
            <w:szCs w:val="16"/>
          </w:rPr>
          <w:t xml:space="preserve"> </w:t>
        </w:r>
        <w:r>
          <w:rPr>
            <w:rFonts w:cs="Calibri Light"/>
            <w:caps/>
            <w:color w:val="58585B"/>
            <w:sz w:val="16"/>
            <w:szCs w:val="16"/>
          </w:rPr>
          <w:tab/>
          <w:t xml:space="preserve">                              </w:t>
        </w:r>
        <w:r w:rsidRPr="005A3524">
          <w:rPr>
            <w:rFonts w:cs="Calibri Light"/>
            <w:caps/>
            <w:color w:val="58585B"/>
            <w:sz w:val="16"/>
            <w:szCs w:val="16"/>
          </w:rPr>
          <w:t xml:space="preserve">annual report </w:t>
        </w:r>
        <w:r w:rsidR="00370F00">
          <w:rPr>
            <w:rFonts w:cs="Calibri Light"/>
            <w:caps/>
            <w:color w:val="58585B"/>
            <w:sz w:val="16"/>
            <w:szCs w:val="16"/>
          </w:rPr>
          <w:t>2023–24</w:t>
        </w:r>
        <w:r>
          <w:rPr>
            <w:rFonts w:cs="Calibri Light"/>
            <w:caps/>
            <w:color w:val="58585B"/>
            <w:sz w:val="16"/>
            <w:szCs w:val="16"/>
          </w:rPr>
          <w:t xml:space="preserve">    </w:t>
        </w:r>
        <w:r w:rsidRPr="005A3524">
          <w:rPr>
            <w:rFonts w:cs="Calibri Light"/>
            <w:caps/>
            <w:color w:val="58585B"/>
            <w:sz w:val="16"/>
            <w:szCs w:val="16"/>
          </w:rPr>
          <w:t xml:space="preserve">    </w:t>
        </w:r>
        <w:r>
          <w:rPr>
            <w:rFonts w:cs="Calibri Light"/>
            <w:caps/>
            <w:color w:val="58585B"/>
            <w:sz w:val="16"/>
            <w:szCs w:val="16"/>
          </w:rPr>
          <w:t xml:space="preserve"> </w:t>
        </w:r>
        <w:r w:rsidRPr="005A3524">
          <w:rPr>
            <w:rFonts w:cs="Calibri Light"/>
            <w:caps/>
            <w:color w:val="58585B"/>
            <w:sz w:val="16"/>
            <w:szCs w:val="16"/>
          </w:rPr>
          <w:t xml:space="preserve"> </w:t>
        </w:r>
        <w:r w:rsidRPr="005A3524">
          <w:rPr>
            <w:rFonts w:ascii="Calibri" w:hAnsi="Calibri" w:cs="Calibri"/>
            <w:b/>
            <w:bCs/>
            <w:caps/>
            <w:color w:val="404041"/>
            <w:sz w:val="16"/>
            <w:szCs w:val="16"/>
          </w:rPr>
          <w:t>crime and corruption commission</w:t>
        </w:r>
      </w:sdtContent>
    </w:sdt>
    <w:r w:rsidDel="008E2389">
      <w:rPr>
        <w:b/>
        <w:bCs/>
        <w:color w:val="414042" w:themeColor="text1"/>
        <w:sz w:val="28"/>
        <w:szCs w:val="28"/>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52A85" w14:textId="5ACF7DFB" w:rsidR="00DA6B72" w:rsidRPr="002232A6" w:rsidRDefault="00DA6B72" w:rsidP="00954847">
    <w:pPr>
      <w:pStyle w:val="BasicParagraph"/>
      <w:spacing w:after="0" w:line="240" w:lineRule="auto"/>
      <w:jc w:val="center"/>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750400" behindDoc="1" locked="0" layoutInCell="1" allowOverlap="1" wp14:anchorId="705328C1" wp14:editId="56273346">
          <wp:simplePos x="0" y="0"/>
          <wp:positionH relativeFrom="page">
            <wp:posOffset>0</wp:posOffset>
          </wp:positionH>
          <wp:positionV relativeFrom="page">
            <wp:posOffset>9696640</wp:posOffset>
          </wp:positionV>
          <wp:extent cx="7557770" cy="1014730"/>
          <wp:effectExtent l="0" t="0" r="0" b="0"/>
          <wp:wrapNone/>
          <wp:docPr id="1354526339" name="Picture 135452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1888">
      <w:rPr>
        <w:rFonts w:asciiTheme="minorHAnsi" w:hAnsiTheme="minorHAnsi" w:cstheme="minorHAnsi"/>
        <w:b/>
        <w:noProof/>
        <w:color w:val="EF3340"/>
        <w:sz w:val="22"/>
        <w:lang w:eastAsia="en-AU"/>
      </w:rPr>
      <w:drawing>
        <wp:anchor distT="0" distB="0" distL="114300" distR="114300" simplePos="0" relativeHeight="251745280" behindDoc="1" locked="0" layoutInCell="1" allowOverlap="1" wp14:anchorId="65DCF3C0" wp14:editId="687FF8DF">
          <wp:simplePos x="0" y="0"/>
          <wp:positionH relativeFrom="page">
            <wp:posOffset>7686675</wp:posOffset>
          </wp:positionH>
          <wp:positionV relativeFrom="page">
            <wp:posOffset>9686925</wp:posOffset>
          </wp:positionV>
          <wp:extent cx="7557770" cy="1014730"/>
          <wp:effectExtent l="0" t="0" r="0" b="0"/>
          <wp:wrapNone/>
          <wp:docPr id="1293797129" name="Picture 129379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1" locked="0" layoutInCell="1" allowOverlap="1" wp14:anchorId="107B60FA" wp14:editId="684401C1">
          <wp:simplePos x="0" y="0"/>
          <wp:positionH relativeFrom="page">
            <wp:posOffset>-56087</wp:posOffset>
          </wp:positionH>
          <wp:positionV relativeFrom="paragraph">
            <wp:posOffset>456462</wp:posOffset>
          </wp:positionV>
          <wp:extent cx="7558765" cy="10691997"/>
          <wp:effectExtent l="0" t="0" r="4445" b="0"/>
          <wp:wrapNone/>
          <wp:docPr id="1088438917" name="Picture 108843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1" locked="0" layoutInCell="1" allowOverlap="1" wp14:anchorId="14042607" wp14:editId="7E339702">
          <wp:simplePos x="0" y="0"/>
          <wp:positionH relativeFrom="page">
            <wp:posOffset>-56087</wp:posOffset>
          </wp:positionH>
          <wp:positionV relativeFrom="paragraph">
            <wp:posOffset>456462</wp:posOffset>
          </wp:positionV>
          <wp:extent cx="7558765" cy="10691997"/>
          <wp:effectExtent l="0" t="0" r="4445" b="0"/>
          <wp:wrapNone/>
          <wp:docPr id="359223983" name="Picture 35922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Pr="005D41A2">
      <w:rPr>
        <w:b/>
        <w:bCs/>
        <w:color w:val="414042" w:themeColor="text1"/>
        <w:sz w:val="28"/>
        <w:szCs w:val="28"/>
      </w:rPr>
      <w:t xml:space="preserve"> </w:t>
    </w:r>
    <w:sdt>
      <w:sdtPr>
        <w:rPr>
          <w:b/>
          <w:bCs/>
          <w:color w:val="414042" w:themeColor="text1"/>
          <w:sz w:val="28"/>
          <w:szCs w:val="28"/>
        </w:rPr>
        <w:id w:val="-75057727"/>
        <w:docPartObj>
          <w:docPartGallery w:val="Page Numbers (Bottom of Page)"/>
          <w:docPartUnique/>
        </w:docPartObj>
      </w:sdtPr>
      <w:sdtEndPr>
        <w:rPr>
          <w:noProof/>
          <w:sz w:val="26"/>
          <w:szCs w:val="26"/>
        </w:rPr>
      </w:sdtEndPr>
      <w:sdtContent>
        <w:r>
          <w:rPr>
            <w:noProof/>
          </w:rPr>
          <w:drawing>
            <wp:anchor distT="0" distB="0" distL="114300" distR="114300" simplePos="0" relativeHeight="251744256" behindDoc="1" locked="0" layoutInCell="1" allowOverlap="1" wp14:anchorId="1C3517F9" wp14:editId="3BE562D4">
              <wp:simplePos x="0" y="0"/>
              <wp:positionH relativeFrom="page">
                <wp:posOffset>-56087</wp:posOffset>
              </wp:positionH>
              <wp:positionV relativeFrom="paragraph">
                <wp:posOffset>456462</wp:posOffset>
              </wp:positionV>
              <wp:extent cx="7558765" cy="10691997"/>
              <wp:effectExtent l="0" t="0" r="4445" b="0"/>
              <wp:wrapNone/>
              <wp:docPr id="485897164" name="Picture 48589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1" locked="0" layoutInCell="1" allowOverlap="1" wp14:anchorId="6A0D41C5" wp14:editId="19A10BD8">
              <wp:simplePos x="0" y="0"/>
              <wp:positionH relativeFrom="page">
                <wp:posOffset>-56087</wp:posOffset>
              </wp:positionH>
              <wp:positionV relativeFrom="paragraph">
                <wp:posOffset>456462</wp:posOffset>
              </wp:positionV>
              <wp:extent cx="7558765" cy="10691997"/>
              <wp:effectExtent l="0" t="0" r="4445" b="0"/>
              <wp:wrapNone/>
              <wp:docPr id="1140447095" name="Picture 114044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Pr="005D41A2">
          <w:rPr>
            <w:b/>
            <w:bCs/>
            <w:color w:val="414042" w:themeColor="text1"/>
            <w:sz w:val="28"/>
            <w:szCs w:val="28"/>
          </w:rPr>
          <w:t xml:space="preserve"> </w:t>
        </w:r>
        <w:r>
          <w:rPr>
            <w:noProof/>
          </w:rPr>
          <w:drawing>
            <wp:anchor distT="0" distB="0" distL="114300" distR="114300" simplePos="0" relativeHeight="251747328" behindDoc="1" locked="0" layoutInCell="1" allowOverlap="1" wp14:anchorId="525018D0" wp14:editId="65D4B801">
              <wp:simplePos x="0" y="0"/>
              <wp:positionH relativeFrom="page">
                <wp:posOffset>-56087</wp:posOffset>
              </wp:positionH>
              <wp:positionV relativeFrom="paragraph">
                <wp:posOffset>456462</wp:posOffset>
              </wp:positionV>
              <wp:extent cx="7558765" cy="10691997"/>
              <wp:effectExtent l="0" t="0" r="4445" b="0"/>
              <wp:wrapNone/>
              <wp:docPr id="403732290" name="Picture 40373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1" locked="0" layoutInCell="1" allowOverlap="1" wp14:anchorId="2CA3F367" wp14:editId="28BD859E">
              <wp:simplePos x="0" y="0"/>
              <wp:positionH relativeFrom="page">
                <wp:posOffset>-56087</wp:posOffset>
              </wp:positionH>
              <wp:positionV relativeFrom="paragraph">
                <wp:posOffset>456462</wp:posOffset>
              </wp:positionV>
              <wp:extent cx="7558765" cy="10691997"/>
              <wp:effectExtent l="0" t="0" r="4445" b="0"/>
              <wp:wrapNone/>
              <wp:docPr id="975324229" name="Picture 97532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Pr="005D41A2">
          <w:rPr>
            <w:b/>
            <w:bCs/>
            <w:color w:val="414042" w:themeColor="text1"/>
            <w:sz w:val="28"/>
            <w:szCs w:val="28"/>
          </w:rPr>
          <w:t xml:space="preserve"> </w:t>
        </w:r>
        <w:r>
          <w:rPr>
            <w:noProof/>
          </w:rPr>
          <w:drawing>
            <wp:anchor distT="0" distB="0" distL="114300" distR="114300" simplePos="0" relativeHeight="251749376" behindDoc="1" locked="0" layoutInCell="1" allowOverlap="1" wp14:anchorId="09BBD804" wp14:editId="065ACE39">
              <wp:simplePos x="0" y="0"/>
              <wp:positionH relativeFrom="page">
                <wp:posOffset>-56087</wp:posOffset>
              </wp:positionH>
              <wp:positionV relativeFrom="paragraph">
                <wp:posOffset>456462</wp:posOffset>
              </wp:positionV>
              <wp:extent cx="7558765" cy="10691997"/>
              <wp:effectExtent l="0" t="0" r="4445" b="0"/>
              <wp:wrapNone/>
              <wp:docPr id="2114426078" name="Picture 211442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1" locked="0" layoutInCell="1" allowOverlap="1" wp14:anchorId="64A62018" wp14:editId="542A2C2F">
              <wp:simplePos x="0" y="0"/>
              <wp:positionH relativeFrom="page">
                <wp:posOffset>-56087</wp:posOffset>
              </wp:positionH>
              <wp:positionV relativeFrom="paragraph">
                <wp:posOffset>456462</wp:posOffset>
              </wp:positionV>
              <wp:extent cx="7558765" cy="10691997"/>
              <wp:effectExtent l="0" t="0" r="4445" b="0"/>
              <wp:wrapNone/>
              <wp:docPr id="1397386832" name="Picture 139738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Pr="005D41A2">
          <w:rPr>
            <w:b/>
            <w:bCs/>
            <w:color w:val="414042" w:themeColor="text1"/>
            <w:sz w:val="28"/>
            <w:szCs w:val="28"/>
          </w:rPr>
          <w:t xml:space="preserve"> </w:t>
        </w:r>
        <w:sdt>
          <w:sdtPr>
            <w:rPr>
              <w:b/>
              <w:bCs/>
              <w:color w:val="414042" w:themeColor="text1"/>
              <w:sz w:val="28"/>
              <w:szCs w:val="28"/>
            </w:rPr>
            <w:id w:val="140693872"/>
            <w:docPartObj>
              <w:docPartGallery w:val="Page Numbers (Bottom of Page)"/>
              <w:docPartUnique/>
            </w:docPartObj>
          </w:sdtPr>
          <w:sdtEndPr>
            <w:rPr>
              <w:noProof/>
              <w:sz w:val="26"/>
              <w:szCs w:val="26"/>
            </w:rPr>
          </w:sdtEndPr>
          <w:sdtContent>
            <w:r>
              <w:rPr>
                <w:rFonts w:ascii="Calibri Light" w:hAnsi="Calibri Light" w:cs="Calibri Light"/>
                <w:caps/>
                <w:color w:val="58585B"/>
                <w:sz w:val="16"/>
                <w:szCs w:val="16"/>
              </w:rPr>
              <w:t xml:space="preserve">                                                                A</w:t>
            </w:r>
            <w:r w:rsidRPr="005A3524">
              <w:rPr>
                <w:rFonts w:ascii="Calibri Light" w:hAnsi="Calibri Light" w:cs="Calibri Light"/>
                <w:caps/>
                <w:color w:val="58585B"/>
                <w:sz w:val="16"/>
                <w:szCs w:val="16"/>
              </w:rPr>
              <w:t>nnual report 202</w:t>
            </w:r>
            <w:r>
              <w:rPr>
                <w:rFonts w:ascii="Calibri Light" w:hAnsi="Calibri Light" w:cs="Calibri Light"/>
                <w:caps/>
                <w:color w:val="58585B"/>
                <w:sz w:val="16"/>
                <w:szCs w:val="16"/>
              </w:rPr>
              <w:t>3–</w:t>
            </w:r>
            <w:r w:rsidRPr="005A3524">
              <w:rPr>
                <w:rFonts w:ascii="Calibri Light" w:hAnsi="Calibri Light" w:cs="Calibri Light"/>
                <w:caps/>
                <w:color w:val="58585B"/>
                <w:sz w:val="16"/>
                <w:szCs w:val="16"/>
              </w:rPr>
              <w:t>2</w:t>
            </w:r>
            <w:r>
              <w:rPr>
                <w:rFonts w:ascii="Calibri Light" w:hAnsi="Calibri Light" w:cs="Calibri Light"/>
                <w:caps/>
                <w:color w:val="58585B"/>
                <w:sz w:val="16"/>
                <w:szCs w:val="16"/>
              </w:rPr>
              <w:t xml:space="preserve">4  </w:t>
            </w:r>
            <w:r w:rsidRPr="005A3524">
              <w:rPr>
                <w:rFonts w:ascii="Calibri Light" w:hAnsi="Calibri Light" w:cs="Calibri Light"/>
                <w:caps/>
                <w:color w:val="58585B"/>
                <w:sz w:val="16"/>
                <w:szCs w:val="16"/>
              </w:rPr>
              <w:t xml:space="preserve">        </w:t>
            </w:r>
            <w:r w:rsidRPr="005A3524">
              <w:rPr>
                <w:rFonts w:ascii="Calibri" w:hAnsi="Calibri" w:cs="Calibri"/>
                <w:b/>
                <w:bCs/>
                <w:caps/>
                <w:color w:val="404041"/>
                <w:sz w:val="16"/>
                <w:szCs w:val="16"/>
              </w:rPr>
              <w:t>crime and corruption commission</w:t>
            </w:r>
            <w:r>
              <w:rPr>
                <w:rFonts w:ascii="Calibri" w:hAnsi="Calibri" w:cs="Calibri"/>
                <w:b/>
                <w:bCs/>
                <w:caps/>
                <w:color w:val="404041"/>
                <w:sz w:val="16"/>
                <w:szCs w:val="16"/>
              </w:rPr>
              <w:tab/>
            </w:r>
            <w:r>
              <w:rPr>
                <w:rFonts w:ascii="Calibri" w:hAnsi="Calibri" w:cs="Calibri"/>
                <w:b/>
                <w:bCs/>
                <w:caps/>
                <w:color w:val="404041"/>
                <w:sz w:val="16"/>
                <w:szCs w:val="16"/>
              </w:rPr>
              <w:tab/>
            </w:r>
            <w:r w:rsidRPr="00754346">
              <w:rPr>
                <w:rStyle w:val="PagenumberChar"/>
              </w:rPr>
              <w:fldChar w:fldCharType="begin"/>
            </w:r>
            <w:r w:rsidRPr="00754346">
              <w:rPr>
                <w:rStyle w:val="PagenumberChar"/>
              </w:rPr>
              <w:instrText xml:space="preserve"> PAGE   \* MERGEFORMAT </w:instrText>
            </w:r>
            <w:r w:rsidRPr="00754346">
              <w:rPr>
                <w:rStyle w:val="PagenumberChar"/>
              </w:rPr>
              <w:fldChar w:fldCharType="separate"/>
            </w:r>
            <w:r>
              <w:rPr>
                <w:rStyle w:val="PagenumberChar"/>
              </w:rPr>
              <w:t>73</w:t>
            </w:r>
            <w:r w:rsidRPr="00754346">
              <w:rPr>
                <w:rStyle w:val="PagenumberChar"/>
              </w:rPr>
              <w:fldChar w:fldCharType="end"/>
            </w:r>
          </w:sdtContent>
        </w:sdt>
      </w:sdtContent>
    </w:sdt>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780FB" w14:textId="77777777" w:rsidR="00DA6B72" w:rsidRPr="002232A6" w:rsidRDefault="00DA6B72" w:rsidP="00DA6B72">
    <w:pPr>
      <w:pStyle w:val="BasicParagraph"/>
      <w:spacing w:after="0" w:line="240" w:lineRule="auto"/>
      <w:rPr>
        <w:rFonts w:asciiTheme="minorHAnsi" w:hAnsiTheme="minorHAnsi" w:cstheme="minorHAnsi"/>
        <w:b/>
        <w:bCs/>
        <w:caps/>
        <w:color w:val="404041"/>
        <w:sz w:val="16"/>
        <w:szCs w:val="16"/>
      </w:rPr>
    </w:pPr>
    <w:r>
      <w:rPr>
        <w:noProof/>
      </w:rPr>
      <w:drawing>
        <wp:anchor distT="0" distB="0" distL="114300" distR="114300" simplePos="0" relativeHeight="251759616" behindDoc="1" locked="0" layoutInCell="1" allowOverlap="1" wp14:anchorId="707BC738" wp14:editId="579693BA">
          <wp:simplePos x="0" y="0"/>
          <wp:positionH relativeFrom="page">
            <wp:posOffset>-56087</wp:posOffset>
          </wp:positionH>
          <wp:positionV relativeFrom="paragraph">
            <wp:posOffset>456462</wp:posOffset>
          </wp:positionV>
          <wp:extent cx="7558765" cy="10691997"/>
          <wp:effectExtent l="0" t="0" r="4445" b="0"/>
          <wp:wrapNone/>
          <wp:docPr id="595442915" name="Picture 59544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46AE37A3" wp14:editId="249945BA">
          <wp:simplePos x="0" y="0"/>
          <wp:positionH relativeFrom="page">
            <wp:posOffset>-56087</wp:posOffset>
          </wp:positionH>
          <wp:positionV relativeFrom="paragraph">
            <wp:posOffset>456462</wp:posOffset>
          </wp:positionV>
          <wp:extent cx="7558765" cy="10691997"/>
          <wp:effectExtent l="0" t="0" r="4445" b="0"/>
          <wp:wrapNone/>
          <wp:docPr id="41861349" name="Picture 418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2714BE6C" wp14:editId="61DA0482">
          <wp:simplePos x="0" y="0"/>
          <wp:positionH relativeFrom="page">
            <wp:posOffset>-56087</wp:posOffset>
          </wp:positionH>
          <wp:positionV relativeFrom="paragraph">
            <wp:posOffset>456462</wp:posOffset>
          </wp:positionV>
          <wp:extent cx="7558765" cy="10691997"/>
          <wp:effectExtent l="0" t="0" r="4445" b="0"/>
          <wp:wrapNone/>
          <wp:docPr id="1143725645" name="Picture 114372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1" locked="0" layoutInCell="1" allowOverlap="1" wp14:anchorId="03EBCFD0" wp14:editId="08901736">
          <wp:simplePos x="0" y="0"/>
          <wp:positionH relativeFrom="page">
            <wp:posOffset>-56087</wp:posOffset>
          </wp:positionH>
          <wp:positionV relativeFrom="paragraph">
            <wp:posOffset>456462</wp:posOffset>
          </wp:positionV>
          <wp:extent cx="7558765" cy="10691997"/>
          <wp:effectExtent l="0" t="0" r="4445" b="0"/>
          <wp:wrapNone/>
          <wp:docPr id="1737341466" name="Picture 173734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sdt>
      <w:sdtPr>
        <w:rPr>
          <w:b/>
          <w:bCs/>
          <w:color w:val="414042" w:themeColor="text1"/>
          <w:sz w:val="28"/>
          <w:szCs w:val="28"/>
        </w:rPr>
        <w:id w:val="-2026239701"/>
        <w:docPartObj>
          <w:docPartGallery w:val="Page Numbers (Bottom of Page)"/>
          <w:docPartUnique/>
        </w:docPartObj>
      </w:sdtPr>
      <w:sdtEndPr>
        <w:rPr>
          <w:noProof/>
          <w:sz w:val="26"/>
          <w:szCs w:val="26"/>
        </w:rPr>
      </w:sdtEndPr>
      <w:sdtContent>
        <w:sdt>
          <w:sdtPr>
            <w:rPr>
              <w:b/>
              <w:bCs/>
              <w:color w:val="414042" w:themeColor="text1"/>
              <w:sz w:val="28"/>
              <w:szCs w:val="28"/>
            </w:rPr>
            <w:id w:val="164678745"/>
            <w:docPartObj>
              <w:docPartGallery w:val="Page Numbers (Bottom of Page)"/>
              <w:docPartUnique/>
            </w:docPartObj>
          </w:sdtPr>
          <w:sdtEndPr>
            <w:rPr>
              <w:noProof/>
              <w:sz w:val="26"/>
              <w:szCs w:val="26"/>
            </w:rPr>
          </w:sdtEndPr>
          <w:sdtContent>
            <w:sdt>
              <w:sdtPr>
                <w:rPr>
                  <w:rStyle w:val="PagenumberChar"/>
                </w:rPr>
                <w:id w:val="-636952393"/>
                <w:docPartObj>
                  <w:docPartGallery w:val="Page Numbers (Bottom of Page)"/>
                  <w:docPartUnique/>
                </w:docPartObj>
              </w:sdtPr>
              <w:sdtEndPr>
                <w:rPr>
                  <w:rStyle w:val="DefaultParagraphFont"/>
                  <w:rFonts w:ascii="MinionPro-Regular" w:hAnsi="MinionPro-Regular" w:cs="MinionPro-Regular"/>
                  <w:b w:val="0"/>
                  <w:bCs w:val="0"/>
                  <w:noProof/>
                  <w:color w:val="000000"/>
                  <w:sz w:val="26"/>
                  <w:szCs w:val="26"/>
                </w:rPr>
              </w:sdtEndPr>
              <w:sdtContent>
                <w:sdt>
                  <w:sdtPr>
                    <w:rPr>
                      <w:b/>
                      <w:bCs/>
                      <w:color w:val="414042" w:themeColor="text1"/>
                      <w:sz w:val="28"/>
                      <w:szCs w:val="28"/>
                    </w:rPr>
                    <w:id w:val="1251237097"/>
                    <w:docPartObj>
                      <w:docPartGallery w:val="Page Numbers (Bottom of Page)"/>
                      <w:docPartUnique/>
                    </w:docPartObj>
                  </w:sdtPr>
                  <w:sdtEndPr>
                    <w:rPr>
                      <w:noProof/>
                      <w:sz w:val="26"/>
                      <w:szCs w:val="26"/>
                    </w:rPr>
                  </w:sdtEndPr>
                  <w:sdtContent>
                    <w:sdt>
                      <w:sdtPr>
                        <w:rPr>
                          <w:b/>
                          <w:bCs/>
                          <w:color w:val="414042" w:themeColor="text1"/>
                          <w:sz w:val="28"/>
                          <w:szCs w:val="28"/>
                        </w:rPr>
                        <w:id w:val="-1695605499"/>
                        <w:docPartObj>
                          <w:docPartGallery w:val="Page Numbers (Bottom of Page)"/>
                          <w:docPartUnique/>
                        </w:docPartObj>
                      </w:sdtPr>
                      <w:sdtEndPr>
                        <w:rPr>
                          <w:noProof/>
                          <w:sz w:val="26"/>
                          <w:szCs w:val="26"/>
                        </w:rPr>
                      </w:sdtEndPr>
                      <w:sdtContent>
                        <w:sdt>
                          <w:sdtPr>
                            <w:rPr>
                              <w:rStyle w:val="PagenumberChar"/>
                            </w:rPr>
                            <w:id w:val="-1498414998"/>
                            <w:docPartObj>
                              <w:docPartGallery w:val="Page Numbers (Bottom of Page)"/>
                              <w:docPartUnique/>
                            </w:docPartObj>
                          </w:sdtPr>
                          <w:sdtEndPr>
                            <w:rPr>
                              <w:rStyle w:val="DefaultParagraphFont"/>
                              <w:rFonts w:ascii="MinionPro-Regular" w:hAnsi="MinionPro-Regular" w:cs="MinionPro-Regular"/>
                              <w:b w:val="0"/>
                              <w:bCs w:val="0"/>
                              <w:noProof/>
                              <w:color w:val="000000"/>
                              <w:sz w:val="26"/>
                              <w:szCs w:val="26"/>
                            </w:rPr>
                          </w:sdtEndPr>
                          <w:sdtContent>
                            <w:r w:rsidRPr="009846B4">
                              <w:rPr>
                                <w:rStyle w:val="PagenumberChar"/>
                              </w:rPr>
                              <w:fldChar w:fldCharType="begin"/>
                            </w:r>
                            <w:r w:rsidRPr="009846B4">
                              <w:rPr>
                                <w:rStyle w:val="PagenumberChar"/>
                              </w:rPr>
                              <w:instrText xml:space="preserve"> PAGE   \* MERGEFORMAT </w:instrText>
                            </w:r>
                            <w:r w:rsidRPr="009846B4">
                              <w:rPr>
                                <w:rStyle w:val="PagenumberChar"/>
                              </w:rPr>
                              <w:fldChar w:fldCharType="separate"/>
                            </w:r>
                            <w:r>
                              <w:rPr>
                                <w:rStyle w:val="PagenumberChar"/>
                              </w:rPr>
                              <w:t>74</w:t>
                            </w:r>
                            <w:r w:rsidRPr="009846B4">
                              <w:rPr>
                                <w:rStyle w:val="PagenumberChar"/>
                              </w:rPr>
                              <w:fldChar w:fldCharType="end"/>
                            </w:r>
                            <w:r w:rsidRPr="005A3524">
                              <w:rPr>
                                <w:rFonts w:cs="Calibri Light"/>
                                <w:caps/>
                                <w:color w:val="58585B"/>
                                <w:sz w:val="16"/>
                                <w:szCs w:val="16"/>
                              </w:rPr>
                              <w:t xml:space="preserve"> </w:t>
                            </w:r>
                            <w:r>
                              <w:rPr>
                                <w:rFonts w:cs="Calibri Light"/>
                                <w:caps/>
                                <w:color w:val="58585B"/>
                                <w:sz w:val="16"/>
                                <w:szCs w:val="16"/>
                              </w:rPr>
                              <w:tab/>
                              <w:t xml:space="preserve">                                                                                                                               </w:t>
                            </w:r>
                            <w:r w:rsidRPr="005A3524">
                              <w:rPr>
                                <w:rFonts w:cs="Calibri Light"/>
                                <w:caps/>
                                <w:color w:val="58585B"/>
                                <w:sz w:val="16"/>
                                <w:szCs w:val="16"/>
                              </w:rPr>
                              <w:t>annual report 202</w:t>
                            </w:r>
                            <w:r>
                              <w:rPr>
                                <w:rFonts w:cs="Calibri Light"/>
                                <w:caps/>
                                <w:color w:val="58585B"/>
                                <w:sz w:val="16"/>
                                <w:szCs w:val="16"/>
                              </w:rPr>
                              <w:t>3–</w:t>
                            </w:r>
                            <w:r w:rsidRPr="005A3524">
                              <w:rPr>
                                <w:rFonts w:cs="Calibri Light"/>
                                <w:caps/>
                                <w:color w:val="58585B"/>
                                <w:sz w:val="16"/>
                                <w:szCs w:val="16"/>
                              </w:rPr>
                              <w:t>2</w:t>
                            </w:r>
                            <w:r>
                              <w:rPr>
                                <w:rFonts w:cs="Calibri Light"/>
                                <w:caps/>
                                <w:color w:val="58585B"/>
                                <w:sz w:val="16"/>
                                <w:szCs w:val="16"/>
                              </w:rPr>
                              <w:t xml:space="preserve">4    </w:t>
                            </w:r>
                            <w:r w:rsidRPr="005A3524">
                              <w:rPr>
                                <w:rFonts w:cs="Calibri Light"/>
                                <w:caps/>
                                <w:color w:val="58585B"/>
                                <w:sz w:val="16"/>
                                <w:szCs w:val="16"/>
                              </w:rPr>
                              <w:t xml:space="preserve">    </w:t>
                            </w:r>
                            <w:r>
                              <w:rPr>
                                <w:rFonts w:cs="Calibri Light"/>
                                <w:caps/>
                                <w:color w:val="58585B"/>
                                <w:sz w:val="16"/>
                                <w:szCs w:val="16"/>
                              </w:rPr>
                              <w:t xml:space="preserve"> </w:t>
                            </w:r>
                            <w:r w:rsidRPr="005A3524">
                              <w:rPr>
                                <w:rFonts w:cs="Calibri Light"/>
                                <w:caps/>
                                <w:color w:val="58585B"/>
                                <w:sz w:val="16"/>
                                <w:szCs w:val="16"/>
                              </w:rPr>
                              <w:t xml:space="preserve"> </w:t>
                            </w:r>
                            <w:r>
                              <w:rPr>
                                <w:rFonts w:cs="Calibri Light"/>
                                <w:caps/>
                                <w:color w:val="58585B"/>
                                <w:sz w:val="16"/>
                                <w:szCs w:val="16"/>
                              </w:rPr>
                              <w:t xml:space="preserve">                                                                                                     </w:t>
                            </w:r>
                            <w:r w:rsidRPr="005A3524">
                              <w:rPr>
                                <w:rFonts w:ascii="Calibri" w:hAnsi="Calibri" w:cs="Calibri"/>
                                <w:b/>
                                <w:bCs/>
                                <w:caps/>
                                <w:color w:val="404041"/>
                                <w:sz w:val="16"/>
                                <w:szCs w:val="16"/>
                              </w:rPr>
                              <w:t>crime and corruption commission</w:t>
                            </w:r>
                          </w:sdtContent>
                        </w:sdt>
                        <w:r>
                          <w:rPr>
                            <w:noProof/>
                            <w:sz w:val="26"/>
                            <w:szCs w:val="26"/>
                          </w:rPr>
                          <w:t xml:space="preserve"> </w:t>
                        </w:r>
                      </w:sdtContent>
                    </w:sdt>
                  </w:sdtContent>
                </w:sdt>
              </w:sdtContent>
            </w:sdt>
            <w:r>
              <w:rPr>
                <w:noProof/>
                <w:sz w:val="26"/>
                <w:szCs w:val="26"/>
              </w:rPr>
              <w:t xml:space="preserve"> </w:t>
            </w:r>
          </w:sdtContent>
        </w:sdt>
      </w:sdtContent>
    </w:sdt>
    <w:r w:rsidRPr="00F41888">
      <w:rPr>
        <w:rFonts w:asciiTheme="minorHAnsi" w:hAnsiTheme="minorHAnsi" w:cstheme="minorHAnsi"/>
        <w:b/>
        <w:noProof/>
        <w:color w:val="EF3340"/>
        <w:sz w:val="22"/>
        <w:lang w:eastAsia="en-AU"/>
      </w:rPr>
      <w:t xml:space="preserve"> </w:t>
    </w:r>
    <w:r w:rsidRPr="00F41888">
      <w:rPr>
        <w:rFonts w:asciiTheme="minorHAnsi" w:hAnsiTheme="minorHAnsi" w:cstheme="minorHAnsi"/>
        <w:b/>
        <w:noProof/>
        <w:color w:val="EF3340"/>
        <w:sz w:val="22"/>
        <w:lang w:eastAsia="en-AU"/>
      </w:rPr>
      <w:drawing>
        <wp:anchor distT="0" distB="0" distL="114300" distR="114300" simplePos="0" relativeHeight="251753472" behindDoc="1" locked="0" layoutInCell="1" allowOverlap="1" wp14:anchorId="1AD73262" wp14:editId="4CB4A32E">
          <wp:simplePos x="0" y="0"/>
          <wp:positionH relativeFrom="page">
            <wp:posOffset>-36304</wp:posOffset>
          </wp:positionH>
          <wp:positionV relativeFrom="page">
            <wp:posOffset>9685020</wp:posOffset>
          </wp:positionV>
          <wp:extent cx="7557770" cy="1014730"/>
          <wp:effectExtent l="0" t="0" r="0" b="0"/>
          <wp:wrapNone/>
          <wp:docPr id="239753484" name="Picture 23975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2">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1" locked="0" layoutInCell="1" allowOverlap="1" wp14:anchorId="48E503C9" wp14:editId="14CF1B53">
          <wp:simplePos x="0" y="0"/>
          <wp:positionH relativeFrom="page">
            <wp:posOffset>-56087</wp:posOffset>
          </wp:positionH>
          <wp:positionV relativeFrom="paragraph">
            <wp:posOffset>456462</wp:posOffset>
          </wp:positionV>
          <wp:extent cx="7558765" cy="10691997"/>
          <wp:effectExtent l="0" t="0" r="4445" b="0"/>
          <wp:wrapNone/>
          <wp:docPr id="159379628" name="Picture 159379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1" locked="0" layoutInCell="1" allowOverlap="1" wp14:anchorId="685808CE" wp14:editId="1456B5E2">
          <wp:simplePos x="0" y="0"/>
          <wp:positionH relativeFrom="page">
            <wp:posOffset>-56087</wp:posOffset>
          </wp:positionH>
          <wp:positionV relativeFrom="paragraph">
            <wp:posOffset>456462</wp:posOffset>
          </wp:positionV>
          <wp:extent cx="7558765" cy="10691997"/>
          <wp:effectExtent l="0" t="0" r="4445" b="0"/>
          <wp:wrapNone/>
          <wp:docPr id="581610642" name="Picture 58161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Pr="00F41888">
      <w:rPr>
        <w:rFonts w:asciiTheme="minorHAnsi" w:hAnsiTheme="minorHAnsi" w:cstheme="minorHAnsi"/>
        <w:b/>
        <w:noProof/>
        <w:color w:val="EF3340"/>
        <w:sz w:val="22"/>
        <w:lang w:eastAsia="en-AU"/>
      </w:rPr>
      <w:drawing>
        <wp:anchor distT="0" distB="0" distL="114300" distR="114300" simplePos="0" relativeHeight="251756544" behindDoc="1" locked="0" layoutInCell="1" allowOverlap="1" wp14:anchorId="5D8C59EB" wp14:editId="6C627CC3">
          <wp:simplePos x="0" y="0"/>
          <wp:positionH relativeFrom="page">
            <wp:posOffset>-36304</wp:posOffset>
          </wp:positionH>
          <wp:positionV relativeFrom="page">
            <wp:posOffset>9685020</wp:posOffset>
          </wp:positionV>
          <wp:extent cx="7557770" cy="1014730"/>
          <wp:effectExtent l="0" t="0" r="0" b="0"/>
          <wp:wrapNone/>
          <wp:docPr id="1822907392" name="Picture 182290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2">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20" behindDoc="1" locked="0" layoutInCell="1" allowOverlap="1" wp14:anchorId="1959305D" wp14:editId="0DA12C71">
          <wp:simplePos x="0" y="0"/>
          <wp:positionH relativeFrom="page">
            <wp:posOffset>-56087</wp:posOffset>
          </wp:positionH>
          <wp:positionV relativeFrom="paragraph">
            <wp:posOffset>456462</wp:posOffset>
          </wp:positionV>
          <wp:extent cx="7558765" cy="10691997"/>
          <wp:effectExtent l="0" t="0" r="4445" b="0"/>
          <wp:wrapNone/>
          <wp:docPr id="110015717" name="Picture 11001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14:anchorId="7B32978E" wp14:editId="5EED1EBE">
          <wp:simplePos x="0" y="0"/>
          <wp:positionH relativeFrom="page">
            <wp:posOffset>-56087</wp:posOffset>
          </wp:positionH>
          <wp:positionV relativeFrom="paragraph">
            <wp:posOffset>456462</wp:posOffset>
          </wp:positionV>
          <wp:extent cx="7558765" cy="10691997"/>
          <wp:effectExtent l="0" t="0" r="4445" b="0"/>
          <wp:wrapNone/>
          <wp:docPr id="293390240" name="Picture 29339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49C1381D" wp14:editId="14928941">
          <wp:simplePos x="0" y="0"/>
          <wp:positionH relativeFrom="page">
            <wp:posOffset>-56087</wp:posOffset>
          </wp:positionH>
          <wp:positionV relativeFrom="paragraph">
            <wp:posOffset>456462</wp:posOffset>
          </wp:positionV>
          <wp:extent cx="7558765" cy="10691997"/>
          <wp:effectExtent l="0" t="0" r="4445" b="0"/>
          <wp:wrapNone/>
          <wp:docPr id="730104760" name="Picture 73010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186B5" w14:textId="12AE857B" w:rsidR="00C676DC" w:rsidRPr="002232A6" w:rsidRDefault="00507575" w:rsidP="00DA6B72">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180244172"/>
        <w:docPartObj>
          <w:docPartGallery w:val="Page Numbers (Bottom of Page)"/>
          <w:docPartUnique/>
        </w:docPartObj>
      </w:sdtPr>
      <w:sdtEndPr>
        <w:rPr>
          <w:noProof/>
          <w:sz w:val="26"/>
          <w:szCs w:val="26"/>
        </w:rPr>
      </w:sdtEndPr>
      <w:sdtContent>
        <w:sdt>
          <w:sdtPr>
            <w:rPr>
              <w:rStyle w:val="PagenumberChar"/>
            </w:rPr>
            <w:id w:val="883838527"/>
            <w:docPartObj>
              <w:docPartGallery w:val="Page Numbers (Bottom of Page)"/>
              <w:docPartUnique/>
            </w:docPartObj>
          </w:sdtPr>
          <w:sdtEndPr>
            <w:rPr>
              <w:rStyle w:val="DefaultParagraphFont"/>
              <w:rFonts w:ascii="MinionPro-Regular" w:hAnsi="MinionPro-Regular" w:cs="MinionPro-Regular"/>
              <w:b w:val="0"/>
              <w:bCs w:val="0"/>
              <w:noProof/>
              <w:color w:val="000000"/>
              <w:sz w:val="26"/>
              <w:szCs w:val="26"/>
            </w:rPr>
          </w:sdtEndPr>
          <w:sdtContent>
            <w:r w:rsidR="00DA6B72" w:rsidRPr="009846B4">
              <w:rPr>
                <w:rStyle w:val="PagenumberChar"/>
              </w:rPr>
              <w:fldChar w:fldCharType="begin"/>
            </w:r>
            <w:r w:rsidR="00DA6B72" w:rsidRPr="009846B4">
              <w:rPr>
                <w:rStyle w:val="PagenumberChar"/>
              </w:rPr>
              <w:instrText xml:space="preserve"> PAGE   \* MERGEFORMAT </w:instrText>
            </w:r>
            <w:r w:rsidR="00DA6B72" w:rsidRPr="009846B4">
              <w:rPr>
                <w:rStyle w:val="PagenumberChar"/>
              </w:rPr>
              <w:fldChar w:fldCharType="separate"/>
            </w:r>
            <w:r w:rsidR="00DA6B72">
              <w:rPr>
                <w:rStyle w:val="PagenumberChar"/>
              </w:rPr>
              <w:t>94</w:t>
            </w:r>
            <w:r w:rsidR="00DA6B72" w:rsidRPr="009846B4">
              <w:rPr>
                <w:rStyle w:val="PagenumberChar"/>
              </w:rPr>
              <w:fldChar w:fldCharType="end"/>
            </w:r>
            <w:r w:rsidR="00DA6B72" w:rsidRPr="005A3524">
              <w:rPr>
                <w:rFonts w:cs="Calibri Light"/>
                <w:caps/>
                <w:color w:val="58585B"/>
                <w:sz w:val="16"/>
                <w:szCs w:val="16"/>
              </w:rPr>
              <w:t xml:space="preserve"> </w:t>
            </w:r>
            <w:r w:rsidR="00DA6B72">
              <w:rPr>
                <w:rFonts w:cs="Calibri Light"/>
                <w:caps/>
                <w:color w:val="58585B"/>
                <w:sz w:val="16"/>
                <w:szCs w:val="16"/>
              </w:rPr>
              <w:t xml:space="preserve">                                                              </w:t>
            </w:r>
            <w:r w:rsidR="00DA6B72" w:rsidRPr="005A3524">
              <w:rPr>
                <w:rFonts w:cs="Calibri Light"/>
                <w:caps/>
                <w:color w:val="58585B"/>
                <w:sz w:val="16"/>
                <w:szCs w:val="16"/>
              </w:rPr>
              <w:t>annual report 202</w:t>
            </w:r>
            <w:r w:rsidR="00DA6B72">
              <w:rPr>
                <w:rFonts w:cs="Calibri Light"/>
                <w:caps/>
                <w:color w:val="58585B"/>
                <w:sz w:val="16"/>
                <w:szCs w:val="16"/>
              </w:rPr>
              <w:t>3–</w:t>
            </w:r>
            <w:r w:rsidR="00DA6B72" w:rsidRPr="005A3524">
              <w:rPr>
                <w:rFonts w:cs="Calibri Light"/>
                <w:caps/>
                <w:color w:val="58585B"/>
                <w:sz w:val="16"/>
                <w:szCs w:val="16"/>
              </w:rPr>
              <w:t>2</w:t>
            </w:r>
            <w:r w:rsidR="00DA6B72">
              <w:rPr>
                <w:rFonts w:cs="Calibri Light"/>
                <w:caps/>
                <w:color w:val="58585B"/>
                <w:sz w:val="16"/>
                <w:szCs w:val="16"/>
              </w:rPr>
              <w:t xml:space="preserve">4    </w:t>
            </w:r>
            <w:r w:rsidR="00DA6B72" w:rsidRPr="005A3524">
              <w:rPr>
                <w:rFonts w:cs="Calibri Light"/>
                <w:caps/>
                <w:color w:val="58585B"/>
                <w:sz w:val="16"/>
                <w:szCs w:val="16"/>
              </w:rPr>
              <w:t xml:space="preserve">    </w:t>
            </w:r>
            <w:r w:rsidR="00DA6B72">
              <w:rPr>
                <w:rFonts w:cs="Calibri Light"/>
                <w:caps/>
                <w:color w:val="58585B"/>
                <w:sz w:val="16"/>
                <w:szCs w:val="16"/>
              </w:rPr>
              <w:t xml:space="preserve"> </w:t>
            </w:r>
            <w:r w:rsidR="00DA6B72" w:rsidRPr="005A3524">
              <w:rPr>
                <w:rFonts w:cs="Calibri Light"/>
                <w:caps/>
                <w:color w:val="58585B"/>
                <w:sz w:val="16"/>
                <w:szCs w:val="16"/>
              </w:rPr>
              <w:t xml:space="preserve"> </w:t>
            </w:r>
            <w:r w:rsidR="00DA6B72">
              <w:rPr>
                <w:rFonts w:cs="Calibri Light"/>
                <w:caps/>
                <w:color w:val="58585B"/>
                <w:sz w:val="16"/>
                <w:szCs w:val="16"/>
              </w:rPr>
              <w:t xml:space="preserve">       </w:t>
            </w:r>
            <w:r w:rsidR="00DA6B72" w:rsidRPr="005A3524">
              <w:rPr>
                <w:rFonts w:ascii="Calibri" w:hAnsi="Calibri" w:cs="Calibri"/>
                <w:b/>
                <w:bCs/>
                <w:caps/>
                <w:color w:val="404041"/>
                <w:sz w:val="16"/>
                <w:szCs w:val="16"/>
              </w:rPr>
              <w:t>crime and corruption commission</w:t>
            </w:r>
          </w:sdtContent>
        </w:sdt>
        <w:r w:rsidR="00DA6B72">
          <w:rPr>
            <w:noProof/>
            <w:sz w:val="26"/>
            <w:szCs w:val="26"/>
          </w:rPr>
          <w:t xml:space="preserve">  </w:t>
        </w:r>
      </w:sdtContent>
    </w:sdt>
    <w:r w:rsidR="00C676DC" w:rsidRPr="00F41888">
      <w:rPr>
        <w:rFonts w:asciiTheme="minorHAnsi" w:hAnsiTheme="minorHAnsi" w:cstheme="minorHAnsi"/>
        <w:b/>
        <w:noProof/>
        <w:color w:val="EF3340"/>
        <w:sz w:val="22"/>
        <w:lang w:eastAsia="en-AU"/>
      </w:rPr>
      <w:t xml:space="preserve"> </w:t>
    </w:r>
    <w:r w:rsidR="00C676DC" w:rsidRPr="00F41888">
      <w:rPr>
        <w:rFonts w:asciiTheme="minorHAnsi" w:hAnsiTheme="minorHAnsi" w:cstheme="minorHAnsi"/>
        <w:b/>
        <w:noProof/>
        <w:color w:val="EF3340"/>
        <w:sz w:val="22"/>
        <w:lang w:eastAsia="en-AU"/>
      </w:rPr>
      <w:drawing>
        <wp:anchor distT="0" distB="0" distL="114300" distR="114300" simplePos="0" relativeHeight="251731968" behindDoc="1" locked="0" layoutInCell="1" allowOverlap="1" wp14:anchorId="2850E1D9" wp14:editId="41F4F77B">
          <wp:simplePos x="0" y="0"/>
          <wp:positionH relativeFrom="page">
            <wp:posOffset>-36195</wp:posOffset>
          </wp:positionH>
          <wp:positionV relativeFrom="page">
            <wp:posOffset>9685020</wp:posOffset>
          </wp:positionV>
          <wp:extent cx="7557770" cy="1014730"/>
          <wp:effectExtent l="0" t="0" r="0" b="0"/>
          <wp:wrapNone/>
          <wp:docPr id="451876969" name="Picture 45187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6DC">
      <w:rPr>
        <w:noProof/>
      </w:rPr>
      <w:drawing>
        <wp:anchor distT="0" distB="0" distL="114300" distR="114300" simplePos="0" relativeHeight="251730944" behindDoc="1" locked="0" layoutInCell="1" allowOverlap="1" wp14:anchorId="331BC82B" wp14:editId="5876536E">
          <wp:simplePos x="0" y="0"/>
          <wp:positionH relativeFrom="page">
            <wp:posOffset>-56087</wp:posOffset>
          </wp:positionH>
          <wp:positionV relativeFrom="paragraph">
            <wp:posOffset>456462</wp:posOffset>
          </wp:positionV>
          <wp:extent cx="7558765" cy="10691997"/>
          <wp:effectExtent l="0" t="0" r="4445" b="0"/>
          <wp:wrapNone/>
          <wp:docPr id="358378615" name="Picture 35837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00C676DC">
      <w:rPr>
        <w:noProof/>
      </w:rPr>
      <w:drawing>
        <wp:anchor distT="0" distB="0" distL="114300" distR="114300" simplePos="0" relativeHeight="251729920" behindDoc="1" locked="0" layoutInCell="1" allowOverlap="1" wp14:anchorId="2875F628" wp14:editId="507114E0">
          <wp:simplePos x="0" y="0"/>
          <wp:positionH relativeFrom="page">
            <wp:posOffset>-56087</wp:posOffset>
          </wp:positionH>
          <wp:positionV relativeFrom="paragraph">
            <wp:posOffset>456462</wp:posOffset>
          </wp:positionV>
          <wp:extent cx="7558765" cy="10691997"/>
          <wp:effectExtent l="0" t="0" r="4445" b="0"/>
          <wp:wrapNone/>
          <wp:docPr id="527726938" name="Picture 52772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B6B8" w14:textId="3C19122E" w:rsidR="00AB33EC" w:rsidRPr="00954847" w:rsidRDefault="00954847" w:rsidP="00954847">
    <w:pPr>
      <w:pStyle w:val="BasicParagraph"/>
      <w:spacing w:after="0" w:line="240" w:lineRule="auto"/>
      <w:jc w:val="center"/>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727872" behindDoc="1" locked="0" layoutInCell="1" allowOverlap="1" wp14:anchorId="55C0EC7B" wp14:editId="653D02F2">
          <wp:simplePos x="0" y="0"/>
          <wp:positionH relativeFrom="page">
            <wp:posOffset>-36304</wp:posOffset>
          </wp:positionH>
          <wp:positionV relativeFrom="page">
            <wp:posOffset>9685020</wp:posOffset>
          </wp:positionV>
          <wp:extent cx="7557770" cy="1014730"/>
          <wp:effectExtent l="0" t="0" r="0" b="0"/>
          <wp:wrapNone/>
          <wp:docPr id="1529642018" name="Picture 15296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1" locked="0" layoutInCell="1" allowOverlap="1" wp14:anchorId="70A6FD11" wp14:editId="51475861">
          <wp:simplePos x="0" y="0"/>
          <wp:positionH relativeFrom="page">
            <wp:posOffset>-56087</wp:posOffset>
          </wp:positionH>
          <wp:positionV relativeFrom="paragraph">
            <wp:posOffset>456462</wp:posOffset>
          </wp:positionV>
          <wp:extent cx="7558765" cy="10691997"/>
          <wp:effectExtent l="0" t="0" r="4445" b="0"/>
          <wp:wrapNone/>
          <wp:docPr id="383417823" name="Picture 38341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1" locked="0" layoutInCell="1" allowOverlap="1" wp14:anchorId="39166DF6" wp14:editId="2C853F59">
          <wp:simplePos x="0" y="0"/>
          <wp:positionH relativeFrom="page">
            <wp:posOffset>-56087</wp:posOffset>
          </wp:positionH>
          <wp:positionV relativeFrom="paragraph">
            <wp:posOffset>456462</wp:posOffset>
          </wp:positionV>
          <wp:extent cx="7558765" cy="10691997"/>
          <wp:effectExtent l="0" t="0" r="4445" b="0"/>
          <wp:wrapNone/>
          <wp:docPr id="2100594126" name="Picture 210059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Pr="005D41A2">
      <w:rPr>
        <w:b/>
        <w:bCs/>
        <w:color w:val="414042" w:themeColor="text1"/>
        <w:sz w:val="28"/>
        <w:szCs w:val="28"/>
      </w:rPr>
      <w:t xml:space="preserve"> </w:t>
    </w:r>
    <w:sdt>
      <w:sdtPr>
        <w:rPr>
          <w:b/>
          <w:bCs/>
          <w:color w:val="414042" w:themeColor="text1"/>
          <w:sz w:val="28"/>
          <w:szCs w:val="28"/>
        </w:rPr>
        <w:id w:val="1347595115"/>
        <w:docPartObj>
          <w:docPartGallery w:val="Page Numbers (Bottom of Page)"/>
          <w:docPartUnique/>
        </w:docPartObj>
      </w:sdtPr>
      <w:sdtEndPr>
        <w:rPr>
          <w:noProof/>
          <w:sz w:val="26"/>
          <w:szCs w:val="26"/>
        </w:rPr>
      </w:sdtEndPr>
      <w:sdtContent>
        <w:r>
          <w:rPr>
            <w:rFonts w:ascii="Calibri Light" w:hAnsi="Calibri Light" w:cs="Calibri Light"/>
            <w:caps/>
            <w:color w:val="58585B"/>
            <w:sz w:val="16"/>
            <w:szCs w:val="16"/>
          </w:rPr>
          <w:t xml:space="preserve">                                                                   A</w:t>
        </w:r>
        <w:r w:rsidRPr="005A3524">
          <w:rPr>
            <w:rFonts w:ascii="Calibri Light" w:hAnsi="Calibri Light" w:cs="Calibri Light"/>
            <w:caps/>
            <w:color w:val="58585B"/>
            <w:sz w:val="16"/>
            <w:szCs w:val="16"/>
          </w:rPr>
          <w:t>nnual report 202</w:t>
        </w:r>
        <w:r>
          <w:rPr>
            <w:rFonts w:ascii="Calibri Light" w:hAnsi="Calibri Light" w:cs="Calibri Light"/>
            <w:caps/>
            <w:color w:val="58585B"/>
            <w:sz w:val="16"/>
            <w:szCs w:val="16"/>
          </w:rPr>
          <w:t>3–</w:t>
        </w:r>
        <w:r w:rsidRPr="005A3524">
          <w:rPr>
            <w:rFonts w:ascii="Calibri Light" w:hAnsi="Calibri Light" w:cs="Calibri Light"/>
            <w:caps/>
            <w:color w:val="58585B"/>
            <w:sz w:val="16"/>
            <w:szCs w:val="16"/>
          </w:rPr>
          <w:t>2</w:t>
        </w:r>
        <w:r>
          <w:rPr>
            <w:rFonts w:ascii="Calibri Light" w:hAnsi="Calibri Light" w:cs="Calibri Light"/>
            <w:caps/>
            <w:color w:val="58585B"/>
            <w:sz w:val="16"/>
            <w:szCs w:val="16"/>
          </w:rPr>
          <w:t xml:space="preserve">4  </w:t>
        </w:r>
        <w:r w:rsidRPr="005A3524">
          <w:rPr>
            <w:rFonts w:ascii="Calibri Light" w:hAnsi="Calibri Light" w:cs="Calibri Light"/>
            <w:caps/>
            <w:color w:val="58585B"/>
            <w:sz w:val="16"/>
            <w:szCs w:val="16"/>
          </w:rPr>
          <w:t xml:space="preserve">        </w:t>
        </w:r>
        <w:r w:rsidRPr="005A3524">
          <w:rPr>
            <w:rFonts w:ascii="Calibri" w:hAnsi="Calibri" w:cs="Calibri"/>
            <w:b/>
            <w:bCs/>
            <w:caps/>
            <w:color w:val="404041"/>
            <w:sz w:val="16"/>
            <w:szCs w:val="16"/>
          </w:rPr>
          <w:t>crime and corruption commission</w:t>
        </w:r>
        <w:r>
          <w:rPr>
            <w:rFonts w:ascii="Calibri" w:hAnsi="Calibri" w:cs="Calibri"/>
            <w:b/>
            <w:bCs/>
            <w:caps/>
            <w:color w:val="404041"/>
            <w:sz w:val="16"/>
            <w:szCs w:val="16"/>
          </w:rPr>
          <w:tab/>
        </w:r>
        <w:r>
          <w:rPr>
            <w:rFonts w:ascii="Calibri" w:hAnsi="Calibri" w:cs="Calibri"/>
            <w:b/>
            <w:bCs/>
            <w:caps/>
            <w:color w:val="404041"/>
            <w:sz w:val="16"/>
            <w:szCs w:val="16"/>
          </w:rPr>
          <w:tab/>
        </w:r>
        <w:r w:rsidRPr="00754346">
          <w:rPr>
            <w:rStyle w:val="PagenumberChar"/>
          </w:rPr>
          <w:fldChar w:fldCharType="begin"/>
        </w:r>
        <w:r w:rsidRPr="00754346">
          <w:rPr>
            <w:rStyle w:val="PagenumberChar"/>
          </w:rPr>
          <w:instrText xml:space="preserve"> PAGE   \* MERGEFORMAT </w:instrText>
        </w:r>
        <w:r w:rsidRPr="00754346">
          <w:rPr>
            <w:rStyle w:val="PagenumberChar"/>
          </w:rPr>
          <w:fldChar w:fldCharType="separate"/>
        </w:r>
        <w:r>
          <w:rPr>
            <w:rStyle w:val="PagenumberChar"/>
          </w:rPr>
          <w:t>74</w:t>
        </w:r>
        <w:r w:rsidRPr="00754346">
          <w:rPr>
            <w:rStyle w:val="PagenumberChar"/>
          </w:rPr>
          <w:fldChar w:fldCharType="end"/>
        </w:r>
      </w:sdtContent>
    </w:sdt>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B762" w14:textId="00F53E08" w:rsidR="000442BE" w:rsidRPr="00F04DF2" w:rsidRDefault="00507575" w:rsidP="00F04DF2">
    <w:pPr>
      <w:pStyle w:val="Footer"/>
      <w:spacing w:after="0"/>
      <w:rPr>
        <w:b/>
        <w:bCs/>
        <w:color w:val="414042" w:themeColor="text1"/>
        <w:sz w:val="26"/>
        <w:szCs w:val="26"/>
      </w:rPr>
    </w:pPr>
    <w:sdt>
      <w:sdtPr>
        <w:rPr>
          <w:b/>
          <w:bCs/>
          <w:color w:val="414042" w:themeColor="text1"/>
          <w:sz w:val="28"/>
          <w:szCs w:val="28"/>
        </w:rPr>
        <w:id w:val="602768262"/>
        <w:docPartObj>
          <w:docPartGallery w:val="Page Numbers (Bottom of Page)"/>
          <w:docPartUnique/>
        </w:docPartObj>
      </w:sdtPr>
      <w:sdtEndPr>
        <w:rPr>
          <w:noProof/>
          <w:sz w:val="26"/>
          <w:szCs w:val="26"/>
        </w:rPr>
      </w:sdtEndPr>
      <w:sdtContent>
        <w:r w:rsidR="000442BE" w:rsidRPr="00EC0923">
          <w:rPr>
            <w:rStyle w:val="PagenumberChar"/>
          </w:rPr>
          <w:fldChar w:fldCharType="begin"/>
        </w:r>
        <w:r w:rsidR="000442BE" w:rsidRPr="00EC0923">
          <w:rPr>
            <w:rStyle w:val="PagenumberChar"/>
          </w:rPr>
          <w:instrText xml:space="preserve"> PAGE   \* MERGEFORMAT </w:instrText>
        </w:r>
        <w:r w:rsidR="000442BE" w:rsidRPr="00EC0923">
          <w:rPr>
            <w:rStyle w:val="PagenumberChar"/>
          </w:rPr>
          <w:fldChar w:fldCharType="separate"/>
        </w:r>
        <w:r w:rsidR="000442BE" w:rsidRPr="00EC0923">
          <w:rPr>
            <w:rStyle w:val="PagenumberChar"/>
          </w:rPr>
          <w:t>8</w:t>
        </w:r>
        <w:r w:rsidR="000442BE" w:rsidRPr="00EC0923">
          <w:rPr>
            <w:rStyle w:val="PagenumberChar"/>
          </w:rPr>
          <w:fldChar w:fldCharType="end"/>
        </w:r>
        <w:r w:rsidR="000442BE" w:rsidRPr="005A3524">
          <w:rPr>
            <w:rFonts w:cs="Calibri Light"/>
            <w:caps/>
            <w:color w:val="58585B"/>
            <w:sz w:val="16"/>
            <w:szCs w:val="16"/>
          </w:rPr>
          <w:t xml:space="preserve"> </w:t>
        </w:r>
        <w:r w:rsidR="000442BE">
          <w:rPr>
            <w:rFonts w:cs="Calibri Light"/>
            <w:caps/>
            <w:color w:val="58585B"/>
            <w:sz w:val="16"/>
            <w:szCs w:val="16"/>
          </w:rPr>
          <w:tab/>
          <w:t xml:space="preserve">                   </w:t>
        </w:r>
        <w:r w:rsidR="005D41A2">
          <w:rPr>
            <w:rFonts w:cs="Calibri Light"/>
            <w:caps/>
            <w:color w:val="58585B"/>
            <w:sz w:val="16"/>
            <w:szCs w:val="16"/>
          </w:rPr>
          <w:t xml:space="preserve"> </w:t>
        </w:r>
        <w:r w:rsidR="000442BE">
          <w:rPr>
            <w:rFonts w:cs="Calibri Light"/>
            <w:caps/>
            <w:color w:val="58585B"/>
            <w:sz w:val="16"/>
            <w:szCs w:val="16"/>
          </w:rPr>
          <w:t xml:space="preserve">                         </w:t>
        </w:r>
        <w:r w:rsidR="000442BE" w:rsidRPr="005A3524">
          <w:rPr>
            <w:rFonts w:cs="Calibri Light"/>
            <w:caps/>
            <w:color w:val="58585B"/>
            <w:sz w:val="16"/>
            <w:szCs w:val="16"/>
          </w:rPr>
          <w:t xml:space="preserve">annual report </w:t>
        </w:r>
        <w:r w:rsidR="00370F00">
          <w:rPr>
            <w:rFonts w:cs="Calibri Light"/>
            <w:caps/>
            <w:color w:val="58585B"/>
            <w:sz w:val="16"/>
            <w:szCs w:val="16"/>
          </w:rPr>
          <w:t>2023–24</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sidRPr="005A3524">
          <w:rPr>
            <w:rFonts w:ascii="Calibri" w:hAnsi="Calibri" w:cs="Calibri"/>
            <w:b/>
            <w:bCs/>
            <w:caps/>
            <w:color w:val="404041"/>
            <w:sz w:val="16"/>
            <w:szCs w:val="16"/>
          </w:rPr>
          <w:t>crime and corruption commission</w:t>
        </w:r>
      </w:sdtContent>
    </w:sdt>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414042" w:themeColor="text1"/>
        <w:sz w:val="28"/>
        <w:szCs w:val="28"/>
      </w:rPr>
      <w:id w:val="2016111111"/>
      <w:docPartObj>
        <w:docPartGallery w:val="Page Numbers (Bottom of Page)"/>
        <w:docPartUnique/>
      </w:docPartObj>
    </w:sdtPr>
    <w:sdtEndPr>
      <w:rPr>
        <w:noProof/>
        <w:sz w:val="26"/>
        <w:szCs w:val="26"/>
      </w:rPr>
    </w:sdtEndPr>
    <w:sdtContent>
      <w:p w14:paraId="755FDDB8" w14:textId="3394A4CF" w:rsidR="000442BE" w:rsidRPr="00D87230" w:rsidRDefault="000442BE" w:rsidP="00D87230">
        <w:pPr>
          <w:pStyle w:val="Footer"/>
          <w:spacing w:after="0"/>
          <w:rPr>
            <w:b/>
            <w:bCs/>
            <w:color w:val="414042" w:themeColor="text1"/>
            <w:sz w:val="26"/>
            <w:szCs w:val="26"/>
          </w:rPr>
        </w:pPr>
        <w:r>
          <w:rPr>
            <w:noProof/>
          </w:rPr>
          <w:drawing>
            <wp:anchor distT="0" distB="0" distL="114300" distR="114300" simplePos="0" relativeHeight="251551744" behindDoc="1" locked="0" layoutInCell="1" allowOverlap="1" wp14:anchorId="6B17F5AA" wp14:editId="68831A39">
              <wp:simplePos x="0" y="0"/>
              <wp:positionH relativeFrom="page">
                <wp:posOffset>0</wp:posOffset>
              </wp:positionH>
              <wp:positionV relativeFrom="paragraph">
                <wp:posOffset>476885</wp:posOffset>
              </wp:positionV>
              <wp:extent cx="7558405" cy="10690860"/>
              <wp:effectExtent l="0" t="0" r="4445" b="0"/>
              <wp:wrapNone/>
              <wp:docPr id="656570550" name="Picture 65657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aps/>
            <w:color w:val="404041"/>
            <w:sz w:val="16"/>
            <w:szCs w:val="16"/>
          </w:rPr>
          <w:tab/>
        </w:r>
        <w:sdt>
          <w:sdtPr>
            <w:rPr>
              <w:b/>
              <w:bCs/>
              <w:color w:val="414042" w:themeColor="text1"/>
              <w:sz w:val="28"/>
              <w:szCs w:val="28"/>
            </w:rPr>
            <w:id w:val="-1582136764"/>
            <w:docPartObj>
              <w:docPartGallery w:val="Page Numbers (Bottom of Page)"/>
              <w:docPartUnique/>
            </w:docPartObj>
          </w:sdtPr>
          <w:sdtEndPr>
            <w:rPr>
              <w:rStyle w:val="PagenumberChar"/>
              <w:rFonts w:asciiTheme="minorHAnsi" w:hAnsiTheme="minorHAnsi" w:cstheme="minorHAnsi"/>
              <w:b w:val="0"/>
              <w:bCs w:val="0"/>
              <w:sz w:val="20"/>
              <w:szCs w:val="20"/>
              <w:lang w:val="en-US"/>
            </w:rPr>
          </w:sdtEndPr>
          <w:sdtContent>
            <w:r>
              <w:rPr>
                <w:rFonts w:cs="Calibri Light"/>
                <w:caps/>
                <w:color w:val="58585B"/>
                <w:sz w:val="16"/>
                <w:szCs w:val="16"/>
              </w:rPr>
              <w:t xml:space="preserve">                                                                               </w:t>
            </w:r>
            <w:r w:rsidRPr="005A3524">
              <w:rPr>
                <w:rFonts w:cs="Calibri Light"/>
                <w:caps/>
                <w:color w:val="58585B"/>
                <w:sz w:val="16"/>
                <w:szCs w:val="16"/>
              </w:rPr>
              <w:t xml:space="preserve">annual report </w:t>
            </w:r>
            <w:r w:rsidR="00370F00">
              <w:rPr>
                <w:rFonts w:cs="Calibri Light"/>
                <w:caps/>
                <w:color w:val="58585B"/>
                <w:sz w:val="16"/>
                <w:szCs w:val="16"/>
              </w:rPr>
              <w:t>2023–24</w:t>
            </w:r>
            <w:r w:rsidRPr="005A3524">
              <w:rPr>
                <w:rFonts w:cs="Calibri Light"/>
                <w:caps/>
                <w:color w:val="58585B"/>
                <w:sz w:val="16"/>
                <w:szCs w:val="16"/>
              </w:rPr>
              <w:t xml:space="preserve">         </w:t>
            </w:r>
            <w:r>
              <w:rPr>
                <w:rFonts w:cs="Calibri Light"/>
                <w:caps/>
                <w:color w:val="58585B"/>
                <w:sz w:val="16"/>
                <w:szCs w:val="16"/>
              </w:rPr>
              <w:t xml:space="preserve">  </w:t>
            </w:r>
            <w:r w:rsidR="000422C9">
              <w:rPr>
                <w:rFonts w:cs="Calibri Light"/>
                <w:caps/>
                <w:color w:val="58585B"/>
                <w:sz w:val="16"/>
                <w:szCs w:val="16"/>
              </w:rPr>
              <w:t xml:space="preserve"> </w:t>
            </w:r>
            <w:r>
              <w:rPr>
                <w:rFonts w:cs="Calibri Light"/>
                <w:caps/>
                <w:color w:val="58585B"/>
                <w:sz w:val="16"/>
                <w:szCs w:val="16"/>
              </w:rPr>
              <w:t xml:space="preserve"> </w:t>
            </w:r>
            <w:r w:rsidRPr="005A3524">
              <w:rPr>
                <w:rFonts w:ascii="Calibri" w:hAnsi="Calibri" w:cs="Calibri"/>
                <w:b/>
                <w:bCs/>
                <w:caps/>
                <w:color w:val="404041"/>
                <w:sz w:val="16"/>
                <w:szCs w:val="16"/>
              </w:rPr>
              <w:t>crime and corruption commission</w:t>
            </w:r>
            <w:r>
              <w:rPr>
                <w:rFonts w:ascii="Calibri" w:hAnsi="Calibri" w:cs="Calibri"/>
                <w:b/>
                <w:bCs/>
                <w:caps/>
                <w:color w:val="404041"/>
                <w:sz w:val="16"/>
                <w:szCs w:val="16"/>
              </w:rPr>
              <w:t xml:space="preserve">                                          </w:t>
            </w:r>
            <w:r w:rsidRPr="00EC0923">
              <w:rPr>
                <w:rStyle w:val="PagenumberChar"/>
              </w:rPr>
              <w:fldChar w:fldCharType="begin"/>
            </w:r>
            <w:r w:rsidRPr="00EC0923">
              <w:rPr>
                <w:rStyle w:val="PagenumberChar"/>
              </w:rPr>
              <w:instrText xml:space="preserve"> PAGE   \* MERGEFORMAT </w:instrText>
            </w:r>
            <w:r w:rsidRPr="00EC0923">
              <w:rPr>
                <w:rStyle w:val="PagenumberChar"/>
              </w:rPr>
              <w:fldChar w:fldCharType="separate"/>
            </w:r>
            <w:r w:rsidRPr="00EC0923">
              <w:rPr>
                <w:rStyle w:val="PagenumberChar"/>
              </w:rPr>
              <w:t>117</w:t>
            </w:r>
            <w:r w:rsidRPr="00EC0923">
              <w:rPr>
                <w:rStyle w:val="PagenumberChar"/>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E76F6" w14:textId="318CD11D" w:rsidR="005F42AC" w:rsidRPr="00892E4E" w:rsidRDefault="005F42AC" w:rsidP="00892E4E">
    <w:pPr>
      <w:pStyle w:val="Footer"/>
      <w:spacing w:after="0"/>
      <w:jc w:val="right"/>
      <w:rPr>
        <w:b/>
        <w:bCs/>
        <w:color w:val="414042" w:themeColor="text1"/>
        <w:sz w:val="26"/>
        <w:szCs w:val="26"/>
      </w:rPr>
    </w:pPr>
  </w:p>
  <w:p w14:paraId="53068C4A" w14:textId="5B3175AD" w:rsidR="005F42AC" w:rsidRDefault="005F42AC"/>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AE19F" w14:textId="57E30F8A" w:rsidR="000442BE" w:rsidRPr="001B30D0" w:rsidRDefault="00507575" w:rsidP="001B30D0">
    <w:pPr>
      <w:pStyle w:val="Footer"/>
      <w:spacing w:after="0"/>
      <w:rPr>
        <w:b/>
        <w:bCs/>
        <w:color w:val="414042" w:themeColor="text1"/>
        <w:sz w:val="26"/>
        <w:szCs w:val="26"/>
      </w:rPr>
    </w:pPr>
    <w:sdt>
      <w:sdtPr>
        <w:rPr>
          <w:b/>
          <w:bCs/>
          <w:color w:val="414042" w:themeColor="text1"/>
          <w:sz w:val="28"/>
          <w:szCs w:val="28"/>
        </w:rPr>
        <w:id w:val="-1910533764"/>
        <w:docPartObj>
          <w:docPartGallery w:val="Page Numbers (Bottom of Page)"/>
          <w:docPartUnique/>
        </w:docPartObj>
      </w:sdtPr>
      <w:sdtEndPr>
        <w:rPr>
          <w:noProof/>
          <w:sz w:val="26"/>
          <w:szCs w:val="26"/>
        </w:rPr>
      </w:sdtEndPr>
      <w:sdtContent>
        <w:r w:rsidR="001B30D0" w:rsidRPr="001B30D0">
          <w:rPr>
            <w:rStyle w:val="PagenumberChar"/>
          </w:rPr>
          <w:fldChar w:fldCharType="begin"/>
        </w:r>
        <w:r w:rsidR="001B30D0" w:rsidRPr="001B30D0">
          <w:rPr>
            <w:rStyle w:val="PagenumberChar"/>
          </w:rPr>
          <w:instrText xml:space="preserve"> PAGE   \* MERGEFORMAT </w:instrText>
        </w:r>
        <w:r w:rsidR="001B30D0" w:rsidRPr="001B30D0">
          <w:rPr>
            <w:rStyle w:val="PagenumberChar"/>
          </w:rPr>
          <w:fldChar w:fldCharType="separate"/>
        </w:r>
        <w:r w:rsidR="001B30D0" w:rsidRPr="001B30D0">
          <w:rPr>
            <w:rStyle w:val="PagenumberChar"/>
          </w:rPr>
          <w:t>116</w:t>
        </w:r>
        <w:r w:rsidR="001B30D0" w:rsidRPr="001B30D0">
          <w:rPr>
            <w:rStyle w:val="PagenumberChar"/>
          </w:rPr>
          <w:fldChar w:fldCharType="end"/>
        </w:r>
        <w:r w:rsidR="001B30D0" w:rsidRPr="005A3524">
          <w:rPr>
            <w:rFonts w:cs="Calibri Light"/>
            <w:caps/>
            <w:color w:val="58585B"/>
            <w:sz w:val="16"/>
            <w:szCs w:val="16"/>
          </w:rPr>
          <w:t xml:space="preserve"> </w:t>
        </w:r>
        <w:r w:rsidR="001B30D0">
          <w:rPr>
            <w:rFonts w:cs="Calibri Light"/>
            <w:caps/>
            <w:color w:val="58585B"/>
            <w:sz w:val="16"/>
            <w:szCs w:val="16"/>
          </w:rPr>
          <w:tab/>
          <w:t xml:space="preserve">                                            </w:t>
        </w:r>
        <w:r w:rsidR="001B30D0" w:rsidRPr="005A3524">
          <w:rPr>
            <w:rFonts w:cs="Calibri Light"/>
            <w:caps/>
            <w:color w:val="58585B"/>
            <w:sz w:val="16"/>
            <w:szCs w:val="16"/>
          </w:rPr>
          <w:t xml:space="preserve">annual report </w:t>
        </w:r>
        <w:r w:rsidR="00370F00">
          <w:rPr>
            <w:rFonts w:cs="Calibri Light"/>
            <w:caps/>
            <w:color w:val="58585B"/>
            <w:sz w:val="16"/>
            <w:szCs w:val="16"/>
          </w:rPr>
          <w:t>2023–24</w:t>
        </w:r>
        <w:r w:rsidR="001B30D0">
          <w:rPr>
            <w:rFonts w:cs="Calibri Light"/>
            <w:caps/>
            <w:color w:val="58585B"/>
            <w:sz w:val="16"/>
            <w:szCs w:val="16"/>
          </w:rPr>
          <w:t xml:space="preserve">    </w:t>
        </w:r>
        <w:r w:rsidR="001B30D0" w:rsidRPr="005A3524">
          <w:rPr>
            <w:rFonts w:cs="Calibri Light"/>
            <w:caps/>
            <w:color w:val="58585B"/>
            <w:sz w:val="16"/>
            <w:szCs w:val="16"/>
          </w:rPr>
          <w:t xml:space="preserve">    </w:t>
        </w:r>
        <w:r w:rsidR="001B30D0">
          <w:rPr>
            <w:rFonts w:cs="Calibri Light"/>
            <w:caps/>
            <w:color w:val="58585B"/>
            <w:sz w:val="16"/>
            <w:szCs w:val="16"/>
          </w:rPr>
          <w:t xml:space="preserve"> </w:t>
        </w:r>
        <w:r w:rsidR="001B30D0" w:rsidRPr="005A3524">
          <w:rPr>
            <w:rFonts w:cs="Calibri Light"/>
            <w:caps/>
            <w:color w:val="58585B"/>
            <w:sz w:val="16"/>
            <w:szCs w:val="16"/>
          </w:rPr>
          <w:t xml:space="preserve"> </w:t>
        </w:r>
        <w:r w:rsidR="001B30D0" w:rsidRPr="005A3524">
          <w:rPr>
            <w:rFonts w:ascii="Calibri" w:hAnsi="Calibri" w:cs="Calibri"/>
            <w:b/>
            <w:bCs/>
            <w:caps/>
            <w:color w:val="404041"/>
            <w:sz w:val="16"/>
            <w:szCs w:val="16"/>
          </w:rPr>
          <w:t>crime and corruption commission</w:t>
        </w:r>
      </w:sdtContent>
    </w:sdt>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2BBB" w14:textId="77777777" w:rsidR="001B30D0" w:rsidRPr="000F16E8" w:rsidRDefault="001B30D0">
    <w:pPr>
      <w:pStyle w:val="Footer"/>
      <w:jc w:val="right"/>
      <w:rPr>
        <w:color w:val="6F7378" w:themeColor="accent6" w:themeShade="80"/>
        <w:sz w:val="16"/>
        <w:szCs w:val="16"/>
      </w:rPr>
    </w:pPr>
  </w:p>
  <w:p w14:paraId="5C538FA1" w14:textId="0CBA0682" w:rsidR="001B30D0" w:rsidRPr="001B30D0" w:rsidRDefault="00507575" w:rsidP="001B30D0">
    <w:pPr>
      <w:pStyle w:val="Footer"/>
      <w:spacing w:after="0"/>
      <w:rPr>
        <w:b/>
        <w:bCs/>
        <w:color w:val="414042" w:themeColor="text1"/>
        <w:sz w:val="26"/>
        <w:szCs w:val="26"/>
      </w:rPr>
    </w:pPr>
    <w:sdt>
      <w:sdtPr>
        <w:rPr>
          <w:b/>
          <w:bCs/>
          <w:color w:val="414042" w:themeColor="text1"/>
          <w:sz w:val="28"/>
          <w:szCs w:val="28"/>
        </w:rPr>
        <w:id w:val="1842969656"/>
        <w:docPartObj>
          <w:docPartGallery w:val="Page Numbers (Bottom of Page)"/>
          <w:docPartUnique/>
        </w:docPartObj>
      </w:sdtPr>
      <w:sdtEndPr>
        <w:rPr>
          <w:noProof/>
          <w:sz w:val="26"/>
          <w:szCs w:val="26"/>
        </w:rPr>
      </w:sdtEndPr>
      <w:sdtContent/>
    </w:sdt>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48D1D" w14:textId="20B85A71" w:rsidR="00A54980" w:rsidRPr="00CA7F44" w:rsidRDefault="00A54980" w:rsidP="00CA7F44">
    <w:pPr>
      <w:pStyle w:val="Footer"/>
      <w:spacing w:after="0"/>
      <w:rPr>
        <w:b/>
        <w:bCs/>
        <w:color w:val="414042" w:themeColor="text1"/>
        <w:sz w:val="26"/>
        <w:szCs w:val="2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0C50" w14:textId="06B86977" w:rsidR="000442BE" w:rsidRPr="0006746C" w:rsidRDefault="00507575" w:rsidP="002D5AE6">
    <w:pPr>
      <w:pStyle w:val="Footer"/>
      <w:spacing w:after="0"/>
      <w:rPr>
        <w:b/>
        <w:bCs/>
        <w:color w:val="414042" w:themeColor="text1"/>
        <w:sz w:val="26"/>
        <w:szCs w:val="26"/>
      </w:rPr>
    </w:pPr>
    <w:sdt>
      <w:sdtPr>
        <w:rPr>
          <w:b/>
          <w:bCs/>
          <w:color w:val="414042" w:themeColor="text1"/>
          <w:sz w:val="28"/>
          <w:szCs w:val="28"/>
        </w:rPr>
        <w:id w:val="-1738312011"/>
        <w:docPartObj>
          <w:docPartGallery w:val="Page Numbers (Bottom of Page)"/>
          <w:docPartUnique/>
        </w:docPartObj>
      </w:sdtPr>
      <w:sdtEndPr>
        <w:rPr>
          <w:noProof/>
          <w:sz w:val="26"/>
          <w:szCs w:val="26"/>
        </w:rPr>
      </w:sdtEndPr>
      <w:sdtContent>
        <w:r w:rsidR="000442BE" w:rsidRPr="009846B4">
          <w:rPr>
            <w:rStyle w:val="PagenumberChar"/>
          </w:rPr>
          <w:fldChar w:fldCharType="begin"/>
        </w:r>
        <w:r w:rsidR="000442BE" w:rsidRPr="009846B4">
          <w:rPr>
            <w:rStyle w:val="PagenumberChar"/>
          </w:rPr>
          <w:instrText xml:space="preserve"> PAGE   \* MERGEFORMAT </w:instrText>
        </w:r>
        <w:r w:rsidR="000442BE" w:rsidRPr="009846B4">
          <w:rPr>
            <w:rStyle w:val="PagenumberChar"/>
          </w:rPr>
          <w:fldChar w:fldCharType="separate"/>
        </w:r>
        <w:r w:rsidR="000442BE" w:rsidRPr="009846B4">
          <w:rPr>
            <w:rStyle w:val="PagenumberChar"/>
          </w:rPr>
          <w:t>2</w:t>
        </w:r>
        <w:r w:rsidR="000442BE" w:rsidRPr="009846B4">
          <w:rPr>
            <w:rStyle w:val="PagenumberChar"/>
          </w:rPr>
          <w:fldChar w:fldCharType="end"/>
        </w:r>
        <w:r w:rsidR="000442BE" w:rsidRPr="005A3524">
          <w:rPr>
            <w:rFonts w:cs="Calibri Light"/>
            <w:caps/>
            <w:color w:val="58585B"/>
            <w:sz w:val="16"/>
            <w:szCs w:val="16"/>
          </w:rPr>
          <w:t xml:space="preserve"> </w:t>
        </w:r>
        <w:r w:rsidR="000442BE">
          <w:rPr>
            <w:rFonts w:cs="Calibri Light"/>
            <w:caps/>
            <w:color w:val="58585B"/>
            <w:sz w:val="16"/>
            <w:szCs w:val="16"/>
          </w:rPr>
          <w:tab/>
          <w:t xml:space="preserve">                                            </w:t>
        </w:r>
        <w:r w:rsidR="000442BE" w:rsidRPr="005A3524">
          <w:rPr>
            <w:rFonts w:cs="Calibri Light"/>
            <w:caps/>
            <w:color w:val="58585B"/>
            <w:sz w:val="16"/>
            <w:szCs w:val="16"/>
          </w:rPr>
          <w:t xml:space="preserve">annual report </w:t>
        </w:r>
        <w:r w:rsidR="00370F00" w:rsidRPr="005A3524">
          <w:rPr>
            <w:rFonts w:cs="Calibri Light"/>
            <w:caps/>
            <w:color w:val="58585B"/>
            <w:sz w:val="16"/>
            <w:szCs w:val="16"/>
          </w:rPr>
          <w:t>202</w:t>
        </w:r>
        <w:r w:rsidR="00370F00">
          <w:rPr>
            <w:rFonts w:cs="Calibri Light"/>
            <w:caps/>
            <w:color w:val="58585B"/>
            <w:sz w:val="16"/>
            <w:szCs w:val="16"/>
          </w:rPr>
          <w:t>3</w:t>
        </w:r>
        <w:r w:rsidR="00370F00" w:rsidRPr="00A45810">
          <w:rPr>
            <w:rFonts w:cs="Calibri Light"/>
            <w:caps/>
            <w:color w:val="58585B"/>
            <w:sz w:val="16"/>
            <w:szCs w:val="16"/>
          </w:rPr>
          <w:t>–</w:t>
        </w:r>
        <w:r w:rsidR="00370F00" w:rsidRPr="005A3524">
          <w:rPr>
            <w:rFonts w:cs="Calibri Light"/>
            <w:caps/>
            <w:color w:val="58585B"/>
            <w:sz w:val="16"/>
            <w:szCs w:val="16"/>
          </w:rPr>
          <w:t>2</w:t>
        </w:r>
        <w:r w:rsidR="00370F00">
          <w:rPr>
            <w:rFonts w:cs="Calibri Light"/>
            <w:caps/>
            <w:color w:val="58585B"/>
            <w:sz w:val="16"/>
            <w:szCs w:val="16"/>
          </w:rPr>
          <w:t>4</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sidRPr="005A3524">
          <w:rPr>
            <w:rFonts w:ascii="Calibri" w:hAnsi="Calibri" w:cs="Calibri"/>
            <w:b/>
            <w:bCs/>
            <w:caps/>
            <w:color w:val="404041"/>
            <w:sz w:val="16"/>
            <w:szCs w:val="16"/>
          </w:rPr>
          <w:t>crime and corruption commiss</w:t>
        </w:r>
        <w:r w:rsidR="009846B4">
          <w:rPr>
            <w:rFonts w:ascii="Calibri" w:hAnsi="Calibri" w:cs="Calibri"/>
            <w:b/>
            <w:bCs/>
            <w:caps/>
            <w:color w:val="404041"/>
            <w:sz w:val="16"/>
            <w:szCs w:val="16"/>
          </w:rPr>
          <w:t>ION</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36EA" w14:textId="2238E6C6" w:rsidR="000442BE" w:rsidRPr="00862E3E" w:rsidRDefault="00507575" w:rsidP="00862E3E">
    <w:pPr>
      <w:pStyle w:val="Footer"/>
      <w:spacing w:after="0"/>
      <w:jc w:val="right"/>
      <w:rPr>
        <w:b/>
        <w:bCs/>
        <w:color w:val="414042" w:themeColor="text1"/>
        <w:sz w:val="26"/>
        <w:szCs w:val="26"/>
      </w:rPr>
    </w:pPr>
    <w:sdt>
      <w:sdtPr>
        <w:rPr>
          <w:b/>
          <w:bCs/>
          <w:color w:val="414042" w:themeColor="text1"/>
          <w:sz w:val="28"/>
          <w:szCs w:val="28"/>
        </w:rPr>
        <w:id w:val="1466933286"/>
        <w:docPartObj>
          <w:docPartGallery w:val="Page Numbers (Bottom of Page)"/>
          <w:docPartUnique/>
        </w:docPartObj>
      </w:sdtPr>
      <w:sdtEndPr>
        <w:rPr>
          <w:noProof/>
          <w:sz w:val="26"/>
          <w:szCs w:val="26"/>
        </w:rPr>
      </w:sdtEndPr>
      <w:sdtContent>
        <w:r w:rsidR="00862E3E" w:rsidRPr="005A3524">
          <w:rPr>
            <w:rFonts w:cs="Calibri Light"/>
            <w:caps/>
            <w:color w:val="58585B"/>
            <w:sz w:val="16"/>
            <w:szCs w:val="16"/>
          </w:rPr>
          <w:t xml:space="preserve">annual report </w:t>
        </w:r>
        <w:r w:rsidR="00370F00" w:rsidRPr="005A3524">
          <w:rPr>
            <w:rFonts w:cs="Calibri Light"/>
            <w:caps/>
            <w:color w:val="58585B"/>
            <w:sz w:val="16"/>
            <w:szCs w:val="16"/>
          </w:rPr>
          <w:t>202</w:t>
        </w:r>
        <w:r w:rsidR="00370F00">
          <w:rPr>
            <w:rFonts w:cs="Calibri Light"/>
            <w:caps/>
            <w:color w:val="58585B"/>
            <w:sz w:val="16"/>
            <w:szCs w:val="16"/>
          </w:rPr>
          <w:t>3</w:t>
        </w:r>
        <w:r w:rsidR="00370F00" w:rsidRPr="00A45810">
          <w:rPr>
            <w:rFonts w:cs="Calibri Light"/>
            <w:caps/>
            <w:color w:val="58585B"/>
            <w:sz w:val="16"/>
            <w:szCs w:val="16"/>
          </w:rPr>
          <w:t>–</w:t>
        </w:r>
        <w:r w:rsidR="00370F00" w:rsidRPr="005A3524">
          <w:rPr>
            <w:rFonts w:cs="Calibri Light"/>
            <w:caps/>
            <w:color w:val="58585B"/>
            <w:sz w:val="16"/>
            <w:szCs w:val="16"/>
          </w:rPr>
          <w:t>2</w:t>
        </w:r>
        <w:r w:rsidR="00370F00">
          <w:rPr>
            <w:rFonts w:cs="Calibri Light"/>
            <w:caps/>
            <w:color w:val="58585B"/>
            <w:sz w:val="16"/>
            <w:szCs w:val="16"/>
          </w:rPr>
          <w:t>4</w:t>
        </w:r>
        <w:r w:rsidR="00862E3E" w:rsidRPr="005A3524">
          <w:rPr>
            <w:rFonts w:cs="Calibri Light"/>
            <w:caps/>
            <w:color w:val="58585B"/>
            <w:sz w:val="16"/>
            <w:szCs w:val="16"/>
          </w:rPr>
          <w:t xml:space="preserve"> </w:t>
        </w:r>
        <w:r w:rsidR="00862E3E">
          <w:rPr>
            <w:rFonts w:cs="Calibri Light"/>
            <w:caps/>
            <w:color w:val="58585B"/>
            <w:sz w:val="16"/>
            <w:szCs w:val="16"/>
          </w:rPr>
          <w:t xml:space="preserve">  </w:t>
        </w:r>
        <w:r w:rsidR="00862E3E" w:rsidRPr="005A3524">
          <w:rPr>
            <w:rFonts w:cs="Calibri Light"/>
            <w:caps/>
            <w:color w:val="58585B"/>
            <w:sz w:val="16"/>
            <w:szCs w:val="16"/>
          </w:rPr>
          <w:t xml:space="preserve">     </w:t>
        </w:r>
        <w:r w:rsidR="00862E3E">
          <w:rPr>
            <w:rFonts w:cs="Calibri Light"/>
            <w:caps/>
            <w:color w:val="58585B"/>
            <w:sz w:val="16"/>
            <w:szCs w:val="16"/>
          </w:rPr>
          <w:t xml:space="preserve"> </w:t>
        </w:r>
        <w:r w:rsidR="00862E3E" w:rsidRPr="005A3524">
          <w:rPr>
            <w:rFonts w:cs="Calibri Light"/>
            <w:caps/>
            <w:color w:val="58585B"/>
            <w:sz w:val="16"/>
            <w:szCs w:val="16"/>
          </w:rPr>
          <w:t xml:space="preserve">   </w:t>
        </w:r>
        <w:r w:rsidR="00862E3E" w:rsidRPr="005A3524">
          <w:rPr>
            <w:rFonts w:ascii="Calibri" w:hAnsi="Calibri" w:cs="Calibri"/>
            <w:b/>
            <w:bCs/>
            <w:caps/>
            <w:color w:val="404041"/>
            <w:sz w:val="16"/>
            <w:szCs w:val="16"/>
          </w:rPr>
          <w:t>crime and corruption commission</w:t>
        </w:r>
        <w:r w:rsidR="00862E3E">
          <w:rPr>
            <w:rFonts w:ascii="Calibri" w:hAnsi="Calibri" w:cs="Calibri"/>
            <w:b/>
            <w:bCs/>
            <w:caps/>
            <w:color w:val="404041"/>
            <w:sz w:val="16"/>
            <w:szCs w:val="16"/>
          </w:rPr>
          <w:t xml:space="preserve">                                                  </w:t>
        </w:r>
        <w:r w:rsidR="00862E3E" w:rsidRPr="00862E3E">
          <w:rPr>
            <w:rStyle w:val="PagenumberChar"/>
          </w:rPr>
          <w:fldChar w:fldCharType="begin"/>
        </w:r>
        <w:r w:rsidR="00862E3E" w:rsidRPr="00862E3E">
          <w:rPr>
            <w:rStyle w:val="PagenumberChar"/>
          </w:rPr>
          <w:instrText xml:space="preserve"> PAGE   \* MERGEFORMAT </w:instrText>
        </w:r>
        <w:r w:rsidR="00862E3E" w:rsidRPr="00862E3E">
          <w:rPr>
            <w:rStyle w:val="PagenumberChar"/>
          </w:rPr>
          <w:fldChar w:fldCharType="separate"/>
        </w:r>
        <w:r w:rsidR="00862E3E">
          <w:rPr>
            <w:rStyle w:val="PagenumberChar"/>
          </w:rPr>
          <w:t>5</w:t>
        </w:r>
        <w:r w:rsidR="00862E3E" w:rsidRPr="00862E3E">
          <w:rPr>
            <w:rStyle w:val="PagenumberChar"/>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F726" w14:textId="2B3A5C23" w:rsidR="000442BE" w:rsidRPr="006A0A5F" w:rsidRDefault="00507575" w:rsidP="006A0A5F">
    <w:pPr>
      <w:pStyle w:val="Footer"/>
      <w:spacing w:after="0"/>
      <w:jc w:val="right"/>
      <w:rPr>
        <w:b/>
        <w:bCs/>
        <w:color w:val="414042" w:themeColor="text1"/>
        <w:sz w:val="26"/>
        <w:szCs w:val="26"/>
      </w:rPr>
    </w:pPr>
    <w:sdt>
      <w:sdtPr>
        <w:rPr>
          <w:b/>
          <w:bCs/>
          <w:color w:val="414042" w:themeColor="text1"/>
          <w:sz w:val="28"/>
          <w:szCs w:val="28"/>
        </w:rPr>
        <w:id w:val="1737432959"/>
        <w:docPartObj>
          <w:docPartGallery w:val="Page Numbers (Bottom of Page)"/>
          <w:docPartUnique/>
        </w:docPartObj>
      </w:sdtPr>
      <w:sdtEndPr>
        <w:rPr>
          <w:noProof/>
          <w:sz w:val="26"/>
          <w:szCs w:val="26"/>
        </w:rPr>
      </w:sdtEndPr>
      <w:sdtContent>
        <w:r w:rsidR="000442BE" w:rsidRPr="005A3524">
          <w:rPr>
            <w:rFonts w:cs="Calibri Light"/>
            <w:caps/>
            <w:color w:val="58585B"/>
            <w:sz w:val="16"/>
            <w:szCs w:val="16"/>
          </w:rPr>
          <w:t xml:space="preserve">annual report </w:t>
        </w:r>
        <w:r w:rsidR="00370F00">
          <w:rPr>
            <w:rFonts w:cs="Calibri Light"/>
            <w:caps/>
            <w:color w:val="58585B"/>
            <w:sz w:val="16"/>
            <w:szCs w:val="16"/>
          </w:rPr>
          <w:t>2023–24</w:t>
        </w:r>
        <w:r w:rsidR="000442BE" w:rsidRPr="005A3524">
          <w:rPr>
            <w:rFonts w:cs="Calibri Light"/>
            <w:caps/>
            <w:color w:val="58585B"/>
            <w:sz w:val="16"/>
            <w:szCs w:val="16"/>
          </w:rPr>
          <w:t xml:space="preserve"> </w:t>
        </w:r>
        <w:r w:rsidR="00862E3E">
          <w:rPr>
            <w:rFonts w:cs="Calibri Light"/>
            <w:caps/>
            <w:color w:val="58585B"/>
            <w:sz w:val="16"/>
            <w:szCs w:val="16"/>
          </w:rPr>
          <w:t xml:space="preserve">  </w:t>
        </w:r>
        <w:r w:rsidR="000442BE" w:rsidRPr="005A3524">
          <w:rPr>
            <w:rFonts w:cs="Calibri Light"/>
            <w:caps/>
            <w:color w:val="58585B"/>
            <w:sz w:val="16"/>
            <w:szCs w:val="16"/>
          </w:rPr>
          <w:t xml:space="preserve">     </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sidRPr="005A3524">
          <w:rPr>
            <w:rFonts w:ascii="Calibri" w:hAnsi="Calibri" w:cs="Calibri"/>
            <w:b/>
            <w:bCs/>
            <w:caps/>
            <w:color w:val="404041"/>
            <w:sz w:val="16"/>
            <w:szCs w:val="16"/>
          </w:rPr>
          <w:t>crime and corruption commission</w:t>
        </w:r>
        <w:r w:rsidR="000442BE">
          <w:rPr>
            <w:rFonts w:ascii="Calibri" w:hAnsi="Calibri" w:cs="Calibri"/>
            <w:b/>
            <w:bCs/>
            <w:caps/>
            <w:color w:val="404041"/>
            <w:sz w:val="16"/>
            <w:szCs w:val="16"/>
          </w:rPr>
          <w:t xml:space="preserve">                                                  </w:t>
        </w:r>
        <w:r w:rsidR="000442BE" w:rsidRPr="00862E3E">
          <w:rPr>
            <w:rStyle w:val="PagenumberChar"/>
          </w:rPr>
          <w:fldChar w:fldCharType="begin"/>
        </w:r>
        <w:r w:rsidR="000442BE" w:rsidRPr="00862E3E">
          <w:rPr>
            <w:rStyle w:val="PagenumberChar"/>
          </w:rPr>
          <w:instrText xml:space="preserve"> PAGE   \* MERGEFORMAT </w:instrText>
        </w:r>
        <w:r w:rsidR="000442BE" w:rsidRPr="00862E3E">
          <w:rPr>
            <w:rStyle w:val="PagenumberChar"/>
          </w:rPr>
          <w:fldChar w:fldCharType="separate"/>
        </w:r>
        <w:r w:rsidR="000442BE" w:rsidRPr="00862E3E">
          <w:rPr>
            <w:rStyle w:val="PagenumberChar"/>
          </w:rPr>
          <w:t>7</w:t>
        </w:r>
        <w:r w:rsidR="000442BE" w:rsidRPr="00862E3E">
          <w:rPr>
            <w:rStyle w:val="PagenumberChar"/>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41CB5" w14:textId="6888CD5C" w:rsidR="00C81986" w:rsidRPr="0006746C" w:rsidRDefault="00BB5386" w:rsidP="002D5AE6">
    <w:pPr>
      <w:pStyle w:val="Footer"/>
      <w:spacing w:after="0"/>
      <w:rPr>
        <w:b/>
        <w:bCs/>
        <w:color w:val="414042" w:themeColor="text1"/>
        <w:sz w:val="26"/>
        <w:szCs w:val="26"/>
      </w:rPr>
    </w:pPr>
    <w:r>
      <w:rPr>
        <w:noProof/>
      </w:rPr>
      <w:drawing>
        <wp:anchor distT="0" distB="0" distL="114300" distR="114300" simplePos="0" relativeHeight="251580416" behindDoc="1" locked="0" layoutInCell="1" allowOverlap="1" wp14:anchorId="519A2278" wp14:editId="78B21F23">
          <wp:simplePos x="0" y="0"/>
          <wp:positionH relativeFrom="page">
            <wp:posOffset>-2924</wp:posOffset>
          </wp:positionH>
          <wp:positionV relativeFrom="paragraph">
            <wp:posOffset>455827</wp:posOffset>
          </wp:positionV>
          <wp:extent cx="7558405" cy="10691495"/>
          <wp:effectExtent l="0" t="0" r="4445" b="0"/>
          <wp:wrapNone/>
          <wp:docPr id="1817150306" name="Picture 181715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sdt>
      <w:sdtPr>
        <w:rPr>
          <w:b/>
          <w:bCs/>
          <w:color w:val="414042" w:themeColor="text1"/>
          <w:sz w:val="28"/>
          <w:szCs w:val="28"/>
        </w:rPr>
        <w:id w:val="-564489670"/>
        <w:docPartObj>
          <w:docPartGallery w:val="Page Numbers (Bottom of Page)"/>
          <w:docPartUnique/>
        </w:docPartObj>
      </w:sdtPr>
      <w:sdtEndPr>
        <w:rPr>
          <w:noProof/>
          <w:sz w:val="26"/>
          <w:szCs w:val="26"/>
        </w:rPr>
      </w:sdtEndPr>
      <w:sdtContent>
        <w:r w:rsidR="00C81986" w:rsidRPr="009846B4">
          <w:rPr>
            <w:rStyle w:val="PagenumberChar"/>
          </w:rPr>
          <w:fldChar w:fldCharType="begin"/>
        </w:r>
        <w:r w:rsidR="00C81986" w:rsidRPr="009846B4">
          <w:rPr>
            <w:rStyle w:val="PagenumberChar"/>
          </w:rPr>
          <w:instrText xml:space="preserve"> PAGE   \* MERGEFORMAT </w:instrText>
        </w:r>
        <w:r w:rsidR="00C81986" w:rsidRPr="009846B4">
          <w:rPr>
            <w:rStyle w:val="PagenumberChar"/>
          </w:rPr>
          <w:fldChar w:fldCharType="separate"/>
        </w:r>
        <w:r w:rsidR="00C81986" w:rsidRPr="009846B4">
          <w:rPr>
            <w:rStyle w:val="PagenumberChar"/>
          </w:rPr>
          <w:t>2</w:t>
        </w:r>
        <w:r w:rsidR="00C81986" w:rsidRPr="009846B4">
          <w:rPr>
            <w:rStyle w:val="PagenumberChar"/>
          </w:rPr>
          <w:fldChar w:fldCharType="end"/>
        </w:r>
        <w:r w:rsidR="00C81986" w:rsidRPr="005A3524">
          <w:rPr>
            <w:rFonts w:cs="Calibri Light"/>
            <w:caps/>
            <w:color w:val="58585B"/>
            <w:sz w:val="16"/>
            <w:szCs w:val="16"/>
          </w:rPr>
          <w:t xml:space="preserve"> </w:t>
        </w:r>
        <w:r w:rsidR="00C81986">
          <w:rPr>
            <w:rFonts w:cs="Calibri Light"/>
            <w:caps/>
            <w:color w:val="58585B"/>
            <w:sz w:val="16"/>
            <w:szCs w:val="16"/>
          </w:rPr>
          <w:tab/>
          <w:t xml:space="preserve">                                            </w:t>
        </w:r>
        <w:r w:rsidR="00C81986" w:rsidRPr="005A3524">
          <w:rPr>
            <w:rFonts w:cs="Calibri Light"/>
            <w:caps/>
            <w:color w:val="58585B"/>
            <w:sz w:val="16"/>
            <w:szCs w:val="16"/>
          </w:rPr>
          <w:t xml:space="preserve">annual report </w:t>
        </w:r>
        <w:r w:rsidR="00370F00">
          <w:rPr>
            <w:rFonts w:cs="Calibri Light"/>
            <w:caps/>
            <w:color w:val="58585B"/>
            <w:sz w:val="16"/>
            <w:szCs w:val="16"/>
          </w:rPr>
          <w:t>2023–24</w:t>
        </w:r>
        <w:r w:rsidR="00C81986">
          <w:rPr>
            <w:rFonts w:cs="Calibri Light"/>
            <w:caps/>
            <w:color w:val="58585B"/>
            <w:sz w:val="16"/>
            <w:szCs w:val="16"/>
          </w:rPr>
          <w:t xml:space="preserve">    </w:t>
        </w:r>
        <w:r w:rsidR="00C81986" w:rsidRPr="005A3524">
          <w:rPr>
            <w:rFonts w:cs="Calibri Light"/>
            <w:caps/>
            <w:color w:val="58585B"/>
            <w:sz w:val="16"/>
            <w:szCs w:val="16"/>
          </w:rPr>
          <w:t xml:space="preserve">    </w:t>
        </w:r>
        <w:r w:rsidR="00C81986">
          <w:rPr>
            <w:rFonts w:cs="Calibri Light"/>
            <w:caps/>
            <w:color w:val="58585B"/>
            <w:sz w:val="16"/>
            <w:szCs w:val="16"/>
          </w:rPr>
          <w:t xml:space="preserve"> </w:t>
        </w:r>
        <w:r w:rsidR="00C81986" w:rsidRPr="005A3524">
          <w:rPr>
            <w:rFonts w:cs="Calibri Light"/>
            <w:caps/>
            <w:color w:val="58585B"/>
            <w:sz w:val="16"/>
            <w:szCs w:val="16"/>
          </w:rPr>
          <w:t xml:space="preserve"> </w:t>
        </w:r>
        <w:r w:rsidR="00C81986" w:rsidRPr="005A3524">
          <w:rPr>
            <w:rFonts w:ascii="Calibri" w:hAnsi="Calibri" w:cs="Calibri"/>
            <w:b/>
            <w:bCs/>
            <w:caps/>
            <w:color w:val="404041"/>
            <w:sz w:val="16"/>
            <w:szCs w:val="16"/>
          </w:rPr>
          <w:t>crime and corruption commiss</w:t>
        </w:r>
        <w:r w:rsidR="00C81986">
          <w:rPr>
            <w:rFonts w:ascii="Calibri" w:hAnsi="Calibri" w:cs="Calibri"/>
            <w:b/>
            <w:bCs/>
            <w:caps/>
            <w:color w:val="404041"/>
            <w:sz w:val="16"/>
            <w:szCs w:val="16"/>
          </w:rPr>
          <w:t>ION</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C6D3" w14:textId="77777777" w:rsidR="00516128" w:rsidRPr="002D5AE6" w:rsidRDefault="00507575" w:rsidP="008B0438">
    <w:pPr>
      <w:pStyle w:val="BasicParagraph"/>
      <w:spacing w:after="0" w:line="240" w:lineRule="auto"/>
      <w:rPr>
        <w:rFonts w:asciiTheme="majorHAnsi" w:hAnsiTheme="majorHAnsi" w:cstheme="majorHAnsi"/>
        <w:b/>
        <w:bCs/>
        <w:caps/>
        <w:color w:val="404041"/>
        <w:sz w:val="14"/>
        <w:szCs w:val="14"/>
      </w:rPr>
    </w:pPr>
    <w:sdt>
      <w:sdtPr>
        <w:rPr>
          <w:b/>
          <w:bCs/>
          <w:color w:val="414042" w:themeColor="text1"/>
          <w:sz w:val="28"/>
          <w:szCs w:val="28"/>
        </w:rPr>
        <w:id w:val="515899856"/>
        <w:docPartObj>
          <w:docPartGallery w:val="Page Numbers (Bottom of Page)"/>
          <w:docPartUnique/>
        </w:docPartObj>
      </w:sdtPr>
      <w:sdtEndPr>
        <w:rPr>
          <w:rFonts w:asciiTheme="majorHAnsi" w:hAnsiTheme="majorHAnsi" w:cstheme="majorHAnsi"/>
          <w:noProof/>
          <w:sz w:val="24"/>
          <w:szCs w:val="24"/>
        </w:rPr>
      </w:sdtEndPr>
      <w:sdtContent>
        <w:r w:rsidR="00516128" w:rsidRPr="007C6F91">
          <w:rPr>
            <w:rFonts w:ascii="Calibri Light" w:hAnsi="Calibri Light" w:cs="Calibri Light"/>
            <w:caps/>
            <w:color w:val="58585B"/>
            <w:sz w:val="16"/>
            <w:szCs w:val="16"/>
          </w:rPr>
          <w:t xml:space="preserve"> </w:t>
        </w:r>
        <w:r w:rsidR="00516128">
          <w:rPr>
            <w:rFonts w:ascii="Calibri Light" w:hAnsi="Calibri Light" w:cs="Calibri Light"/>
            <w:caps/>
            <w:color w:val="58585B"/>
            <w:sz w:val="16"/>
            <w:szCs w:val="16"/>
          </w:rPr>
          <w:t xml:space="preserve">                                                                                 </w:t>
        </w:r>
        <w:r w:rsidR="00516128" w:rsidRPr="005A3524">
          <w:rPr>
            <w:rFonts w:ascii="Calibri Light" w:hAnsi="Calibri Light" w:cs="Calibri Light"/>
            <w:caps/>
            <w:color w:val="58585B"/>
            <w:sz w:val="16"/>
            <w:szCs w:val="16"/>
          </w:rPr>
          <w:t>annual report 202</w:t>
        </w:r>
        <w:r w:rsidR="00516128">
          <w:rPr>
            <w:rFonts w:ascii="Calibri Light" w:hAnsi="Calibri Light" w:cs="Calibri Light"/>
            <w:caps/>
            <w:color w:val="58585B"/>
            <w:sz w:val="16"/>
            <w:szCs w:val="16"/>
          </w:rPr>
          <w:t>1–</w:t>
        </w:r>
        <w:r w:rsidR="00516128" w:rsidRPr="005A3524">
          <w:rPr>
            <w:rFonts w:ascii="Calibri Light" w:hAnsi="Calibri Light" w:cs="Calibri Light"/>
            <w:caps/>
            <w:color w:val="58585B"/>
            <w:sz w:val="16"/>
            <w:szCs w:val="16"/>
          </w:rPr>
          <w:t>2</w:t>
        </w:r>
        <w:r w:rsidR="00516128">
          <w:rPr>
            <w:rFonts w:ascii="Calibri Light" w:hAnsi="Calibri Light" w:cs="Calibri Light"/>
            <w:caps/>
            <w:color w:val="58585B"/>
            <w:sz w:val="16"/>
            <w:szCs w:val="16"/>
          </w:rPr>
          <w:t>2</w:t>
        </w:r>
        <w:r w:rsidR="00516128" w:rsidRPr="005A3524">
          <w:rPr>
            <w:rFonts w:ascii="Calibri Light" w:hAnsi="Calibri Light" w:cs="Calibri Light"/>
            <w:caps/>
            <w:color w:val="58585B"/>
            <w:sz w:val="16"/>
            <w:szCs w:val="16"/>
          </w:rPr>
          <w:t xml:space="preserve">  </w:t>
        </w:r>
        <w:r w:rsidR="00516128">
          <w:rPr>
            <w:rFonts w:ascii="Calibri Light" w:hAnsi="Calibri Light" w:cs="Calibri Light"/>
            <w:caps/>
            <w:color w:val="58585B"/>
            <w:sz w:val="16"/>
            <w:szCs w:val="16"/>
          </w:rPr>
          <w:t xml:space="preserve"> </w:t>
        </w:r>
        <w:r w:rsidR="00516128" w:rsidRPr="005A3524">
          <w:rPr>
            <w:rFonts w:ascii="Calibri Light" w:hAnsi="Calibri Light" w:cs="Calibri Light"/>
            <w:caps/>
            <w:color w:val="58585B"/>
            <w:sz w:val="16"/>
            <w:szCs w:val="16"/>
          </w:rPr>
          <w:t xml:space="preserve">       </w:t>
        </w:r>
        <w:r w:rsidR="00516128" w:rsidRPr="005A3524">
          <w:rPr>
            <w:rFonts w:ascii="Calibri" w:hAnsi="Calibri" w:cs="Calibri"/>
            <w:b/>
            <w:bCs/>
            <w:caps/>
            <w:color w:val="404041"/>
            <w:sz w:val="16"/>
            <w:szCs w:val="16"/>
          </w:rPr>
          <w:t>crime and corruption commission</w:t>
        </w:r>
        <w:r w:rsidR="00516128">
          <w:rPr>
            <w:rFonts w:ascii="Calibri" w:hAnsi="Calibri" w:cs="Calibri"/>
            <w:b/>
            <w:bCs/>
            <w:caps/>
            <w:color w:val="404041"/>
            <w:sz w:val="16"/>
            <w:szCs w:val="16"/>
          </w:rPr>
          <w:tab/>
        </w:r>
        <w:r w:rsidR="00516128">
          <w:rPr>
            <w:rFonts w:ascii="Calibri" w:hAnsi="Calibri" w:cs="Calibri"/>
            <w:b/>
            <w:bCs/>
            <w:caps/>
            <w:color w:val="404041"/>
            <w:sz w:val="16"/>
            <w:szCs w:val="16"/>
          </w:rPr>
          <w:tab/>
        </w:r>
        <w:r w:rsidR="00516128">
          <w:rPr>
            <w:rFonts w:ascii="Calibri" w:hAnsi="Calibri" w:cs="Calibri"/>
            <w:b/>
            <w:bCs/>
            <w:caps/>
            <w:color w:val="404041"/>
            <w:sz w:val="16"/>
            <w:szCs w:val="16"/>
          </w:rPr>
          <w:tab/>
        </w:r>
        <w:r w:rsidR="00516128" w:rsidRPr="002D5AE6">
          <w:rPr>
            <w:rFonts w:ascii="Calibri" w:hAnsi="Calibri" w:cs="Calibri"/>
            <w:caps/>
            <w:color w:val="404041"/>
            <w:sz w:val="16"/>
            <w:szCs w:val="16"/>
          </w:rPr>
          <w:t xml:space="preserve"> </w:t>
        </w:r>
        <w:r w:rsidR="00516128" w:rsidRPr="002D5AE6">
          <w:rPr>
            <w:rFonts w:asciiTheme="majorHAnsi" w:hAnsiTheme="majorHAnsi" w:cstheme="majorHAnsi"/>
            <w:color w:val="414042" w:themeColor="text1"/>
            <w:lang w:val="en-AU"/>
          </w:rPr>
          <w:fldChar w:fldCharType="begin"/>
        </w:r>
        <w:r w:rsidR="00516128" w:rsidRPr="002D5AE6">
          <w:rPr>
            <w:rFonts w:asciiTheme="majorHAnsi" w:hAnsiTheme="majorHAnsi" w:cstheme="majorHAnsi"/>
            <w:color w:val="414042" w:themeColor="text1"/>
            <w:lang w:val="en-AU"/>
          </w:rPr>
          <w:instrText xml:space="preserve"> PAGE   \* MERGEFORMAT </w:instrText>
        </w:r>
        <w:r w:rsidR="00516128" w:rsidRPr="002D5AE6">
          <w:rPr>
            <w:rFonts w:asciiTheme="majorHAnsi" w:hAnsiTheme="majorHAnsi" w:cstheme="majorHAnsi"/>
            <w:color w:val="414042" w:themeColor="text1"/>
            <w:lang w:val="en-AU"/>
          </w:rPr>
          <w:fldChar w:fldCharType="separate"/>
        </w:r>
        <w:r w:rsidR="00516128" w:rsidRPr="002D5AE6">
          <w:rPr>
            <w:rFonts w:asciiTheme="majorHAnsi" w:hAnsiTheme="majorHAnsi" w:cstheme="majorHAnsi"/>
            <w:color w:val="414042" w:themeColor="text1"/>
          </w:rPr>
          <w:t>3</w:t>
        </w:r>
        <w:r w:rsidR="00516128" w:rsidRPr="002D5AE6">
          <w:rPr>
            <w:rFonts w:asciiTheme="majorHAnsi" w:hAnsiTheme="majorHAnsi" w:cstheme="majorHAnsi"/>
            <w:color w:val="414042" w:themeColor="text1"/>
            <w:lang w:val="en-AU"/>
          </w:rPr>
          <w:fldChar w:fldCharType="end"/>
        </w:r>
        <w:r w:rsidR="00516128" w:rsidRPr="002D5AE6">
          <w:rPr>
            <w:rFonts w:asciiTheme="majorHAnsi" w:hAnsiTheme="majorHAnsi" w:cstheme="majorHAnsi"/>
            <w:b/>
            <w:bCs/>
            <w:caps/>
            <w:color w:val="404041"/>
            <w:sz w:val="14"/>
            <w:szCs w:val="14"/>
          </w:rPr>
          <w:t xml:space="preserve"> </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AE0BD" w14:textId="75A3A1B1" w:rsidR="00507AF5" w:rsidRPr="00AF2677" w:rsidRDefault="00507575" w:rsidP="00AF2677">
    <w:pPr>
      <w:pStyle w:val="Footer"/>
      <w:spacing w:after="0"/>
      <w:rPr>
        <w:b/>
        <w:bCs/>
        <w:color w:val="414042" w:themeColor="text1"/>
        <w:sz w:val="26"/>
        <w:szCs w:val="26"/>
      </w:rPr>
    </w:pPr>
    <w:sdt>
      <w:sdtPr>
        <w:rPr>
          <w:b/>
          <w:bCs/>
          <w:color w:val="414042" w:themeColor="text1"/>
          <w:sz w:val="28"/>
          <w:szCs w:val="28"/>
        </w:rPr>
        <w:id w:val="1493294941"/>
        <w:docPartObj>
          <w:docPartGallery w:val="Page Numbers (Bottom of Page)"/>
          <w:docPartUnique/>
        </w:docPartObj>
      </w:sdtPr>
      <w:sdtEndPr>
        <w:rPr>
          <w:noProof/>
          <w:sz w:val="26"/>
          <w:szCs w:val="26"/>
        </w:rPr>
      </w:sdtEndPr>
      <w:sdtContent>
        <w:r w:rsidR="00AF2677" w:rsidRPr="009846B4">
          <w:rPr>
            <w:rStyle w:val="PagenumberChar"/>
          </w:rPr>
          <w:fldChar w:fldCharType="begin"/>
        </w:r>
        <w:r w:rsidR="00AF2677" w:rsidRPr="009846B4">
          <w:rPr>
            <w:rStyle w:val="PagenumberChar"/>
          </w:rPr>
          <w:instrText xml:space="preserve"> PAGE   \* MERGEFORMAT </w:instrText>
        </w:r>
        <w:r w:rsidR="00AF2677" w:rsidRPr="009846B4">
          <w:rPr>
            <w:rStyle w:val="PagenumberChar"/>
          </w:rPr>
          <w:fldChar w:fldCharType="separate"/>
        </w:r>
        <w:r w:rsidR="00AF2677">
          <w:rPr>
            <w:rStyle w:val="PagenumberChar"/>
          </w:rPr>
          <w:t>4</w:t>
        </w:r>
        <w:r w:rsidR="00AF2677" w:rsidRPr="009846B4">
          <w:rPr>
            <w:rStyle w:val="PagenumberChar"/>
          </w:rPr>
          <w:fldChar w:fldCharType="end"/>
        </w:r>
        <w:r w:rsidR="00AF2677" w:rsidRPr="005A3524">
          <w:rPr>
            <w:rFonts w:cs="Calibri Light"/>
            <w:caps/>
            <w:color w:val="58585B"/>
            <w:sz w:val="16"/>
            <w:szCs w:val="16"/>
          </w:rPr>
          <w:t xml:space="preserve"> </w:t>
        </w:r>
        <w:r w:rsidR="00AF2677">
          <w:rPr>
            <w:rFonts w:cs="Calibri Light"/>
            <w:caps/>
            <w:color w:val="58585B"/>
            <w:sz w:val="16"/>
            <w:szCs w:val="16"/>
          </w:rPr>
          <w:tab/>
          <w:t xml:space="preserve">                                            </w:t>
        </w:r>
        <w:r w:rsidR="00AF2677" w:rsidRPr="005A3524">
          <w:rPr>
            <w:rFonts w:cs="Calibri Light"/>
            <w:caps/>
            <w:color w:val="58585B"/>
            <w:sz w:val="16"/>
            <w:szCs w:val="16"/>
          </w:rPr>
          <w:t xml:space="preserve">annual report </w:t>
        </w:r>
        <w:r w:rsidR="00370F00">
          <w:rPr>
            <w:rFonts w:cs="Calibri Light"/>
            <w:caps/>
            <w:color w:val="58585B"/>
            <w:sz w:val="16"/>
            <w:szCs w:val="16"/>
          </w:rPr>
          <w:t>2023–24</w:t>
        </w:r>
        <w:r w:rsidR="00AF2677">
          <w:rPr>
            <w:rFonts w:cs="Calibri Light"/>
            <w:caps/>
            <w:color w:val="58585B"/>
            <w:sz w:val="16"/>
            <w:szCs w:val="16"/>
          </w:rPr>
          <w:t xml:space="preserve">    </w:t>
        </w:r>
        <w:r w:rsidR="00AF2677" w:rsidRPr="005A3524">
          <w:rPr>
            <w:rFonts w:cs="Calibri Light"/>
            <w:caps/>
            <w:color w:val="58585B"/>
            <w:sz w:val="16"/>
            <w:szCs w:val="16"/>
          </w:rPr>
          <w:t xml:space="preserve">    </w:t>
        </w:r>
        <w:r w:rsidR="00AF2677">
          <w:rPr>
            <w:rFonts w:cs="Calibri Light"/>
            <w:caps/>
            <w:color w:val="58585B"/>
            <w:sz w:val="16"/>
            <w:szCs w:val="16"/>
          </w:rPr>
          <w:t xml:space="preserve"> </w:t>
        </w:r>
        <w:r w:rsidR="00AF2677" w:rsidRPr="005A3524">
          <w:rPr>
            <w:rFonts w:cs="Calibri Light"/>
            <w:caps/>
            <w:color w:val="58585B"/>
            <w:sz w:val="16"/>
            <w:szCs w:val="16"/>
          </w:rPr>
          <w:t xml:space="preserve"> </w:t>
        </w:r>
        <w:r w:rsidR="00AF2677" w:rsidRPr="005A3524">
          <w:rPr>
            <w:rFonts w:ascii="Calibri" w:hAnsi="Calibri" w:cs="Calibri"/>
            <w:b/>
            <w:bCs/>
            <w:caps/>
            <w:color w:val="404041"/>
            <w:sz w:val="16"/>
            <w:szCs w:val="16"/>
          </w:rPr>
          <w:t>crime and corruption commiss</w:t>
        </w:r>
        <w:r w:rsidR="00AF2677">
          <w:rPr>
            <w:rFonts w:ascii="Calibri" w:hAnsi="Calibri" w:cs="Calibri"/>
            <w:b/>
            <w:bCs/>
            <w:caps/>
            <w:color w:val="404041"/>
            <w:sz w:val="16"/>
            <w:szCs w:val="16"/>
          </w:rPr>
          <w:t>ION</w:t>
        </w:r>
      </w:sdtContent>
    </w:sdt>
    <w:r w:rsidR="00AF2677">
      <w:rPr>
        <w:noProof/>
      </w:rPr>
      <w:drawing>
        <wp:anchor distT="0" distB="0" distL="114300" distR="114300" simplePos="0" relativeHeight="251581440" behindDoc="1" locked="0" layoutInCell="1" allowOverlap="1" wp14:anchorId="3323F2BA" wp14:editId="52A3E2DF">
          <wp:simplePos x="0" y="0"/>
          <wp:positionH relativeFrom="page">
            <wp:posOffset>-2924</wp:posOffset>
          </wp:positionH>
          <wp:positionV relativeFrom="paragraph">
            <wp:posOffset>558062</wp:posOffset>
          </wp:positionV>
          <wp:extent cx="7558765" cy="10691997"/>
          <wp:effectExtent l="0" t="0" r="4445" b="0"/>
          <wp:wrapNone/>
          <wp:docPr id="884953944" name="Picture 88495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94B0B" w14:textId="77777777" w:rsidR="00E37A75" w:rsidRDefault="00E37A75" w:rsidP="008F384A">
      <w:pPr>
        <w:spacing w:after="0"/>
      </w:pPr>
      <w:r>
        <w:separator/>
      </w:r>
    </w:p>
  </w:footnote>
  <w:footnote w:type="continuationSeparator" w:id="0">
    <w:p w14:paraId="054AE650" w14:textId="77777777" w:rsidR="00E37A75" w:rsidRDefault="00E37A75" w:rsidP="008F384A">
      <w:pPr>
        <w:spacing w:after="0"/>
      </w:pPr>
      <w:r>
        <w:continuationSeparator/>
      </w:r>
    </w:p>
  </w:footnote>
  <w:footnote w:id="1">
    <w:p w14:paraId="42745337" w14:textId="1B5745EA" w:rsidR="00BE67D9" w:rsidRPr="009C5DF3" w:rsidRDefault="00BE67D9" w:rsidP="009C5DF3">
      <w:pPr>
        <w:pStyle w:val="FOOTNOTE0"/>
      </w:pPr>
      <w:r w:rsidRPr="009C5DF3">
        <w:rPr>
          <w:rStyle w:val="FootnotestyleChar"/>
          <w:rFonts w:eastAsiaTheme="minorHAnsi" w:cstheme="minorBidi"/>
          <w:szCs w:val="16"/>
        </w:rPr>
        <w:footnoteRef/>
      </w:r>
      <w:r w:rsidRPr="009C5DF3">
        <w:rPr>
          <w:rStyle w:val="FootnotestyleChar"/>
          <w:rFonts w:eastAsiaTheme="minorHAnsi" w:cstheme="minorBidi"/>
          <w:szCs w:val="16"/>
        </w:rPr>
        <w:t xml:space="preserve">  </w:t>
      </w:r>
      <w:r w:rsidR="009C5DF3">
        <w:rPr>
          <w:rStyle w:val="FootnotestyleChar"/>
          <w:rFonts w:eastAsiaTheme="minorHAnsi" w:cstheme="minorBidi"/>
          <w:szCs w:val="16"/>
        </w:rPr>
        <w:tab/>
      </w:r>
      <w:r w:rsidRPr="009C5DF3">
        <w:t xml:space="preserve">The SEO Crime and </w:t>
      </w:r>
      <w:r w:rsidR="00F902BC" w:rsidRPr="009C5DF3">
        <w:t xml:space="preserve">SEO </w:t>
      </w:r>
      <w:r w:rsidRPr="009C5DF3">
        <w:t xml:space="preserve">Corruption </w:t>
      </w:r>
      <w:r w:rsidR="00A66448" w:rsidRPr="009C5DF3">
        <w:t>are responsible</w:t>
      </w:r>
      <w:r w:rsidRPr="009C5DF3">
        <w:t xml:space="preserve"> to the Chairperson on operational </w:t>
      </w:r>
      <w:r w:rsidR="001A4A38" w:rsidRPr="009C5DF3">
        <w:t>matters.</w:t>
      </w:r>
      <w:r w:rsidRPr="009C5DF3">
        <w:t xml:space="preserve"> </w:t>
      </w:r>
    </w:p>
  </w:footnote>
  <w:footnote w:id="2">
    <w:p w14:paraId="1C606FEF" w14:textId="7D0B77DC" w:rsidR="008C5EC7" w:rsidRPr="00A93FA7" w:rsidRDefault="008C5EC7" w:rsidP="00A93FA7">
      <w:pPr>
        <w:pStyle w:val="FOOTNOTE0"/>
      </w:pPr>
      <w:r w:rsidRPr="00A93FA7">
        <w:rPr>
          <w:rStyle w:val="FootnotestyleChar"/>
          <w:rFonts w:eastAsiaTheme="minorHAnsi" w:cstheme="minorBidi"/>
          <w:szCs w:val="16"/>
        </w:rPr>
        <w:footnoteRef/>
      </w:r>
      <w:r w:rsidRPr="00A93FA7">
        <w:rPr>
          <w:rStyle w:val="FootnotestyleChar"/>
          <w:rFonts w:eastAsiaTheme="minorHAnsi" w:cstheme="minorBidi"/>
          <w:szCs w:val="16"/>
        </w:rPr>
        <w:t xml:space="preserve">  </w:t>
      </w:r>
      <w:r w:rsidRPr="00A93FA7">
        <w:rPr>
          <w:rStyle w:val="FootnotestyleChar"/>
          <w:rFonts w:eastAsiaTheme="minorHAnsi" w:cstheme="minorBidi"/>
          <w:szCs w:val="16"/>
        </w:rPr>
        <w:tab/>
        <w:t xml:space="preserve">Under the </w:t>
      </w:r>
      <w:r w:rsidRPr="009C5DF3">
        <w:rPr>
          <w:rStyle w:val="FootnotestyleChar"/>
          <w:rFonts w:eastAsiaTheme="minorHAnsi" w:cstheme="minorBidi"/>
          <w:i/>
          <w:iCs/>
          <w:szCs w:val="16"/>
        </w:rPr>
        <w:t>Crime and Corruption Act 2001</w:t>
      </w:r>
      <w:r w:rsidRPr="00A93FA7">
        <w:rPr>
          <w:rStyle w:val="FootnotestyleChar"/>
          <w:rFonts w:eastAsiaTheme="minorHAnsi" w:cstheme="minorBidi"/>
          <w:szCs w:val="16"/>
        </w:rPr>
        <w:t>, our corruption function relates to ‘units of public administration’ as defined under section 20 of the Act. In this report, we also use the term ‘public sector agency/agencies’ to cover this broad and diverse jurisdiction, which includes Queensland State Government departments, statutory bodies, the QPS, local governments, government-owned corporations, universities, prisons, courts, tribunals and elected officials</w:t>
      </w:r>
      <w:r w:rsidRPr="00A93FA7">
        <w:t>.</w:t>
      </w:r>
    </w:p>
  </w:footnote>
  <w:footnote w:id="3">
    <w:p w14:paraId="5D3B520A" w14:textId="7A1D1126" w:rsidR="00D02FC3" w:rsidRPr="00777BD6" w:rsidRDefault="00D02FC3" w:rsidP="00D02FC3">
      <w:pPr>
        <w:pStyle w:val="FOOTNOTE0"/>
      </w:pPr>
      <w:r w:rsidRPr="00777BD6">
        <w:rPr>
          <w:rStyle w:val="FootnoteReference"/>
          <w:vertAlign w:val="baseline"/>
        </w:rPr>
        <w:footnoteRef/>
      </w:r>
      <w:r w:rsidRPr="00777BD6">
        <w:t xml:space="preserve"> </w:t>
      </w:r>
      <w:r w:rsidR="00565D15">
        <w:tab/>
      </w:r>
      <w:r w:rsidRPr="00777BD6">
        <w:t>The process of importing large volumes of data files from multiple sources into one single repository.</w:t>
      </w:r>
    </w:p>
  </w:footnote>
  <w:footnote w:id="4">
    <w:p w14:paraId="744AE6B0" w14:textId="5853CEDA" w:rsidR="000127CB" w:rsidRPr="009A13A4" w:rsidRDefault="000127CB" w:rsidP="009A13A4">
      <w:pPr>
        <w:pStyle w:val="FOOTNOTE0"/>
      </w:pPr>
      <w:r w:rsidRPr="009A13A4">
        <w:rPr>
          <w:rStyle w:val="FootnoteReference"/>
          <w:vertAlign w:val="baseline"/>
        </w:rPr>
        <w:footnoteRef/>
      </w:r>
      <w:r w:rsidRPr="009A13A4">
        <w:t xml:space="preserve"> </w:t>
      </w:r>
      <w:r w:rsidR="00B520D0">
        <w:tab/>
      </w:r>
      <w:r w:rsidRPr="009A13A4">
        <w:t>This includes some matters received in 2022-23 but not assessed until 2023-24.</w:t>
      </w:r>
    </w:p>
  </w:footnote>
  <w:footnote w:id="5">
    <w:p w14:paraId="5FDF8446" w14:textId="3C277FC1" w:rsidR="0047609D" w:rsidRPr="00835A10" w:rsidRDefault="0047609D" w:rsidP="00B349CA">
      <w:pPr>
        <w:pStyle w:val="FootnoteText"/>
        <w:rPr>
          <w:lang w:val="en-GB"/>
        </w:rPr>
      </w:pPr>
      <w:r w:rsidRPr="00434F4E">
        <w:rPr>
          <w:rStyle w:val="FootnoteReference"/>
        </w:rPr>
        <w:footnoteRef/>
      </w:r>
      <w:r w:rsidRPr="00434F4E">
        <w:t xml:space="preserve"> </w:t>
      </w:r>
      <w:r w:rsidR="00346C70">
        <w:tab/>
      </w:r>
      <w:r w:rsidRPr="00434F4E">
        <w:rPr>
          <w:rStyle w:val="FootnotestyleChar"/>
        </w:rPr>
        <w:t>This includes CCC officers on five-year fixed-term contracts of employment.</w:t>
      </w:r>
    </w:p>
  </w:footnote>
  <w:footnote w:id="6">
    <w:p w14:paraId="25588B79" w14:textId="34B13CA5" w:rsidR="0009256E" w:rsidRPr="00A93FA7" w:rsidRDefault="0009256E" w:rsidP="00A93FA7">
      <w:pPr>
        <w:pStyle w:val="FOOTNOTE0"/>
        <w:rPr>
          <w:rStyle w:val="FootnoteReference"/>
          <w:sz w:val="20"/>
          <w:szCs w:val="20"/>
        </w:rPr>
      </w:pPr>
      <w:r w:rsidRPr="00A93FA7">
        <w:rPr>
          <w:rStyle w:val="FootnoteReference"/>
          <w:sz w:val="20"/>
          <w:szCs w:val="20"/>
        </w:rPr>
        <w:footnoteRef/>
      </w:r>
      <w:r w:rsidRPr="00A93FA7">
        <w:rPr>
          <w:rStyle w:val="FootnoteReference"/>
          <w:sz w:val="20"/>
          <w:szCs w:val="20"/>
        </w:rPr>
        <w:t xml:space="preserve"> </w:t>
      </w:r>
      <w:r w:rsidR="00A93FA7">
        <w:tab/>
      </w:r>
      <w:r w:rsidRPr="00A93FA7">
        <w:rPr>
          <w:rStyle w:val="FootnoteReference"/>
          <w:sz w:val="20"/>
          <w:szCs w:val="20"/>
        </w:rPr>
        <w:t xml:space="preserve">These recommendation will only impact the CCC if the Queensland Government supports the establishment of an independent Police Integrity Unit to be housed within the CCC, as proposed through the following recommendations: </w:t>
      </w:r>
    </w:p>
    <w:p w14:paraId="531A7526" w14:textId="77777777" w:rsidR="0009256E" w:rsidRPr="00A93FA7" w:rsidRDefault="0009256E" w:rsidP="002F23D4">
      <w:pPr>
        <w:pStyle w:val="FOOTNOTE0"/>
        <w:numPr>
          <w:ilvl w:val="0"/>
          <w:numId w:val="68"/>
        </w:numPr>
        <w:rPr>
          <w:rStyle w:val="FootnoteReference"/>
          <w:sz w:val="20"/>
          <w:szCs w:val="20"/>
        </w:rPr>
      </w:pPr>
      <w:r w:rsidRPr="00A93FA7">
        <w:rPr>
          <w:rStyle w:val="FootnoteReference"/>
          <w:rFonts w:asciiTheme="minorHAnsi" w:hAnsiTheme="minorHAnsi" w:cstheme="minorHAnsi"/>
          <w:b/>
          <w:bCs/>
          <w:sz w:val="20"/>
          <w:szCs w:val="20"/>
        </w:rPr>
        <w:t>Recommendation 68</w:t>
      </w:r>
      <w:r w:rsidRPr="00A93FA7">
        <w:rPr>
          <w:rStyle w:val="FootnoteReference"/>
          <w:sz w:val="20"/>
          <w:szCs w:val="20"/>
        </w:rPr>
        <w:t>: Within 18 months, the Queensland Government establish the Police Integrity Unit as an independent and separate unit of the CCC to deal with all complaints in relation to police. The Police Integrity Unit must, at a minimum: • be led by a Senior Executive Officer who is a civilian • provide for whistleblower protections • include a victim advocate • include identified positions for First Nations staff in the intake and victim advocacy teams • include civilian investigators, and transition to a predominately civilianised model as soon as possible • implement an adequate complaints management system, including fit for purpose data collection and reporting, including providing for aggregate trends analysis • publicly report annually on activities and outcomes.</w:t>
      </w:r>
    </w:p>
    <w:p w14:paraId="3FF0F342" w14:textId="489C8361" w:rsidR="0009256E" w:rsidRPr="0009256E" w:rsidRDefault="0009256E" w:rsidP="002F23D4">
      <w:pPr>
        <w:pStyle w:val="FOOTNOTE0"/>
        <w:numPr>
          <w:ilvl w:val="0"/>
          <w:numId w:val="68"/>
        </w:numPr>
      </w:pPr>
      <w:r w:rsidRPr="00A93FA7">
        <w:rPr>
          <w:rStyle w:val="FootnoteReference"/>
          <w:rFonts w:asciiTheme="minorHAnsi" w:hAnsiTheme="minorHAnsi" w:cstheme="minorHAnsi"/>
          <w:b/>
          <w:bCs/>
          <w:sz w:val="20"/>
          <w:szCs w:val="20"/>
        </w:rPr>
        <w:t>Recommendation 69</w:t>
      </w:r>
      <w:r w:rsidRPr="00A93FA7">
        <w:rPr>
          <w:rStyle w:val="FootnoteReference"/>
          <w:sz w:val="20"/>
          <w:szCs w:val="20"/>
        </w:rPr>
        <w:t>: Within three months of acceptance of Recommendation 67, the Queensland Government create and publish an implementation plan which clearly identifies timeframes for key implementation activities, with a view to the Police Integrity Unit being fully operational within 12 months of acceptance.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D2CA6" w14:textId="3186778A" w:rsidR="005F42AC" w:rsidRDefault="007662C8" w:rsidP="006B2E21">
    <w:pPr>
      <w:pStyle w:val="Header"/>
      <w:tabs>
        <w:tab w:val="clear" w:pos="4513"/>
        <w:tab w:val="clear" w:pos="9026"/>
        <w:tab w:val="left" w:pos="1052"/>
      </w:tabs>
    </w:pPr>
    <w:r>
      <w:rPr>
        <w:noProof/>
      </w:rPr>
      <w:drawing>
        <wp:anchor distT="0" distB="0" distL="114300" distR="114300" simplePos="0" relativeHeight="251764736" behindDoc="1" locked="0" layoutInCell="1" allowOverlap="1" wp14:anchorId="4757CB15" wp14:editId="6B9E7575">
          <wp:simplePos x="0" y="0"/>
          <wp:positionH relativeFrom="column">
            <wp:posOffset>-804766</wp:posOffset>
          </wp:positionH>
          <wp:positionV relativeFrom="paragraph">
            <wp:posOffset>-559435</wp:posOffset>
          </wp:positionV>
          <wp:extent cx="7520683" cy="10858086"/>
          <wp:effectExtent l="0" t="0" r="4445" b="635"/>
          <wp:wrapNone/>
          <wp:docPr id="1854583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83283" name="Picture 1"/>
                  <pic:cNvPicPr/>
                </pic:nvPicPr>
                <pic:blipFill>
                  <a:blip r:embed="rId1">
                    <a:extLst>
                      <a:ext uri="{28A0092B-C50C-407E-A947-70E740481C1C}">
                        <a14:useLocalDpi xmlns:a14="http://schemas.microsoft.com/office/drawing/2010/main" val="0"/>
                      </a:ext>
                    </a:extLst>
                  </a:blip>
                  <a:srcRect l="1013" r="1013"/>
                  <a:stretch>
                    <a:fillRect/>
                  </a:stretch>
                </pic:blipFill>
                <pic:spPr bwMode="auto">
                  <a:xfrm>
                    <a:off x="0" y="0"/>
                    <a:ext cx="7520683" cy="10858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E21">
      <w:tab/>
    </w:r>
  </w:p>
  <w:p w14:paraId="5916B64B" w14:textId="06A63686" w:rsidR="005F42AC" w:rsidRDefault="005F42AC" w:rsidP="00AD6C5F">
    <w:pP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CF8F9" w14:textId="7E2E1E64" w:rsidR="00DA3DA7" w:rsidRPr="00D92454" w:rsidRDefault="00DA3DA7" w:rsidP="00D92454">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3E282" w14:textId="77777777" w:rsidR="00173852" w:rsidRDefault="00173852">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440F0" w14:textId="77777777" w:rsidR="00173852" w:rsidRDefault="00173852">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DBB1" w14:textId="3C853354" w:rsidR="006852D9" w:rsidRDefault="00B81506">
    <w:pPr>
      <w:pStyle w:val="Header"/>
    </w:pPr>
    <w:r>
      <w:rPr>
        <w:noProof/>
      </w:rPr>
      <w:drawing>
        <wp:anchor distT="0" distB="0" distL="114300" distR="114300" simplePos="0" relativeHeight="251676672" behindDoc="1" locked="0" layoutInCell="1" allowOverlap="1" wp14:anchorId="5D0EE85E" wp14:editId="5257981E">
          <wp:simplePos x="0" y="0"/>
          <wp:positionH relativeFrom="page">
            <wp:posOffset>9261</wp:posOffset>
          </wp:positionH>
          <wp:positionV relativeFrom="paragraph">
            <wp:posOffset>-450526</wp:posOffset>
          </wp:positionV>
          <wp:extent cx="7558765" cy="10691997"/>
          <wp:effectExtent l="0" t="0" r="0" b="0"/>
          <wp:wrapNone/>
          <wp:docPr id="404823346" name="Picture 40482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7AA4" w14:textId="0F487053" w:rsidR="006852D9" w:rsidRDefault="00A34E3C">
    <w:pPr>
      <w:pStyle w:val="Header"/>
    </w:pPr>
    <w:r>
      <w:rPr>
        <w:noProof/>
      </w:rPr>
      <w:drawing>
        <wp:anchor distT="0" distB="0" distL="114300" distR="114300" simplePos="0" relativeHeight="251645952" behindDoc="1" locked="0" layoutInCell="1" allowOverlap="1" wp14:anchorId="6909CAA2" wp14:editId="382C5546">
          <wp:simplePos x="0" y="0"/>
          <wp:positionH relativeFrom="page">
            <wp:posOffset>0</wp:posOffset>
          </wp:positionH>
          <wp:positionV relativeFrom="paragraph">
            <wp:posOffset>-457200</wp:posOffset>
          </wp:positionV>
          <wp:extent cx="7558764" cy="10691995"/>
          <wp:effectExtent l="0" t="0" r="4445" b="0"/>
          <wp:wrapNone/>
          <wp:docPr id="2015216906" name="Picture 201521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27695" name="Picture 818927695"/>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79AA7" w14:textId="77777777" w:rsidR="006852D9" w:rsidRDefault="006852D9">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FEC6" w14:textId="67E2B62F" w:rsidR="006852D9" w:rsidRDefault="00B17A32">
    <w:pPr>
      <w:pStyle w:val="Header"/>
    </w:pPr>
    <w:r>
      <w:rPr>
        <w:noProof/>
      </w:rPr>
      <w:drawing>
        <wp:anchor distT="0" distB="0" distL="114300" distR="114300" simplePos="0" relativeHeight="251646976" behindDoc="1" locked="0" layoutInCell="1" allowOverlap="1" wp14:anchorId="72294036" wp14:editId="2F4957DB">
          <wp:simplePos x="0" y="0"/>
          <wp:positionH relativeFrom="page">
            <wp:posOffset>7675880</wp:posOffset>
          </wp:positionH>
          <wp:positionV relativeFrom="paragraph">
            <wp:posOffset>-433070</wp:posOffset>
          </wp:positionV>
          <wp:extent cx="7558405" cy="10691495"/>
          <wp:effectExtent l="0" t="0" r="4445" b="0"/>
          <wp:wrapNone/>
          <wp:docPr id="836508331" name="Picture 83650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27547" name="Picture 333727547"/>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sidR="00B941AA">
      <w:rPr>
        <w:noProof/>
      </w:rPr>
      <w:drawing>
        <wp:anchor distT="0" distB="0" distL="114300" distR="114300" simplePos="0" relativeHeight="251618304" behindDoc="1" locked="0" layoutInCell="1" allowOverlap="1" wp14:anchorId="596EECD9" wp14:editId="0EBB1BCC">
          <wp:simplePos x="0" y="0"/>
          <wp:positionH relativeFrom="page">
            <wp:posOffset>0</wp:posOffset>
          </wp:positionH>
          <wp:positionV relativeFrom="paragraph">
            <wp:posOffset>-438150</wp:posOffset>
          </wp:positionV>
          <wp:extent cx="7558764" cy="10691995"/>
          <wp:effectExtent l="0" t="0" r="4445" b="0"/>
          <wp:wrapNone/>
          <wp:docPr id="1542587011" name="Picture 154258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86105" name="Picture 1022386105"/>
                  <pic:cNvPicPr/>
                </pic:nvPicPr>
                <pic:blipFill>
                  <a:blip r:embed="rId2">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p w14:paraId="409EC83F" w14:textId="77777777" w:rsidR="006852D9" w:rsidRDefault="006852D9"/>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08AB0" w14:textId="28C023AB" w:rsidR="006852D9" w:rsidRDefault="00B81506">
    <w:pPr>
      <w:pStyle w:val="Header"/>
    </w:pPr>
    <w:r>
      <w:rPr>
        <w:noProof/>
      </w:rPr>
      <w:drawing>
        <wp:anchor distT="0" distB="0" distL="114300" distR="114300" simplePos="0" relativeHeight="251677696" behindDoc="1" locked="0" layoutInCell="1" allowOverlap="1" wp14:anchorId="36F21BF7" wp14:editId="0FA2BC41">
          <wp:simplePos x="0" y="0"/>
          <wp:positionH relativeFrom="page">
            <wp:posOffset>-635</wp:posOffset>
          </wp:positionH>
          <wp:positionV relativeFrom="paragraph">
            <wp:posOffset>-449107</wp:posOffset>
          </wp:positionV>
          <wp:extent cx="7558764" cy="10691995"/>
          <wp:effectExtent l="0" t="0" r="4445" b="0"/>
          <wp:wrapNone/>
          <wp:docPr id="134137624" name="Picture 13413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D6343" w14:textId="77777777" w:rsidR="006852D9" w:rsidRDefault="006852D9">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5211E" w14:textId="0D86C3C7" w:rsidR="006852D9" w:rsidRDefault="00B81506">
    <w:pPr>
      <w:pStyle w:val="Header"/>
    </w:pPr>
    <w:r>
      <w:rPr>
        <w:noProof/>
      </w:rPr>
      <w:drawing>
        <wp:anchor distT="0" distB="0" distL="114300" distR="114300" simplePos="0" relativeHeight="251678720" behindDoc="1" locked="0" layoutInCell="1" allowOverlap="1" wp14:anchorId="0611670A" wp14:editId="550B143B">
          <wp:simplePos x="0" y="0"/>
          <wp:positionH relativeFrom="page">
            <wp:posOffset>1905</wp:posOffset>
          </wp:positionH>
          <wp:positionV relativeFrom="paragraph">
            <wp:posOffset>-446891</wp:posOffset>
          </wp:positionV>
          <wp:extent cx="7558765" cy="10691997"/>
          <wp:effectExtent l="0" t="0" r="0" b="0"/>
          <wp:wrapNone/>
          <wp:docPr id="139092188" name="Picture 13909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CA30" w14:textId="15CC58EF" w:rsidR="006852D9" w:rsidRDefault="00B17A32" w:rsidP="00B17A32">
    <w:pPr>
      <w:pStyle w:val="Header"/>
      <w:tabs>
        <w:tab w:val="clear" w:pos="4513"/>
        <w:tab w:val="clear" w:pos="9026"/>
        <w:tab w:val="left" w:pos="2817"/>
        <w:tab w:val="left" w:pos="3676"/>
      </w:tabs>
    </w:pPr>
    <w:r>
      <w:rPr>
        <w:noProof/>
      </w:rPr>
      <w:drawing>
        <wp:anchor distT="0" distB="0" distL="114300" distR="114300" simplePos="0" relativeHeight="251619328" behindDoc="1" locked="0" layoutInCell="1" allowOverlap="1" wp14:anchorId="64170315" wp14:editId="34609DAB">
          <wp:simplePos x="0" y="0"/>
          <wp:positionH relativeFrom="page">
            <wp:posOffset>0</wp:posOffset>
          </wp:positionH>
          <wp:positionV relativeFrom="paragraph">
            <wp:posOffset>-448936</wp:posOffset>
          </wp:positionV>
          <wp:extent cx="7558765" cy="10691995"/>
          <wp:effectExtent l="0" t="0" r="4445" b="0"/>
          <wp:wrapNone/>
          <wp:docPr id="2143603963" name="Picture 214360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2831" name="Picture 1756632831"/>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DD688E">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8E51" w14:textId="7881B1BD" w:rsidR="000442BE" w:rsidRDefault="00BA4ED9" w:rsidP="002D5AE6">
    <w:pPr>
      <w:pStyle w:val="Header"/>
      <w:tabs>
        <w:tab w:val="clear" w:pos="4513"/>
        <w:tab w:val="clear" w:pos="9026"/>
        <w:tab w:val="left" w:pos="5292"/>
      </w:tabs>
    </w:pPr>
    <w:r>
      <w:rPr>
        <w:noProof/>
      </w:rPr>
      <mc:AlternateContent>
        <mc:Choice Requires="wps">
          <w:drawing>
            <wp:anchor distT="0" distB="0" distL="114300" distR="114300" simplePos="0" relativeHeight="251570176" behindDoc="0" locked="0" layoutInCell="0" allowOverlap="1" wp14:anchorId="6B38DB42" wp14:editId="35ACEBCD">
              <wp:simplePos x="0" y="0"/>
              <wp:positionH relativeFrom="page">
                <wp:align>center</wp:align>
              </wp:positionH>
              <wp:positionV relativeFrom="page">
                <wp:align>top</wp:align>
              </wp:positionV>
              <wp:extent cx="7772400" cy="463550"/>
              <wp:effectExtent l="0" t="0" r="0" b="12700"/>
              <wp:wrapNone/>
              <wp:docPr id="22" name="MSIPCM95564c67be612c26b402a835" descr="{&quot;HashCode&quot;:431350885,&quot;Height&quot;:9999999.0,&quot;Width&quot;:9999999.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CBBAAF" w14:textId="4F31912C" w:rsidR="00BA4ED9" w:rsidRPr="009B0939" w:rsidRDefault="003D6A1D" w:rsidP="003D6A1D">
                          <w:pPr>
                            <w:spacing w:after="0"/>
                            <w:jc w:val="center"/>
                            <w:rPr>
                              <w:rFonts w:ascii="Calibri" w:hAnsi="Calibri" w:cs="Calibri"/>
                              <w:sz w:val="24"/>
                            </w:rPr>
                          </w:pPr>
                          <w:r w:rsidRPr="00604D9B">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38DB42" id="_x0000_t202" coordsize="21600,21600" o:spt="202" path="m,l,21600r21600,l21600,xe">
              <v:stroke joinstyle="miter"/>
              <v:path gradientshapeok="t" o:connecttype="rect"/>
            </v:shapetype>
            <v:shape id="MSIPCM95564c67be612c26b402a835" o:spid="_x0000_s1048" type="#_x0000_t202" alt="{&quot;HashCode&quot;:431350885,&quot;Height&quot;:9999999.0,&quot;Width&quot;:9999999.0,&quot;Placement&quot;:&quot;Header&quot;,&quot;Index&quot;:&quot;OddAndEven&quot;,&quot;Section&quot;:6,&quot;Top&quot;:0.0,&quot;Left&quot;:0.0}" style="position:absolute;margin-left:0;margin-top:0;width:612pt;height:36.5pt;z-index:25157120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33CBBAAF" w14:textId="4F31912C" w:rsidR="00BA4ED9" w:rsidRPr="009B0939" w:rsidRDefault="003D6A1D" w:rsidP="003D6A1D">
                    <w:pPr>
                      <w:spacing w:after="0"/>
                      <w:jc w:val="center"/>
                      <w:rPr>
                        <w:rFonts w:ascii="Calibri" w:hAnsi="Calibri" w:cs="Calibri"/>
                        <w:sz w:val="24"/>
                      </w:rPr>
                    </w:pPr>
                    <w:r w:rsidRPr="00604D9B">
                      <w:rPr>
                        <w:rFonts w:ascii="Calibri" w:hAnsi="Calibri" w:cs="Calibri"/>
                        <w:sz w:val="24"/>
                      </w:rPr>
                      <w:t>OFFICIAL</w:t>
                    </w:r>
                  </w:p>
                </w:txbxContent>
              </v:textbox>
              <w10:wrap anchorx="page" anchory="page"/>
            </v:shape>
          </w:pict>
        </mc:Fallback>
      </mc:AlternateContent>
    </w:r>
    <w:r w:rsidR="00333242">
      <w:rPr>
        <w:noProof/>
      </w:rPr>
      <w:drawing>
        <wp:anchor distT="0" distB="0" distL="114300" distR="114300" simplePos="0" relativeHeight="251554816" behindDoc="1" locked="0" layoutInCell="1" allowOverlap="1" wp14:anchorId="2D3246D7" wp14:editId="21467D63">
          <wp:simplePos x="0" y="0"/>
          <wp:positionH relativeFrom="page">
            <wp:align>right</wp:align>
          </wp:positionH>
          <wp:positionV relativeFrom="paragraph">
            <wp:posOffset>-447896</wp:posOffset>
          </wp:positionV>
          <wp:extent cx="7558762" cy="10691992"/>
          <wp:effectExtent l="0" t="0" r="4445" b="0"/>
          <wp:wrapNone/>
          <wp:docPr id="206969425" name="Picture 20696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p>
  <w:p w14:paraId="674594D6" w14:textId="77777777" w:rsidR="000442BE" w:rsidRDefault="000442BE"/>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3A4A4" w14:textId="77777777" w:rsidR="006852D9" w:rsidRDefault="006852D9">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9F9FF" w14:textId="3ED36437" w:rsidR="0062643C" w:rsidRDefault="00B17A32">
    <w:pPr>
      <w:pStyle w:val="Header"/>
    </w:pPr>
    <w:r>
      <w:rPr>
        <w:noProof/>
      </w:rPr>
      <w:drawing>
        <wp:anchor distT="0" distB="0" distL="114300" distR="114300" simplePos="0" relativeHeight="251648000" behindDoc="1" locked="0" layoutInCell="1" allowOverlap="1" wp14:anchorId="167EA496" wp14:editId="7511450C">
          <wp:simplePos x="0" y="0"/>
          <wp:positionH relativeFrom="page">
            <wp:posOffset>0</wp:posOffset>
          </wp:positionH>
          <wp:positionV relativeFrom="paragraph">
            <wp:posOffset>-429251</wp:posOffset>
          </wp:positionV>
          <wp:extent cx="7558765" cy="10691995"/>
          <wp:effectExtent l="0" t="0" r="4445" b="0"/>
          <wp:wrapNone/>
          <wp:docPr id="1742220801" name="Picture 174222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p w14:paraId="5C787CB5" w14:textId="77777777" w:rsidR="0062643C" w:rsidRDefault="0062643C"/>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80674" w14:textId="5C8DC193" w:rsidR="0062643C" w:rsidRDefault="00B81506">
    <w:pPr>
      <w:pStyle w:val="Header"/>
    </w:pPr>
    <w:r>
      <w:rPr>
        <w:noProof/>
      </w:rPr>
      <w:drawing>
        <wp:anchor distT="0" distB="0" distL="114300" distR="114300" simplePos="0" relativeHeight="251679744" behindDoc="1" locked="0" layoutInCell="1" allowOverlap="1" wp14:anchorId="4547F972" wp14:editId="3D39418A">
          <wp:simplePos x="0" y="0"/>
          <wp:positionH relativeFrom="page">
            <wp:posOffset>-635</wp:posOffset>
          </wp:positionH>
          <wp:positionV relativeFrom="paragraph">
            <wp:posOffset>-449742</wp:posOffset>
          </wp:positionV>
          <wp:extent cx="7558764" cy="10691995"/>
          <wp:effectExtent l="0" t="0" r="4445" b="0"/>
          <wp:wrapNone/>
          <wp:docPr id="813624510" name="Picture 81362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EF33" w14:textId="77777777" w:rsidR="0062643C" w:rsidRDefault="0062643C">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9D3D1" w14:textId="2209A500" w:rsidR="00B7611D" w:rsidRDefault="00B17A32">
    <w:pPr>
      <w:pStyle w:val="Header"/>
    </w:pPr>
    <w:r>
      <w:rPr>
        <w:noProof/>
      </w:rPr>
      <w:drawing>
        <wp:anchor distT="0" distB="0" distL="114300" distR="114300" simplePos="0" relativeHeight="251620352" behindDoc="1" locked="0" layoutInCell="1" allowOverlap="1" wp14:anchorId="2B2099F8" wp14:editId="1FE1BA3C">
          <wp:simplePos x="0" y="0"/>
          <wp:positionH relativeFrom="page">
            <wp:posOffset>0</wp:posOffset>
          </wp:positionH>
          <wp:positionV relativeFrom="paragraph">
            <wp:posOffset>-441292</wp:posOffset>
          </wp:positionV>
          <wp:extent cx="7558405" cy="10691485"/>
          <wp:effectExtent l="0" t="0" r="4445" b="0"/>
          <wp:wrapNone/>
          <wp:docPr id="1828188962" name="Picture 182818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85"/>
                  </a:xfrm>
                  <a:prstGeom prst="rect">
                    <a:avLst/>
                  </a:prstGeom>
                </pic:spPr>
              </pic:pic>
            </a:graphicData>
          </a:graphic>
          <wp14:sizeRelH relativeFrom="page">
            <wp14:pctWidth>0</wp14:pctWidth>
          </wp14:sizeRelH>
          <wp14:sizeRelV relativeFrom="page">
            <wp14:pctHeight>0</wp14:pctHeight>
          </wp14:sizeRelV>
        </wp:anchor>
      </w:drawing>
    </w:r>
  </w:p>
  <w:p w14:paraId="49300185" w14:textId="77777777" w:rsidR="00B7611D" w:rsidRDefault="00B7611D"/>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FBEEE" w14:textId="77777777" w:rsidR="00B17A32" w:rsidRDefault="00B17A32">
    <w:pPr>
      <w:pStyle w:val="Header"/>
    </w:pPr>
    <w:r>
      <w:rPr>
        <w:noProof/>
      </w:rPr>
      <w:drawing>
        <wp:anchor distT="0" distB="0" distL="114300" distR="114300" simplePos="0" relativeHeight="251763712" behindDoc="1" locked="0" layoutInCell="1" allowOverlap="1" wp14:anchorId="12BC5D7F" wp14:editId="744F1BE6">
          <wp:simplePos x="0" y="0"/>
          <wp:positionH relativeFrom="page">
            <wp:posOffset>0</wp:posOffset>
          </wp:positionH>
          <wp:positionV relativeFrom="paragraph">
            <wp:posOffset>-457199</wp:posOffset>
          </wp:positionV>
          <wp:extent cx="7558764" cy="10691993"/>
          <wp:effectExtent l="0" t="0" r="4445" b="0"/>
          <wp:wrapNone/>
          <wp:docPr id="801746902" name="Picture 80174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93508" name="Picture 308693508"/>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5833E" w14:textId="77777777" w:rsidR="00B7611D" w:rsidRDefault="00B7611D">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BAC6B" w14:textId="1716FBB5" w:rsidR="00B17A32" w:rsidRDefault="00B17A32">
    <w:pPr>
      <w:pStyle w:val="Header"/>
    </w:pPr>
    <w:r>
      <w:rPr>
        <w:noProof/>
      </w:rPr>
      <w:drawing>
        <wp:anchor distT="0" distB="0" distL="114300" distR="114300" simplePos="0" relativeHeight="251762688" behindDoc="1" locked="0" layoutInCell="1" allowOverlap="1" wp14:anchorId="3A1C8CA5" wp14:editId="4A12EBC0">
          <wp:simplePos x="0" y="0"/>
          <wp:positionH relativeFrom="page">
            <wp:posOffset>0</wp:posOffset>
          </wp:positionH>
          <wp:positionV relativeFrom="paragraph">
            <wp:posOffset>-438150</wp:posOffset>
          </wp:positionV>
          <wp:extent cx="7558404" cy="10691485"/>
          <wp:effectExtent l="0" t="0" r="5080" b="0"/>
          <wp:wrapNone/>
          <wp:docPr id="1542234549" name="Picture 154223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82712" name="Picture 1277082712"/>
                  <pic:cNvPicPr/>
                </pic:nvPicPr>
                <pic:blipFill>
                  <a:blip r:embed="rId1">
                    <a:extLst>
                      <a:ext uri="{28A0092B-C50C-407E-A947-70E740481C1C}">
                        <a14:useLocalDpi xmlns:a14="http://schemas.microsoft.com/office/drawing/2010/main" val="0"/>
                      </a:ext>
                    </a:extLst>
                  </a:blip>
                  <a:stretch>
                    <a:fillRect/>
                  </a:stretch>
                </pic:blipFill>
                <pic:spPr>
                  <a:xfrm>
                    <a:off x="0" y="0"/>
                    <a:ext cx="7558404" cy="10691485"/>
                  </a:xfrm>
                  <a:prstGeom prst="rect">
                    <a:avLst/>
                  </a:prstGeom>
                </pic:spPr>
              </pic:pic>
            </a:graphicData>
          </a:graphic>
          <wp14:sizeRelH relativeFrom="page">
            <wp14:pctWidth>0</wp14:pctWidth>
          </wp14:sizeRelH>
          <wp14:sizeRelV relativeFrom="page">
            <wp14:pctHeight>0</wp14:pctHeight>
          </wp14:sizeRelV>
        </wp:anchor>
      </w:drawing>
    </w:r>
  </w:p>
  <w:p w14:paraId="01627B30" w14:textId="19EE403E" w:rsidR="00B17A32" w:rsidRDefault="00B17A32" w:rsidP="00B17A32">
    <w:pPr>
      <w:tabs>
        <w:tab w:val="left" w:pos="3330"/>
      </w:tabs>
    </w:pPr>
    <w:r>
      <w:tab/>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FAB3F" w14:textId="3B261FC0" w:rsidR="00B740E3" w:rsidRDefault="00B941AA" w:rsidP="006F5B74">
    <w:pPr>
      <w:pStyle w:val="Header"/>
      <w:tabs>
        <w:tab w:val="clear" w:pos="4513"/>
        <w:tab w:val="clear" w:pos="9026"/>
        <w:tab w:val="left" w:pos="2731"/>
      </w:tabs>
    </w:pPr>
    <w:r>
      <w:rPr>
        <w:noProof/>
      </w:rPr>
      <w:drawing>
        <wp:anchor distT="0" distB="0" distL="114300" distR="114300" simplePos="0" relativeHeight="251621376" behindDoc="1" locked="0" layoutInCell="1" allowOverlap="1" wp14:anchorId="7139D568" wp14:editId="1A0531C0">
          <wp:simplePos x="0" y="0"/>
          <wp:positionH relativeFrom="page">
            <wp:posOffset>0</wp:posOffset>
          </wp:positionH>
          <wp:positionV relativeFrom="paragraph">
            <wp:posOffset>-438149</wp:posOffset>
          </wp:positionV>
          <wp:extent cx="7558764" cy="10691993"/>
          <wp:effectExtent l="0" t="0" r="4445" b="0"/>
          <wp:wrapNone/>
          <wp:docPr id="133967256" name="Picture 13396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24106" name="Picture 421424106"/>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3"/>
                  </a:xfrm>
                  <a:prstGeom prst="rect">
                    <a:avLst/>
                  </a:prstGeom>
                </pic:spPr>
              </pic:pic>
            </a:graphicData>
          </a:graphic>
          <wp14:sizeRelH relativeFrom="page">
            <wp14:pctWidth>0</wp14:pctWidth>
          </wp14:sizeRelH>
          <wp14:sizeRelV relativeFrom="page">
            <wp14:pctHeight>0</wp14:pctHeight>
          </wp14:sizeRelV>
        </wp:anchor>
      </w:drawing>
    </w:r>
    <w:r w:rsidR="006F5B74">
      <w:tab/>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494C8" w14:textId="3DA0F3B1" w:rsidR="00B740E3" w:rsidRDefault="00B81506">
    <w:pPr>
      <w:pStyle w:val="Header"/>
    </w:pPr>
    <w:r>
      <w:rPr>
        <w:noProof/>
      </w:rPr>
      <w:drawing>
        <wp:anchor distT="0" distB="0" distL="114300" distR="114300" simplePos="0" relativeHeight="251680768" behindDoc="1" locked="0" layoutInCell="1" allowOverlap="1" wp14:anchorId="62B1929C" wp14:editId="45B25EBF">
          <wp:simplePos x="0" y="0"/>
          <wp:positionH relativeFrom="page">
            <wp:posOffset>-635</wp:posOffset>
          </wp:positionH>
          <wp:positionV relativeFrom="paragraph">
            <wp:posOffset>-446567</wp:posOffset>
          </wp:positionV>
          <wp:extent cx="7558765" cy="10691997"/>
          <wp:effectExtent l="0" t="0" r="4445" b="0"/>
          <wp:wrapNone/>
          <wp:docPr id="94873981" name="Picture 9487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F37D" w14:textId="4EC94730" w:rsidR="000442BE" w:rsidRDefault="0083148A" w:rsidP="00461734">
    <w:pPr>
      <w:pStyle w:val="Header"/>
      <w:tabs>
        <w:tab w:val="clear" w:pos="4513"/>
        <w:tab w:val="clear" w:pos="9026"/>
        <w:tab w:val="left" w:pos="1365"/>
      </w:tabs>
    </w:pPr>
    <w:r>
      <w:rPr>
        <w:noProof/>
      </w:rPr>
      <w:drawing>
        <wp:anchor distT="0" distB="0" distL="114300" distR="114300" simplePos="0" relativeHeight="251598848" behindDoc="1" locked="0" layoutInCell="1" allowOverlap="1" wp14:anchorId="010C4E4B" wp14:editId="4A67F6F4">
          <wp:simplePos x="0" y="0"/>
          <wp:positionH relativeFrom="page">
            <wp:posOffset>13648</wp:posOffset>
          </wp:positionH>
          <wp:positionV relativeFrom="paragraph">
            <wp:posOffset>-443391</wp:posOffset>
          </wp:positionV>
          <wp:extent cx="7558764" cy="10691995"/>
          <wp:effectExtent l="0" t="0" r="4445" b="0"/>
          <wp:wrapNone/>
          <wp:docPr id="225527487" name="Picture 22552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3875" name="Picture 150423875"/>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r w:rsidR="006B2E21">
      <w:rPr>
        <w:noProof/>
      </w:rPr>
      <w:drawing>
        <wp:anchor distT="0" distB="0" distL="114300" distR="114300" simplePos="0" relativeHeight="251691008" behindDoc="1" locked="0" layoutInCell="1" allowOverlap="1" wp14:anchorId="006ECB38" wp14:editId="47579E79">
          <wp:simplePos x="0" y="0"/>
          <wp:positionH relativeFrom="page">
            <wp:posOffset>7705090</wp:posOffset>
          </wp:positionH>
          <wp:positionV relativeFrom="paragraph">
            <wp:posOffset>-450215</wp:posOffset>
          </wp:positionV>
          <wp:extent cx="7558405" cy="10691495"/>
          <wp:effectExtent l="0" t="0" r="4445" b="0"/>
          <wp:wrapNone/>
          <wp:docPr id="1653570806" name="Picture 165357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sidR="00461734">
      <w:tab/>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9802" w14:textId="77777777" w:rsidR="00B740E3" w:rsidRDefault="00B740E3">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24219" w14:textId="41795466" w:rsidR="007D118E" w:rsidRDefault="00B81506">
    <w:pPr>
      <w:pStyle w:val="Header"/>
    </w:pPr>
    <w:r>
      <w:rPr>
        <w:noProof/>
      </w:rPr>
      <w:drawing>
        <wp:anchor distT="0" distB="0" distL="114300" distR="114300" simplePos="0" relativeHeight="251681792" behindDoc="1" locked="0" layoutInCell="1" allowOverlap="1" wp14:anchorId="66A7A445" wp14:editId="35B0EE1D">
          <wp:simplePos x="0" y="0"/>
          <wp:positionH relativeFrom="page">
            <wp:posOffset>5924</wp:posOffset>
          </wp:positionH>
          <wp:positionV relativeFrom="paragraph">
            <wp:posOffset>-443851</wp:posOffset>
          </wp:positionV>
          <wp:extent cx="7558405" cy="10691495"/>
          <wp:effectExtent l="0" t="0" r="0" b="0"/>
          <wp:wrapNone/>
          <wp:docPr id="1868747873" name="Picture 186874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6CD95" w14:textId="7CEF31D7" w:rsidR="007D118E" w:rsidRDefault="00A34E3C">
    <w:pPr>
      <w:pStyle w:val="Header"/>
    </w:pPr>
    <w:r>
      <w:rPr>
        <w:noProof/>
      </w:rPr>
      <w:drawing>
        <wp:anchor distT="0" distB="0" distL="114300" distR="114300" simplePos="0" relativeHeight="251649024" behindDoc="1" locked="0" layoutInCell="1" allowOverlap="1" wp14:anchorId="7F580C93" wp14:editId="1878DC06">
          <wp:simplePos x="0" y="0"/>
          <wp:positionH relativeFrom="page">
            <wp:posOffset>0</wp:posOffset>
          </wp:positionH>
          <wp:positionV relativeFrom="paragraph">
            <wp:posOffset>-457200</wp:posOffset>
          </wp:positionV>
          <wp:extent cx="7558764" cy="10691995"/>
          <wp:effectExtent l="0" t="0" r="4445" b="0"/>
          <wp:wrapNone/>
          <wp:docPr id="859456316" name="Picture 85945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82445" name="Picture 1397982445"/>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9A94" w14:textId="77777777" w:rsidR="007D118E" w:rsidRDefault="007D118E">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9B5C6" w14:textId="6F9D940A" w:rsidR="0080529C" w:rsidRDefault="00B941AA" w:rsidP="00B17A32">
    <w:pPr>
      <w:pStyle w:val="Header"/>
      <w:tabs>
        <w:tab w:val="clear" w:pos="4513"/>
        <w:tab w:val="clear" w:pos="9026"/>
        <w:tab w:val="left" w:pos="2070"/>
      </w:tabs>
    </w:pPr>
    <w:r>
      <w:rPr>
        <w:noProof/>
      </w:rPr>
      <w:drawing>
        <wp:anchor distT="0" distB="0" distL="114300" distR="114300" simplePos="0" relativeHeight="251622400" behindDoc="1" locked="0" layoutInCell="1" allowOverlap="1" wp14:anchorId="05C68F7C" wp14:editId="1765FE8F">
          <wp:simplePos x="0" y="0"/>
          <wp:positionH relativeFrom="page">
            <wp:posOffset>0</wp:posOffset>
          </wp:positionH>
          <wp:positionV relativeFrom="paragraph">
            <wp:posOffset>-457200</wp:posOffset>
          </wp:positionV>
          <wp:extent cx="7558764" cy="10691995"/>
          <wp:effectExtent l="0" t="0" r="4445" b="0"/>
          <wp:wrapNone/>
          <wp:docPr id="1314154622" name="Picture 131415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94794" name="Picture 1585494794"/>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r w:rsidR="00B17A32">
      <w:tab/>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4D9FC" w14:textId="4103FBF6" w:rsidR="0080529C" w:rsidRDefault="00A34E3C">
    <w:r>
      <w:rPr>
        <w:noProof/>
      </w:rPr>
      <w:drawing>
        <wp:anchor distT="0" distB="0" distL="114300" distR="114300" simplePos="0" relativeHeight="251650048" behindDoc="1" locked="0" layoutInCell="1" allowOverlap="1" wp14:anchorId="50E5F591" wp14:editId="187435D4">
          <wp:simplePos x="0" y="0"/>
          <wp:positionH relativeFrom="page">
            <wp:posOffset>0</wp:posOffset>
          </wp:positionH>
          <wp:positionV relativeFrom="paragraph">
            <wp:posOffset>-457200</wp:posOffset>
          </wp:positionV>
          <wp:extent cx="7558764" cy="10691995"/>
          <wp:effectExtent l="0" t="0" r="4445" b="0"/>
          <wp:wrapNone/>
          <wp:docPr id="116120785" name="Picture 11612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85967" name="Picture 475785967"/>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1C717" w14:textId="77777777" w:rsidR="0080529C" w:rsidRDefault="0080529C">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93610" w14:textId="77777777" w:rsidR="00BB2647" w:rsidRDefault="00BB2647">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BD181" w14:textId="77777777" w:rsidR="00BB2647" w:rsidRDefault="00BB2647">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4DE84" w14:textId="77777777" w:rsidR="00BB2647" w:rsidRDefault="00BB264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C46AA" w14:textId="3582DDBF" w:rsidR="000442BE" w:rsidRDefault="006E0CFE">
    <w:pPr>
      <w:pStyle w:val="Header"/>
    </w:pPr>
    <w:r>
      <w:rPr>
        <w:noProof/>
      </w:rPr>
      <mc:AlternateContent>
        <mc:Choice Requires="wps">
          <w:drawing>
            <wp:anchor distT="0" distB="0" distL="114300" distR="114300" simplePos="0" relativeHeight="251556864" behindDoc="0" locked="0" layoutInCell="0" allowOverlap="1" wp14:anchorId="40A6BC6C" wp14:editId="31C5DD82">
              <wp:simplePos x="0" y="190500"/>
              <wp:positionH relativeFrom="page">
                <wp:align>center</wp:align>
              </wp:positionH>
              <wp:positionV relativeFrom="page">
                <wp:align>top</wp:align>
              </wp:positionV>
              <wp:extent cx="7772400" cy="463550"/>
              <wp:effectExtent l="0" t="0" r="0" b="12700"/>
              <wp:wrapNone/>
              <wp:docPr id="2943" name="MSIPCMe01b437eb6f57e2261295d06" descr="{&quot;HashCode&quot;:431350885,&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3534BF" w14:textId="0DB94493" w:rsidR="006E0CFE" w:rsidRPr="003D6A1D" w:rsidRDefault="003D6A1D" w:rsidP="003D6A1D">
                          <w:pPr>
                            <w:spacing w:after="0"/>
                            <w:jc w:val="center"/>
                            <w:rPr>
                              <w:rFonts w:ascii="Calibri" w:hAnsi="Calibri" w:cs="Calibri"/>
                              <w:color w:val="FF0000"/>
                              <w:sz w:val="24"/>
                            </w:rPr>
                          </w:pPr>
                          <w:r w:rsidRPr="003D6A1D">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A6BC6C" id="_x0000_t202" coordsize="21600,21600" o:spt="202" path="m,l,21600r21600,l21600,xe">
              <v:stroke joinstyle="miter"/>
              <v:path gradientshapeok="t" o:connecttype="rect"/>
            </v:shapetype>
            <v:shape id="MSIPCMe01b437eb6f57e2261295d06" o:spid="_x0000_s1049" type="#_x0000_t202" alt="{&quot;HashCode&quot;:431350885,&quot;Height&quot;:9999999.0,&quot;Width&quot;:9999999.0,&quot;Placement&quot;:&quot;Header&quot;,&quot;Index&quot;:&quot;FirstPage&quot;,&quot;Section&quot;:6,&quot;Top&quot;:0.0,&quot;Left&quot;:0.0}" style="position:absolute;margin-left:0;margin-top:0;width:612pt;height:36.5pt;z-index:2515578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0C3534BF" w14:textId="0DB94493" w:rsidR="006E0CFE" w:rsidRPr="003D6A1D" w:rsidRDefault="003D6A1D" w:rsidP="003D6A1D">
                    <w:pPr>
                      <w:spacing w:after="0"/>
                      <w:jc w:val="center"/>
                      <w:rPr>
                        <w:rFonts w:ascii="Calibri" w:hAnsi="Calibri" w:cs="Calibri"/>
                        <w:color w:val="FF0000"/>
                        <w:sz w:val="24"/>
                      </w:rPr>
                    </w:pPr>
                    <w:r w:rsidRPr="003D6A1D">
                      <w:rPr>
                        <w:rFonts w:ascii="Calibri" w:hAnsi="Calibri" w:cs="Calibri"/>
                        <w:color w:val="FF0000"/>
                        <w:sz w:val="24"/>
                      </w:rPr>
                      <w:t>OFFICIAL</w:t>
                    </w:r>
                  </w:p>
                </w:txbxContent>
              </v:textbox>
              <w10:wrap anchorx="page" anchory="page"/>
            </v:shape>
          </w:pict>
        </mc:Fallback>
      </mc:AlternateContent>
    </w:r>
    <w:r w:rsidR="000442BE">
      <w:rPr>
        <w:noProof/>
      </w:rPr>
      <w:drawing>
        <wp:anchor distT="0" distB="0" distL="114300" distR="114300" simplePos="0" relativeHeight="251549696" behindDoc="1" locked="0" layoutInCell="1" allowOverlap="1" wp14:anchorId="5A6F9DB5" wp14:editId="43EF1C4B">
          <wp:simplePos x="0" y="0"/>
          <wp:positionH relativeFrom="page">
            <wp:align>left</wp:align>
          </wp:positionH>
          <wp:positionV relativeFrom="paragraph">
            <wp:posOffset>-448310</wp:posOffset>
          </wp:positionV>
          <wp:extent cx="7558767" cy="10691999"/>
          <wp:effectExtent l="0" t="0" r="4445" b="0"/>
          <wp:wrapNone/>
          <wp:docPr id="117975416" name="Picture 11797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r w:rsidR="000442BE">
      <w:rPr>
        <w:noProof/>
      </w:rPr>
      <w:drawing>
        <wp:anchor distT="0" distB="0" distL="114300" distR="114300" simplePos="0" relativeHeight="251548672" behindDoc="1" locked="0" layoutInCell="1" allowOverlap="1" wp14:anchorId="755AD9AB" wp14:editId="395D76E6">
          <wp:simplePos x="0" y="0"/>
          <wp:positionH relativeFrom="column">
            <wp:posOffset>6985635</wp:posOffset>
          </wp:positionH>
          <wp:positionV relativeFrom="paragraph">
            <wp:posOffset>-450215</wp:posOffset>
          </wp:positionV>
          <wp:extent cx="7558405" cy="10691495"/>
          <wp:effectExtent l="0" t="0" r="4445" b="0"/>
          <wp:wrapNone/>
          <wp:docPr id="604601594" name="Picture 60460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FE23F" w14:textId="2B99CA98" w:rsidR="0080529C" w:rsidRDefault="0080529C">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B8AE1" w14:textId="5C75BB28" w:rsidR="0080529C" w:rsidRDefault="0080529C">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2583A" w14:textId="77777777" w:rsidR="0080529C" w:rsidRDefault="0080529C">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5FA25" w14:textId="2CBBE8C4" w:rsidR="00370F00" w:rsidRDefault="00B941AA">
    <w:pPr>
      <w:pStyle w:val="Header"/>
    </w:pPr>
    <w:r>
      <w:rPr>
        <w:noProof/>
      </w:rPr>
      <w:drawing>
        <wp:anchor distT="0" distB="0" distL="114300" distR="114300" simplePos="0" relativeHeight="251623424" behindDoc="1" locked="0" layoutInCell="1" allowOverlap="1" wp14:anchorId="3FDD6E16" wp14:editId="256192A6">
          <wp:simplePos x="0" y="0"/>
          <wp:positionH relativeFrom="page">
            <wp:posOffset>0</wp:posOffset>
          </wp:positionH>
          <wp:positionV relativeFrom="paragraph">
            <wp:posOffset>-457200</wp:posOffset>
          </wp:positionV>
          <wp:extent cx="7558764" cy="10691995"/>
          <wp:effectExtent l="0" t="0" r="4445" b="0"/>
          <wp:wrapNone/>
          <wp:docPr id="1215856097" name="Picture 121585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14225" name="Picture 1193714225"/>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867A" w14:textId="27B91983" w:rsidR="00370F00" w:rsidRDefault="00A34E3C" w:rsidP="00362850">
    <w:pPr>
      <w:pStyle w:val="Header"/>
      <w:tabs>
        <w:tab w:val="clear" w:pos="4513"/>
        <w:tab w:val="clear" w:pos="9026"/>
        <w:tab w:val="left" w:pos="7246"/>
      </w:tabs>
    </w:pPr>
    <w:r>
      <w:rPr>
        <w:noProof/>
      </w:rPr>
      <w:drawing>
        <wp:anchor distT="0" distB="0" distL="114300" distR="114300" simplePos="0" relativeHeight="251651072" behindDoc="1" locked="0" layoutInCell="1" allowOverlap="1" wp14:anchorId="03147D7A" wp14:editId="1C7A6D01">
          <wp:simplePos x="0" y="0"/>
          <wp:positionH relativeFrom="page">
            <wp:posOffset>0</wp:posOffset>
          </wp:positionH>
          <wp:positionV relativeFrom="paragraph">
            <wp:posOffset>-457200</wp:posOffset>
          </wp:positionV>
          <wp:extent cx="7558764" cy="10691995"/>
          <wp:effectExtent l="0" t="0" r="4445" b="0"/>
          <wp:wrapNone/>
          <wp:docPr id="1594639769" name="Picture 159463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67482" name="Picture 2131667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r w:rsidR="00362850">
      <w:tab/>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EDFF9" w14:textId="77777777" w:rsidR="00370F00" w:rsidRDefault="00370F00">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F225" w14:textId="77777777" w:rsidR="00DD688E" w:rsidRDefault="00DD688E">
    <w:pPr>
      <w:pStyle w:val="Header"/>
    </w:pPr>
    <w:r>
      <w:rPr>
        <w:noProof/>
      </w:rPr>
      <w:drawing>
        <wp:anchor distT="0" distB="0" distL="114300" distR="114300" simplePos="0" relativeHeight="251696128" behindDoc="1" locked="0" layoutInCell="1" allowOverlap="1" wp14:anchorId="229F1883" wp14:editId="057B50AA">
          <wp:simplePos x="0" y="0"/>
          <wp:positionH relativeFrom="page">
            <wp:posOffset>0</wp:posOffset>
          </wp:positionH>
          <wp:positionV relativeFrom="paragraph">
            <wp:posOffset>-449249</wp:posOffset>
          </wp:positionV>
          <wp:extent cx="7558764" cy="10691995"/>
          <wp:effectExtent l="0" t="0" r="4445" b="0"/>
          <wp:wrapNone/>
          <wp:docPr id="1491618812" name="Picture 149161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34188" name="Picture 1897834188"/>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2654" w14:textId="6DA92A93" w:rsidR="007D118E" w:rsidRDefault="00B941AA">
    <w:pPr>
      <w:pStyle w:val="Header"/>
    </w:pPr>
    <w:r>
      <w:rPr>
        <w:noProof/>
      </w:rPr>
      <w:drawing>
        <wp:anchor distT="0" distB="0" distL="114300" distR="114300" simplePos="0" relativeHeight="251624448" behindDoc="1" locked="0" layoutInCell="1" allowOverlap="1" wp14:anchorId="0DD32A70" wp14:editId="1092DEEC">
          <wp:simplePos x="0" y="0"/>
          <wp:positionH relativeFrom="page">
            <wp:posOffset>7951</wp:posOffset>
          </wp:positionH>
          <wp:positionV relativeFrom="paragraph">
            <wp:posOffset>-441297</wp:posOffset>
          </wp:positionV>
          <wp:extent cx="7558765" cy="10691995"/>
          <wp:effectExtent l="0" t="0" r="4445" b="0"/>
          <wp:wrapNone/>
          <wp:docPr id="174199123" name="Picture 17419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163" name="Picture 1756629163"/>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F8FE3" w14:textId="2E71EB4F" w:rsidR="007D118E" w:rsidRDefault="00887FF8" w:rsidP="00DD688E">
    <w:pPr>
      <w:pStyle w:val="Header"/>
      <w:tabs>
        <w:tab w:val="clear" w:pos="4513"/>
        <w:tab w:val="clear" w:pos="9026"/>
        <w:tab w:val="left" w:pos="2379"/>
      </w:tabs>
    </w:pPr>
    <w:r>
      <w:rPr>
        <w:noProof/>
      </w:rPr>
      <w:drawing>
        <wp:anchor distT="0" distB="0" distL="114300" distR="114300" simplePos="0" relativeHeight="251652096" behindDoc="1" locked="0" layoutInCell="1" allowOverlap="1" wp14:anchorId="676EBDD0" wp14:editId="01D12DD6">
          <wp:simplePos x="0" y="0"/>
          <wp:positionH relativeFrom="page">
            <wp:posOffset>0</wp:posOffset>
          </wp:positionH>
          <wp:positionV relativeFrom="paragraph">
            <wp:posOffset>-449249</wp:posOffset>
          </wp:positionV>
          <wp:extent cx="7558765" cy="10691995"/>
          <wp:effectExtent l="0" t="0" r="4445" b="0"/>
          <wp:wrapNone/>
          <wp:docPr id="1693372459" name="Picture 169337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164" name="Picture 175662916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DD688E">
      <w:tab/>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53FF" w14:textId="77777777" w:rsidR="007D118E" w:rsidRDefault="007D118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2C71E" w14:textId="602CC77F" w:rsidR="00DA3DA7" w:rsidRDefault="006B2E21">
    <w:pPr>
      <w:pStyle w:val="Header"/>
    </w:pPr>
    <w:r>
      <w:rPr>
        <w:noProof/>
      </w:rPr>
      <w:drawing>
        <wp:anchor distT="0" distB="0" distL="114300" distR="114300" simplePos="0" relativeHeight="251692032" behindDoc="1" locked="0" layoutInCell="1" allowOverlap="1" wp14:anchorId="30EE390A" wp14:editId="7DDFF397">
          <wp:simplePos x="0" y="0"/>
          <wp:positionH relativeFrom="column">
            <wp:posOffset>-720091</wp:posOffset>
          </wp:positionH>
          <wp:positionV relativeFrom="paragraph">
            <wp:posOffset>-473103</wp:posOffset>
          </wp:positionV>
          <wp:extent cx="7571841" cy="10710407"/>
          <wp:effectExtent l="0" t="0" r="0" b="0"/>
          <wp:wrapNone/>
          <wp:docPr id="1139552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73571" name="Picture 1087973571"/>
                  <pic:cNvPicPr/>
                </pic:nvPicPr>
                <pic:blipFill>
                  <a:blip r:embed="rId1">
                    <a:extLst>
                      <a:ext uri="{28A0092B-C50C-407E-A947-70E740481C1C}">
                        <a14:useLocalDpi xmlns:a14="http://schemas.microsoft.com/office/drawing/2010/main" val="0"/>
                      </a:ext>
                    </a:extLst>
                  </a:blip>
                  <a:stretch>
                    <a:fillRect/>
                  </a:stretch>
                </pic:blipFill>
                <pic:spPr>
                  <a:xfrm>
                    <a:off x="0" y="0"/>
                    <a:ext cx="7578620" cy="10719996"/>
                  </a:xfrm>
                  <a:prstGeom prst="rect">
                    <a:avLst/>
                  </a:prstGeom>
                </pic:spPr>
              </pic:pic>
            </a:graphicData>
          </a:graphic>
          <wp14:sizeRelH relativeFrom="page">
            <wp14:pctWidth>0</wp14:pctWidth>
          </wp14:sizeRelH>
          <wp14:sizeRelV relativeFrom="page">
            <wp14:pctHeight>0</wp14:pctHeight>
          </wp14:sizeRelV>
        </wp:anchor>
      </w:drawing>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10446" w14:textId="6DC80B37" w:rsidR="00370F00" w:rsidRDefault="00370F00">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E76BE" w14:textId="1CB2A4C0" w:rsidR="00370F00" w:rsidRDefault="00DD688E" w:rsidP="00D056C7">
    <w:pPr>
      <w:pStyle w:val="Header"/>
      <w:tabs>
        <w:tab w:val="clear" w:pos="4513"/>
        <w:tab w:val="clear" w:pos="9026"/>
        <w:tab w:val="left" w:pos="2269"/>
      </w:tabs>
    </w:pPr>
    <w:r>
      <w:rPr>
        <w:noProof/>
      </w:rPr>
      <w:drawing>
        <wp:anchor distT="0" distB="0" distL="114300" distR="114300" simplePos="0" relativeHeight="251625472" behindDoc="1" locked="0" layoutInCell="1" allowOverlap="1" wp14:anchorId="156A77C8" wp14:editId="295A8799">
          <wp:simplePos x="0" y="0"/>
          <wp:positionH relativeFrom="page">
            <wp:posOffset>7696835</wp:posOffset>
          </wp:positionH>
          <wp:positionV relativeFrom="paragraph">
            <wp:posOffset>-441325</wp:posOffset>
          </wp:positionV>
          <wp:extent cx="7558405" cy="10691495"/>
          <wp:effectExtent l="0" t="0" r="4445" b="0"/>
          <wp:wrapNone/>
          <wp:docPr id="972791137" name="Picture 97279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166" name="Picture 1756629166"/>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sidR="00887FF8">
      <w:rPr>
        <w:noProof/>
      </w:rPr>
      <w:drawing>
        <wp:anchor distT="0" distB="0" distL="114300" distR="114300" simplePos="0" relativeHeight="251653120" behindDoc="1" locked="0" layoutInCell="1" allowOverlap="1" wp14:anchorId="6BD1193F" wp14:editId="33AE889D">
          <wp:simplePos x="0" y="0"/>
          <wp:positionH relativeFrom="page">
            <wp:posOffset>0</wp:posOffset>
          </wp:positionH>
          <wp:positionV relativeFrom="paragraph">
            <wp:posOffset>-449248</wp:posOffset>
          </wp:positionV>
          <wp:extent cx="7558765" cy="10691995"/>
          <wp:effectExtent l="0" t="0" r="4445" b="0"/>
          <wp:wrapNone/>
          <wp:docPr id="1992832560" name="Picture 199283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165" name="Picture 1756629165"/>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D056C7">
      <w:tab/>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AC46E" w14:textId="77777777" w:rsidR="00370F00" w:rsidRDefault="00370F00">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800F3" w14:textId="4C937459" w:rsidR="00561686" w:rsidRDefault="00DD688E">
    <w:pPr>
      <w:pStyle w:val="Header"/>
    </w:pPr>
    <w:r>
      <w:rPr>
        <w:noProof/>
      </w:rPr>
      <w:drawing>
        <wp:anchor distT="0" distB="0" distL="114300" distR="114300" simplePos="0" relativeHeight="251697152" behindDoc="1" locked="0" layoutInCell="1" allowOverlap="1" wp14:anchorId="4FE34DA7" wp14:editId="62FA3312">
          <wp:simplePos x="0" y="0"/>
          <wp:positionH relativeFrom="column">
            <wp:posOffset>-712109</wp:posOffset>
          </wp:positionH>
          <wp:positionV relativeFrom="paragraph">
            <wp:posOffset>-449249</wp:posOffset>
          </wp:positionV>
          <wp:extent cx="7572450" cy="10711354"/>
          <wp:effectExtent l="0" t="0" r="0" b="0"/>
          <wp:wrapNone/>
          <wp:docPr id="15220558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27905"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72450" cy="10711354"/>
                  </a:xfrm>
                  <a:prstGeom prst="rect">
                    <a:avLst/>
                  </a:prstGeom>
                </pic:spPr>
              </pic:pic>
            </a:graphicData>
          </a:graphic>
          <wp14:sizeRelH relativeFrom="page">
            <wp14:pctWidth>0</wp14:pctWidth>
          </wp14:sizeRelH>
          <wp14:sizeRelV relativeFrom="page">
            <wp14:pctHeight>0</wp14:pctHeight>
          </wp14:sizeRelV>
        </wp:anchor>
      </w:drawing>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4418E" w14:textId="3AD782A1" w:rsidR="00DA3DA7" w:rsidRDefault="00887FF8">
    <w:pPr>
      <w:pStyle w:val="Header"/>
    </w:pPr>
    <w:r>
      <w:rPr>
        <w:noProof/>
      </w:rPr>
      <w:drawing>
        <wp:anchor distT="0" distB="0" distL="114300" distR="114300" simplePos="0" relativeHeight="251654144" behindDoc="1" locked="0" layoutInCell="1" allowOverlap="1" wp14:anchorId="78BB3EAA" wp14:editId="4AB1AAAE">
          <wp:simplePos x="0" y="0"/>
          <wp:positionH relativeFrom="page">
            <wp:posOffset>0</wp:posOffset>
          </wp:positionH>
          <wp:positionV relativeFrom="paragraph">
            <wp:posOffset>-449248</wp:posOffset>
          </wp:positionV>
          <wp:extent cx="7558765" cy="10691995"/>
          <wp:effectExtent l="0" t="0" r="4445" b="0"/>
          <wp:wrapNone/>
          <wp:docPr id="807488087" name="Picture 80748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167" name="Picture 1756629167"/>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F155" w14:textId="2ED11232" w:rsidR="00DA3DA7" w:rsidRDefault="00DA3DA7">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EB56" w14:textId="4F0C0E8A" w:rsidR="00561686" w:rsidRDefault="00AB297B" w:rsidP="00D24DCA">
    <w:pPr>
      <w:pStyle w:val="Header"/>
      <w:tabs>
        <w:tab w:val="clear" w:pos="4513"/>
        <w:tab w:val="clear" w:pos="9026"/>
        <w:tab w:val="left" w:pos="2605"/>
      </w:tabs>
    </w:pPr>
    <w:r>
      <w:rPr>
        <w:noProof/>
      </w:rPr>
      <w:drawing>
        <wp:anchor distT="0" distB="0" distL="114300" distR="114300" simplePos="0" relativeHeight="251682816" behindDoc="1" locked="0" layoutInCell="1" allowOverlap="1" wp14:anchorId="1C96A6D1" wp14:editId="0F59430A">
          <wp:simplePos x="0" y="0"/>
          <wp:positionH relativeFrom="page">
            <wp:posOffset>-751</wp:posOffset>
          </wp:positionH>
          <wp:positionV relativeFrom="paragraph">
            <wp:posOffset>-453863</wp:posOffset>
          </wp:positionV>
          <wp:extent cx="7558765" cy="10691997"/>
          <wp:effectExtent l="0" t="0" r="4445" b="0"/>
          <wp:wrapNone/>
          <wp:docPr id="1642080982" name="Picture 164208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00D24DCA">
      <w:tab/>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D15DB" w14:textId="3AA6A016" w:rsidR="00561686" w:rsidRDefault="00887FF8">
    <w:pPr>
      <w:pStyle w:val="Header"/>
    </w:pPr>
    <w:r>
      <w:rPr>
        <w:noProof/>
      </w:rPr>
      <w:drawing>
        <wp:anchor distT="0" distB="0" distL="114300" distR="114300" simplePos="0" relativeHeight="251655168" behindDoc="1" locked="0" layoutInCell="1" allowOverlap="1" wp14:anchorId="255849F4" wp14:editId="397FC376">
          <wp:simplePos x="0" y="0"/>
          <wp:positionH relativeFrom="page">
            <wp:posOffset>0</wp:posOffset>
          </wp:positionH>
          <wp:positionV relativeFrom="paragraph">
            <wp:posOffset>-441296</wp:posOffset>
          </wp:positionV>
          <wp:extent cx="7558765" cy="10691995"/>
          <wp:effectExtent l="0" t="0" r="4445" b="0"/>
          <wp:wrapNone/>
          <wp:docPr id="1776650691" name="Picture 177665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169" name="Picture 1756629169"/>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1A2C1" w14:textId="20B74AA1" w:rsidR="00DA3DA7" w:rsidRDefault="00DA3DA7">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DC519" w14:textId="5F92E78A" w:rsidR="00561686" w:rsidRDefault="00281E08">
    <w:pPr>
      <w:pStyle w:val="Header"/>
    </w:pPr>
    <w:r>
      <w:rPr>
        <w:noProof/>
      </w:rPr>
      <w:drawing>
        <wp:anchor distT="0" distB="0" distL="114300" distR="114300" simplePos="0" relativeHeight="251626496" behindDoc="1" locked="0" layoutInCell="1" allowOverlap="1" wp14:anchorId="21C9736C" wp14:editId="07AC0F77">
          <wp:simplePos x="0" y="0"/>
          <wp:positionH relativeFrom="page">
            <wp:posOffset>0</wp:posOffset>
          </wp:positionH>
          <wp:positionV relativeFrom="paragraph">
            <wp:posOffset>-449248</wp:posOffset>
          </wp:positionV>
          <wp:extent cx="7558765" cy="10691995"/>
          <wp:effectExtent l="0" t="0" r="4445" b="0"/>
          <wp:wrapNone/>
          <wp:docPr id="654642041" name="Picture 65464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170" name="Picture 1756629170"/>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E213" w14:textId="02264B41" w:rsidR="00297ACA" w:rsidRDefault="000B469A" w:rsidP="000B469A">
    <w:pPr>
      <w:pStyle w:val="Header"/>
      <w:tabs>
        <w:tab w:val="clear" w:pos="4513"/>
        <w:tab w:val="clear" w:pos="9026"/>
        <w:tab w:val="left" w:pos="2955"/>
      </w:tabs>
    </w:pPr>
    <w:r>
      <w:rPr>
        <w:noProof/>
      </w:rPr>
      <w:drawing>
        <wp:anchor distT="0" distB="0" distL="114300" distR="114300" simplePos="0" relativeHeight="251599872" behindDoc="1" locked="0" layoutInCell="1" allowOverlap="1" wp14:anchorId="782BFF9D" wp14:editId="50E49348">
          <wp:simplePos x="0" y="0"/>
          <wp:positionH relativeFrom="page">
            <wp:posOffset>0</wp:posOffset>
          </wp:positionH>
          <wp:positionV relativeFrom="paragraph">
            <wp:posOffset>-441297</wp:posOffset>
          </wp:positionV>
          <wp:extent cx="7558765" cy="10691995"/>
          <wp:effectExtent l="0" t="0" r="4445" b="0"/>
          <wp:wrapNone/>
          <wp:docPr id="1101686986" name="Picture 110168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68EB7" w14:textId="462B199C" w:rsidR="00561686" w:rsidRDefault="00887FF8">
    <w:pPr>
      <w:pStyle w:val="Header"/>
    </w:pPr>
    <w:r>
      <w:rPr>
        <w:noProof/>
      </w:rPr>
      <w:drawing>
        <wp:anchor distT="0" distB="0" distL="114300" distR="114300" simplePos="0" relativeHeight="251656192" behindDoc="1" locked="0" layoutInCell="1" allowOverlap="1" wp14:anchorId="7E824D30" wp14:editId="3C189ABC">
          <wp:simplePos x="0" y="0"/>
          <wp:positionH relativeFrom="page">
            <wp:posOffset>0</wp:posOffset>
          </wp:positionH>
          <wp:positionV relativeFrom="paragraph">
            <wp:posOffset>-441296</wp:posOffset>
          </wp:positionV>
          <wp:extent cx="7558765" cy="10691995"/>
          <wp:effectExtent l="0" t="0" r="4445" b="0"/>
          <wp:wrapNone/>
          <wp:docPr id="22923306" name="Picture 2292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171" name="Picture 1756629171"/>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85618" w14:textId="271373C4" w:rsidR="00DA3DA7" w:rsidRDefault="00DA3DA7">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B3622" w14:textId="4F46485B" w:rsidR="00561686" w:rsidRDefault="00281E08">
    <w:pPr>
      <w:pStyle w:val="Header"/>
    </w:pPr>
    <w:r>
      <w:rPr>
        <w:noProof/>
      </w:rPr>
      <w:drawing>
        <wp:anchor distT="0" distB="0" distL="114300" distR="114300" simplePos="0" relativeHeight="251627520" behindDoc="1" locked="0" layoutInCell="1" allowOverlap="1" wp14:anchorId="56529B75" wp14:editId="1DE2787D">
          <wp:simplePos x="0" y="0"/>
          <wp:positionH relativeFrom="page">
            <wp:posOffset>0</wp:posOffset>
          </wp:positionH>
          <wp:positionV relativeFrom="paragraph">
            <wp:posOffset>-449248</wp:posOffset>
          </wp:positionV>
          <wp:extent cx="7558765" cy="10691995"/>
          <wp:effectExtent l="0" t="0" r="4445" b="0"/>
          <wp:wrapNone/>
          <wp:docPr id="300933126" name="Picture 30093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172" name="Picture 1756629172"/>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9DB93" w14:textId="03D2B524" w:rsidR="00DA3DA7" w:rsidRDefault="00887FF8">
    <w:pPr>
      <w:pStyle w:val="Header"/>
    </w:pPr>
    <w:r>
      <w:rPr>
        <w:noProof/>
      </w:rPr>
      <w:drawing>
        <wp:anchor distT="0" distB="0" distL="114300" distR="114300" simplePos="0" relativeHeight="251657216" behindDoc="1" locked="0" layoutInCell="1" allowOverlap="1" wp14:anchorId="457BE445" wp14:editId="517B6274">
          <wp:simplePos x="0" y="0"/>
          <wp:positionH relativeFrom="page">
            <wp:posOffset>0</wp:posOffset>
          </wp:positionH>
          <wp:positionV relativeFrom="paragraph">
            <wp:posOffset>-449248</wp:posOffset>
          </wp:positionV>
          <wp:extent cx="7558765" cy="10691995"/>
          <wp:effectExtent l="0" t="0" r="4445" b="0"/>
          <wp:wrapNone/>
          <wp:docPr id="356489572" name="Picture 356489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173" name="Picture 1756629173"/>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1160D" w14:textId="5F1EB9D5" w:rsidR="00DA3DA7" w:rsidRDefault="00DA3DA7">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F72B0" w14:textId="67F0C7C6" w:rsidR="00EC1069" w:rsidRDefault="00281E08">
    <w:pPr>
      <w:pStyle w:val="Header"/>
    </w:pPr>
    <w:r>
      <w:rPr>
        <w:noProof/>
      </w:rPr>
      <w:drawing>
        <wp:anchor distT="0" distB="0" distL="114300" distR="114300" simplePos="0" relativeHeight="251628544" behindDoc="1" locked="0" layoutInCell="1" allowOverlap="1" wp14:anchorId="1B2CF81C" wp14:editId="616F32D1">
          <wp:simplePos x="0" y="0"/>
          <wp:positionH relativeFrom="page">
            <wp:posOffset>0</wp:posOffset>
          </wp:positionH>
          <wp:positionV relativeFrom="paragraph">
            <wp:posOffset>-449248</wp:posOffset>
          </wp:positionV>
          <wp:extent cx="7558765" cy="10691995"/>
          <wp:effectExtent l="0" t="0" r="4445" b="0"/>
          <wp:wrapNone/>
          <wp:docPr id="2120989885" name="Picture 212098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174" name="Picture 175662917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8F7730">
      <w:rPr>
        <w:noProof/>
      </w:rPr>
      <mc:AlternateContent>
        <mc:Choice Requires="wps">
          <w:drawing>
            <wp:anchor distT="0" distB="0" distL="114300" distR="114300" simplePos="0" relativeHeight="251575296" behindDoc="0" locked="0" layoutInCell="0" allowOverlap="1" wp14:anchorId="6C3C678C" wp14:editId="645D4A69">
              <wp:simplePos x="0" y="0"/>
              <wp:positionH relativeFrom="page">
                <wp:posOffset>0</wp:posOffset>
              </wp:positionH>
              <wp:positionV relativeFrom="page">
                <wp:posOffset>0</wp:posOffset>
              </wp:positionV>
              <wp:extent cx="7772400" cy="463550"/>
              <wp:effectExtent l="0" t="0" r="0" b="12700"/>
              <wp:wrapNone/>
              <wp:docPr id="289"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21FD84" w14:textId="0B869B85" w:rsidR="008F7730" w:rsidRPr="008E4C9E" w:rsidRDefault="008F7730" w:rsidP="008F7730">
                          <w:pPr>
                            <w:spacing w:after="0"/>
                            <w:jc w:val="center"/>
                            <w:rPr>
                              <w:rFonts w:ascii="Calibri" w:hAnsi="Calibri" w:cs="Calibri"/>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C3C678C" id="_x0000_t202" coordsize="21600,21600" o:spt="202" path="m,l,21600r21600,l21600,xe">
              <v:stroke joinstyle="miter"/>
              <v:path gradientshapeok="t" o:connecttype="rect"/>
            </v:shapetype>
            <v:shape id="_x0000_s1061" type="#_x0000_t202" alt="{&quot;HashCode&quot;:431350885,&quot;Height&quot;:9999999.0,&quot;Width&quot;:9999999.0,&quot;Placement&quot;:&quot;Header&quot;,&quot;Index&quot;:&quot;Primary&quot;,&quot;Section&quot;:8,&quot;Top&quot;:0.0,&quot;Left&quot;:0.0}" style="position:absolute;margin-left:0;margin-top:0;width:612pt;height:36.5pt;z-index:2515763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IGQIAAC4EAAAOAAAAZHJzL2Uyb0RvYy54bWysU99v2jAQfp+0/8Hy+0hgFLqIULFWTJNQ&#10;W4lOfTaOTSw5Ps82JOyv39khUHV7mvbinO/O9+P7viz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fP5fDLNMcQxNp19vrlJ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ozv4gZAgAALgQAAA4AAAAAAAAAAAAAAAAALgIAAGRycy9lMm9Eb2MueG1sUEsBAi0AFAAGAAgA&#10;AAAhAL4fCrfaAAAABQEAAA8AAAAAAAAAAAAAAAAAcwQAAGRycy9kb3ducmV2LnhtbFBLBQYAAAAA&#10;BAAEAPMAAAB6BQAAAAA=&#10;" o:allowincell="f" filled="f" stroked="f" strokeweight=".5pt">
              <v:textbox inset=",0,,0">
                <w:txbxContent>
                  <w:p w14:paraId="3B21FD84" w14:textId="0B869B85" w:rsidR="008F7730" w:rsidRPr="008E4C9E" w:rsidRDefault="008F7730" w:rsidP="008F7730">
                    <w:pPr>
                      <w:spacing w:after="0"/>
                      <w:jc w:val="center"/>
                      <w:rPr>
                        <w:rFonts w:ascii="Calibri" w:hAnsi="Calibri" w:cs="Calibri"/>
                        <w:sz w:val="24"/>
                      </w:rPr>
                    </w:pP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E853" w14:textId="1288D6B2" w:rsidR="00DA3DA7" w:rsidRDefault="00AB297B">
    <w:pPr>
      <w:pStyle w:val="Header"/>
    </w:pPr>
    <w:r>
      <w:rPr>
        <w:noProof/>
      </w:rPr>
      <w:drawing>
        <wp:anchor distT="0" distB="0" distL="114300" distR="114300" simplePos="0" relativeHeight="251683840" behindDoc="1" locked="0" layoutInCell="1" allowOverlap="1" wp14:anchorId="7DBF4A2A" wp14:editId="3F3E5E32">
          <wp:simplePos x="0" y="0"/>
          <wp:positionH relativeFrom="page">
            <wp:posOffset>5715</wp:posOffset>
          </wp:positionH>
          <wp:positionV relativeFrom="paragraph">
            <wp:posOffset>-446567</wp:posOffset>
          </wp:positionV>
          <wp:extent cx="7558765" cy="10691997"/>
          <wp:effectExtent l="0" t="0" r="4445" b="0"/>
          <wp:wrapNone/>
          <wp:docPr id="1727486445" name="Picture 172748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9850C" w14:textId="5323088B" w:rsidR="00DA3DA7" w:rsidRDefault="00DA3DA7">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945F" w14:textId="5D374127" w:rsidR="00561686" w:rsidRDefault="00281E08">
    <w:pPr>
      <w:pStyle w:val="Header"/>
    </w:pPr>
    <w:r>
      <w:rPr>
        <w:noProof/>
      </w:rPr>
      <w:drawing>
        <wp:anchor distT="0" distB="0" distL="114300" distR="114300" simplePos="0" relativeHeight="251629568" behindDoc="1" locked="0" layoutInCell="1" allowOverlap="1" wp14:anchorId="2BCB5E38" wp14:editId="5EB65411">
          <wp:simplePos x="0" y="0"/>
          <wp:positionH relativeFrom="page">
            <wp:posOffset>0</wp:posOffset>
          </wp:positionH>
          <wp:positionV relativeFrom="paragraph">
            <wp:posOffset>-449248</wp:posOffset>
          </wp:positionV>
          <wp:extent cx="7558765" cy="10691995"/>
          <wp:effectExtent l="0" t="0" r="4445" b="0"/>
          <wp:wrapNone/>
          <wp:docPr id="72129355" name="Picture 72129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176" name="Picture 1756629176"/>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0AB7C" w14:textId="7E0C31F3" w:rsidR="00DA3DA7" w:rsidRDefault="00887FF8">
    <w:pPr>
      <w:pStyle w:val="Header"/>
    </w:pPr>
    <w:r>
      <w:rPr>
        <w:noProof/>
      </w:rPr>
      <w:drawing>
        <wp:anchor distT="0" distB="0" distL="114300" distR="114300" simplePos="0" relativeHeight="251658240" behindDoc="1" locked="0" layoutInCell="1" allowOverlap="1" wp14:anchorId="34E53934" wp14:editId="601D544B">
          <wp:simplePos x="0" y="0"/>
          <wp:positionH relativeFrom="page">
            <wp:posOffset>0</wp:posOffset>
          </wp:positionH>
          <wp:positionV relativeFrom="paragraph">
            <wp:posOffset>-441297</wp:posOffset>
          </wp:positionV>
          <wp:extent cx="7558765" cy="10691995"/>
          <wp:effectExtent l="0" t="0" r="4445" b="0"/>
          <wp:wrapNone/>
          <wp:docPr id="580575596" name="Picture 58057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177" name="Picture 1756629177"/>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E0CE" w14:textId="44427DB0" w:rsidR="00DA3DA7" w:rsidRDefault="00DA3DA7">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3338" w14:textId="40D30785" w:rsidR="00DA3DA7" w:rsidRDefault="00DA3DA7">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02A61" w14:textId="52412DE9" w:rsidR="00561686" w:rsidRDefault="00281E08">
    <w:pPr>
      <w:pStyle w:val="Header"/>
    </w:pPr>
    <w:r>
      <w:rPr>
        <w:noProof/>
      </w:rPr>
      <w:drawing>
        <wp:anchor distT="0" distB="0" distL="114300" distR="114300" simplePos="0" relativeHeight="251630592" behindDoc="1" locked="0" layoutInCell="1" allowOverlap="1" wp14:anchorId="298B1B3D" wp14:editId="318F7ED0">
          <wp:simplePos x="0" y="0"/>
          <wp:positionH relativeFrom="page">
            <wp:posOffset>0</wp:posOffset>
          </wp:positionH>
          <wp:positionV relativeFrom="paragraph">
            <wp:posOffset>-449248</wp:posOffset>
          </wp:positionV>
          <wp:extent cx="7558765" cy="10691995"/>
          <wp:effectExtent l="0" t="0" r="4445" b="0"/>
          <wp:wrapNone/>
          <wp:docPr id="1295689570" name="Picture 129568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178" name="Picture 1756629178"/>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B5EE1" w14:textId="3075ADEF" w:rsidR="00DA3DA7" w:rsidRDefault="006E7AB4">
    <w:pPr>
      <w:pStyle w:val="Header"/>
    </w:pPr>
    <w:r>
      <w:rPr>
        <w:noProof/>
      </w:rPr>
      <w:drawing>
        <wp:anchor distT="0" distB="0" distL="114300" distR="114300" simplePos="0" relativeHeight="251684864" behindDoc="1" locked="0" layoutInCell="1" allowOverlap="1" wp14:anchorId="2D9E8803" wp14:editId="7348A4BC">
          <wp:simplePos x="0" y="0"/>
          <wp:positionH relativeFrom="page">
            <wp:align>left</wp:align>
          </wp:positionH>
          <wp:positionV relativeFrom="paragraph">
            <wp:posOffset>-440514</wp:posOffset>
          </wp:positionV>
          <wp:extent cx="7558765" cy="10691997"/>
          <wp:effectExtent l="0" t="0" r="4445" b="0"/>
          <wp:wrapNone/>
          <wp:docPr id="1177741839" name="Picture 1177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C8766" w14:textId="3ECFA649" w:rsidR="00DA3DA7" w:rsidRDefault="00DA3DA7">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B39A2" w14:textId="2BFE5D0A" w:rsidR="00561686" w:rsidRDefault="00016208">
    <w:pPr>
      <w:pStyle w:val="Header"/>
    </w:pPr>
    <w:r>
      <w:rPr>
        <w:noProof/>
      </w:rPr>
      <w:drawing>
        <wp:anchor distT="0" distB="0" distL="114300" distR="114300" simplePos="0" relativeHeight="251765760" behindDoc="1" locked="0" layoutInCell="1" allowOverlap="1" wp14:anchorId="58440DF1" wp14:editId="52309B3A">
          <wp:simplePos x="0" y="0"/>
          <wp:positionH relativeFrom="column">
            <wp:posOffset>-700837</wp:posOffset>
          </wp:positionH>
          <wp:positionV relativeFrom="paragraph">
            <wp:posOffset>-467306</wp:posOffset>
          </wp:positionV>
          <wp:extent cx="7537534" cy="10661880"/>
          <wp:effectExtent l="0" t="0" r="6350" b="6350"/>
          <wp:wrapNone/>
          <wp:docPr id="933263021" name="Picture 6" descr="A white background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22530" name="Picture 6" descr="A white background with a black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7534" cy="10661880"/>
                  </a:xfrm>
                  <a:prstGeom prst="rect">
                    <a:avLst/>
                  </a:prstGeom>
                </pic:spPr>
              </pic:pic>
            </a:graphicData>
          </a:graphic>
          <wp14:sizeRelH relativeFrom="page">
            <wp14:pctWidth>0</wp14:pctWidth>
          </wp14:sizeRelH>
          <wp14:sizeRelV relativeFrom="page">
            <wp14:pctHeight>0</wp14:pctHeight>
          </wp14:sizeRelV>
        </wp:anchor>
      </w:drawing>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A6BC2" w14:textId="6C3D0E08" w:rsidR="00DA3DA7" w:rsidRDefault="00303211">
    <w:pPr>
      <w:pStyle w:val="Header"/>
    </w:pPr>
    <w:r>
      <w:rPr>
        <w:noProof/>
      </w:rPr>
      <w:drawing>
        <wp:anchor distT="0" distB="0" distL="114300" distR="114300" simplePos="0" relativeHeight="251634688" behindDoc="1" locked="0" layoutInCell="1" allowOverlap="1" wp14:anchorId="7D502A89" wp14:editId="1B7EAED9">
          <wp:simplePos x="0" y="0"/>
          <wp:positionH relativeFrom="page">
            <wp:posOffset>7951</wp:posOffset>
          </wp:positionH>
          <wp:positionV relativeFrom="paragraph">
            <wp:posOffset>-457199</wp:posOffset>
          </wp:positionV>
          <wp:extent cx="7558764" cy="10691993"/>
          <wp:effectExtent l="0" t="0" r="4445" b="0"/>
          <wp:wrapNone/>
          <wp:docPr id="348259309" name="Picture 34825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1969" name="Picture 1756631969"/>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D5B3" w14:textId="3E3B73FA" w:rsidR="00DA3DA7" w:rsidRDefault="00DA3DA7">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4992" w14:textId="49A37773" w:rsidR="00DA3DA7" w:rsidRDefault="00DD688E">
    <w:pPr>
      <w:pStyle w:val="Header"/>
    </w:pPr>
    <w:r>
      <w:rPr>
        <w:noProof/>
      </w:rPr>
      <w:drawing>
        <wp:anchor distT="0" distB="0" distL="114300" distR="114300" simplePos="0" relativeHeight="251698176" behindDoc="1" locked="0" layoutInCell="1" allowOverlap="1" wp14:anchorId="13E321B0" wp14:editId="1F966297">
          <wp:simplePos x="0" y="0"/>
          <wp:positionH relativeFrom="column">
            <wp:posOffset>6985000</wp:posOffset>
          </wp:positionH>
          <wp:positionV relativeFrom="paragraph">
            <wp:posOffset>-543891</wp:posOffset>
          </wp:positionV>
          <wp:extent cx="7546340" cy="10674350"/>
          <wp:effectExtent l="0" t="0" r="0" b="0"/>
          <wp:wrapNone/>
          <wp:docPr id="1903301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41570" name="Picture 511441570"/>
                  <pic:cNvPicPr/>
                </pic:nvPicPr>
                <pic:blipFill>
                  <a:blip r:embed="rId1">
                    <a:extLst>
                      <a:ext uri="{28A0092B-C50C-407E-A947-70E740481C1C}">
                        <a14:useLocalDpi xmlns:a14="http://schemas.microsoft.com/office/drawing/2010/main" val="0"/>
                      </a:ext>
                    </a:extLst>
                  </a:blip>
                  <a:stretch>
                    <a:fillRect/>
                  </a:stretch>
                </pic:blipFill>
                <pic:spPr>
                  <a:xfrm>
                    <a:off x="0" y="0"/>
                    <a:ext cx="7546340" cy="10674350"/>
                  </a:xfrm>
                  <a:prstGeom prst="rect">
                    <a:avLst/>
                  </a:prstGeom>
                </pic:spPr>
              </pic:pic>
            </a:graphicData>
          </a:graphic>
          <wp14:sizeRelH relativeFrom="page">
            <wp14:pctWidth>0</wp14:pctWidth>
          </wp14:sizeRelH>
          <wp14:sizeRelV relativeFrom="page">
            <wp14:pctHeight>0</wp14:pctHeight>
          </wp14:sizeRelV>
        </wp:anchor>
      </w:drawing>
    </w:r>
    <w:r w:rsidR="00F54FCF">
      <w:rPr>
        <w:noProof/>
      </w:rPr>
      <w:drawing>
        <wp:anchor distT="0" distB="0" distL="114300" distR="114300" simplePos="0" relativeHeight="251688960" behindDoc="1" locked="0" layoutInCell="1" allowOverlap="1" wp14:anchorId="07E9DB0D" wp14:editId="039AE807">
          <wp:simplePos x="0" y="0"/>
          <wp:positionH relativeFrom="page">
            <wp:align>left</wp:align>
          </wp:positionH>
          <wp:positionV relativeFrom="paragraph">
            <wp:posOffset>-453224</wp:posOffset>
          </wp:positionV>
          <wp:extent cx="7558765" cy="10691995"/>
          <wp:effectExtent l="0" t="0" r="4445" b="0"/>
          <wp:wrapNone/>
          <wp:docPr id="1046153346" name="Picture 104615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1970" name="Picture 1756631970"/>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DE0B" w14:textId="046DACE8" w:rsidR="00561686" w:rsidRDefault="006E7AB4">
    <w:r>
      <w:rPr>
        <w:noProof/>
      </w:rPr>
      <w:drawing>
        <wp:anchor distT="0" distB="0" distL="114300" distR="114300" simplePos="0" relativeHeight="251685888" behindDoc="1" locked="0" layoutInCell="1" allowOverlap="1" wp14:anchorId="7E8F0284" wp14:editId="318B088A">
          <wp:simplePos x="0" y="0"/>
          <wp:positionH relativeFrom="page">
            <wp:posOffset>-635</wp:posOffset>
          </wp:positionH>
          <wp:positionV relativeFrom="paragraph">
            <wp:posOffset>-452917</wp:posOffset>
          </wp:positionV>
          <wp:extent cx="7558765" cy="10691997"/>
          <wp:effectExtent l="0" t="0" r="4445" b="0"/>
          <wp:wrapNone/>
          <wp:docPr id="183753987" name="Picture 18375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8A16" w14:textId="4DA6F330" w:rsidR="00DA3DA7" w:rsidRDefault="00DA3DA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05982" w14:textId="79E9E58D" w:rsidR="00507AF5" w:rsidRDefault="000B469A" w:rsidP="00351BCC">
    <w:pPr>
      <w:pStyle w:val="Header"/>
      <w:tabs>
        <w:tab w:val="clear" w:pos="4513"/>
        <w:tab w:val="clear" w:pos="9026"/>
        <w:tab w:val="left" w:pos="5894"/>
      </w:tabs>
    </w:pPr>
    <w:r>
      <w:rPr>
        <w:noProof/>
      </w:rPr>
      <w:drawing>
        <wp:anchor distT="0" distB="0" distL="114300" distR="114300" simplePos="0" relativeHeight="251600896" behindDoc="1" locked="0" layoutInCell="1" allowOverlap="1" wp14:anchorId="2F2569D6" wp14:editId="6441DE18">
          <wp:simplePos x="0" y="0"/>
          <wp:positionH relativeFrom="page">
            <wp:posOffset>0</wp:posOffset>
          </wp:positionH>
          <wp:positionV relativeFrom="paragraph">
            <wp:posOffset>-442264</wp:posOffset>
          </wp:positionV>
          <wp:extent cx="7558765" cy="10691995"/>
          <wp:effectExtent l="0" t="0" r="4445" b="0"/>
          <wp:wrapNone/>
          <wp:docPr id="624318105" name="Picture 62431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351BCC">
      <w:tab/>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AE487" w14:textId="48FB69C7" w:rsidR="00561686" w:rsidRDefault="008F7730">
    <w:pPr>
      <w:pStyle w:val="Header"/>
    </w:pPr>
    <w:r>
      <w:rPr>
        <w:noProof/>
      </w:rPr>
      <mc:AlternateContent>
        <mc:Choice Requires="wps">
          <w:drawing>
            <wp:anchor distT="0" distB="0" distL="114300" distR="114300" simplePos="0" relativeHeight="251576320" behindDoc="0" locked="0" layoutInCell="0" allowOverlap="1" wp14:anchorId="2DFBA631" wp14:editId="2A2363EB">
              <wp:simplePos x="0" y="0"/>
              <wp:positionH relativeFrom="page">
                <wp:posOffset>0</wp:posOffset>
              </wp:positionH>
              <wp:positionV relativeFrom="page">
                <wp:posOffset>0</wp:posOffset>
              </wp:positionV>
              <wp:extent cx="7772400" cy="463550"/>
              <wp:effectExtent l="0" t="0" r="0" b="12700"/>
              <wp:wrapNone/>
              <wp:docPr id="1756629451"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F295F6" w14:textId="77777777" w:rsidR="008F7730" w:rsidRPr="008E4C9E" w:rsidRDefault="008F7730" w:rsidP="008F7730">
                          <w:pPr>
                            <w:spacing w:after="0"/>
                            <w:jc w:val="center"/>
                            <w:rPr>
                              <w:rFonts w:ascii="Calibri" w:hAnsi="Calibri" w:cs="Calibri"/>
                              <w:sz w:val="24"/>
                            </w:rPr>
                          </w:pPr>
                          <w:r w:rsidRPr="008E4C9E">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FBA631" id="_x0000_t202" coordsize="21600,21600" o:spt="202" path="m,l,21600r21600,l21600,xe">
              <v:stroke joinstyle="miter"/>
              <v:path gradientshapeok="t" o:connecttype="rect"/>
            </v:shapetype>
            <v:shape id="_x0000_s1062" type="#_x0000_t202" alt="{&quot;HashCode&quot;:431350885,&quot;Height&quot;:9999999.0,&quot;Width&quot;:9999999.0,&quot;Placement&quot;:&quot;Header&quot;,&quot;Index&quot;:&quot;Primary&quot;,&quot;Section&quot;:8,&quot;Top&quot;:0.0,&quot;Left&quot;:0.0}" style="position:absolute;margin-left:0;margin-top:0;width:612pt;height:36.5pt;z-index:2515773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fEBOEZAgAALgQAAA4AAAAAAAAAAAAAAAAALgIAAGRycy9lMm9Eb2MueG1sUEsBAi0AFAAGAAgA&#10;AAAhAL4fCrfaAAAABQEAAA8AAAAAAAAAAAAAAAAAcwQAAGRycy9kb3ducmV2LnhtbFBLBQYAAAAA&#10;BAAEAPMAAAB6BQAAAAA=&#10;" o:allowincell="f" filled="f" stroked="f" strokeweight=".5pt">
              <v:textbox inset=",0,,0">
                <w:txbxContent>
                  <w:p w14:paraId="26F295F6" w14:textId="77777777" w:rsidR="008F7730" w:rsidRPr="008E4C9E" w:rsidRDefault="008F7730" w:rsidP="008F7730">
                    <w:pPr>
                      <w:spacing w:after="0"/>
                      <w:jc w:val="center"/>
                      <w:rPr>
                        <w:rFonts w:ascii="Calibri" w:hAnsi="Calibri" w:cs="Calibri"/>
                        <w:sz w:val="24"/>
                      </w:rPr>
                    </w:pPr>
                    <w:r w:rsidRPr="008E4C9E">
                      <w:rPr>
                        <w:rFonts w:ascii="Calibri" w:hAnsi="Calibri" w:cs="Calibri"/>
                        <w:sz w:val="24"/>
                      </w:rPr>
                      <w:t>OFFICIAL</w:t>
                    </w:r>
                  </w:p>
                </w:txbxContent>
              </v:textbox>
              <w10:wrap anchorx="page" anchory="page"/>
            </v:shape>
          </w:pict>
        </mc:Fallback>
      </mc:AlternateContent>
    </w:r>
    <w:r w:rsidR="00561686">
      <w:rPr>
        <w:noProof/>
      </w:rPr>
      <w:drawing>
        <wp:anchor distT="0" distB="0" distL="114300" distR="114300" simplePos="0" relativeHeight="251567104" behindDoc="1" locked="0" layoutInCell="1" allowOverlap="1" wp14:anchorId="7A8870EA" wp14:editId="5F60CAA6">
          <wp:simplePos x="0" y="0"/>
          <wp:positionH relativeFrom="page">
            <wp:align>right</wp:align>
          </wp:positionH>
          <wp:positionV relativeFrom="paragraph">
            <wp:posOffset>-457200</wp:posOffset>
          </wp:positionV>
          <wp:extent cx="7558763" cy="10691993"/>
          <wp:effectExtent l="0" t="0" r="0" b="0"/>
          <wp:wrapNone/>
          <wp:docPr id="770601350" name="Picture 77060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03D83" w14:textId="7015D10E" w:rsidR="00DA3DA7" w:rsidRDefault="00DA3DA7">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A0CCF" w14:textId="0F339583" w:rsidR="00DA3DA7" w:rsidRDefault="00DA3DA7">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11D86" w14:textId="162D5D5D" w:rsidR="007758F0" w:rsidRDefault="007758F0">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1A36" w14:textId="3CCF4046" w:rsidR="007758F0" w:rsidRDefault="007758F0"/>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A7698" w14:textId="77777777" w:rsidR="007758F0" w:rsidRDefault="00507575">
    <w:pPr>
      <w:pStyle w:val="Header"/>
    </w:pPr>
    <w:r>
      <w:rPr>
        <w:noProof/>
      </w:rPr>
      <w:pict w14:anchorId="70317F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50" type="#_x0000_t136" style="position:absolute;margin-left:0;margin-top:0;width:572.15pt;height:107.25pt;rotation:315;z-index:-251548672;mso-position-horizontal:center;mso-position-horizontal-relative:margin;mso-position-vertical:center;mso-position-vertical-relative:margin" o:allowincell="f" fillcolor="silver" stroked="f">
          <v:fill opacity=".5"/>
          <v:textpath style="font-family:&quot;Calibri Light&quot;;font-size:1pt" string="CONSULTATION DRAFT"/>
          <w10:wrap anchorx="margin" anchory="margin"/>
        </v:shape>
      </w:pic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1A18" w14:textId="5B37ADA6" w:rsidR="000442BE" w:rsidRDefault="0088432E">
    <w:pPr>
      <w:pStyle w:val="Header"/>
    </w:pPr>
    <w:r>
      <w:rPr>
        <w:noProof/>
      </w:rPr>
      <w:drawing>
        <wp:anchor distT="0" distB="0" distL="114300" distR="114300" simplePos="0" relativeHeight="251631616" behindDoc="1" locked="0" layoutInCell="1" allowOverlap="1" wp14:anchorId="78D3641F" wp14:editId="132D5E04">
          <wp:simplePos x="0" y="0"/>
          <wp:positionH relativeFrom="page">
            <wp:posOffset>-1432</wp:posOffset>
          </wp:positionH>
          <wp:positionV relativeFrom="paragraph">
            <wp:posOffset>-450554</wp:posOffset>
          </wp:positionV>
          <wp:extent cx="7558405" cy="10691495"/>
          <wp:effectExtent l="0" t="0" r="0" b="0"/>
          <wp:wrapNone/>
          <wp:docPr id="356556380" name="Picture 35655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67E1" w14:textId="28499CC0" w:rsidR="000442BE" w:rsidRDefault="005A7C60">
    <w:pPr>
      <w:pStyle w:val="Header"/>
    </w:pPr>
    <w:r>
      <w:rPr>
        <w:noProof/>
      </w:rPr>
      <w:drawing>
        <wp:anchor distT="0" distB="0" distL="114300" distR="114300" simplePos="0" relativeHeight="251699200" behindDoc="1" locked="0" layoutInCell="1" allowOverlap="1" wp14:anchorId="2B0F4239" wp14:editId="45BC7A79">
          <wp:simplePos x="0" y="0"/>
          <wp:positionH relativeFrom="column">
            <wp:posOffset>-728042</wp:posOffset>
          </wp:positionH>
          <wp:positionV relativeFrom="paragraph">
            <wp:posOffset>-481054</wp:posOffset>
          </wp:positionV>
          <wp:extent cx="7566221" cy="10702456"/>
          <wp:effectExtent l="0" t="0" r="0" b="3810"/>
          <wp:wrapNone/>
          <wp:docPr id="6471647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3061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6221" cy="10702456"/>
                  </a:xfrm>
                  <a:prstGeom prst="rect">
                    <a:avLst/>
                  </a:prstGeom>
                </pic:spPr>
              </pic:pic>
            </a:graphicData>
          </a:graphic>
          <wp14:sizeRelH relativeFrom="page">
            <wp14:pctWidth>0</wp14:pctWidth>
          </wp14:sizeRelH>
          <wp14:sizeRelV relativeFrom="page">
            <wp14:pctHeight>0</wp14:pctHeight>
          </wp14:sizeRelV>
        </wp:anchor>
      </w:drawing>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EFFEC" w14:textId="362E4BFA" w:rsidR="00DA3DA7" w:rsidRDefault="00DA3DA7">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D6FB" w14:textId="107C606E" w:rsidR="000442BE" w:rsidRDefault="00F54FCF">
    <w:pPr>
      <w:pStyle w:val="Header"/>
    </w:pPr>
    <w:r>
      <w:rPr>
        <w:noProof/>
      </w:rPr>
      <w:drawing>
        <wp:anchor distT="0" distB="0" distL="114300" distR="114300" simplePos="0" relativeHeight="251689984" behindDoc="1" locked="0" layoutInCell="1" allowOverlap="1" wp14:anchorId="0E8C247F" wp14:editId="264A21FE">
          <wp:simplePos x="0" y="0"/>
          <wp:positionH relativeFrom="page">
            <wp:posOffset>0</wp:posOffset>
          </wp:positionH>
          <wp:positionV relativeFrom="paragraph">
            <wp:posOffset>-449248</wp:posOffset>
          </wp:positionV>
          <wp:extent cx="7558765" cy="10691995"/>
          <wp:effectExtent l="0" t="0" r="4445" b="0"/>
          <wp:wrapNone/>
          <wp:docPr id="760073559" name="Picture 76007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1975" name="Picture 1756631975"/>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2EBF2" w14:textId="684ED837" w:rsidR="00507AF5" w:rsidRDefault="00507AF5">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B0584" w14:textId="1B8FC861" w:rsidR="000442BE" w:rsidRDefault="0088432E">
    <w:pPr>
      <w:pStyle w:val="Header"/>
    </w:pPr>
    <w:r>
      <w:rPr>
        <w:noProof/>
      </w:rPr>
      <w:drawing>
        <wp:anchor distT="0" distB="0" distL="114300" distR="114300" simplePos="0" relativeHeight="251686912" behindDoc="1" locked="0" layoutInCell="1" allowOverlap="1" wp14:anchorId="44F8D42D" wp14:editId="73A0E36E">
          <wp:simplePos x="0" y="0"/>
          <wp:positionH relativeFrom="page">
            <wp:posOffset>-23854</wp:posOffset>
          </wp:positionH>
          <wp:positionV relativeFrom="paragraph">
            <wp:posOffset>-441296</wp:posOffset>
          </wp:positionV>
          <wp:extent cx="7558765" cy="10691995"/>
          <wp:effectExtent l="0" t="0" r="4445" b="0"/>
          <wp:wrapNone/>
          <wp:docPr id="1898695698" name="Picture 189869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1976" name="Picture 1756631976"/>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38F58" w14:textId="479A692E" w:rsidR="00DA3DA7" w:rsidRDefault="00DA3DA7">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9F9FD" w14:textId="14D6E91B" w:rsidR="00CF1D36" w:rsidRDefault="0045684C">
    <w:pPr>
      <w:pStyle w:val="Header"/>
    </w:pPr>
    <w:r>
      <w:rPr>
        <w:noProof/>
      </w:rPr>
      <w:drawing>
        <wp:anchor distT="0" distB="0" distL="114300" distR="114300" simplePos="0" relativeHeight="251766784" behindDoc="1" locked="0" layoutInCell="1" allowOverlap="1" wp14:anchorId="04BADC6C" wp14:editId="5B69AFB9">
          <wp:simplePos x="0" y="0"/>
          <wp:positionH relativeFrom="column">
            <wp:posOffset>-720090</wp:posOffset>
          </wp:positionH>
          <wp:positionV relativeFrom="paragraph">
            <wp:posOffset>-467474</wp:posOffset>
          </wp:positionV>
          <wp:extent cx="7551506" cy="10681644"/>
          <wp:effectExtent l="0" t="0" r="0" b="5715"/>
          <wp:wrapNone/>
          <wp:docPr id="2010503466" name="Picture 1" descr="A white background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03466" name="Picture 1" descr="A white background with a black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159" cy="10688226"/>
                  </a:xfrm>
                  <a:prstGeom prst="rect">
                    <a:avLst/>
                  </a:prstGeom>
                </pic:spPr>
              </pic:pic>
            </a:graphicData>
          </a:graphic>
          <wp14:sizeRelH relativeFrom="page">
            <wp14:pctWidth>0</wp14:pctWidth>
          </wp14:sizeRelH>
          <wp14:sizeRelV relativeFrom="page">
            <wp14:pctHeight>0</wp14:pctHeight>
          </wp14:sizeRelV>
        </wp:anchor>
      </w:drawing>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0B93" w14:textId="7672E492" w:rsidR="00DA3DA7" w:rsidRDefault="00DA3DA7">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E021B" w14:textId="5EE86D74" w:rsidR="00CF1D36" w:rsidRPr="00FD0FB1" w:rsidRDefault="00FD0FB1" w:rsidP="00FD0FB1">
    <w:pPr>
      <w:pStyle w:val="Header"/>
      <w:tabs>
        <w:tab w:val="left" w:pos="1139"/>
      </w:tabs>
      <w:rPr>
        <w:rFonts w:asciiTheme="minorHAnsi" w:hAnsiTheme="minorHAnsi" w:cstheme="minorHAnsi"/>
        <w:b/>
        <w:noProof/>
        <w:sz w:val="22"/>
        <w:szCs w:val="24"/>
        <w:lang w:eastAsia="en-AU"/>
      </w:rPr>
    </w:pPr>
    <w:r w:rsidRPr="00FD0FB1">
      <w:rPr>
        <w:rFonts w:asciiTheme="minorHAnsi" w:hAnsiTheme="minorHAnsi" w:cstheme="minorHAnsi"/>
        <w:b/>
        <w:noProof/>
        <w:sz w:val="22"/>
        <w:szCs w:val="24"/>
        <w:lang w:eastAsia="en-AU"/>
      </w:rPr>
      <w:t>CRIME AND CORRUPTION COMMISSION</w:t>
    </w:r>
    <w:r w:rsidRPr="00FD0FB1">
      <w:rPr>
        <w:rFonts w:asciiTheme="minorHAnsi" w:hAnsiTheme="minorHAnsi" w:cstheme="minorHAnsi"/>
        <w:b/>
        <w:noProof/>
        <w:sz w:val="22"/>
        <w:szCs w:val="24"/>
        <w:lang w:eastAsia="en-AU"/>
      </w:rPr>
      <w:br/>
      <w:t>Financial Statements</w:t>
    </w:r>
    <w:r w:rsidRPr="00FD0FB1">
      <w:rPr>
        <w:rFonts w:asciiTheme="minorHAnsi" w:hAnsiTheme="minorHAnsi" w:cstheme="minorHAnsi"/>
        <w:b/>
        <w:noProof/>
        <w:sz w:val="22"/>
        <w:szCs w:val="24"/>
        <w:lang w:eastAsia="en-AU"/>
      </w:rPr>
      <w:br/>
      <w:t>for the year ended 30 June 2023</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09C3C" w14:textId="0239F2EC" w:rsidR="00CF1D36" w:rsidRPr="00FD0FB1" w:rsidRDefault="00FD0FB1" w:rsidP="00F34383">
    <w:pPr>
      <w:pStyle w:val="Header"/>
      <w:tabs>
        <w:tab w:val="clear" w:pos="4513"/>
        <w:tab w:val="left" w:pos="1139"/>
        <w:tab w:val="center" w:pos="4535"/>
      </w:tabs>
      <w:rPr>
        <w:rFonts w:asciiTheme="minorHAnsi" w:hAnsiTheme="minorHAnsi" w:cstheme="minorHAnsi"/>
        <w:b/>
        <w:noProof/>
        <w:sz w:val="22"/>
        <w:szCs w:val="24"/>
        <w:lang w:eastAsia="en-AU"/>
      </w:rPr>
    </w:pPr>
    <w:r w:rsidRPr="00FD0FB1">
      <w:rPr>
        <w:rFonts w:asciiTheme="minorHAnsi" w:hAnsiTheme="minorHAnsi" w:cstheme="minorHAnsi"/>
        <w:b/>
        <w:noProof/>
        <w:sz w:val="22"/>
        <w:szCs w:val="24"/>
        <w:lang w:eastAsia="en-AU"/>
      </w:rPr>
      <w:t xml:space="preserve">CRIME AND CORRUPTION COMMISSION                                                                                                                   </w:t>
    </w:r>
    <w:r w:rsidRPr="00FD0FB1">
      <w:rPr>
        <w:rFonts w:asciiTheme="minorHAnsi" w:hAnsiTheme="minorHAnsi" w:cstheme="minorHAnsi"/>
        <w:b/>
        <w:noProof/>
        <w:sz w:val="22"/>
        <w:szCs w:val="24"/>
        <w:lang w:eastAsia="en-AU"/>
      </w:rPr>
      <w:br/>
      <w:t xml:space="preserve">Financial Statements                                                                                                                                                                </w:t>
    </w:r>
    <w:r w:rsidRPr="00FD0FB1">
      <w:rPr>
        <w:rFonts w:asciiTheme="minorHAnsi" w:hAnsiTheme="minorHAnsi" w:cstheme="minorHAnsi"/>
        <w:b/>
        <w:noProof/>
        <w:sz w:val="22"/>
        <w:szCs w:val="24"/>
        <w:lang w:eastAsia="en-AU"/>
      </w:rPr>
      <w:br/>
      <w:t>for the year ended 30 June 202</w:t>
    </w:r>
    <w:r w:rsidR="005F71A9">
      <w:rPr>
        <w:rFonts w:asciiTheme="minorHAnsi" w:hAnsiTheme="minorHAnsi" w:cstheme="minorHAnsi"/>
        <w:b/>
        <w:noProof/>
        <w:sz w:val="22"/>
        <w:szCs w:val="24"/>
        <w:lang w:eastAsia="en-AU"/>
      </w:rPr>
      <w:t xml:space="preserve">4 </w:t>
    </w:r>
    <w:r w:rsidR="005F71A9" w:rsidRPr="005F71A9">
      <w:rPr>
        <w:rFonts w:asciiTheme="minorHAnsi" w:hAnsiTheme="minorHAnsi" w:cstheme="minorHAnsi"/>
        <w:b/>
        <w:noProof/>
        <w:color w:val="FF0000"/>
        <w:sz w:val="22"/>
        <w:szCs w:val="24"/>
        <w:lang w:eastAsia="en-AU"/>
      </w:rPr>
      <w:t>(as at 31 March 2024)</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543E" w14:textId="61644643" w:rsidR="00CF1D36" w:rsidRPr="00BA0A83" w:rsidRDefault="00CF1D36" w:rsidP="00F34383">
    <w:pPr>
      <w:pStyle w:val="Header"/>
      <w:tabs>
        <w:tab w:val="clear" w:pos="9026"/>
      </w:tabs>
      <w:rPr>
        <w:rFonts w:asciiTheme="minorHAnsi" w:hAnsiTheme="minorHAnsi" w:cstheme="minorHAnsi"/>
        <w:sz w:val="22"/>
        <w:lang w:eastAsia="en-AU"/>
      </w:rPr>
    </w:pPr>
    <w:r w:rsidRPr="00BA0A83">
      <w:rPr>
        <w:rFonts w:asciiTheme="minorHAnsi" w:hAnsiTheme="minorHAnsi" w:cstheme="minorHAnsi"/>
        <w:b/>
        <w:sz w:val="22"/>
      </w:rPr>
      <w:t xml:space="preserve">CRIME AND CORRUPTION COMMISSION                                                                                                        </w:t>
    </w:r>
    <w:r w:rsidRPr="00BA0A83">
      <w:rPr>
        <w:rFonts w:asciiTheme="minorHAnsi" w:hAnsiTheme="minorHAnsi" w:cstheme="minorHAnsi"/>
        <w:b/>
        <w:sz w:val="22"/>
      </w:rPr>
      <w:br/>
    </w:r>
    <w:r w:rsidRPr="00BA0A83">
      <w:rPr>
        <w:rStyle w:val="Heading1Char"/>
        <w:rFonts w:asciiTheme="minorHAnsi" w:hAnsiTheme="minorHAnsi" w:cstheme="minorHAnsi"/>
        <w:b/>
        <w:sz w:val="22"/>
        <w:szCs w:val="22"/>
      </w:rPr>
      <w:t>Financial Statements</w:t>
    </w:r>
    <w:r w:rsidRPr="00BA0A83">
      <w:rPr>
        <w:rStyle w:val="Heading1Char"/>
        <w:rFonts w:asciiTheme="minorHAnsi" w:hAnsiTheme="minorHAnsi" w:cstheme="minorHAnsi"/>
        <w:b/>
        <w:sz w:val="22"/>
        <w:szCs w:val="22"/>
      </w:rPr>
      <w:br/>
    </w:r>
    <w:r w:rsidRPr="00BA0A83">
      <w:rPr>
        <w:rFonts w:asciiTheme="minorHAnsi" w:hAnsiTheme="minorHAnsi" w:cstheme="minorHAnsi"/>
        <w:b/>
        <w:sz w:val="22"/>
      </w:rPr>
      <w:t>for the year ended 30 June 202</w:t>
    </w:r>
    <w:r w:rsidRPr="00BA0A83">
      <w:rPr>
        <w:rFonts w:asciiTheme="minorHAnsi" w:hAnsiTheme="minorHAnsi" w:cstheme="minorHAnsi"/>
        <w:noProof/>
        <w:sz w:val="22"/>
        <w:lang w:eastAsia="en-AU"/>
      </w:rPr>
      <w:drawing>
        <wp:anchor distT="0" distB="0" distL="114300" distR="114300" simplePos="0" relativeHeight="251559936" behindDoc="1" locked="0" layoutInCell="1" allowOverlap="1" wp14:anchorId="2A43A809" wp14:editId="009218A5">
          <wp:simplePos x="0" y="0"/>
          <wp:positionH relativeFrom="page">
            <wp:posOffset>0</wp:posOffset>
          </wp:positionH>
          <wp:positionV relativeFrom="page">
            <wp:posOffset>10815955</wp:posOffset>
          </wp:positionV>
          <wp:extent cx="7559040" cy="10692130"/>
          <wp:effectExtent l="0" t="0" r="0" b="0"/>
          <wp:wrapNone/>
          <wp:docPr id="1235421545" name="Picture 123542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 Internal Factsheet template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sidRPr="00BA0A83">
      <w:rPr>
        <w:rFonts w:asciiTheme="minorHAnsi" w:hAnsiTheme="minorHAnsi" w:cstheme="minorHAnsi"/>
        <w:noProof/>
        <w:sz w:val="22"/>
        <w:lang w:eastAsia="en-AU"/>
      </w:rPr>
      <w:drawing>
        <wp:anchor distT="0" distB="0" distL="114300" distR="114300" simplePos="0" relativeHeight="251558912" behindDoc="1" locked="0" layoutInCell="1" allowOverlap="1" wp14:anchorId="7FC82E54" wp14:editId="3DA65C28">
          <wp:simplePos x="0" y="0"/>
          <wp:positionH relativeFrom="page">
            <wp:posOffset>7705725</wp:posOffset>
          </wp:positionH>
          <wp:positionV relativeFrom="page">
            <wp:posOffset>10801350</wp:posOffset>
          </wp:positionV>
          <wp:extent cx="7559040" cy="10691495"/>
          <wp:effectExtent l="0" t="0" r="3810" b="0"/>
          <wp:wrapNone/>
          <wp:docPr id="545860946" name="Picture 54586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rruption in Focus - Blue Report Cover_back_no text_200219.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r w:rsidRPr="00BA0A83">
      <w:rPr>
        <w:rFonts w:asciiTheme="minorHAnsi" w:hAnsiTheme="minorHAnsi" w:cstheme="minorHAnsi"/>
        <w:b/>
        <w:sz w:val="22"/>
      </w:rPr>
      <w:t>2</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9BF27" w14:textId="4D3B51BB" w:rsidR="00F97DEE" w:rsidRPr="005A7C60" w:rsidRDefault="00F97DEE" w:rsidP="00FD0FB1">
    <w:pPr>
      <w:pStyle w:val="Header"/>
      <w:tabs>
        <w:tab w:val="left" w:pos="1139"/>
      </w:tabs>
      <w:rPr>
        <w:rFonts w:asciiTheme="minorHAnsi" w:hAnsiTheme="minorHAnsi" w:cstheme="minorHAnsi"/>
        <w:b/>
        <w:noProof/>
        <w:color w:val="414042" w:themeColor="text1"/>
        <w:sz w:val="22"/>
        <w:szCs w:val="24"/>
        <w:lang w:eastAsia="en-AU"/>
      </w:rPr>
    </w:pPr>
    <w:r w:rsidRPr="005A7C60">
      <w:rPr>
        <w:rFonts w:asciiTheme="minorHAnsi" w:hAnsiTheme="minorHAnsi" w:cstheme="minorHAnsi"/>
        <w:b/>
        <w:noProof/>
        <w:color w:val="414042" w:themeColor="text1"/>
        <w:sz w:val="22"/>
        <w:szCs w:val="24"/>
        <w:lang w:eastAsia="en-AU"/>
      </w:rPr>
      <w:t>CRIME AND CORRUPTION COMMISSION</w:t>
    </w:r>
    <w:r w:rsidRPr="005A7C60">
      <w:rPr>
        <w:rFonts w:asciiTheme="minorHAnsi" w:hAnsiTheme="minorHAnsi" w:cstheme="minorHAnsi"/>
        <w:b/>
        <w:noProof/>
        <w:color w:val="414042" w:themeColor="text1"/>
        <w:sz w:val="22"/>
        <w:szCs w:val="24"/>
        <w:lang w:eastAsia="en-AU"/>
      </w:rPr>
      <w:br/>
    </w:r>
    <w:r w:rsidR="00130957" w:rsidRPr="005A7C60">
      <w:rPr>
        <w:rFonts w:asciiTheme="minorHAnsi" w:hAnsiTheme="minorHAnsi" w:cstheme="minorHAnsi"/>
        <w:b/>
        <w:noProof/>
        <w:color w:val="414042" w:themeColor="text1"/>
        <w:sz w:val="22"/>
        <w:szCs w:val="24"/>
        <w:lang w:eastAsia="en-AU"/>
      </w:rPr>
      <w:t>Financial Statements</w:t>
    </w:r>
    <w:r w:rsidRPr="005A7C60">
      <w:rPr>
        <w:rFonts w:asciiTheme="minorHAnsi" w:hAnsiTheme="minorHAnsi" w:cstheme="minorHAnsi"/>
        <w:b/>
        <w:noProof/>
        <w:color w:val="414042" w:themeColor="text1"/>
        <w:sz w:val="22"/>
        <w:szCs w:val="24"/>
        <w:lang w:eastAsia="en-AU"/>
      </w:rPr>
      <w:br/>
    </w:r>
    <w:r w:rsidR="00130957" w:rsidRPr="005A7C60">
      <w:rPr>
        <w:rFonts w:asciiTheme="minorHAnsi" w:hAnsiTheme="minorHAnsi" w:cstheme="minorHAnsi"/>
        <w:b/>
        <w:noProof/>
        <w:color w:val="414042" w:themeColor="text1"/>
        <w:sz w:val="22"/>
        <w:szCs w:val="24"/>
        <w:lang w:eastAsia="en-AU"/>
      </w:rPr>
      <w:t>for the 12 months ended 30 June 2024</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84D06" w14:textId="77777777" w:rsidR="00363A60" w:rsidRPr="0088432E" w:rsidRDefault="00221B4D" w:rsidP="00363A60">
    <w:pPr>
      <w:pStyle w:val="Header"/>
      <w:tabs>
        <w:tab w:val="clear" w:pos="4513"/>
        <w:tab w:val="left" w:pos="1139"/>
        <w:tab w:val="center" w:pos="4535"/>
      </w:tabs>
      <w:spacing w:after="0"/>
      <w:rPr>
        <w:rFonts w:asciiTheme="minorHAnsi" w:hAnsiTheme="minorHAnsi" w:cstheme="minorHAnsi"/>
        <w:b/>
        <w:noProof/>
        <w:lang w:eastAsia="en-AU"/>
      </w:rPr>
    </w:pPr>
    <w:r w:rsidRPr="0088432E">
      <w:rPr>
        <w:rFonts w:asciiTheme="minorHAnsi" w:hAnsiTheme="minorHAnsi" w:cstheme="minorHAnsi"/>
        <w:b/>
        <w:noProof/>
        <w:lang w:eastAsia="en-AU"/>
      </w:rPr>
      <w:t>CRIME AND CORRUPTION COMMISSION</w:t>
    </w:r>
  </w:p>
  <w:p w14:paraId="782F5938" w14:textId="4111A18A" w:rsidR="00363A60" w:rsidRPr="0088432E" w:rsidRDefault="00221B4D" w:rsidP="00363A60">
    <w:pPr>
      <w:pStyle w:val="Header"/>
      <w:tabs>
        <w:tab w:val="clear" w:pos="4513"/>
        <w:tab w:val="left" w:pos="1139"/>
        <w:tab w:val="center" w:pos="4535"/>
      </w:tabs>
      <w:spacing w:after="0"/>
      <w:rPr>
        <w:rFonts w:asciiTheme="minorHAnsi" w:hAnsiTheme="minorHAnsi" w:cstheme="minorHAnsi"/>
        <w:b/>
        <w:noProof/>
        <w:lang w:eastAsia="en-AU"/>
      </w:rPr>
    </w:pPr>
    <w:r w:rsidRPr="0088432E">
      <w:rPr>
        <w:rFonts w:asciiTheme="minorHAnsi" w:hAnsiTheme="minorHAnsi" w:cstheme="minorHAnsi"/>
        <w:b/>
        <w:noProof/>
        <w:lang w:eastAsia="en-AU"/>
      </w:rPr>
      <w:t>Financial Statements</w:t>
    </w:r>
    <w:r w:rsidR="00BC6FBF" w:rsidRPr="0088432E">
      <w:rPr>
        <w:rFonts w:asciiTheme="minorHAnsi" w:hAnsiTheme="minorHAnsi" w:cstheme="minorHAnsi"/>
        <w:b/>
        <w:noProof/>
        <w:lang w:eastAsia="en-AU"/>
      </w:rPr>
      <w:t xml:space="preserve"> </w:t>
    </w:r>
    <w:r w:rsidRPr="0088432E">
      <w:rPr>
        <w:rFonts w:asciiTheme="minorHAnsi" w:hAnsiTheme="minorHAnsi" w:cstheme="minorHAnsi"/>
        <w:b/>
        <w:noProof/>
        <w:lang w:eastAsia="en-AU"/>
      </w:rPr>
      <w:t>for</w:t>
    </w:r>
  </w:p>
  <w:p w14:paraId="55EC2708" w14:textId="625E37FA" w:rsidR="00221B4D" w:rsidRPr="0088432E" w:rsidRDefault="00221B4D" w:rsidP="000A6D4D">
    <w:pPr>
      <w:pStyle w:val="Header"/>
      <w:tabs>
        <w:tab w:val="clear" w:pos="4513"/>
        <w:tab w:val="left" w:pos="1139"/>
        <w:tab w:val="center" w:pos="4535"/>
      </w:tabs>
      <w:rPr>
        <w:rFonts w:asciiTheme="minorHAnsi" w:hAnsiTheme="minorHAnsi" w:cstheme="minorHAnsi"/>
        <w:b/>
        <w:noProof/>
        <w:lang w:eastAsia="en-AU"/>
      </w:rPr>
    </w:pPr>
    <w:r w:rsidRPr="0088432E">
      <w:rPr>
        <w:rFonts w:asciiTheme="minorHAnsi" w:hAnsiTheme="minorHAnsi" w:cstheme="minorHAnsi"/>
        <w:b/>
        <w:noProof/>
        <w:lang w:eastAsia="en-AU"/>
      </w:rPr>
      <w:t>the 12 months ended 30 June 2024</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FC542" w14:textId="77777777" w:rsidR="00221B4D" w:rsidRDefault="00221B4D" w:rsidP="00653ED0">
    <w:pPr>
      <w:pStyle w:val="Header"/>
      <w:tabs>
        <w:tab w:val="clear" w:pos="9026"/>
      </w:tabs>
    </w:pPr>
    <w:r>
      <w:rPr>
        <w:b/>
        <w:noProof/>
        <w:color w:val="EF3340"/>
        <w:lang w:eastAsia="en-AU"/>
      </w:rPr>
      <mc:AlternateContent>
        <mc:Choice Requires="wps">
          <w:drawing>
            <wp:anchor distT="0" distB="0" distL="114300" distR="114300" simplePos="0" relativeHeight="251591680" behindDoc="0" locked="0" layoutInCell="0" allowOverlap="1" wp14:anchorId="34F50D3F" wp14:editId="3809F3B1">
              <wp:simplePos x="0" y="190500"/>
              <wp:positionH relativeFrom="page">
                <wp:align>center</wp:align>
              </wp:positionH>
              <wp:positionV relativeFrom="page">
                <wp:align>top</wp:align>
              </wp:positionV>
              <wp:extent cx="7772400" cy="463550"/>
              <wp:effectExtent l="0" t="0" r="0" b="12700"/>
              <wp:wrapNone/>
              <wp:docPr id="687" name="MSIPCMb7ec4f29b3ba6e06a56c94df" descr="{&quot;HashCode&quot;:431350885,&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F7F1AE" w14:textId="77777777" w:rsidR="00221B4D" w:rsidRPr="00BE7E04" w:rsidRDefault="00221B4D" w:rsidP="00BE7E04">
                          <w:pPr>
                            <w:jc w:val="center"/>
                            <w:rPr>
                              <w:rFonts w:cs="Calibri"/>
                              <w:color w:val="FF0000"/>
                              <w:sz w:val="24"/>
                            </w:rPr>
                          </w:pPr>
                          <w:r w:rsidRPr="00BE7E04">
                            <w:rPr>
                              <w:rFonts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4F50D3F" id="_x0000_t202" coordsize="21600,21600" o:spt="202" path="m,l,21600r21600,l21600,xe">
              <v:stroke joinstyle="miter"/>
              <v:path gradientshapeok="t" o:connecttype="rect"/>
            </v:shapetype>
            <v:shape id="MSIPCMb7ec4f29b3ba6e06a56c94df" o:spid="_x0000_s1063" type="#_x0000_t202" alt="{&quot;HashCode&quot;:431350885,&quot;Height&quot;:9999999.0,&quot;Width&quot;:9999999.0,&quot;Placement&quot;:&quot;Header&quot;,&quot;Index&quot;:&quot;FirstPage&quot;,&quot;Section&quot;:2,&quot;Top&quot;:0.0,&quot;Left&quot;:0.0}" style="position:absolute;margin-left:0;margin-top:0;width:612pt;height:36.5pt;z-index:2515927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vd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1pkQ1UB9oPYaDeO7lsaIiV&#10;8OFZIHFNc5N+wxMd2gA1g6PFWQ3462/+mE8UUJSzjrRTcv9zJ1BxZr5bIufLeDqNYksXMvCtd3Py&#10;2l17DyTLMf0hTiYz5gZzMjVC+0ryXsRuFBJWUs+Sy4Cny30YtEw/iFSLRUojYTkRVnbtZCweAY3g&#10;vvSvAt2RgUDcPcJJX6J4R8SQO1Cx2AXQTWIpQjzgeUSeRJnIO/5AUfVv7ynr8pvP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0a90ZAgAALgQAAA4AAAAAAAAAAAAAAAAALgIAAGRycy9lMm9Eb2MueG1sUEsBAi0AFAAGAAgA&#10;AAAhAL4fCrfaAAAABQEAAA8AAAAAAAAAAAAAAAAAcwQAAGRycy9kb3ducmV2LnhtbFBLBQYAAAAA&#10;BAAEAPMAAAB6BQAAAAA=&#10;" o:allowincell="f" filled="f" stroked="f" strokeweight=".5pt">
              <v:textbox inset=",0,,0">
                <w:txbxContent>
                  <w:p w14:paraId="3AF7F1AE" w14:textId="77777777" w:rsidR="00221B4D" w:rsidRPr="00BE7E04" w:rsidRDefault="00221B4D" w:rsidP="00BE7E04">
                    <w:pPr>
                      <w:jc w:val="center"/>
                      <w:rPr>
                        <w:rFonts w:cs="Calibri"/>
                        <w:color w:val="FF0000"/>
                        <w:sz w:val="24"/>
                      </w:rPr>
                    </w:pPr>
                    <w:r w:rsidRPr="00BE7E04">
                      <w:rPr>
                        <w:rFonts w:cs="Calibri"/>
                        <w:color w:val="FF0000"/>
                        <w:sz w:val="24"/>
                      </w:rPr>
                      <w:t>OFFICIAL</w:t>
                    </w:r>
                  </w:p>
                </w:txbxContent>
              </v:textbox>
              <w10:wrap anchorx="page" anchory="page"/>
            </v:shape>
          </w:pict>
        </mc:Fallback>
      </mc:AlternateContent>
    </w:r>
    <w:r>
      <w:rPr>
        <w:b/>
        <w:noProof/>
        <w:color w:val="EF3340"/>
        <w:lang w:eastAsia="en-AU"/>
      </w:rPr>
      <w:drawing>
        <wp:anchor distT="0" distB="0" distL="114300" distR="114300" simplePos="0" relativeHeight="251589632" behindDoc="1" locked="0" layoutInCell="1" allowOverlap="1" wp14:anchorId="70D6A3EA" wp14:editId="755B474F">
          <wp:simplePos x="0" y="0"/>
          <wp:positionH relativeFrom="page">
            <wp:posOffset>0</wp:posOffset>
          </wp:positionH>
          <wp:positionV relativeFrom="page">
            <wp:posOffset>10815955</wp:posOffset>
          </wp:positionV>
          <wp:extent cx="7559040" cy="10692130"/>
          <wp:effectExtent l="0" t="0" r="0" b="0"/>
          <wp:wrapNone/>
          <wp:docPr id="1040828302" name="Picture 104082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 Internal Factsheet template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90656" behindDoc="1" locked="0" layoutInCell="0" allowOverlap="1" wp14:anchorId="49CB92EA" wp14:editId="21D00688">
              <wp:simplePos x="0" y="0"/>
              <wp:positionH relativeFrom="margin">
                <wp:align>center</wp:align>
              </wp:positionH>
              <wp:positionV relativeFrom="margin">
                <wp:align>center</wp:align>
              </wp:positionV>
              <wp:extent cx="7109460" cy="969010"/>
              <wp:effectExtent l="0" t="2276475" r="0" b="209804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9460" cy="9690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452A0D" w14:textId="77777777" w:rsidR="00221B4D" w:rsidRDefault="00221B4D" w:rsidP="004F21AD">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GENERAL REPORT 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CB92EA" id="Text Box 688" o:spid="_x0000_s1064" type="#_x0000_t202" style="position:absolute;margin-left:0;margin-top:0;width:559.8pt;height:76.3pt;rotation:-45;z-index:-251724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" o:allowincell="f" filled="f" stroked="f">
              <v:stroke joinstyle="round"/>
              <o:lock v:ext="edit" shapetype="t"/>
              <v:textbox style="mso-fit-shape-to-text:t">
                <w:txbxContent>
                  <w:p w14:paraId="66452A0D" w14:textId="77777777" w:rsidR="00221B4D" w:rsidRDefault="00221B4D" w:rsidP="004F21AD">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GENERAL REPORT TEMPLATE</w:t>
                    </w:r>
                  </w:p>
                </w:txbxContent>
              </v:textbox>
              <w10:wrap anchorx="margin" anchory="margin"/>
            </v:shape>
          </w:pict>
        </mc:Fallback>
      </mc:AlternateContent>
    </w:r>
    <w:r>
      <w:rPr>
        <w:rFonts w:cs="Arial"/>
        <w:noProof/>
        <w:lang w:eastAsia="en-AU"/>
      </w:rPr>
      <w:drawing>
        <wp:anchor distT="0" distB="0" distL="114300" distR="114300" simplePos="0" relativeHeight="251588608" behindDoc="1" locked="0" layoutInCell="1" allowOverlap="1" wp14:anchorId="44975BFC" wp14:editId="7DB09E72">
          <wp:simplePos x="0" y="0"/>
          <wp:positionH relativeFrom="page">
            <wp:posOffset>7705725</wp:posOffset>
          </wp:positionH>
          <wp:positionV relativeFrom="page">
            <wp:posOffset>10801350</wp:posOffset>
          </wp:positionV>
          <wp:extent cx="7559040" cy="10691495"/>
          <wp:effectExtent l="0" t="0" r="3810" b="0"/>
          <wp:wrapNone/>
          <wp:docPr id="743133191" name="Picture 74313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rruption in Focus - Blue Report Cover_back_no text_200219.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D234C" w14:textId="4604DFB0" w:rsidR="00507AF5" w:rsidRDefault="00507AF5">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EDAA6" w14:textId="43DC1CFA" w:rsidR="0088432E" w:rsidRPr="00FD0FB1" w:rsidRDefault="0088432E" w:rsidP="00FD0FB1">
    <w:pPr>
      <w:pStyle w:val="Header"/>
      <w:tabs>
        <w:tab w:val="left" w:pos="1139"/>
      </w:tabs>
      <w:rPr>
        <w:rFonts w:asciiTheme="minorHAnsi" w:hAnsiTheme="minorHAnsi" w:cstheme="minorHAnsi"/>
        <w:b/>
        <w:noProof/>
        <w:sz w:val="22"/>
        <w:szCs w:val="24"/>
        <w:lang w:eastAsia="en-AU"/>
      </w:rPr>
    </w:pPr>
    <w:r w:rsidRPr="00FD0FB1">
      <w:rPr>
        <w:rFonts w:asciiTheme="minorHAnsi" w:hAnsiTheme="minorHAnsi" w:cstheme="minorHAnsi"/>
        <w:b/>
        <w:noProof/>
        <w:sz w:val="22"/>
        <w:szCs w:val="24"/>
        <w:lang w:eastAsia="en-AU"/>
      </w:rPr>
      <w:t>CRIME AND CORRUPTION COMMISSION</w:t>
    </w:r>
    <w:r w:rsidRPr="00FD0FB1">
      <w:rPr>
        <w:rFonts w:asciiTheme="minorHAnsi" w:hAnsiTheme="minorHAnsi" w:cstheme="minorHAnsi"/>
        <w:b/>
        <w:noProof/>
        <w:sz w:val="22"/>
        <w:szCs w:val="24"/>
        <w:lang w:eastAsia="en-AU"/>
      </w:rPr>
      <w:br/>
    </w:r>
    <w:r>
      <w:rPr>
        <w:rFonts w:asciiTheme="minorHAnsi" w:hAnsiTheme="minorHAnsi" w:cstheme="minorHAnsi"/>
        <w:b/>
        <w:noProof/>
        <w:sz w:val="22"/>
        <w:szCs w:val="24"/>
        <w:lang w:eastAsia="en-AU"/>
      </w:rPr>
      <w:t>Statement of Comprehensive Income</w:t>
    </w:r>
    <w:r w:rsidRPr="00FD0FB1">
      <w:rPr>
        <w:rFonts w:asciiTheme="minorHAnsi" w:hAnsiTheme="minorHAnsi" w:cstheme="minorHAnsi"/>
        <w:b/>
        <w:noProof/>
        <w:sz w:val="22"/>
        <w:szCs w:val="24"/>
        <w:lang w:eastAsia="en-AU"/>
      </w:rPr>
      <w:br/>
      <w:t xml:space="preserve">for the </w:t>
    </w:r>
    <w:r>
      <w:rPr>
        <w:rFonts w:asciiTheme="minorHAnsi" w:hAnsiTheme="minorHAnsi" w:cstheme="minorHAnsi"/>
        <w:b/>
        <w:noProof/>
        <w:sz w:val="22"/>
        <w:szCs w:val="24"/>
        <w:lang w:eastAsia="en-AU"/>
      </w:rPr>
      <w:t>12 months ended 30 June 2024</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8D7B7" w14:textId="6747E390" w:rsidR="0088432E" w:rsidRPr="005A7C60" w:rsidRDefault="00047D35" w:rsidP="004E3D39">
    <w:pPr>
      <w:pStyle w:val="Header"/>
      <w:tabs>
        <w:tab w:val="left" w:pos="1139"/>
      </w:tabs>
      <w:spacing w:after="0"/>
      <w:rPr>
        <w:rFonts w:asciiTheme="minorHAnsi" w:hAnsiTheme="minorHAnsi" w:cstheme="minorHAnsi"/>
        <w:b/>
        <w:noProof/>
        <w:color w:val="414042" w:themeColor="text1"/>
        <w:sz w:val="22"/>
        <w:szCs w:val="24"/>
        <w:lang w:eastAsia="en-AU"/>
      </w:rPr>
    </w:pPr>
    <w:r w:rsidRPr="005A7C60">
      <w:rPr>
        <w:rFonts w:asciiTheme="minorHAnsi" w:hAnsiTheme="minorHAnsi" w:cstheme="minorHAnsi"/>
        <w:b/>
        <w:noProof/>
        <w:color w:val="414042" w:themeColor="text1"/>
        <w:sz w:val="22"/>
        <w:szCs w:val="24"/>
        <w:lang w:eastAsia="en-AU"/>
      </w:rPr>
      <w:t>CRIME AND CORRUPTION COMMISSION</w:t>
    </w:r>
    <w:r w:rsidRPr="005A7C60">
      <w:rPr>
        <w:rFonts w:asciiTheme="minorHAnsi" w:hAnsiTheme="minorHAnsi" w:cstheme="minorHAnsi"/>
        <w:b/>
        <w:noProof/>
        <w:color w:val="414042" w:themeColor="text1"/>
        <w:sz w:val="22"/>
        <w:szCs w:val="24"/>
        <w:lang w:eastAsia="en-AU"/>
      </w:rPr>
      <w:br/>
    </w:r>
    <w:r w:rsidR="00F96E14" w:rsidRPr="005A7C60">
      <w:rPr>
        <w:rFonts w:asciiTheme="minorHAnsi" w:hAnsiTheme="minorHAnsi" w:cstheme="minorHAnsi"/>
        <w:b/>
        <w:noProof/>
        <w:color w:val="414042" w:themeColor="text1"/>
        <w:sz w:val="22"/>
        <w:szCs w:val="24"/>
        <w:lang w:eastAsia="en-AU"/>
      </w:rPr>
      <w:t>Statement of Comprehensive Income</w:t>
    </w:r>
  </w:p>
  <w:p w14:paraId="33753388" w14:textId="39FEAEE8" w:rsidR="00047D35" w:rsidRPr="005A7C60" w:rsidRDefault="00047D35" w:rsidP="00047D35">
    <w:pPr>
      <w:pStyle w:val="Header"/>
      <w:tabs>
        <w:tab w:val="left" w:pos="1139"/>
      </w:tabs>
      <w:rPr>
        <w:rFonts w:asciiTheme="minorHAnsi" w:hAnsiTheme="minorHAnsi" w:cstheme="minorHAnsi"/>
        <w:b/>
        <w:noProof/>
        <w:color w:val="414042" w:themeColor="text1"/>
        <w:sz w:val="22"/>
        <w:szCs w:val="24"/>
        <w:lang w:eastAsia="en-AU"/>
      </w:rPr>
    </w:pPr>
    <w:r w:rsidRPr="005A7C60">
      <w:rPr>
        <w:rFonts w:asciiTheme="minorHAnsi" w:hAnsiTheme="minorHAnsi" w:cstheme="minorHAnsi"/>
        <w:b/>
        <w:noProof/>
        <w:color w:val="414042" w:themeColor="text1"/>
        <w:sz w:val="22"/>
        <w:szCs w:val="24"/>
        <w:lang w:eastAsia="en-AU"/>
      </w:rPr>
      <w:t>for the 12 months ended 30 June 2024</w:t>
    </w:r>
  </w:p>
  <w:p w14:paraId="76B27416" w14:textId="25E09307" w:rsidR="00AB33EC" w:rsidRPr="00047D35" w:rsidRDefault="00AB33EC" w:rsidP="00047D35">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670E8" w14:textId="77777777" w:rsidR="00AB33EC" w:rsidRDefault="00AB33EC" w:rsidP="00653ED0">
    <w:pPr>
      <w:pStyle w:val="Header"/>
      <w:tabs>
        <w:tab w:val="clear" w:pos="9026"/>
      </w:tabs>
    </w:pPr>
    <w:r>
      <w:rPr>
        <w:b/>
        <w:noProof/>
        <w:color w:val="EF3340"/>
        <w:lang w:eastAsia="en-AU"/>
      </w:rPr>
      <mc:AlternateContent>
        <mc:Choice Requires="wps">
          <w:drawing>
            <wp:anchor distT="0" distB="0" distL="114300" distR="114300" simplePos="0" relativeHeight="251662336" behindDoc="0" locked="0" layoutInCell="0" allowOverlap="1" wp14:anchorId="26C2CFB6" wp14:editId="1AA73B35">
              <wp:simplePos x="0" y="190500"/>
              <wp:positionH relativeFrom="page">
                <wp:align>center</wp:align>
              </wp:positionH>
              <wp:positionV relativeFrom="page">
                <wp:align>top</wp:align>
              </wp:positionV>
              <wp:extent cx="7772400" cy="463550"/>
              <wp:effectExtent l="0" t="0" r="0" b="12700"/>
              <wp:wrapNone/>
              <wp:docPr id="949" name="MSIPCMb7ec4f29b3ba6e06a56c94df" descr="{&quot;HashCode&quot;:431350885,&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9CB10B" w14:textId="77777777" w:rsidR="00AB33EC" w:rsidRPr="00BE7E04" w:rsidRDefault="00AB33EC" w:rsidP="00BE7E04">
                          <w:pPr>
                            <w:jc w:val="center"/>
                            <w:rPr>
                              <w:rFonts w:cs="Calibri"/>
                              <w:color w:val="FF0000"/>
                              <w:sz w:val="24"/>
                            </w:rPr>
                          </w:pPr>
                          <w:r w:rsidRPr="00BE7E04">
                            <w:rPr>
                              <w:rFonts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C2CFB6" id="_x0000_t202" coordsize="21600,21600" o:spt="202" path="m,l,21600r21600,l21600,xe">
              <v:stroke joinstyle="miter"/>
              <v:path gradientshapeok="t" o:connecttype="rect"/>
            </v:shapetype>
            <v:shape id="_x0000_s1065" type="#_x0000_t202" alt="{&quot;HashCode&quot;:431350885,&quot;Height&quot;:9999999.0,&quot;Width&quot;:9999999.0,&quot;Placement&quot;:&quot;Header&quot;,&quot;Index&quot;:&quot;FirstPage&quot;,&quot;Section&quot;:2,&quot;Top&quot;:0.0,&quot;Left&quot;:0.0}" style="position:absolute;margin-left:0;margin-top:0;width:612pt;height:36.5pt;z-index:2516623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dIGA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ir5KE0QXWuo9rQfwoF67+SioSGW&#10;wocngcQ1zU36DY90aAPUDI4WZzXgn/f8MZ8ooChnHWmn5P73VqDizPy0RM634XgcxZYuZOBr7/rk&#10;tdv2DkiWQ/pDnExmzA3mZGqE9oXkPY/dKCSspJ4llwFPl7tw0DL9IFLN5ymNhOVEWNqVk7F4BDSC&#10;+9y/CHRHBgJx9wAnfYniDRGH3AMV820A3SSWLngekSdRJvKOP1BU/et7yrr85rO/AA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s6HSBgCAAAuBAAADgAAAAAAAAAAAAAAAAAuAgAAZHJzL2Uyb0RvYy54bWxQSwECLQAUAAYACAAA&#10;ACEAvh8Kt9oAAAAFAQAADwAAAAAAAAAAAAAAAAByBAAAZHJzL2Rvd25yZXYueG1sUEsFBgAAAAAE&#10;AAQA8wAAAHkFAAAAAA==&#10;" o:allowincell="f" filled="f" stroked="f" strokeweight=".5pt">
              <v:textbox inset=",0,,0">
                <w:txbxContent>
                  <w:p w14:paraId="159CB10B" w14:textId="77777777" w:rsidR="00AB33EC" w:rsidRPr="00BE7E04" w:rsidRDefault="00AB33EC" w:rsidP="00BE7E04">
                    <w:pPr>
                      <w:jc w:val="center"/>
                      <w:rPr>
                        <w:rFonts w:cs="Calibri"/>
                        <w:color w:val="FF0000"/>
                        <w:sz w:val="24"/>
                      </w:rPr>
                    </w:pPr>
                    <w:r w:rsidRPr="00BE7E04">
                      <w:rPr>
                        <w:rFonts w:cs="Calibri"/>
                        <w:color w:val="FF0000"/>
                        <w:sz w:val="24"/>
                      </w:rPr>
                      <w:t>OFFICIAL</w:t>
                    </w:r>
                  </w:p>
                </w:txbxContent>
              </v:textbox>
              <w10:wrap anchorx="page" anchory="page"/>
            </v:shape>
          </w:pict>
        </mc:Fallback>
      </mc:AlternateContent>
    </w:r>
    <w:r>
      <w:rPr>
        <w:b/>
        <w:noProof/>
        <w:color w:val="EF3340"/>
        <w:lang w:eastAsia="en-AU"/>
      </w:rPr>
      <w:drawing>
        <wp:anchor distT="0" distB="0" distL="114300" distR="114300" simplePos="0" relativeHeight="251660288" behindDoc="1" locked="0" layoutInCell="1" allowOverlap="1" wp14:anchorId="1C971BAD" wp14:editId="6C0D70E5">
          <wp:simplePos x="0" y="0"/>
          <wp:positionH relativeFrom="page">
            <wp:posOffset>0</wp:posOffset>
          </wp:positionH>
          <wp:positionV relativeFrom="page">
            <wp:posOffset>10815955</wp:posOffset>
          </wp:positionV>
          <wp:extent cx="7559040" cy="10692130"/>
          <wp:effectExtent l="0" t="0" r="0" b="0"/>
          <wp:wrapNone/>
          <wp:docPr id="862617091" name="Picture 86261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 Internal Factsheet template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1" locked="0" layoutInCell="0" allowOverlap="1" wp14:anchorId="5AB0F21B" wp14:editId="5144EBD2">
              <wp:simplePos x="0" y="0"/>
              <wp:positionH relativeFrom="margin">
                <wp:align>center</wp:align>
              </wp:positionH>
              <wp:positionV relativeFrom="margin">
                <wp:align>center</wp:align>
              </wp:positionV>
              <wp:extent cx="7109460" cy="969010"/>
              <wp:effectExtent l="0" t="2276475" r="0" b="2098040"/>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9460" cy="9690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40C21F" w14:textId="77777777" w:rsidR="00AB33EC" w:rsidRDefault="00AB33EC" w:rsidP="004F21AD">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GENERAL REPORT 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B0F21B" id="Text Box 950" o:spid="_x0000_s1066" type="#_x0000_t202" style="position:absolute;margin-left:0;margin-top:0;width:559.8pt;height:76.3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" o:allowincell="f" filled="f" stroked="f">
              <v:stroke joinstyle="round"/>
              <o:lock v:ext="edit" shapetype="t"/>
              <v:textbox style="mso-fit-shape-to-text:t">
                <w:txbxContent>
                  <w:p w14:paraId="3740C21F" w14:textId="77777777" w:rsidR="00AB33EC" w:rsidRDefault="00AB33EC" w:rsidP="004F21AD">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GENERAL REPORT TEMPLATE</w:t>
                    </w:r>
                  </w:p>
                </w:txbxContent>
              </v:textbox>
              <w10:wrap anchorx="margin" anchory="margin"/>
            </v:shape>
          </w:pict>
        </mc:Fallback>
      </mc:AlternateContent>
    </w:r>
    <w:r>
      <w:rPr>
        <w:rFonts w:cs="Arial"/>
        <w:noProof/>
        <w:lang w:eastAsia="en-AU"/>
      </w:rPr>
      <w:drawing>
        <wp:anchor distT="0" distB="0" distL="114300" distR="114300" simplePos="0" relativeHeight="251659264" behindDoc="1" locked="0" layoutInCell="1" allowOverlap="1" wp14:anchorId="5C17B459" wp14:editId="146EAB1A">
          <wp:simplePos x="0" y="0"/>
          <wp:positionH relativeFrom="page">
            <wp:posOffset>7705725</wp:posOffset>
          </wp:positionH>
          <wp:positionV relativeFrom="page">
            <wp:posOffset>10801350</wp:posOffset>
          </wp:positionV>
          <wp:extent cx="7559040" cy="10691495"/>
          <wp:effectExtent l="0" t="0" r="3810" b="0"/>
          <wp:wrapNone/>
          <wp:docPr id="1699756150" name="Picture 169975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rruption in Focus - Blue Report Cover_back_no text_200219.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7FA4A" w14:textId="4D5EFAD7" w:rsidR="001613F4" w:rsidRPr="005A7C60" w:rsidRDefault="001613F4" w:rsidP="00FD0FB1">
    <w:pPr>
      <w:pStyle w:val="Header"/>
      <w:tabs>
        <w:tab w:val="left" w:pos="1139"/>
      </w:tabs>
      <w:rPr>
        <w:rFonts w:asciiTheme="minorHAnsi" w:hAnsiTheme="minorHAnsi" w:cstheme="minorHAnsi"/>
        <w:b/>
        <w:noProof/>
        <w:color w:val="414042" w:themeColor="text1"/>
        <w:sz w:val="22"/>
        <w:szCs w:val="24"/>
        <w:lang w:eastAsia="en-AU"/>
      </w:rPr>
    </w:pPr>
    <w:r w:rsidRPr="005A7C60">
      <w:rPr>
        <w:rFonts w:asciiTheme="minorHAnsi" w:hAnsiTheme="minorHAnsi" w:cstheme="minorHAnsi"/>
        <w:b/>
        <w:noProof/>
        <w:color w:val="414042" w:themeColor="text1"/>
        <w:sz w:val="22"/>
        <w:szCs w:val="24"/>
        <w:lang w:eastAsia="en-AU"/>
      </w:rPr>
      <w:t>CRIME AND CORRUPTION COMMISSION</w:t>
    </w:r>
    <w:r w:rsidRPr="005A7C60">
      <w:rPr>
        <w:rFonts w:asciiTheme="minorHAnsi" w:hAnsiTheme="minorHAnsi" w:cstheme="minorHAnsi"/>
        <w:b/>
        <w:noProof/>
        <w:color w:val="414042" w:themeColor="text1"/>
        <w:sz w:val="22"/>
        <w:szCs w:val="24"/>
        <w:lang w:eastAsia="en-AU"/>
      </w:rPr>
      <w:br/>
      <w:t>Statement of Financial Position</w:t>
    </w:r>
    <w:r w:rsidRPr="005A7C60">
      <w:rPr>
        <w:rFonts w:asciiTheme="minorHAnsi" w:hAnsiTheme="minorHAnsi" w:cstheme="minorHAnsi"/>
        <w:b/>
        <w:noProof/>
        <w:color w:val="414042" w:themeColor="text1"/>
        <w:sz w:val="22"/>
        <w:szCs w:val="24"/>
        <w:lang w:eastAsia="en-AU"/>
      </w:rPr>
      <w:br/>
    </w:r>
    <w:r w:rsidR="00F96E14" w:rsidRPr="005A7C60">
      <w:rPr>
        <w:rFonts w:asciiTheme="minorHAnsi" w:hAnsiTheme="minorHAnsi" w:cstheme="minorHAnsi"/>
        <w:b/>
        <w:noProof/>
        <w:color w:val="414042" w:themeColor="text1"/>
        <w:sz w:val="22"/>
        <w:szCs w:val="24"/>
        <w:lang w:eastAsia="en-AU"/>
      </w:rPr>
      <w:t>for the 12 months ended 30 June 2024</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CAF82" w14:textId="5D9D25EA" w:rsidR="0088432E" w:rsidRDefault="0088432E" w:rsidP="0088432E">
    <w:pPr>
      <w:pStyle w:val="Header"/>
      <w:tabs>
        <w:tab w:val="left" w:pos="1139"/>
      </w:tabs>
      <w:spacing w:after="0"/>
      <w:rPr>
        <w:rFonts w:asciiTheme="minorHAnsi" w:hAnsiTheme="minorHAnsi" w:cstheme="minorHAnsi"/>
        <w:b/>
        <w:noProof/>
        <w:sz w:val="22"/>
        <w:szCs w:val="24"/>
        <w:lang w:eastAsia="en-AU"/>
      </w:rPr>
    </w:pPr>
    <w:r w:rsidRPr="00FD0FB1">
      <w:rPr>
        <w:rFonts w:asciiTheme="minorHAnsi" w:hAnsiTheme="minorHAnsi" w:cstheme="minorHAnsi"/>
        <w:b/>
        <w:noProof/>
        <w:sz w:val="22"/>
        <w:szCs w:val="24"/>
        <w:lang w:eastAsia="en-AU"/>
      </w:rPr>
      <w:t>CRIME AND CORRUPTION COMMISSION</w:t>
    </w:r>
    <w:r w:rsidRPr="00FD0FB1">
      <w:rPr>
        <w:rFonts w:asciiTheme="minorHAnsi" w:hAnsiTheme="minorHAnsi" w:cstheme="minorHAnsi"/>
        <w:b/>
        <w:noProof/>
        <w:sz w:val="22"/>
        <w:szCs w:val="24"/>
        <w:lang w:eastAsia="en-AU"/>
      </w:rPr>
      <w:br/>
    </w:r>
    <w:r w:rsidR="00A37155">
      <w:rPr>
        <w:rFonts w:asciiTheme="minorHAnsi" w:hAnsiTheme="minorHAnsi" w:cstheme="minorHAnsi"/>
        <w:b/>
        <w:noProof/>
        <w:sz w:val="22"/>
        <w:szCs w:val="24"/>
        <w:lang w:eastAsia="en-AU"/>
      </w:rPr>
      <w:t>Statement of Financial Position</w:t>
    </w:r>
  </w:p>
  <w:p w14:paraId="5C15F5A0" w14:textId="77777777" w:rsidR="0088432E" w:rsidRPr="00FD0FB1" w:rsidRDefault="0088432E" w:rsidP="00047D35">
    <w:pPr>
      <w:pStyle w:val="Header"/>
      <w:tabs>
        <w:tab w:val="left" w:pos="1139"/>
      </w:tabs>
      <w:rPr>
        <w:rFonts w:asciiTheme="minorHAnsi" w:hAnsiTheme="minorHAnsi" w:cstheme="minorHAnsi"/>
        <w:b/>
        <w:noProof/>
        <w:sz w:val="22"/>
        <w:szCs w:val="24"/>
        <w:lang w:eastAsia="en-AU"/>
      </w:rPr>
    </w:pPr>
    <w:r w:rsidRPr="00FD0FB1">
      <w:rPr>
        <w:rFonts w:asciiTheme="minorHAnsi" w:hAnsiTheme="minorHAnsi" w:cstheme="minorHAnsi"/>
        <w:b/>
        <w:noProof/>
        <w:sz w:val="22"/>
        <w:szCs w:val="24"/>
        <w:lang w:eastAsia="en-AU"/>
      </w:rPr>
      <w:t xml:space="preserve">for the </w:t>
    </w:r>
    <w:r>
      <w:rPr>
        <w:rFonts w:asciiTheme="minorHAnsi" w:hAnsiTheme="minorHAnsi" w:cstheme="minorHAnsi"/>
        <w:b/>
        <w:noProof/>
        <w:sz w:val="22"/>
        <w:szCs w:val="24"/>
        <w:lang w:eastAsia="en-AU"/>
      </w:rPr>
      <w:t>12 months ended 30 June 2024</w:t>
    </w:r>
  </w:p>
  <w:p w14:paraId="517CEE70" w14:textId="77777777" w:rsidR="0088432E" w:rsidRPr="00047D35" w:rsidRDefault="0088432E" w:rsidP="00047D35">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42D49" w14:textId="3106B9AD" w:rsidR="00A37155" w:rsidRPr="00FD0FB1" w:rsidRDefault="00A37155" w:rsidP="00FD0FB1">
    <w:pPr>
      <w:pStyle w:val="Header"/>
      <w:tabs>
        <w:tab w:val="left" w:pos="1139"/>
      </w:tabs>
      <w:rPr>
        <w:rFonts w:asciiTheme="minorHAnsi" w:hAnsiTheme="minorHAnsi" w:cstheme="minorHAnsi"/>
        <w:b/>
        <w:noProof/>
        <w:sz w:val="22"/>
        <w:szCs w:val="24"/>
        <w:lang w:eastAsia="en-AU"/>
      </w:rPr>
    </w:pPr>
    <w:r w:rsidRPr="00FD0FB1">
      <w:rPr>
        <w:rFonts w:asciiTheme="minorHAnsi" w:hAnsiTheme="minorHAnsi" w:cstheme="minorHAnsi"/>
        <w:b/>
        <w:noProof/>
        <w:sz w:val="22"/>
        <w:szCs w:val="24"/>
        <w:lang w:eastAsia="en-AU"/>
      </w:rPr>
      <w:t>CRIME AND CORRUPTION COMMISSION</w:t>
    </w:r>
    <w:r w:rsidRPr="00FD0FB1">
      <w:rPr>
        <w:rFonts w:asciiTheme="minorHAnsi" w:hAnsiTheme="minorHAnsi" w:cstheme="minorHAnsi"/>
        <w:b/>
        <w:noProof/>
        <w:sz w:val="22"/>
        <w:szCs w:val="24"/>
        <w:lang w:eastAsia="en-AU"/>
      </w:rPr>
      <w:br/>
    </w:r>
    <w:r>
      <w:rPr>
        <w:rFonts w:asciiTheme="minorHAnsi" w:hAnsiTheme="minorHAnsi" w:cstheme="minorHAnsi"/>
        <w:b/>
        <w:noProof/>
        <w:sz w:val="22"/>
        <w:szCs w:val="24"/>
        <w:lang w:eastAsia="en-AU"/>
      </w:rPr>
      <w:t>Statement of Changes in Equity</w:t>
    </w:r>
    <w:r w:rsidRPr="00FD0FB1">
      <w:rPr>
        <w:rFonts w:asciiTheme="minorHAnsi" w:hAnsiTheme="minorHAnsi" w:cstheme="minorHAnsi"/>
        <w:b/>
        <w:noProof/>
        <w:sz w:val="22"/>
        <w:szCs w:val="24"/>
        <w:lang w:eastAsia="en-AU"/>
      </w:rPr>
      <w:br/>
    </w:r>
    <w:r>
      <w:rPr>
        <w:rFonts w:asciiTheme="minorHAnsi" w:hAnsiTheme="minorHAnsi" w:cstheme="minorHAnsi"/>
        <w:b/>
        <w:noProof/>
        <w:sz w:val="22"/>
        <w:szCs w:val="24"/>
        <w:lang w:eastAsia="en-AU"/>
      </w:rPr>
      <w:t>for the 12 months ended 30 June 2024</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2BC7" w14:textId="77777777" w:rsidR="00047D35" w:rsidRPr="005A7C60" w:rsidRDefault="00047D35" w:rsidP="00047D35">
    <w:pPr>
      <w:pStyle w:val="Header"/>
      <w:tabs>
        <w:tab w:val="left" w:pos="1139"/>
      </w:tabs>
      <w:rPr>
        <w:rFonts w:asciiTheme="minorHAnsi" w:hAnsiTheme="minorHAnsi" w:cstheme="minorHAnsi"/>
        <w:b/>
        <w:noProof/>
        <w:color w:val="414042" w:themeColor="text1"/>
        <w:sz w:val="22"/>
        <w:szCs w:val="24"/>
        <w:lang w:eastAsia="en-AU"/>
      </w:rPr>
    </w:pPr>
    <w:r w:rsidRPr="005A7C60">
      <w:rPr>
        <w:rFonts w:asciiTheme="minorHAnsi" w:hAnsiTheme="minorHAnsi" w:cstheme="minorHAnsi"/>
        <w:b/>
        <w:noProof/>
        <w:color w:val="414042" w:themeColor="text1"/>
        <w:sz w:val="22"/>
        <w:szCs w:val="24"/>
        <w:lang w:eastAsia="en-AU"/>
      </w:rPr>
      <w:t>CRIME AND CORRUPTION COMMISSION</w:t>
    </w:r>
    <w:r w:rsidRPr="005A7C60">
      <w:rPr>
        <w:rFonts w:asciiTheme="minorHAnsi" w:hAnsiTheme="minorHAnsi" w:cstheme="minorHAnsi"/>
        <w:b/>
        <w:noProof/>
        <w:color w:val="414042" w:themeColor="text1"/>
        <w:sz w:val="22"/>
        <w:szCs w:val="24"/>
        <w:lang w:eastAsia="en-AU"/>
      </w:rPr>
      <w:br/>
      <w:t>Statement of Changes in Equity</w:t>
    </w:r>
    <w:r w:rsidRPr="005A7C60">
      <w:rPr>
        <w:rFonts w:asciiTheme="minorHAnsi" w:hAnsiTheme="minorHAnsi" w:cstheme="minorHAnsi"/>
        <w:b/>
        <w:noProof/>
        <w:color w:val="414042" w:themeColor="text1"/>
        <w:sz w:val="22"/>
        <w:szCs w:val="24"/>
        <w:lang w:eastAsia="en-AU"/>
      </w:rPr>
      <w:br/>
      <w:t>for the 12 months ended 30 June 2024</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288BD" w14:textId="77777777" w:rsidR="007D1051" w:rsidRPr="005A7C60" w:rsidRDefault="007D1051" w:rsidP="007D1051">
    <w:pPr>
      <w:pStyle w:val="Header"/>
      <w:tabs>
        <w:tab w:val="clear" w:pos="4513"/>
        <w:tab w:val="left" w:pos="1139"/>
        <w:tab w:val="center" w:pos="4535"/>
      </w:tabs>
      <w:spacing w:after="0"/>
      <w:rPr>
        <w:rFonts w:asciiTheme="minorHAnsi" w:hAnsiTheme="minorHAnsi" w:cstheme="minorHAnsi"/>
        <w:b/>
        <w:noProof/>
        <w:color w:val="414042" w:themeColor="text1"/>
        <w:sz w:val="22"/>
        <w:szCs w:val="24"/>
        <w:lang w:eastAsia="en-AU"/>
      </w:rPr>
    </w:pPr>
    <w:r w:rsidRPr="005A7C60">
      <w:rPr>
        <w:rFonts w:asciiTheme="minorHAnsi" w:hAnsiTheme="minorHAnsi" w:cstheme="minorHAnsi"/>
        <w:b/>
        <w:noProof/>
        <w:color w:val="414042" w:themeColor="text1"/>
        <w:sz w:val="22"/>
        <w:szCs w:val="24"/>
        <w:lang w:eastAsia="en-AU"/>
      </w:rPr>
      <w:t>CRIME AND CORRUPTION COMMISSION</w:t>
    </w:r>
  </w:p>
  <w:p w14:paraId="751496F8" w14:textId="77777777" w:rsidR="007D1051" w:rsidRPr="005A7C60" w:rsidRDefault="007D1051" w:rsidP="007D1051">
    <w:pPr>
      <w:pStyle w:val="Header"/>
      <w:tabs>
        <w:tab w:val="clear" w:pos="4513"/>
        <w:tab w:val="left" w:pos="1139"/>
        <w:tab w:val="center" w:pos="4535"/>
      </w:tabs>
      <w:spacing w:after="0"/>
      <w:rPr>
        <w:rFonts w:asciiTheme="minorHAnsi" w:hAnsiTheme="minorHAnsi" w:cstheme="minorHAnsi"/>
        <w:b/>
        <w:noProof/>
        <w:color w:val="414042" w:themeColor="text1"/>
        <w:sz w:val="22"/>
        <w:lang w:eastAsia="en-AU"/>
      </w:rPr>
    </w:pPr>
    <w:r w:rsidRPr="005A7C60">
      <w:rPr>
        <w:rFonts w:asciiTheme="minorHAnsi" w:hAnsiTheme="minorHAnsi" w:cstheme="minorHAnsi"/>
        <w:b/>
        <w:noProof/>
        <w:color w:val="414042" w:themeColor="text1"/>
        <w:sz w:val="22"/>
        <w:lang w:eastAsia="en-AU"/>
      </w:rPr>
      <w:t>Statement of Cash Flows</w:t>
    </w:r>
  </w:p>
  <w:p w14:paraId="31F09FE8" w14:textId="3BC0F8BC" w:rsidR="007D1051" w:rsidRPr="005A7C60" w:rsidRDefault="00F96E14" w:rsidP="00F96E14">
    <w:pPr>
      <w:pStyle w:val="Header"/>
      <w:tabs>
        <w:tab w:val="left" w:pos="1139"/>
      </w:tabs>
      <w:rPr>
        <w:rFonts w:asciiTheme="minorHAnsi" w:hAnsiTheme="minorHAnsi" w:cstheme="minorHAnsi"/>
        <w:b/>
        <w:noProof/>
        <w:color w:val="414042" w:themeColor="text1"/>
        <w:sz w:val="22"/>
        <w:szCs w:val="24"/>
        <w:lang w:eastAsia="en-AU"/>
      </w:rPr>
    </w:pPr>
    <w:r w:rsidRPr="005A7C60">
      <w:rPr>
        <w:rFonts w:asciiTheme="minorHAnsi" w:hAnsiTheme="minorHAnsi" w:cstheme="minorHAnsi"/>
        <w:b/>
        <w:noProof/>
        <w:color w:val="414042" w:themeColor="text1"/>
        <w:sz w:val="22"/>
        <w:szCs w:val="24"/>
        <w:lang w:eastAsia="en-AU"/>
      </w:rPr>
      <w:t>for the 12 months ended 30 June 2024</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95C52" w14:textId="77777777" w:rsidR="00872F63" w:rsidRPr="005A7C60" w:rsidRDefault="00872F63" w:rsidP="00872F63">
    <w:pPr>
      <w:pStyle w:val="Header"/>
      <w:tabs>
        <w:tab w:val="clear" w:pos="4513"/>
        <w:tab w:val="left" w:pos="1139"/>
        <w:tab w:val="center" w:pos="4535"/>
      </w:tabs>
      <w:spacing w:after="0"/>
      <w:rPr>
        <w:rFonts w:asciiTheme="minorHAnsi" w:hAnsiTheme="minorHAnsi" w:cstheme="minorHAnsi"/>
        <w:b/>
        <w:noProof/>
        <w:color w:val="414042" w:themeColor="text1"/>
        <w:sz w:val="22"/>
        <w:szCs w:val="24"/>
        <w:lang w:eastAsia="en-AU"/>
      </w:rPr>
    </w:pPr>
    <w:r w:rsidRPr="005A7C60">
      <w:rPr>
        <w:rFonts w:asciiTheme="minorHAnsi" w:hAnsiTheme="minorHAnsi" w:cstheme="minorHAnsi"/>
        <w:b/>
        <w:noProof/>
        <w:color w:val="414042" w:themeColor="text1"/>
        <w:sz w:val="22"/>
        <w:szCs w:val="24"/>
        <w:lang w:eastAsia="en-AU"/>
      </w:rPr>
      <w:t>CRIME AND CORRUPTION COMMISSION</w:t>
    </w:r>
  </w:p>
  <w:p w14:paraId="0C198BC8" w14:textId="77777777" w:rsidR="00E862DC" w:rsidRPr="005A7C60" w:rsidRDefault="00E862DC" w:rsidP="00E862DC">
    <w:pPr>
      <w:pStyle w:val="Header"/>
      <w:tabs>
        <w:tab w:val="clear" w:pos="4513"/>
        <w:tab w:val="left" w:pos="1139"/>
        <w:tab w:val="center" w:pos="4535"/>
      </w:tabs>
      <w:spacing w:after="0"/>
      <w:rPr>
        <w:rFonts w:asciiTheme="minorHAnsi" w:hAnsiTheme="minorHAnsi" w:cstheme="minorHAnsi"/>
        <w:b/>
        <w:noProof/>
        <w:color w:val="414042" w:themeColor="text1"/>
        <w:sz w:val="22"/>
        <w:lang w:eastAsia="en-AU"/>
      </w:rPr>
    </w:pPr>
    <w:r w:rsidRPr="005A7C60">
      <w:rPr>
        <w:rFonts w:asciiTheme="minorHAnsi" w:hAnsiTheme="minorHAnsi" w:cstheme="minorHAnsi"/>
        <w:b/>
        <w:noProof/>
        <w:color w:val="414042" w:themeColor="text1"/>
        <w:sz w:val="22"/>
        <w:lang w:eastAsia="en-AU"/>
      </w:rPr>
      <w:t>Statement of Cash Flows</w:t>
    </w:r>
  </w:p>
  <w:p w14:paraId="4B142A9B" w14:textId="156DF26C" w:rsidR="00E862DC" w:rsidRPr="005A7C60" w:rsidRDefault="00F96E14" w:rsidP="00F96E14">
    <w:pPr>
      <w:pStyle w:val="Header"/>
      <w:tabs>
        <w:tab w:val="left" w:pos="1139"/>
      </w:tabs>
      <w:rPr>
        <w:rFonts w:asciiTheme="minorHAnsi" w:hAnsiTheme="minorHAnsi" w:cstheme="minorHAnsi"/>
        <w:b/>
        <w:noProof/>
        <w:color w:val="414042" w:themeColor="text1"/>
        <w:sz w:val="22"/>
        <w:szCs w:val="24"/>
        <w:lang w:eastAsia="en-AU"/>
      </w:rPr>
    </w:pPr>
    <w:r w:rsidRPr="005A7C60">
      <w:rPr>
        <w:rFonts w:asciiTheme="minorHAnsi" w:hAnsiTheme="minorHAnsi" w:cstheme="minorHAnsi"/>
        <w:b/>
        <w:noProof/>
        <w:color w:val="414042" w:themeColor="text1"/>
        <w:sz w:val="22"/>
        <w:szCs w:val="24"/>
        <w:lang w:eastAsia="en-AU"/>
      </w:rPr>
      <w:t>for the 12 months ended 30 June 2024</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CB3B9" w14:textId="3B618B4A" w:rsidR="000E6ED6" w:rsidRPr="005A7C60" w:rsidRDefault="000E6ED6" w:rsidP="000E6ED6">
    <w:pPr>
      <w:pStyle w:val="Header"/>
      <w:tabs>
        <w:tab w:val="clear" w:pos="4513"/>
        <w:tab w:val="left" w:pos="1139"/>
        <w:tab w:val="center" w:pos="4535"/>
      </w:tabs>
      <w:rPr>
        <w:rFonts w:asciiTheme="minorHAnsi" w:hAnsiTheme="minorHAnsi" w:cstheme="minorHAnsi"/>
        <w:b/>
        <w:noProof/>
        <w:color w:val="414042" w:themeColor="text1"/>
        <w:sz w:val="22"/>
        <w:szCs w:val="24"/>
        <w:lang w:eastAsia="en-AU"/>
      </w:rPr>
    </w:pPr>
    <w:r w:rsidRPr="005A7C60">
      <w:rPr>
        <w:rFonts w:asciiTheme="minorHAnsi" w:hAnsiTheme="minorHAnsi" w:cstheme="minorHAnsi"/>
        <w:b/>
        <w:noProof/>
        <w:color w:val="414042" w:themeColor="text1"/>
        <w:sz w:val="22"/>
        <w:szCs w:val="24"/>
        <w:lang w:eastAsia="en-AU"/>
      </w:rPr>
      <w:t>CRIME AND CORRUPTION COMMISSION</w:t>
    </w:r>
    <w:r w:rsidRPr="005A7C60">
      <w:rPr>
        <w:rFonts w:asciiTheme="minorHAnsi" w:hAnsiTheme="minorHAnsi" w:cstheme="minorHAnsi"/>
        <w:b/>
        <w:noProof/>
        <w:color w:val="414042" w:themeColor="text1"/>
        <w:sz w:val="22"/>
        <w:szCs w:val="24"/>
        <w:lang w:eastAsia="en-AU"/>
      </w:rPr>
      <w:br/>
      <w:t>Notes to and forming part of the Financial Statements 2023–24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B4B6" w14:textId="214F9083" w:rsidR="005F42AC" w:rsidRDefault="005F42AC">
    <w:pPr>
      <w:pStyle w:val="Header"/>
    </w:pPr>
  </w:p>
  <w:p w14:paraId="350352BB" w14:textId="77777777" w:rsidR="005F42AC" w:rsidRDefault="005F42A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EBF5D" w14:textId="5EB6B211" w:rsidR="002227D3" w:rsidRDefault="00E918DE">
    <w:pPr>
      <w:pStyle w:val="Header"/>
    </w:pPr>
    <w:r>
      <w:rPr>
        <w:noProof/>
      </w:rPr>
      <w:drawing>
        <wp:anchor distT="0" distB="0" distL="114300" distR="114300" simplePos="0" relativeHeight="251578368" behindDoc="1" locked="0" layoutInCell="1" allowOverlap="1" wp14:anchorId="421F5635" wp14:editId="31F9D6A6">
          <wp:simplePos x="0" y="0"/>
          <wp:positionH relativeFrom="page">
            <wp:posOffset>-3810</wp:posOffset>
          </wp:positionH>
          <wp:positionV relativeFrom="paragraph">
            <wp:posOffset>-447675</wp:posOffset>
          </wp:positionV>
          <wp:extent cx="7558405" cy="10691495"/>
          <wp:effectExtent l="0" t="0" r="4445" b="0"/>
          <wp:wrapNone/>
          <wp:docPr id="593424066" name="Picture 59342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sidR="008E4C9E">
      <w:rPr>
        <w:noProof/>
      </w:rPr>
      <mc:AlternateContent>
        <mc:Choice Requires="wps">
          <w:drawing>
            <wp:anchor distT="0" distB="0" distL="114300" distR="114300" simplePos="0" relativeHeight="251569152" behindDoc="0" locked="0" layoutInCell="0" allowOverlap="1" wp14:anchorId="09D13A9A" wp14:editId="5F419CEB">
              <wp:simplePos x="0" y="0"/>
              <wp:positionH relativeFrom="page">
                <wp:posOffset>0</wp:posOffset>
              </wp:positionH>
              <wp:positionV relativeFrom="page">
                <wp:posOffset>13648</wp:posOffset>
              </wp:positionV>
              <wp:extent cx="7772400" cy="463550"/>
              <wp:effectExtent l="0" t="0" r="0" b="12700"/>
              <wp:wrapNone/>
              <wp:docPr id="41"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C5C44A" w14:textId="77777777" w:rsidR="008E4C9E" w:rsidRPr="008E4C9E" w:rsidRDefault="008E4C9E" w:rsidP="008E4C9E">
                          <w:pPr>
                            <w:spacing w:after="0"/>
                            <w:jc w:val="center"/>
                            <w:rPr>
                              <w:rFonts w:ascii="Calibri" w:hAnsi="Calibri" w:cs="Calibri"/>
                              <w:sz w:val="24"/>
                            </w:rPr>
                          </w:pPr>
                          <w:r w:rsidRPr="008E4C9E">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D13A9A" id="_x0000_t202" coordsize="21600,21600" o:spt="202" path="m,l,21600r21600,l21600,xe">
              <v:stroke joinstyle="miter"/>
              <v:path gradientshapeok="t" o:connecttype="rect"/>
            </v:shapetype>
            <v:shape id="_x0000_s1050" type="#_x0000_t202" alt="{&quot;HashCode&quot;:431350885,&quot;Height&quot;:9999999.0,&quot;Width&quot;:9999999.0,&quot;Placement&quot;:&quot;Header&quot;,&quot;Index&quot;:&quot;Primary&quot;,&quot;Section&quot;:8,&quot;Top&quot;:0.0,&quot;Left&quot;:0.0}" style="position:absolute;margin-left:0;margin-top:1.05pt;width:612pt;height:36.5pt;z-index:2515701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" o:allowincell="f" filled="f" stroked="f" strokeweight=".5pt">
              <v:textbox inset=",0,,0">
                <w:txbxContent>
                  <w:p w14:paraId="60C5C44A" w14:textId="77777777" w:rsidR="008E4C9E" w:rsidRPr="008E4C9E" w:rsidRDefault="008E4C9E" w:rsidP="008E4C9E">
                    <w:pPr>
                      <w:spacing w:after="0"/>
                      <w:jc w:val="center"/>
                      <w:rPr>
                        <w:rFonts w:ascii="Calibri" w:hAnsi="Calibri" w:cs="Calibri"/>
                        <w:sz w:val="24"/>
                      </w:rPr>
                    </w:pPr>
                    <w:r w:rsidRPr="008E4C9E">
                      <w:rPr>
                        <w:rFonts w:ascii="Calibri" w:hAnsi="Calibri" w:cs="Calibri"/>
                        <w:sz w:val="24"/>
                      </w:rPr>
                      <w:t>OFFICIAL</w:t>
                    </w:r>
                  </w:p>
                </w:txbxContent>
              </v:textbox>
              <w10:wrap anchorx="page" anchory="page"/>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F8534" w14:textId="77777777" w:rsidR="00AB33EC" w:rsidRPr="000E6C07" w:rsidRDefault="00AB33EC" w:rsidP="000A6D4D">
    <w:pPr>
      <w:pStyle w:val="Header"/>
      <w:tabs>
        <w:tab w:val="clear" w:pos="4513"/>
        <w:tab w:val="left" w:pos="1139"/>
        <w:tab w:val="center" w:pos="4535"/>
      </w:tabs>
      <w:rPr>
        <w:rFonts w:asciiTheme="minorHAnsi" w:hAnsiTheme="minorHAnsi" w:cstheme="minorHAnsi"/>
        <w:b/>
        <w:noProof/>
        <w:szCs w:val="24"/>
        <w:lang w:eastAsia="en-AU"/>
      </w:rPr>
    </w:pPr>
    <w:bookmarkStart w:id="1541" w:name="_Hlk142310393"/>
    <w:bookmarkStart w:id="1542" w:name="_Hlk142310394"/>
    <w:r w:rsidRPr="000E6C07">
      <w:rPr>
        <w:rFonts w:asciiTheme="minorHAnsi" w:hAnsiTheme="minorHAnsi" w:cstheme="minorHAnsi"/>
        <w:b/>
        <w:noProof/>
        <w:szCs w:val="24"/>
        <w:lang w:eastAsia="en-AU"/>
      </w:rPr>
      <w:t>CRIME AND CORRUPTION COMMISSION</w:t>
    </w:r>
    <w:r w:rsidRPr="000E6C07">
      <w:rPr>
        <w:rFonts w:asciiTheme="minorHAnsi" w:hAnsiTheme="minorHAnsi" w:cstheme="minorHAnsi"/>
        <w:b/>
        <w:noProof/>
        <w:szCs w:val="24"/>
        <w:lang w:eastAsia="en-AU"/>
      </w:rPr>
      <w:br/>
      <w:t>Notes to and forming part of the Financial Statements 2023–2</w:t>
    </w:r>
    <w:bookmarkEnd w:id="1541"/>
    <w:bookmarkEnd w:id="1542"/>
    <w:r w:rsidRPr="000E6C07">
      <w:rPr>
        <w:rFonts w:asciiTheme="minorHAnsi" w:hAnsiTheme="minorHAnsi" w:cstheme="minorHAnsi"/>
        <w:b/>
        <w:noProof/>
        <w:szCs w:val="24"/>
        <w:lang w:eastAsia="en-AU"/>
      </w:rPr>
      <w:t>4</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28E0E" w14:textId="77777777" w:rsidR="00AB33EC" w:rsidRDefault="00AB33EC">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6E64D" w14:textId="161DC38D" w:rsidR="000E6ED6" w:rsidRPr="005A7C60" w:rsidRDefault="000E6ED6" w:rsidP="000E6ED6">
    <w:pPr>
      <w:pStyle w:val="Header"/>
      <w:tabs>
        <w:tab w:val="clear" w:pos="4513"/>
        <w:tab w:val="left" w:pos="1139"/>
        <w:tab w:val="center" w:pos="4535"/>
      </w:tabs>
      <w:rPr>
        <w:rFonts w:asciiTheme="minorHAnsi" w:hAnsiTheme="minorHAnsi" w:cstheme="minorHAnsi"/>
        <w:b/>
        <w:noProof/>
        <w:color w:val="414042" w:themeColor="text1"/>
        <w:sz w:val="22"/>
        <w:szCs w:val="24"/>
        <w:lang w:eastAsia="en-AU"/>
      </w:rPr>
    </w:pPr>
    <w:r w:rsidRPr="005A7C60">
      <w:rPr>
        <w:rFonts w:asciiTheme="minorHAnsi" w:hAnsiTheme="minorHAnsi" w:cstheme="minorHAnsi"/>
        <w:b/>
        <w:noProof/>
        <w:color w:val="414042" w:themeColor="text1"/>
        <w:sz w:val="22"/>
        <w:szCs w:val="24"/>
        <w:lang w:eastAsia="en-AU"/>
      </w:rPr>
      <w:t>CRIME AND CORRUPTION COMMISSION</w:t>
    </w:r>
    <w:r w:rsidR="00A52DF0" w:rsidRPr="00A52DF0">
      <w:rPr>
        <w:noProof/>
      </w:rPr>
      <w:t xml:space="preserve"> </w:t>
    </w:r>
    <w:r w:rsidRPr="005A7C60">
      <w:rPr>
        <w:rFonts w:asciiTheme="minorHAnsi" w:hAnsiTheme="minorHAnsi" w:cstheme="minorHAnsi"/>
        <w:b/>
        <w:noProof/>
        <w:color w:val="414042" w:themeColor="text1"/>
        <w:sz w:val="22"/>
        <w:szCs w:val="24"/>
        <w:lang w:eastAsia="en-AU"/>
      </w:rPr>
      <w:br/>
      <w:t>Notes to and forming part of the Financial Statements 2023–24</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96D40" w14:textId="5732633D" w:rsidR="00E9699B" w:rsidRPr="005A7C60" w:rsidRDefault="00E9699B" w:rsidP="00E9699B">
    <w:pPr>
      <w:pStyle w:val="Header"/>
      <w:tabs>
        <w:tab w:val="clear" w:pos="4513"/>
        <w:tab w:val="left" w:pos="1139"/>
        <w:tab w:val="center" w:pos="4535"/>
      </w:tabs>
      <w:rPr>
        <w:rFonts w:asciiTheme="minorHAnsi" w:hAnsiTheme="minorHAnsi" w:cstheme="minorHAnsi"/>
        <w:b/>
        <w:noProof/>
        <w:color w:val="414042" w:themeColor="text1"/>
        <w:sz w:val="22"/>
        <w:szCs w:val="24"/>
        <w:lang w:eastAsia="en-AU"/>
      </w:rPr>
    </w:pPr>
    <w:r w:rsidRPr="005A7C60">
      <w:rPr>
        <w:rFonts w:asciiTheme="minorHAnsi" w:hAnsiTheme="minorHAnsi" w:cstheme="minorHAnsi"/>
        <w:b/>
        <w:noProof/>
        <w:color w:val="414042" w:themeColor="text1"/>
        <w:sz w:val="22"/>
        <w:szCs w:val="24"/>
        <w:lang w:eastAsia="en-AU"/>
      </w:rPr>
      <w:t>CRIME AND CORRUPTION COMMISSION</w:t>
    </w:r>
    <w:r w:rsidRPr="005A7C60">
      <w:rPr>
        <w:rFonts w:asciiTheme="minorHAnsi" w:hAnsiTheme="minorHAnsi" w:cstheme="minorHAnsi"/>
        <w:b/>
        <w:noProof/>
        <w:color w:val="414042" w:themeColor="text1"/>
        <w:sz w:val="22"/>
        <w:szCs w:val="24"/>
        <w:lang w:eastAsia="en-AU"/>
      </w:rPr>
      <w:br/>
      <w:t>Notes to and forming part of the Financial Statements 2023–24</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51500" w14:textId="0A64BE6D" w:rsidR="00E9699B" w:rsidRPr="005A7C60" w:rsidRDefault="00E9699B" w:rsidP="00E9699B">
    <w:pPr>
      <w:pStyle w:val="Header"/>
      <w:tabs>
        <w:tab w:val="clear" w:pos="4513"/>
        <w:tab w:val="left" w:pos="1139"/>
        <w:tab w:val="center" w:pos="4535"/>
      </w:tabs>
      <w:rPr>
        <w:rFonts w:asciiTheme="minorHAnsi" w:hAnsiTheme="minorHAnsi" w:cstheme="minorHAnsi"/>
        <w:b/>
        <w:noProof/>
        <w:color w:val="414042" w:themeColor="text1"/>
        <w:sz w:val="22"/>
        <w:szCs w:val="24"/>
        <w:lang w:eastAsia="en-AU"/>
      </w:rPr>
    </w:pPr>
    <w:r w:rsidRPr="005A7C60">
      <w:rPr>
        <w:rFonts w:asciiTheme="minorHAnsi" w:hAnsiTheme="minorHAnsi" w:cstheme="minorHAnsi"/>
        <w:b/>
        <w:noProof/>
        <w:color w:val="414042" w:themeColor="text1"/>
        <w:sz w:val="22"/>
        <w:szCs w:val="24"/>
        <w:lang w:eastAsia="en-AU"/>
      </w:rPr>
      <w:t>CRIME AND CORRUPTION COMMISSION</w:t>
    </w:r>
    <w:r w:rsidRPr="005A7C60">
      <w:rPr>
        <w:rFonts w:asciiTheme="minorHAnsi" w:hAnsiTheme="minorHAnsi" w:cstheme="minorHAnsi"/>
        <w:b/>
        <w:noProof/>
        <w:color w:val="414042" w:themeColor="text1"/>
        <w:sz w:val="22"/>
        <w:szCs w:val="24"/>
        <w:lang w:eastAsia="en-AU"/>
      </w:rPr>
      <w:br/>
      <w:t>Notes to and forming part of the Financial Statements 2023–24</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813D7" w14:textId="0C6AA6A2" w:rsidR="00470C42" w:rsidRPr="00F621C8" w:rsidRDefault="00470C42" w:rsidP="00F621C8">
    <w:pPr>
      <w:pStyle w:val="Header"/>
      <w:tabs>
        <w:tab w:val="left" w:pos="1139"/>
      </w:tabs>
      <w:spacing w:after="0"/>
      <w:rPr>
        <w:rFonts w:asciiTheme="minorHAnsi" w:hAnsiTheme="minorHAnsi" w:cstheme="minorHAnsi"/>
        <w:b/>
        <w:noProof/>
        <w:sz w:val="22"/>
        <w:szCs w:val="24"/>
        <w:lang w:eastAsia="en-AU"/>
      </w:rPr>
    </w:pPr>
    <w:r w:rsidRPr="00F621C8">
      <w:rPr>
        <w:rFonts w:asciiTheme="minorHAnsi" w:hAnsiTheme="minorHAnsi" w:cstheme="minorHAnsi"/>
        <w:b/>
        <w:noProof/>
        <w:sz w:val="22"/>
        <w:szCs w:val="24"/>
        <w:lang w:eastAsia="en-AU"/>
      </w:rPr>
      <w:t>CRIME AND CORRUPTION COMMISSION</w:t>
    </w:r>
  </w:p>
  <w:p w14:paraId="77B4C837" w14:textId="3051CE4F" w:rsidR="00FB3F34" w:rsidRPr="00F621C8" w:rsidRDefault="00F621C8" w:rsidP="00F621C8">
    <w:pPr>
      <w:pStyle w:val="Header"/>
      <w:tabs>
        <w:tab w:val="left" w:pos="1139"/>
      </w:tabs>
      <w:rPr>
        <w:rFonts w:asciiTheme="minorHAnsi" w:hAnsiTheme="minorHAnsi" w:cstheme="minorHAnsi"/>
        <w:b/>
        <w:noProof/>
        <w:sz w:val="22"/>
        <w:szCs w:val="24"/>
        <w:lang w:eastAsia="en-AU"/>
      </w:rPr>
    </w:pPr>
    <w:r w:rsidRPr="00F621C8">
      <w:rPr>
        <w:rFonts w:asciiTheme="minorHAnsi" w:hAnsiTheme="minorHAnsi" w:cstheme="minorHAnsi"/>
        <w:b/>
        <w:noProof/>
        <w:sz w:val="22"/>
        <w:szCs w:val="24"/>
        <w:lang w:eastAsia="en-AU"/>
      </w:rPr>
      <w:t>Management Certificate for the 12 months ended 30 June 24</w:t>
    </w:r>
  </w:p>
  <w:p w14:paraId="6FFF64F1" w14:textId="77777777" w:rsidR="00C378A0" w:rsidRDefault="00C378A0"/>
  <w:p w14:paraId="408804C8" w14:textId="77777777" w:rsidR="00C378A0" w:rsidRDefault="00C378A0"/>
  <w:p w14:paraId="59955479" w14:textId="77777777" w:rsidR="00C378A0" w:rsidRDefault="00C378A0"/>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F72F5" w14:textId="7074500D" w:rsidR="007C4E47" w:rsidRPr="005A7C60" w:rsidRDefault="007C4E47" w:rsidP="007C4E47">
    <w:pPr>
      <w:pStyle w:val="Header"/>
      <w:tabs>
        <w:tab w:val="clear" w:pos="4513"/>
        <w:tab w:val="left" w:pos="1139"/>
        <w:tab w:val="center" w:pos="4535"/>
      </w:tabs>
      <w:rPr>
        <w:rFonts w:ascii="Calibri" w:hAnsi="Calibri" w:cs="Calibri"/>
        <w:b/>
        <w:noProof/>
        <w:color w:val="414042" w:themeColor="text1"/>
        <w:sz w:val="22"/>
        <w:szCs w:val="24"/>
        <w:lang w:eastAsia="en-AU"/>
      </w:rPr>
    </w:pPr>
    <w:r w:rsidRPr="005A7C60">
      <w:rPr>
        <w:rFonts w:ascii="Calibri" w:hAnsi="Calibri" w:cs="Calibri"/>
        <w:b/>
        <w:noProof/>
        <w:color w:val="414042" w:themeColor="text1"/>
        <w:sz w:val="22"/>
        <w:szCs w:val="24"/>
        <w:lang w:eastAsia="en-AU"/>
      </w:rPr>
      <w:t>CRIME AND CORRUPTION COMMISSION</w:t>
    </w:r>
    <w:r w:rsidRPr="005A7C60">
      <w:rPr>
        <w:rFonts w:ascii="Calibri" w:hAnsi="Calibri" w:cs="Calibri"/>
        <w:b/>
        <w:noProof/>
        <w:color w:val="414042" w:themeColor="text1"/>
        <w:sz w:val="22"/>
        <w:szCs w:val="24"/>
        <w:lang w:eastAsia="en-AU"/>
      </w:rPr>
      <w:br/>
      <w:t>Management Certificate for the year ended 30 June 2023</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ECBEC" w14:textId="51471072" w:rsidR="00DA3DA7" w:rsidRDefault="00DA3DA7">
    <w:pPr>
      <w:pStyle w:val="Header"/>
    </w:pPr>
  </w:p>
  <w:p w14:paraId="1411F57E" w14:textId="77777777" w:rsidR="00FB3F34" w:rsidRDefault="00FB3F34"/>
  <w:p w14:paraId="7FCAEE4F" w14:textId="77777777" w:rsidR="00C378A0" w:rsidRDefault="00C378A0"/>
  <w:p w14:paraId="02D3909E" w14:textId="77777777" w:rsidR="00C378A0" w:rsidRDefault="00C378A0"/>
  <w:p w14:paraId="42910161" w14:textId="77777777" w:rsidR="00C378A0" w:rsidRDefault="00C378A0"/>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3CA6" w14:textId="66FE0127" w:rsidR="00DA3B51" w:rsidRPr="00182F6F" w:rsidRDefault="00DA3B51" w:rsidP="008C32CF">
    <w:pPr>
      <w:pStyle w:val="Header"/>
      <w:tabs>
        <w:tab w:val="left" w:pos="1139"/>
      </w:tabs>
      <w:rPr>
        <w:rFonts w:ascii="Calibri" w:eastAsia="Times New Roman" w:hAnsi="Calibri" w:cs="Calibri"/>
        <w:b/>
        <w:color w:val="000000"/>
        <w:sz w:val="22"/>
      </w:rPr>
    </w:pPr>
    <w:r>
      <w:rPr>
        <w:rFonts w:ascii="Times New Roman" w:hAnsi="Times New Roman" w:cs="Times New Roman"/>
        <w:noProof/>
        <w:sz w:val="24"/>
        <w:szCs w:val="24"/>
      </w:rPr>
      <w:drawing>
        <wp:inline distT="0" distB="0" distL="0" distR="0" wp14:anchorId="32C3C15A" wp14:editId="1ADD62D4">
          <wp:extent cx="1686560" cy="605790"/>
          <wp:effectExtent l="0" t="0" r="8890" b="3810"/>
          <wp:docPr id="1721261151" name="Picture 172126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6560" cy="605790"/>
                  </a:xfrm>
                  <a:prstGeom prst="rect">
                    <a:avLst/>
                  </a:prstGeom>
                  <a:noFill/>
                  <a:ln>
                    <a:noFill/>
                  </a:ln>
                </pic:spPr>
              </pic:pic>
            </a:graphicData>
          </a:graphic>
        </wp:inline>
      </w:drawing>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8111" w14:textId="397F2569" w:rsidR="00E4389B" w:rsidRDefault="00A532DA" w:rsidP="004A6BC5">
    <w:pPr>
      <w:pStyle w:val="Header"/>
    </w:pPr>
    <w:r>
      <w:rPr>
        <w:rFonts w:ascii="Times New Roman" w:hAnsi="Times New Roman" w:cs="Times New Roman"/>
        <w:noProof/>
        <w:sz w:val="24"/>
        <w:szCs w:val="24"/>
      </w:rPr>
      <w:drawing>
        <wp:inline distT="0" distB="0" distL="0" distR="0" wp14:anchorId="4803CBB3" wp14:editId="568414F7">
          <wp:extent cx="1686560" cy="605790"/>
          <wp:effectExtent l="0" t="0" r="8890" b="3810"/>
          <wp:docPr id="295680021" name="Picture 29568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6560" cy="605790"/>
                  </a:xfrm>
                  <a:prstGeom prst="rect">
                    <a:avLst/>
                  </a:prstGeom>
                  <a:noFill/>
                  <a:ln>
                    <a:noFill/>
                  </a:ln>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670E2" w14:textId="62038319" w:rsidR="00C27723" w:rsidRPr="00351BCC" w:rsidRDefault="000B469A">
    <w:pPr>
      <w:pStyle w:val="Header"/>
    </w:pPr>
    <w:r>
      <w:rPr>
        <w:noProof/>
      </w:rPr>
      <w:drawing>
        <wp:anchor distT="0" distB="0" distL="114300" distR="114300" simplePos="0" relativeHeight="251603968" behindDoc="1" locked="0" layoutInCell="1" allowOverlap="1" wp14:anchorId="3BC94CB2" wp14:editId="5E179B6D">
          <wp:simplePos x="0" y="0"/>
          <wp:positionH relativeFrom="page">
            <wp:posOffset>7951</wp:posOffset>
          </wp:positionH>
          <wp:positionV relativeFrom="paragraph">
            <wp:posOffset>-449249</wp:posOffset>
          </wp:positionV>
          <wp:extent cx="7558765" cy="10691995"/>
          <wp:effectExtent l="0" t="0" r="4445" b="0"/>
          <wp:wrapNone/>
          <wp:docPr id="619655147" name="Picture 61965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93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4691A" w14:textId="64E2AC6F" w:rsidR="00DA3DA7" w:rsidRDefault="00DA3DA7">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A3E2" w14:textId="5B4BD5F4" w:rsidR="000442BE" w:rsidRDefault="00281E08" w:rsidP="00F04DF2">
    <w:pPr>
      <w:ind w:left="709"/>
    </w:pPr>
    <w:r>
      <w:rPr>
        <w:noProof/>
      </w:rPr>
      <w:drawing>
        <wp:anchor distT="0" distB="0" distL="114300" distR="114300" simplePos="0" relativeHeight="251632640" behindDoc="1" locked="0" layoutInCell="1" allowOverlap="1" wp14:anchorId="075BD4A0" wp14:editId="41C02E0F">
          <wp:simplePos x="0" y="0"/>
          <wp:positionH relativeFrom="page">
            <wp:posOffset>0</wp:posOffset>
          </wp:positionH>
          <wp:positionV relativeFrom="paragraph">
            <wp:posOffset>-450376</wp:posOffset>
          </wp:positionV>
          <wp:extent cx="7558762" cy="10691992"/>
          <wp:effectExtent l="0" t="0" r="4445" b="0"/>
          <wp:wrapNone/>
          <wp:docPr id="978946070" name="Picture 97894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96672" name="Picture 1704796672"/>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BB3E" w14:textId="1E24AC6C" w:rsidR="000442BE" w:rsidRDefault="00F97DEE" w:rsidP="00F04DF2">
    <w:pPr>
      <w:pStyle w:val="Header"/>
      <w:ind w:left="426"/>
    </w:pPr>
    <w:r>
      <w:rPr>
        <w:noProof/>
      </w:rPr>
      <w:drawing>
        <wp:anchor distT="0" distB="0" distL="114300" distR="114300" simplePos="0" relativeHeight="251637760" behindDoc="1" locked="0" layoutInCell="1" allowOverlap="1" wp14:anchorId="7FF769DF" wp14:editId="7D0EA99E">
          <wp:simplePos x="0" y="0"/>
          <wp:positionH relativeFrom="page">
            <wp:posOffset>0</wp:posOffset>
          </wp:positionH>
          <wp:positionV relativeFrom="paragraph">
            <wp:posOffset>-453229</wp:posOffset>
          </wp:positionV>
          <wp:extent cx="7558763" cy="10691993"/>
          <wp:effectExtent l="0" t="0" r="0" b="0"/>
          <wp:wrapNone/>
          <wp:docPr id="513370385" name="Picture 51337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r w:rsidR="008F7730">
      <w:rPr>
        <w:noProof/>
      </w:rPr>
      <mc:AlternateContent>
        <mc:Choice Requires="wps">
          <w:drawing>
            <wp:anchor distT="0" distB="0" distL="114300" distR="114300" simplePos="0" relativeHeight="251577344" behindDoc="0" locked="0" layoutInCell="0" allowOverlap="1" wp14:anchorId="72439004" wp14:editId="24F8E28A">
              <wp:simplePos x="0" y="0"/>
              <wp:positionH relativeFrom="page">
                <wp:posOffset>0</wp:posOffset>
              </wp:positionH>
              <wp:positionV relativeFrom="page">
                <wp:posOffset>0</wp:posOffset>
              </wp:positionV>
              <wp:extent cx="7772400" cy="463550"/>
              <wp:effectExtent l="0" t="0" r="0" b="12700"/>
              <wp:wrapNone/>
              <wp:docPr id="1756629461"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CCEA78" w14:textId="77777777" w:rsidR="008F7730" w:rsidRPr="008E4C9E" w:rsidRDefault="008F7730" w:rsidP="008F7730">
                          <w:pPr>
                            <w:spacing w:after="0"/>
                            <w:jc w:val="center"/>
                            <w:rPr>
                              <w:rFonts w:ascii="Calibri" w:hAnsi="Calibri" w:cs="Calibri"/>
                              <w:sz w:val="24"/>
                            </w:rPr>
                          </w:pPr>
                          <w:r w:rsidRPr="008E4C9E">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439004" id="_x0000_t202" coordsize="21600,21600" o:spt="202" path="m,l,21600r21600,l21600,xe">
              <v:stroke joinstyle="miter"/>
              <v:path gradientshapeok="t" o:connecttype="rect"/>
            </v:shapetype>
            <v:shape id="_x0000_s1067" type="#_x0000_t202" alt="{&quot;HashCode&quot;:431350885,&quot;Height&quot;:9999999.0,&quot;Width&quot;:9999999.0,&quot;Placement&quot;:&quot;Header&quot;,&quot;Index&quot;:&quot;Primary&quot;,&quot;Section&quot;:8,&quot;Top&quot;:0.0,&quot;Left&quot;:0.0}" style="position:absolute;left:0;text-align:left;margin-left:0;margin-top:0;width:612pt;height:36.5pt;z-index:2515783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C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0xOi2ygOtB+CAP13sllQ0Os&#10;hA/PAolrmpv0G57o0AaoGRwtzmrAX3/zx3yigKKcdaSdkvufO4GKM/PdEjlfxtNpFFu6kIFvvZuT&#10;1+7aeyBZjukPcTKZMTeYk6kR2leS9yJ2o5CwknqWXAY8Xe7DoGX6QaRaLFIaCcuJsLJrJ2PxCGgE&#10;96V/FeiODATi7hFO+hLFOyKG3IGKxS6AbhJLEeIBzyPyJMpE3vEHiqp/e09Zl998/hs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Ah8JsZAgAALgQAAA4AAAAAAAAAAAAAAAAALgIAAGRycy9lMm9Eb2MueG1sUEsBAi0AFAAGAAgA&#10;AAAhAL4fCrfaAAAABQEAAA8AAAAAAAAAAAAAAAAAcwQAAGRycy9kb3ducmV2LnhtbFBLBQYAAAAA&#10;BAAEAPMAAAB6BQAAAAA=&#10;" o:allowincell="f" filled="f" stroked="f" strokeweight=".5pt">
              <v:textbox inset=",0,,0">
                <w:txbxContent>
                  <w:p w14:paraId="20CCEA78" w14:textId="77777777" w:rsidR="008F7730" w:rsidRPr="008E4C9E" w:rsidRDefault="008F7730" w:rsidP="008F7730">
                    <w:pPr>
                      <w:spacing w:after="0"/>
                      <w:jc w:val="center"/>
                      <w:rPr>
                        <w:rFonts w:ascii="Calibri" w:hAnsi="Calibri" w:cs="Calibri"/>
                        <w:sz w:val="24"/>
                      </w:rPr>
                    </w:pPr>
                    <w:r w:rsidRPr="008E4C9E">
                      <w:rPr>
                        <w:rFonts w:ascii="Calibri" w:hAnsi="Calibri" w:cs="Calibri"/>
                        <w:sz w:val="24"/>
                      </w:rPr>
                      <w:t>OFFICIAL</w:t>
                    </w:r>
                  </w:p>
                </w:txbxContent>
              </v:textbox>
              <w10:wrap anchorx="page" anchory="page"/>
            </v:shape>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B3E51" w14:textId="5DCB0ABA" w:rsidR="00DA3DA7" w:rsidRDefault="00DA3DA7">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1F94B" w14:textId="2C8F6B12" w:rsidR="002432C3" w:rsidRDefault="00281E08" w:rsidP="005A7C60">
    <w:pPr>
      <w:tabs>
        <w:tab w:val="left" w:pos="1290"/>
      </w:tabs>
      <w:ind w:left="709"/>
    </w:pPr>
    <w:r>
      <w:rPr>
        <w:noProof/>
      </w:rPr>
      <w:drawing>
        <wp:anchor distT="0" distB="0" distL="114300" distR="114300" simplePos="0" relativeHeight="251633664" behindDoc="1" locked="0" layoutInCell="1" allowOverlap="1" wp14:anchorId="32B08AC9" wp14:editId="05820847">
          <wp:simplePos x="0" y="0"/>
          <wp:positionH relativeFrom="page">
            <wp:posOffset>0</wp:posOffset>
          </wp:positionH>
          <wp:positionV relativeFrom="paragraph">
            <wp:posOffset>-449249</wp:posOffset>
          </wp:positionV>
          <wp:extent cx="7558763" cy="10691992"/>
          <wp:effectExtent l="0" t="0" r="4445" b="0"/>
          <wp:wrapNone/>
          <wp:docPr id="195759914" name="Picture 19575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1991" name="Picture 1756631991"/>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2"/>
                  </a:xfrm>
                  <a:prstGeom prst="rect">
                    <a:avLst/>
                  </a:prstGeom>
                </pic:spPr>
              </pic:pic>
            </a:graphicData>
          </a:graphic>
          <wp14:sizeRelH relativeFrom="page">
            <wp14:pctWidth>0</wp14:pctWidth>
          </wp14:sizeRelH>
          <wp14:sizeRelV relativeFrom="page">
            <wp14:pctHeight>0</wp14:pctHeight>
          </wp14:sizeRelV>
        </wp:anchor>
      </w:drawing>
    </w:r>
    <w:r w:rsidR="005A7C60">
      <w:tab/>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3B41" w14:textId="12196359" w:rsidR="00F97DEE" w:rsidRDefault="00F97DEE" w:rsidP="005A7C60">
    <w:pPr>
      <w:pStyle w:val="Header"/>
      <w:tabs>
        <w:tab w:val="clear" w:pos="4513"/>
        <w:tab w:val="clear" w:pos="9026"/>
        <w:tab w:val="left" w:pos="3030"/>
      </w:tabs>
      <w:ind w:left="426"/>
    </w:pPr>
    <w:r>
      <w:rPr>
        <w:noProof/>
      </w:rPr>
      <w:drawing>
        <wp:anchor distT="0" distB="0" distL="114300" distR="114300" simplePos="0" relativeHeight="251638784" behindDoc="1" locked="0" layoutInCell="1" allowOverlap="1" wp14:anchorId="635F9076" wp14:editId="29C64102">
          <wp:simplePos x="0" y="0"/>
          <wp:positionH relativeFrom="page">
            <wp:align>left</wp:align>
          </wp:positionH>
          <wp:positionV relativeFrom="paragraph">
            <wp:posOffset>-457749</wp:posOffset>
          </wp:positionV>
          <wp:extent cx="7558763" cy="10691993"/>
          <wp:effectExtent l="0" t="0" r="4445" b="0"/>
          <wp:wrapNone/>
          <wp:docPr id="907002466" name="Picture 90700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8870" name="Picture 76668870"/>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r w:rsidR="005A7C60">
      <w:tab/>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5EF97" w14:textId="7F34E8A8" w:rsidR="00DA3DA7" w:rsidRDefault="00DA3DA7">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687DC" w14:textId="1A9FF571" w:rsidR="00F97DEE" w:rsidRDefault="00F97DEE" w:rsidP="00F04DF2">
    <w:pPr>
      <w:pStyle w:val="Header"/>
      <w:ind w:left="426"/>
    </w:pPr>
    <w:r>
      <w:rPr>
        <w:noProof/>
      </w:rPr>
      <w:drawing>
        <wp:anchor distT="0" distB="0" distL="114300" distR="114300" simplePos="0" relativeHeight="251639808" behindDoc="1" locked="0" layoutInCell="1" allowOverlap="1" wp14:anchorId="0597BD9B" wp14:editId="0C127657">
          <wp:simplePos x="0" y="0"/>
          <wp:positionH relativeFrom="page">
            <wp:posOffset>0</wp:posOffset>
          </wp:positionH>
          <wp:positionV relativeFrom="paragraph">
            <wp:posOffset>-446926</wp:posOffset>
          </wp:positionV>
          <wp:extent cx="7558763" cy="10691992"/>
          <wp:effectExtent l="0" t="0" r="4445" b="0"/>
          <wp:wrapNone/>
          <wp:docPr id="1678143428" name="Picture 167814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43428" name="Picture 1678143428"/>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DF3B5" w14:textId="237A67B6" w:rsidR="00F97DEE" w:rsidRDefault="00F97DEE" w:rsidP="00F04DF2">
    <w:pPr>
      <w:pStyle w:val="Header"/>
      <w:ind w:left="426"/>
    </w:pPr>
    <w:r>
      <w:rPr>
        <w:noProof/>
      </w:rPr>
      <w:drawing>
        <wp:anchor distT="0" distB="0" distL="114300" distR="114300" simplePos="0" relativeHeight="251640832" behindDoc="1" locked="0" layoutInCell="1" allowOverlap="1" wp14:anchorId="29E98590" wp14:editId="208E5811">
          <wp:simplePos x="0" y="0"/>
          <wp:positionH relativeFrom="page">
            <wp:posOffset>0</wp:posOffset>
          </wp:positionH>
          <wp:positionV relativeFrom="paragraph">
            <wp:posOffset>-449249</wp:posOffset>
          </wp:positionV>
          <wp:extent cx="7558763" cy="10691992"/>
          <wp:effectExtent l="0" t="0" r="4445" b="0"/>
          <wp:wrapNone/>
          <wp:docPr id="1882545617" name="Picture 188254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1994" name="Picture 1756631994"/>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8C8A5" w14:textId="6E5880DC" w:rsidR="00F97DEE" w:rsidRDefault="00F97DEE" w:rsidP="00F04DF2">
    <w:pPr>
      <w:pStyle w:val="Header"/>
      <w:ind w:left="426"/>
    </w:pPr>
    <w:r>
      <w:rPr>
        <w:noProof/>
      </w:rPr>
      <w:drawing>
        <wp:anchor distT="0" distB="0" distL="114300" distR="114300" simplePos="0" relativeHeight="251641856" behindDoc="1" locked="0" layoutInCell="1" allowOverlap="1" wp14:anchorId="4640C590" wp14:editId="55D1142E">
          <wp:simplePos x="0" y="0"/>
          <wp:positionH relativeFrom="page">
            <wp:posOffset>0</wp:posOffset>
          </wp:positionH>
          <wp:positionV relativeFrom="paragraph">
            <wp:posOffset>-447675</wp:posOffset>
          </wp:positionV>
          <wp:extent cx="7558404" cy="10691484"/>
          <wp:effectExtent l="0" t="0" r="5080" b="0"/>
          <wp:wrapNone/>
          <wp:docPr id="774219283" name="Picture 77421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19283" name="Picture 774219283"/>
                  <pic:cNvPicPr/>
                </pic:nvPicPr>
                <pic:blipFill>
                  <a:blip r:embed="rId1">
                    <a:extLst>
                      <a:ext uri="{28A0092B-C50C-407E-A947-70E740481C1C}">
                        <a14:useLocalDpi xmlns:a14="http://schemas.microsoft.com/office/drawing/2010/main" val="0"/>
                      </a:ext>
                    </a:extLst>
                  </a:blip>
                  <a:stretch>
                    <a:fillRect/>
                  </a:stretch>
                </pic:blipFill>
                <pic:spPr>
                  <a:xfrm>
                    <a:off x="0" y="0"/>
                    <a:ext cx="7558404" cy="10691484"/>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043F8" w14:textId="11254AE3" w:rsidR="00DA3DA7" w:rsidRDefault="00DA3DA7">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0A97" w14:textId="700A33F5" w:rsidR="00DA3DA7" w:rsidRDefault="003A0EBF">
    <w:pPr>
      <w:pStyle w:val="Header"/>
    </w:pPr>
    <w:r>
      <w:rPr>
        <w:noProof/>
      </w:rPr>
      <w:drawing>
        <wp:anchor distT="0" distB="0" distL="114300" distR="114300" simplePos="0" relativeHeight="251712512" behindDoc="1" locked="0" layoutInCell="1" allowOverlap="1" wp14:anchorId="52781E49" wp14:editId="38752AD7">
          <wp:simplePos x="0" y="0"/>
          <wp:positionH relativeFrom="page">
            <wp:posOffset>0</wp:posOffset>
          </wp:positionH>
          <wp:positionV relativeFrom="paragraph">
            <wp:posOffset>-457200</wp:posOffset>
          </wp:positionV>
          <wp:extent cx="7558404" cy="10691484"/>
          <wp:effectExtent l="0" t="0" r="5080" b="0"/>
          <wp:wrapNone/>
          <wp:docPr id="1007322064" name="Picture 100732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22064" name="Picture 1007322064"/>
                  <pic:cNvPicPr/>
                </pic:nvPicPr>
                <pic:blipFill>
                  <a:blip r:embed="rId1">
                    <a:extLst>
                      <a:ext uri="{28A0092B-C50C-407E-A947-70E740481C1C}">
                        <a14:useLocalDpi xmlns:a14="http://schemas.microsoft.com/office/drawing/2010/main" val="0"/>
                      </a:ext>
                    </a:extLst>
                  </a:blip>
                  <a:stretch>
                    <a:fillRect/>
                  </a:stretch>
                </pic:blipFill>
                <pic:spPr>
                  <a:xfrm>
                    <a:off x="0" y="0"/>
                    <a:ext cx="7558404" cy="10691484"/>
                  </a:xfrm>
                  <a:prstGeom prst="rect">
                    <a:avLst/>
                  </a:prstGeom>
                </pic:spPr>
              </pic:pic>
            </a:graphicData>
          </a:graphic>
          <wp14:sizeRelH relativeFrom="page">
            <wp14:pctWidth>0</wp14:pctWidth>
          </wp14:sizeRelH>
          <wp14:sizeRelV relativeFrom="page">
            <wp14:pctHeight>0</wp14:pctHeight>
          </wp14:sizeRelV>
        </wp:anchor>
      </w:drawing>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B1E7" w14:textId="36FE81E5" w:rsidR="00DA3DA7" w:rsidRPr="003A0EBF" w:rsidRDefault="00A52DF0" w:rsidP="003A0EBF">
    <w:pPr>
      <w:pStyle w:val="Header"/>
    </w:pPr>
    <w:r>
      <w:rPr>
        <w:noProof/>
      </w:rPr>
      <w:drawing>
        <wp:anchor distT="0" distB="0" distL="114300" distR="114300" simplePos="0" relativeHeight="251713536" behindDoc="1" locked="0" layoutInCell="1" allowOverlap="1" wp14:anchorId="5CC9F812" wp14:editId="300EDD00">
          <wp:simplePos x="0" y="0"/>
          <wp:positionH relativeFrom="column">
            <wp:posOffset>-720090</wp:posOffset>
          </wp:positionH>
          <wp:positionV relativeFrom="paragraph">
            <wp:posOffset>-458996</wp:posOffset>
          </wp:positionV>
          <wp:extent cx="7590833" cy="10737272"/>
          <wp:effectExtent l="0" t="0" r="0" b="6985"/>
          <wp:wrapNone/>
          <wp:docPr id="46486217" name="Picture 33" descr="A white background with black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08359" name="Picture 33" descr="A white background with black dots"/>
                  <pic:cNvPicPr/>
                </pic:nvPicPr>
                <pic:blipFill>
                  <a:blip r:embed="rId1">
                    <a:extLst>
                      <a:ext uri="{28A0092B-C50C-407E-A947-70E740481C1C}">
                        <a14:useLocalDpi xmlns:a14="http://schemas.microsoft.com/office/drawing/2010/main" val="0"/>
                      </a:ext>
                    </a:extLst>
                  </a:blip>
                  <a:stretch>
                    <a:fillRect/>
                  </a:stretch>
                </pic:blipFill>
                <pic:spPr>
                  <a:xfrm>
                    <a:off x="0" y="0"/>
                    <a:ext cx="7590833" cy="10737272"/>
                  </a:xfrm>
                  <a:prstGeom prst="rect">
                    <a:avLst/>
                  </a:prstGeom>
                </pic:spPr>
              </pic:pic>
            </a:graphicData>
          </a:graphic>
          <wp14:sizeRelH relativeFrom="page">
            <wp14:pctWidth>0</wp14:pctWidth>
          </wp14:sizeRelH>
          <wp14:sizeRelV relativeFrom="page">
            <wp14:pctHeight>0</wp14:pctHeight>
          </wp14:sizeRelV>
        </wp:anchor>
      </w:drawing>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4ADC" w14:textId="454FDE73" w:rsidR="00DA3DA7" w:rsidRDefault="00DA3DA7">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C4D9" w14:textId="34FF7E70" w:rsidR="001B30D0" w:rsidRDefault="001B30D0">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7E51A" w14:textId="43A47505" w:rsidR="00A54980" w:rsidRDefault="00A54980" w:rsidP="00F04DF2">
    <w:pPr>
      <w:pStyle w:val="Header"/>
      <w:ind w:left="426"/>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43413" w14:textId="33C924DD" w:rsidR="00DA3DA7" w:rsidRDefault="00DA3DA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6136F" w14:textId="11409EBF" w:rsidR="007608E7" w:rsidRDefault="000B469A" w:rsidP="00256788">
    <w:pPr>
      <w:pStyle w:val="Header"/>
      <w:tabs>
        <w:tab w:val="clear" w:pos="4513"/>
        <w:tab w:val="clear" w:pos="9026"/>
        <w:tab w:val="left" w:pos="1553"/>
        <w:tab w:val="right" w:pos="9638"/>
      </w:tabs>
    </w:pPr>
    <w:r>
      <w:rPr>
        <w:noProof/>
      </w:rPr>
      <w:drawing>
        <wp:anchor distT="0" distB="0" distL="114300" distR="114300" simplePos="0" relativeHeight="251604992" behindDoc="1" locked="0" layoutInCell="1" allowOverlap="1" wp14:anchorId="7E233552" wp14:editId="41F68A70">
          <wp:simplePos x="0" y="0"/>
          <wp:positionH relativeFrom="page">
            <wp:posOffset>0</wp:posOffset>
          </wp:positionH>
          <wp:positionV relativeFrom="paragraph">
            <wp:posOffset>-441297</wp:posOffset>
          </wp:positionV>
          <wp:extent cx="7558765" cy="10691995"/>
          <wp:effectExtent l="0" t="0" r="4445" b="0"/>
          <wp:wrapNone/>
          <wp:docPr id="2112338486" name="Picture 211233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 name="Picture 2977"/>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461734">
      <w:tab/>
    </w:r>
    <w:r w:rsidR="00256788">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07B2D" w14:textId="3B64774E" w:rsidR="00DA3DA7" w:rsidRDefault="000B469A" w:rsidP="00256788">
    <w:pPr>
      <w:pStyle w:val="Header"/>
      <w:tabs>
        <w:tab w:val="clear" w:pos="4513"/>
        <w:tab w:val="clear" w:pos="9026"/>
        <w:tab w:val="left" w:pos="1114"/>
        <w:tab w:val="left" w:pos="1791"/>
      </w:tabs>
    </w:pPr>
    <w:r>
      <w:rPr>
        <w:noProof/>
      </w:rPr>
      <w:drawing>
        <wp:anchor distT="0" distB="0" distL="114300" distR="114300" simplePos="0" relativeHeight="251606016" behindDoc="1" locked="0" layoutInCell="1" allowOverlap="1" wp14:anchorId="73AA1DC3" wp14:editId="649287BF">
          <wp:simplePos x="0" y="0"/>
          <wp:positionH relativeFrom="page">
            <wp:posOffset>7951</wp:posOffset>
          </wp:positionH>
          <wp:positionV relativeFrom="paragraph">
            <wp:posOffset>-449249</wp:posOffset>
          </wp:positionV>
          <wp:extent cx="7558765" cy="10691995"/>
          <wp:effectExtent l="0" t="0" r="4445" b="0"/>
          <wp:wrapNone/>
          <wp:docPr id="2050627174" name="Picture 205062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 name="Picture 2997"/>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83148A">
      <w:tab/>
    </w:r>
    <w:r w:rsidR="00256788">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2BA1B" w14:textId="473A88E4" w:rsidR="00DA3DA7" w:rsidRDefault="00DA3DA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9202" w14:textId="4EA7F908" w:rsidR="000442BE" w:rsidRDefault="00697C54">
    <w:pPr>
      <w:pStyle w:val="Header"/>
    </w:pPr>
    <w:r>
      <w:rPr>
        <w:noProof/>
      </w:rPr>
      <w:drawing>
        <wp:anchor distT="0" distB="0" distL="114300" distR="114300" simplePos="0" relativeHeight="251706368" behindDoc="1" locked="0" layoutInCell="1" allowOverlap="1" wp14:anchorId="1D0983EC" wp14:editId="29BA08BE">
          <wp:simplePos x="0" y="0"/>
          <wp:positionH relativeFrom="column">
            <wp:posOffset>-720090</wp:posOffset>
          </wp:positionH>
          <wp:positionV relativeFrom="paragraph">
            <wp:posOffset>-481054</wp:posOffset>
          </wp:positionV>
          <wp:extent cx="7557272" cy="10694504"/>
          <wp:effectExtent l="0" t="0" r="5715" b="0"/>
          <wp:wrapNone/>
          <wp:docPr id="7826334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86111" name="Picture 1689186111"/>
                  <pic:cNvPicPr/>
                </pic:nvPicPr>
                <pic:blipFill>
                  <a:blip r:embed="rId1">
                    <a:extLst>
                      <a:ext uri="{28A0092B-C50C-407E-A947-70E740481C1C}">
                        <a14:useLocalDpi xmlns:a14="http://schemas.microsoft.com/office/drawing/2010/main" val="0"/>
                      </a:ext>
                    </a:extLst>
                  </a:blip>
                  <a:stretch>
                    <a:fillRect/>
                  </a:stretch>
                </pic:blipFill>
                <pic:spPr>
                  <a:xfrm>
                    <a:off x="0" y="0"/>
                    <a:ext cx="7567274" cy="10708658"/>
                  </a:xfrm>
                  <a:prstGeom prst="rect">
                    <a:avLst/>
                  </a:prstGeom>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C661" w14:textId="06590589" w:rsidR="000442BE" w:rsidRDefault="000442BE">
    <w:pPr>
      <w:pStyle w:val="Header"/>
    </w:pPr>
    <w:r>
      <w:rPr>
        <w:noProof/>
      </w:rPr>
      <w:drawing>
        <wp:anchor distT="0" distB="0" distL="114300" distR="114300" simplePos="0" relativeHeight="251550720" behindDoc="1" locked="0" layoutInCell="1" allowOverlap="1" wp14:anchorId="0E4976A7" wp14:editId="5BE4D38A">
          <wp:simplePos x="0" y="0"/>
          <wp:positionH relativeFrom="page">
            <wp:posOffset>4445</wp:posOffset>
          </wp:positionH>
          <wp:positionV relativeFrom="paragraph">
            <wp:posOffset>-452120</wp:posOffset>
          </wp:positionV>
          <wp:extent cx="7558765" cy="10691996"/>
          <wp:effectExtent l="0" t="0" r="4445" b="0"/>
          <wp:wrapNone/>
          <wp:docPr id="694364878" name="Picture 69436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6"/>
                  </a:xfrm>
                  <a:prstGeom prst="rect">
                    <a:avLst/>
                  </a:prstGeom>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9372A" w14:textId="6966F7E4" w:rsidR="00DA3DA7" w:rsidRDefault="00DA3DA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028A9" w14:textId="564C89DE" w:rsidR="00DA3DA7" w:rsidRDefault="00DA3D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7D106" w14:textId="2E8EA2BB" w:rsidR="005F42AC" w:rsidRPr="000E0E28" w:rsidRDefault="000C38A8" w:rsidP="000E0E28">
    <w:pPr>
      <w:pStyle w:val="Header"/>
      <w:tabs>
        <w:tab w:val="clear" w:pos="4513"/>
        <w:tab w:val="clear" w:pos="9026"/>
        <w:tab w:val="left" w:pos="3554"/>
      </w:tabs>
      <w:rPr>
        <w:b/>
        <w:bCs/>
        <w:sz w:val="22"/>
        <w:szCs w:val="24"/>
      </w:rPr>
    </w:pPr>
    <w:r>
      <w:rPr>
        <w:noProof/>
      </w:rPr>
      <w:drawing>
        <wp:anchor distT="0" distB="0" distL="114300" distR="114300" simplePos="0" relativeHeight="251687936" behindDoc="1" locked="0" layoutInCell="1" allowOverlap="1" wp14:anchorId="50A6C3EA" wp14:editId="34EC2003">
          <wp:simplePos x="0" y="0"/>
          <wp:positionH relativeFrom="column">
            <wp:posOffset>-824230</wp:posOffset>
          </wp:positionH>
          <wp:positionV relativeFrom="paragraph">
            <wp:posOffset>-468409</wp:posOffset>
          </wp:positionV>
          <wp:extent cx="7604747" cy="10757038"/>
          <wp:effectExtent l="0" t="0" r="0" b="6350"/>
          <wp:wrapNone/>
          <wp:docPr id="1394798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3744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04747" cy="10757038"/>
                  </a:xfrm>
                  <a:prstGeom prst="rect">
                    <a:avLst/>
                  </a:prstGeom>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5C75" w14:textId="217EEB01" w:rsidR="000442BE" w:rsidRDefault="000B469A">
    <w:r>
      <w:rPr>
        <w:noProof/>
      </w:rPr>
      <w:drawing>
        <wp:anchor distT="0" distB="0" distL="114300" distR="114300" simplePos="0" relativeHeight="251607040" behindDoc="1" locked="0" layoutInCell="1" allowOverlap="1" wp14:anchorId="552A3DF2" wp14:editId="3FADC524">
          <wp:simplePos x="0" y="0"/>
          <wp:positionH relativeFrom="page">
            <wp:posOffset>-15903</wp:posOffset>
          </wp:positionH>
          <wp:positionV relativeFrom="paragraph">
            <wp:posOffset>-449249</wp:posOffset>
          </wp:positionV>
          <wp:extent cx="7558765" cy="10691995"/>
          <wp:effectExtent l="0" t="0" r="4445" b="0"/>
          <wp:wrapNone/>
          <wp:docPr id="2000677461" name="Picture 200067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42880" name="Picture 1046842880"/>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01451" w14:textId="2036183C" w:rsidR="00DA3DA7" w:rsidRDefault="00DA3DA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6FCF6" w14:textId="2627455F" w:rsidR="00DA3DA7" w:rsidRDefault="00CE578F">
    <w:pPr>
      <w:pStyle w:val="Header"/>
    </w:pPr>
    <w:r>
      <w:rPr>
        <w:noProof/>
      </w:rPr>
      <w:drawing>
        <wp:anchor distT="0" distB="0" distL="114300" distR="114300" simplePos="0" relativeHeight="251664384" behindDoc="1" locked="0" layoutInCell="1" allowOverlap="1" wp14:anchorId="4B9D0AE1" wp14:editId="6AE348B2">
          <wp:simplePos x="0" y="0"/>
          <wp:positionH relativeFrom="page">
            <wp:posOffset>1905</wp:posOffset>
          </wp:positionH>
          <wp:positionV relativeFrom="paragraph">
            <wp:posOffset>-455457</wp:posOffset>
          </wp:positionV>
          <wp:extent cx="7558765" cy="10691997"/>
          <wp:effectExtent l="0" t="0" r="0" b="0"/>
          <wp:wrapNone/>
          <wp:docPr id="784763139" name="Picture 78476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A7BBB" w14:textId="721F605B" w:rsidR="00DA3DA7" w:rsidRDefault="00DA3DA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28AFB" w14:textId="4C6BD146" w:rsidR="00DA3DA7" w:rsidRDefault="00DA3DA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9CD04" w14:textId="0169E203" w:rsidR="00DA3DA7" w:rsidRDefault="00256788" w:rsidP="00461734">
    <w:pPr>
      <w:pStyle w:val="Header"/>
      <w:tabs>
        <w:tab w:val="clear" w:pos="4513"/>
        <w:tab w:val="clear" w:pos="9026"/>
        <w:tab w:val="left" w:pos="1916"/>
      </w:tabs>
    </w:pPr>
    <w:r>
      <w:rPr>
        <w:noProof/>
      </w:rPr>
      <w:drawing>
        <wp:anchor distT="0" distB="0" distL="114300" distR="114300" simplePos="0" relativeHeight="251693056" behindDoc="1" locked="0" layoutInCell="1" allowOverlap="1" wp14:anchorId="403364AF" wp14:editId="5441B5B4">
          <wp:simplePos x="0" y="0"/>
          <wp:positionH relativeFrom="column">
            <wp:posOffset>6985000</wp:posOffset>
          </wp:positionH>
          <wp:positionV relativeFrom="paragraph">
            <wp:posOffset>-448945</wp:posOffset>
          </wp:positionV>
          <wp:extent cx="7576185" cy="10716895"/>
          <wp:effectExtent l="0" t="0" r="5715" b="8255"/>
          <wp:wrapNone/>
          <wp:docPr id="612076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79927"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6185" cy="10716895"/>
                  </a:xfrm>
                  <a:prstGeom prst="rect">
                    <a:avLst/>
                  </a:prstGeom>
                </pic:spPr>
              </pic:pic>
            </a:graphicData>
          </a:graphic>
          <wp14:sizeRelH relativeFrom="page">
            <wp14:pctWidth>0</wp14:pctWidth>
          </wp14:sizeRelH>
          <wp14:sizeRelV relativeFrom="page">
            <wp14:pctHeight>0</wp14:pctHeight>
          </wp14:sizeRelV>
        </wp:anchor>
      </w:drawing>
    </w:r>
    <w:r w:rsidR="00461734">
      <w:rPr>
        <w:noProof/>
      </w:rPr>
      <w:drawing>
        <wp:anchor distT="0" distB="0" distL="114300" distR="114300" simplePos="0" relativeHeight="251608064" behindDoc="1" locked="0" layoutInCell="1" allowOverlap="1" wp14:anchorId="1F8EDE3D" wp14:editId="280434BB">
          <wp:simplePos x="0" y="0"/>
          <wp:positionH relativeFrom="page">
            <wp:posOffset>7951</wp:posOffset>
          </wp:positionH>
          <wp:positionV relativeFrom="paragraph">
            <wp:posOffset>-457200</wp:posOffset>
          </wp:positionV>
          <wp:extent cx="7558765" cy="10691995"/>
          <wp:effectExtent l="0" t="0" r="4445" b="0"/>
          <wp:wrapNone/>
          <wp:docPr id="715046975" name="Picture 71504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461734">
      <w:rPr>
        <w:noProof/>
      </w:rPr>
      <w:drawing>
        <wp:anchor distT="0" distB="0" distL="114300" distR="114300" simplePos="0" relativeHeight="251609088" behindDoc="1" locked="0" layoutInCell="1" allowOverlap="1" wp14:anchorId="26906514" wp14:editId="33F66F0F">
          <wp:simplePos x="0" y="0"/>
          <wp:positionH relativeFrom="page">
            <wp:posOffset>7689215</wp:posOffset>
          </wp:positionH>
          <wp:positionV relativeFrom="paragraph">
            <wp:posOffset>-448945</wp:posOffset>
          </wp:positionV>
          <wp:extent cx="7558405" cy="10691495"/>
          <wp:effectExtent l="0" t="0" r="4445" b="0"/>
          <wp:wrapNone/>
          <wp:docPr id="1007874133" name="Picture 100787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sidR="00461734">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B885C" w14:textId="060A2C4F" w:rsidR="00DA3DA7" w:rsidRDefault="00CE578F">
    <w:pPr>
      <w:pStyle w:val="Header"/>
    </w:pPr>
    <w:r>
      <w:rPr>
        <w:noProof/>
      </w:rPr>
      <w:drawing>
        <wp:anchor distT="0" distB="0" distL="114300" distR="114300" simplePos="0" relativeHeight="251665408" behindDoc="1" locked="0" layoutInCell="1" allowOverlap="1" wp14:anchorId="4F527BD6" wp14:editId="7FF39E6D">
          <wp:simplePos x="0" y="0"/>
          <wp:positionH relativeFrom="page">
            <wp:posOffset>2540</wp:posOffset>
          </wp:positionH>
          <wp:positionV relativeFrom="paragraph">
            <wp:posOffset>-455457</wp:posOffset>
          </wp:positionV>
          <wp:extent cx="7558765" cy="10691997"/>
          <wp:effectExtent l="0" t="0" r="4445" b="0"/>
          <wp:wrapNone/>
          <wp:docPr id="1798843225" name="Picture 179884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0675E" w14:textId="38C0831D" w:rsidR="00DA3DA7" w:rsidRDefault="00DA3DA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E99A" w14:textId="6E351C6C" w:rsidR="00DA3DA7" w:rsidRDefault="00CE578F">
    <w:pPr>
      <w:pStyle w:val="Header"/>
    </w:pPr>
    <w:r>
      <w:rPr>
        <w:noProof/>
      </w:rPr>
      <w:drawing>
        <wp:anchor distT="0" distB="0" distL="114300" distR="114300" simplePos="0" relativeHeight="251666432" behindDoc="1" locked="0" layoutInCell="1" allowOverlap="1" wp14:anchorId="06903BBF" wp14:editId="0F275310">
          <wp:simplePos x="0" y="0"/>
          <wp:positionH relativeFrom="page">
            <wp:posOffset>5242</wp:posOffset>
          </wp:positionH>
          <wp:positionV relativeFrom="paragraph">
            <wp:posOffset>-456579</wp:posOffset>
          </wp:positionV>
          <wp:extent cx="7558765" cy="10691997"/>
          <wp:effectExtent l="0" t="0" r="0" b="0"/>
          <wp:wrapNone/>
          <wp:docPr id="514950252" name="Picture 51495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1A842" w14:textId="17342BD1" w:rsidR="00DA3DA7" w:rsidRDefault="00256788" w:rsidP="00256788">
    <w:pPr>
      <w:pStyle w:val="Header"/>
      <w:tabs>
        <w:tab w:val="clear" w:pos="4513"/>
        <w:tab w:val="clear" w:pos="9026"/>
        <w:tab w:val="left" w:pos="2993"/>
      </w:tabs>
    </w:pPr>
    <w:r>
      <w:rPr>
        <w:noProof/>
      </w:rPr>
      <w:drawing>
        <wp:anchor distT="0" distB="0" distL="114300" distR="114300" simplePos="0" relativeHeight="251695104" behindDoc="1" locked="0" layoutInCell="1" allowOverlap="1" wp14:anchorId="4781A11B" wp14:editId="4353D83B">
          <wp:simplePos x="0" y="0"/>
          <wp:positionH relativeFrom="column">
            <wp:posOffset>-712139</wp:posOffset>
          </wp:positionH>
          <wp:positionV relativeFrom="paragraph">
            <wp:posOffset>-449249</wp:posOffset>
          </wp:positionV>
          <wp:extent cx="7569642" cy="10707297"/>
          <wp:effectExtent l="0" t="0" r="0" b="0"/>
          <wp:wrapNone/>
          <wp:docPr id="20492398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03744" name="Picture 1649503744"/>
                  <pic:cNvPicPr/>
                </pic:nvPicPr>
                <pic:blipFill>
                  <a:blip r:embed="rId1">
                    <a:extLst>
                      <a:ext uri="{28A0092B-C50C-407E-A947-70E740481C1C}">
                        <a14:useLocalDpi xmlns:a14="http://schemas.microsoft.com/office/drawing/2010/main" val="0"/>
                      </a:ext>
                    </a:extLst>
                  </a:blip>
                  <a:stretch>
                    <a:fillRect/>
                  </a:stretch>
                </pic:blipFill>
                <pic:spPr>
                  <a:xfrm>
                    <a:off x="0" y="0"/>
                    <a:ext cx="7572094" cy="10710766"/>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85A3" w14:textId="2D876C6A" w:rsidR="000442BE" w:rsidRDefault="00277508" w:rsidP="006B2E21">
    <w:pPr>
      <w:pStyle w:val="Header"/>
      <w:tabs>
        <w:tab w:val="clear" w:pos="4513"/>
        <w:tab w:val="clear" w:pos="9026"/>
        <w:tab w:val="left" w:pos="2104"/>
      </w:tabs>
    </w:pPr>
    <w:r>
      <w:rPr>
        <w:noProof/>
      </w:rPr>
      <w:drawing>
        <wp:anchor distT="0" distB="0" distL="114300" distR="114300" simplePos="0" relativeHeight="251709440" behindDoc="1" locked="0" layoutInCell="1" allowOverlap="1" wp14:anchorId="3F56DF19" wp14:editId="6CEBA439">
          <wp:simplePos x="0" y="0"/>
          <wp:positionH relativeFrom="column">
            <wp:posOffset>-750071</wp:posOffset>
          </wp:positionH>
          <wp:positionV relativeFrom="paragraph">
            <wp:posOffset>-420235</wp:posOffset>
          </wp:positionV>
          <wp:extent cx="7555991" cy="10687987"/>
          <wp:effectExtent l="0" t="0" r="6985" b="0"/>
          <wp:wrapNone/>
          <wp:docPr id="6532079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14521" name="Picture 2017614521"/>
                  <pic:cNvPicPr/>
                </pic:nvPicPr>
                <pic:blipFill>
                  <a:blip r:embed="rId1">
                    <a:extLst>
                      <a:ext uri="{28A0092B-C50C-407E-A947-70E740481C1C}">
                        <a14:useLocalDpi xmlns:a14="http://schemas.microsoft.com/office/drawing/2010/main" val="0"/>
                      </a:ext>
                    </a:extLst>
                  </a:blip>
                  <a:stretch>
                    <a:fillRect/>
                  </a:stretch>
                </pic:blipFill>
                <pic:spPr>
                  <a:xfrm>
                    <a:off x="0" y="0"/>
                    <a:ext cx="7560429" cy="10694265"/>
                  </a:xfrm>
                  <a:prstGeom prst="rect">
                    <a:avLst/>
                  </a:prstGeom>
                </pic:spPr>
              </pic:pic>
            </a:graphicData>
          </a:graphic>
          <wp14:sizeRelH relativeFrom="page">
            <wp14:pctWidth>0</wp14:pctWidth>
          </wp14:sizeRelH>
          <wp14:sizeRelV relativeFrom="page">
            <wp14:pctHeight>0</wp14:pctHeight>
          </wp14:sizeRelV>
        </wp:anchor>
      </w:drawing>
    </w:r>
    <w:r w:rsidR="006B2E21">
      <w:tab/>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A78BE" w14:textId="1462ED66" w:rsidR="00DA3DA7" w:rsidRDefault="00DA3DA7">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4F9FD" w14:textId="7A9BBDAA" w:rsidR="00D6193C" w:rsidRDefault="00B941AA" w:rsidP="002D5AE6">
    <w:pPr>
      <w:pStyle w:val="Header"/>
      <w:tabs>
        <w:tab w:val="clear" w:pos="4513"/>
        <w:tab w:val="clear" w:pos="9026"/>
        <w:tab w:val="left" w:pos="5292"/>
      </w:tabs>
    </w:pPr>
    <w:r>
      <w:rPr>
        <w:noProof/>
      </w:rPr>
      <w:drawing>
        <wp:anchor distT="0" distB="0" distL="114300" distR="114300" simplePos="0" relativeHeight="251610112" behindDoc="1" locked="0" layoutInCell="1" allowOverlap="1" wp14:anchorId="084CA181" wp14:editId="1734A0F7">
          <wp:simplePos x="0" y="0"/>
          <wp:positionH relativeFrom="page">
            <wp:posOffset>15903</wp:posOffset>
          </wp:positionH>
          <wp:positionV relativeFrom="paragraph">
            <wp:posOffset>-442264</wp:posOffset>
          </wp:positionV>
          <wp:extent cx="7558765" cy="10691995"/>
          <wp:effectExtent l="0" t="0" r="4445" b="0"/>
          <wp:wrapNone/>
          <wp:docPr id="26376895" name="Picture 2637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D6193C">
      <w:tab/>
    </w:r>
  </w:p>
  <w:p w14:paraId="6A274C74" w14:textId="7A49C1C6" w:rsidR="00D6193C" w:rsidRDefault="00D6193C"/>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2649D" w14:textId="08F0B754" w:rsidR="00D6193C" w:rsidRDefault="00CE578F">
    <w:pPr>
      <w:pStyle w:val="Header"/>
    </w:pPr>
    <w:r>
      <w:rPr>
        <w:noProof/>
      </w:rPr>
      <w:drawing>
        <wp:anchor distT="0" distB="0" distL="114300" distR="114300" simplePos="0" relativeHeight="251668480" behindDoc="1" locked="0" layoutInCell="1" allowOverlap="1" wp14:anchorId="15B5BCC1" wp14:editId="6985B4CF">
          <wp:simplePos x="0" y="0"/>
          <wp:positionH relativeFrom="page">
            <wp:posOffset>-635</wp:posOffset>
          </wp:positionH>
          <wp:positionV relativeFrom="paragraph">
            <wp:posOffset>-450043</wp:posOffset>
          </wp:positionV>
          <wp:extent cx="7558765" cy="10691997"/>
          <wp:effectExtent l="0" t="0" r="4445" b="0"/>
          <wp:wrapNone/>
          <wp:docPr id="878557519" name="Picture 87855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4D165" w14:textId="09520C64" w:rsidR="00D6193C" w:rsidRDefault="00D6193C">
    <w:pPr>
      <w:pStyle w:val="Header"/>
    </w:pPr>
    <w:r>
      <w:rPr>
        <w:noProof/>
      </w:rPr>
      <w:drawing>
        <wp:anchor distT="0" distB="0" distL="114300" distR="114300" simplePos="0" relativeHeight="251565056" behindDoc="1" locked="0" layoutInCell="1" allowOverlap="1" wp14:anchorId="5E986A46" wp14:editId="1831F585">
          <wp:simplePos x="0" y="0"/>
          <wp:positionH relativeFrom="page">
            <wp:align>left</wp:align>
          </wp:positionH>
          <wp:positionV relativeFrom="paragraph">
            <wp:posOffset>-448310</wp:posOffset>
          </wp:positionV>
          <wp:extent cx="7558767" cy="10691999"/>
          <wp:effectExtent l="0" t="0" r="4445" b="0"/>
          <wp:wrapNone/>
          <wp:docPr id="1104172707" name="Picture 110417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4032" behindDoc="1" locked="0" layoutInCell="1" allowOverlap="1" wp14:anchorId="4FA4ACFB" wp14:editId="7B8D05D4">
          <wp:simplePos x="0" y="0"/>
          <wp:positionH relativeFrom="column">
            <wp:posOffset>6985635</wp:posOffset>
          </wp:positionH>
          <wp:positionV relativeFrom="paragraph">
            <wp:posOffset>-450215</wp:posOffset>
          </wp:positionV>
          <wp:extent cx="7558405" cy="10691495"/>
          <wp:effectExtent l="0" t="0" r="4445" b="0"/>
          <wp:wrapNone/>
          <wp:docPr id="1166573523" name="Picture 116657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757D" w14:textId="0A6ED4C9" w:rsidR="00D6193C" w:rsidRDefault="008B2D3B" w:rsidP="00BB5386">
    <w:pPr>
      <w:pStyle w:val="Header"/>
    </w:pPr>
    <w:r>
      <w:rPr>
        <w:noProof/>
      </w:rPr>
      <mc:AlternateContent>
        <mc:Choice Requires="wps">
          <w:drawing>
            <wp:anchor distT="0" distB="0" distL="114300" distR="114300" simplePos="0" relativeHeight="251579392" behindDoc="0" locked="0" layoutInCell="0" allowOverlap="1" wp14:anchorId="43B9EAAA" wp14:editId="4E6C4DCE">
              <wp:simplePos x="0" y="0"/>
              <wp:positionH relativeFrom="page">
                <wp:posOffset>0</wp:posOffset>
              </wp:positionH>
              <wp:positionV relativeFrom="page">
                <wp:posOffset>10758</wp:posOffset>
              </wp:positionV>
              <wp:extent cx="7772400" cy="463550"/>
              <wp:effectExtent l="0" t="0" r="0" b="12700"/>
              <wp:wrapNone/>
              <wp:docPr id="51"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06F854" w14:textId="77777777" w:rsidR="008B2D3B" w:rsidRPr="008E4C9E" w:rsidRDefault="008B2D3B" w:rsidP="008B2D3B">
                          <w:pPr>
                            <w:spacing w:after="0"/>
                            <w:jc w:val="center"/>
                            <w:rPr>
                              <w:rFonts w:ascii="Calibri" w:hAnsi="Calibri" w:cs="Calibri"/>
                              <w:sz w:val="24"/>
                            </w:rPr>
                          </w:pPr>
                          <w:r w:rsidRPr="008E4C9E">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B9EAAA" id="_x0000_t202" coordsize="21600,21600" o:spt="202" path="m,l,21600r21600,l21600,xe">
              <v:stroke joinstyle="miter"/>
              <v:path gradientshapeok="t" o:connecttype="rect"/>
            </v:shapetype>
            <v:shape id="_x0000_s1054" type="#_x0000_t202" alt="{&quot;HashCode&quot;:431350885,&quot;Height&quot;:9999999.0,&quot;Width&quot;:9999999.0,&quot;Placement&quot;:&quot;Header&quot;,&quot;Index&quot;:&quot;Primary&quot;,&quot;Section&quot;:8,&quot;Top&quot;:0.0,&quot;Left&quot;:0.0}" style="position:absolute;margin-left:0;margin-top:.85pt;width:612pt;height:36.5pt;z-index:2515804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" o:allowincell="f" filled="f" stroked="f" strokeweight=".5pt">
              <v:textbox inset=",0,,0">
                <w:txbxContent>
                  <w:p w14:paraId="7906F854" w14:textId="77777777" w:rsidR="008B2D3B" w:rsidRPr="008E4C9E" w:rsidRDefault="008B2D3B" w:rsidP="008B2D3B">
                    <w:pPr>
                      <w:spacing w:after="0"/>
                      <w:jc w:val="center"/>
                      <w:rPr>
                        <w:rFonts w:ascii="Calibri" w:hAnsi="Calibri" w:cs="Calibri"/>
                        <w:sz w:val="24"/>
                      </w:rPr>
                    </w:pPr>
                    <w:r w:rsidRPr="008E4C9E">
                      <w:rPr>
                        <w:rFonts w:ascii="Calibri" w:hAnsi="Calibri" w:cs="Calibri"/>
                        <w:sz w:val="24"/>
                      </w:rPr>
                      <w:t>OFFICIAL</w:t>
                    </w:r>
                  </w:p>
                </w:txbxContent>
              </v:textbox>
              <w10:wrap anchorx="page" anchory="page"/>
            </v:shape>
          </w:pict>
        </mc:Fallback>
      </mc:AlternateContent>
    </w:r>
    <w:r w:rsidR="00D6193C">
      <w:rPr>
        <w:noProof/>
      </w:rPr>
      <w:drawing>
        <wp:anchor distT="0" distB="0" distL="114300" distR="114300" simplePos="0" relativeHeight="251566080" behindDoc="1" locked="0" layoutInCell="1" allowOverlap="1" wp14:anchorId="4EE9A10B" wp14:editId="73D3FEA1">
          <wp:simplePos x="0" y="0"/>
          <wp:positionH relativeFrom="page">
            <wp:posOffset>0</wp:posOffset>
          </wp:positionH>
          <wp:positionV relativeFrom="paragraph">
            <wp:posOffset>-446567</wp:posOffset>
          </wp:positionV>
          <wp:extent cx="7558765" cy="10691995"/>
          <wp:effectExtent l="0" t="0" r="4445" b="0"/>
          <wp:wrapNone/>
          <wp:docPr id="1092301758" name="Picture 109230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815FF" w14:textId="54E4A147" w:rsidR="00D6193C" w:rsidRDefault="00B941AA">
    <w:pPr>
      <w:pStyle w:val="Header"/>
    </w:pPr>
    <w:r>
      <w:rPr>
        <w:noProof/>
      </w:rPr>
      <w:drawing>
        <wp:anchor distT="0" distB="0" distL="114300" distR="114300" simplePos="0" relativeHeight="251611136" behindDoc="1" locked="0" layoutInCell="1" allowOverlap="1" wp14:anchorId="620BFDA1" wp14:editId="2359690D">
          <wp:simplePos x="0" y="0"/>
          <wp:positionH relativeFrom="page">
            <wp:posOffset>0</wp:posOffset>
          </wp:positionH>
          <wp:positionV relativeFrom="paragraph">
            <wp:posOffset>-449249</wp:posOffset>
          </wp:positionV>
          <wp:extent cx="7558765" cy="10691995"/>
          <wp:effectExtent l="0" t="0" r="4445" b="0"/>
          <wp:wrapNone/>
          <wp:docPr id="1488553485" name="Picture 148855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1845" w14:textId="03D4813E" w:rsidR="00DA3DA7" w:rsidRDefault="00DA3DA7">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1167C" w14:textId="77777777" w:rsidR="00C418E1" w:rsidRDefault="00C418E1">
    <w:pPr>
      <w:pStyle w:val="Header"/>
    </w:pPr>
    <w:r>
      <w:rPr>
        <w:noProof/>
      </w:rPr>
      <w:drawing>
        <wp:anchor distT="0" distB="0" distL="114300" distR="114300" simplePos="0" relativeHeight="251700224" behindDoc="1" locked="0" layoutInCell="1" allowOverlap="1" wp14:anchorId="023D460E" wp14:editId="7A6913DF">
          <wp:simplePos x="0" y="0"/>
          <wp:positionH relativeFrom="page">
            <wp:posOffset>0</wp:posOffset>
          </wp:positionH>
          <wp:positionV relativeFrom="paragraph">
            <wp:posOffset>-449248</wp:posOffset>
          </wp:positionV>
          <wp:extent cx="7558765" cy="10691995"/>
          <wp:effectExtent l="0" t="0" r="4445" b="0"/>
          <wp:wrapNone/>
          <wp:docPr id="1911539993" name="Picture 191153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64189" name="Picture 228064189"/>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FDA59" w14:textId="77777777" w:rsidR="00C418E1" w:rsidRDefault="00C418E1">
    <w:pPr>
      <w:pStyle w:val="Header"/>
    </w:pPr>
    <w:r>
      <w:rPr>
        <w:noProof/>
      </w:rPr>
      <w:drawing>
        <wp:anchor distT="0" distB="0" distL="114300" distR="114300" simplePos="0" relativeHeight="251701248" behindDoc="1" locked="0" layoutInCell="1" allowOverlap="1" wp14:anchorId="5D129B46" wp14:editId="2DDBC2A9">
          <wp:simplePos x="0" y="0"/>
          <wp:positionH relativeFrom="page">
            <wp:posOffset>-635</wp:posOffset>
          </wp:positionH>
          <wp:positionV relativeFrom="paragraph">
            <wp:posOffset>-456092</wp:posOffset>
          </wp:positionV>
          <wp:extent cx="7558765" cy="10691997"/>
          <wp:effectExtent l="0" t="0" r="4445" b="0"/>
          <wp:wrapNone/>
          <wp:docPr id="1967785001" name="Picture 196778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5564" w14:textId="77777777" w:rsidR="00C418E1" w:rsidRDefault="00C418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1F50A" w14:textId="77777777" w:rsidR="0045684C" w:rsidRDefault="0045684C" w:rsidP="0045684C">
    <w:pPr>
      <w:pStyle w:val="1Heading"/>
    </w:pPr>
    <w:r>
      <w:t>Contents</w:t>
    </w:r>
  </w:p>
  <w:p w14:paraId="6A13ED08" w14:textId="7BB097E1" w:rsidR="0052005E" w:rsidRDefault="00277508" w:rsidP="0083148A">
    <w:pPr>
      <w:pStyle w:val="Header"/>
      <w:tabs>
        <w:tab w:val="clear" w:pos="4513"/>
        <w:tab w:val="clear" w:pos="9026"/>
        <w:tab w:val="left" w:pos="2467"/>
      </w:tabs>
    </w:pPr>
    <w:r>
      <w:rPr>
        <w:noProof/>
      </w:rPr>
      <w:drawing>
        <wp:anchor distT="0" distB="0" distL="114300" distR="114300" simplePos="0" relativeHeight="251710464" behindDoc="1" locked="0" layoutInCell="1" allowOverlap="1" wp14:anchorId="40BF9ABC" wp14:editId="76635594">
          <wp:simplePos x="0" y="0"/>
          <wp:positionH relativeFrom="column">
            <wp:posOffset>-705100</wp:posOffset>
          </wp:positionH>
          <wp:positionV relativeFrom="paragraph">
            <wp:posOffset>4556499</wp:posOffset>
          </wp:positionV>
          <wp:extent cx="7558021" cy="5669155"/>
          <wp:effectExtent l="0" t="0" r="5080" b="8255"/>
          <wp:wrapNone/>
          <wp:docPr id="352677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93485" name="Picture 2014193485"/>
                  <pic:cNvPicPr/>
                </pic:nvPicPr>
                <pic:blipFill rotWithShape="1">
                  <a:blip r:embed="rId1">
                    <a:extLst>
                      <a:ext uri="{28A0092B-C50C-407E-A947-70E740481C1C}">
                        <a14:useLocalDpi xmlns:a14="http://schemas.microsoft.com/office/drawing/2010/main" val="0"/>
                      </a:ext>
                    </a:extLst>
                  </a:blip>
                  <a:srcRect t="46972"/>
                  <a:stretch/>
                </pic:blipFill>
                <pic:spPr bwMode="auto">
                  <a:xfrm>
                    <a:off x="0" y="0"/>
                    <a:ext cx="7559921" cy="567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69A">
      <w:rPr>
        <w:noProof/>
      </w:rPr>
      <w:drawing>
        <wp:anchor distT="0" distB="0" distL="114300" distR="114300" simplePos="0" relativeHeight="251601920" behindDoc="1" locked="0" layoutInCell="1" allowOverlap="1" wp14:anchorId="5B3E31EE" wp14:editId="674C0FA4">
          <wp:simplePos x="0" y="0"/>
          <wp:positionH relativeFrom="page">
            <wp:posOffset>7951</wp:posOffset>
          </wp:positionH>
          <wp:positionV relativeFrom="paragraph">
            <wp:posOffset>-466118</wp:posOffset>
          </wp:positionV>
          <wp:extent cx="7558765" cy="10691995"/>
          <wp:effectExtent l="0" t="0" r="4445" b="0"/>
          <wp:wrapNone/>
          <wp:docPr id="760345934" name="Picture 76034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83148A">
      <w:tab/>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4EEE1" w14:textId="502D4E75" w:rsidR="00313AE2" w:rsidRDefault="00B941AA">
    <w:pPr>
      <w:pStyle w:val="Header"/>
    </w:pPr>
    <w:r>
      <w:rPr>
        <w:noProof/>
      </w:rPr>
      <w:drawing>
        <wp:anchor distT="0" distB="0" distL="114300" distR="114300" simplePos="0" relativeHeight="251612160" behindDoc="1" locked="0" layoutInCell="1" allowOverlap="1" wp14:anchorId="5471AC5F" wp14:editId="018B465E">
          <wp:simplePos x="0" y="0"/>
          <wp:positionH relativeFrom="page">
            <wp:posOffset>0</wp:posOffset>
          </wp:positionH>
          <wp:positionV relativeFrom="paragraph">
            <wp:posOffset>-449249</wp:posOffset>
          </wp:positionV>
          <wp:extent cx="7558765" cy="10691995"/>
          <wp:effectExtent l="0" t="0" r="4445" b="0"/>
          <wp:wrapNone/>
          <wp:docPr id="1449507322" name="Picture 144950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AE386" w14:textId="497661C2" w:rsidR="00313AE2" w:rsidRDefault="00CE578F">
    <w:pPr>
      <w:pStyle w:val="Header"/>
    </w:pPr>
    <w:r>
      <w:rPr>
        <w:noProof/>
      </w:rPr>
      <w:drawing>
        <wp:anchor distT="0" distB="0" distL="114300" distR="114300" simplePos="0" relativeHeight="251669504" behindDoc="1" locked="0" layoutInCell="1" allowOverlap="1" wp14:anchorId="5D913348" wp14:editId="2868ADA5">
          <wp:simplePos x="0" y="0"/>
          <wp:positionH relativeFrom="page">
            <wp:posOffset>-635</wp:posOffset>
          </wp:positionH>
          <wp:positionV relativeFrom="paragraph">
            <wp:posOffset>-456092</wp:posOffset>
          </wp:positionV>
          <wp:extent cx="7558765" cy="10691997"/>
          <wp:effectExtent l="0" t="0" r="4445" b="0"/>
          <wp:wrapNone/>
          <wp:docPr id="1089371680" name="Picture 108937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3A28" w14:textId="77777777" w:rsidR="00313AE2" w:rsidRDefault="00313AE2">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F52B" w14:textId="77777777" w:rsidR="00313AE2" w:rsidRDefault="00313AE2">
    <w:pPr>
      <w:pStyle w:val="Header"/>
    </w:pPr>
    <w:r>
      <w:rPr>
        <w:noProof/>
      </w:rPr>
      <mc:AlternateContent>
        <mc:Choice Requires="wps">
          <w:drawing>
            <wp:anchor distT="0" distB="0" distL="114300" distR="114300" simplePos="0" relativeHeight="251586560" behindDoc="0" locked="0" layoutInCell="0" allowOverlap="1" wp14:anchorId="6799878C" wp14:editId="07F2052B">
              <wp:simplePos x="0" y="0"/>
              <wp:positionH relativeFrom="page">
                <wp:posOffset>0</wp:posOffset>
              </wp:positionH>
              <wp:positionV relativeFrom="page">
                <wp:posOffset>0</wp:posOffset>
              </wp:positionV>
              <wp:extent cx="7772400" cy="463550"/>
              <wp:effectExtent l="0" t="0" r="0" b="12700"/>
              <wp:wrapNone/>
              <wp:docPr id="1756629449"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FB44AE" w14:textId="77777777" w:rsidR="00313AE2" w:rsidRPr="008E4C9E" w:rsidRDefault="00313AE2" w:rsidP="008F7730">
                          <w:pPr>
                            <w:spacing w:after="0"/>
                            <w:jc w:val="center"/>
                            <w:rPr>
                              <w:rFonts w:ascii="Calibri" w:hAnsi="Calibri" w:cs="Calibri"/>
                              <w:sz w:val="24"/>
                            </w:rPr>
                          </w:pPr>
                          <w:r w:rsidRPr="008E4C9E">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99878C" id="_x0000_t202" coordsize="21600,21600" o:spt="202" path="m,l,21600r21600,l21600,xe">
              <v:stroke joinstyle="miter"/>
              <v:path gradientshapeok="t" o:connecttype="rect"/>
            </v:shapetype>
            <v:shape id="_x0000_s1055" type="#_x0000_t202" alt="{&quot;HashCode&quot;:431350885,&quot;Height&quot;:9999999.0,&quot;Width&quot;:9999999.0,&quot;Placement&quot;:&quot;Header&quot;,&quot;Index&quot;:&quot;Primary&quot;,&quot;Section&quot;:8,&quot;Top&quot;:0.0,&quot;Left&quot;:0.0}" style="position:absolute;margin-left:0;margin-top:0;width:612pt;height:36.5pt;z-index:2515875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7DFB44AE" w14:textId="77777777" w:rsidR="00313AE2" w:rsidRPr="008E4C9E" w:rsidRDefault="00313AE2" w:rsidP="008F7730">
                    <w:pPr>
                      <w:spacing w:after="0"/>
                      <w:jc w:val="center"/>
                      <w:rPr>
                        <w:rFonts w:ascii="Calibri" w:hAnsi="Calibri" w:cs="Calibri"/>
                        <w:sz w:val="24"/>
                      </w:rPr>
                    </w:pPr>
                    <w:r w:rsidRPr="008E4C9E">
                      <w:rPr>
                        <w:rFonts w:ascii="Calibri" w:hAnsi="Calibri" w:cs="Calibri"/>
                        <w:sz w:val="24"/>
                      </w:rPr>
                      <w:t>OFFICIAL</w:t>
                    </w:r>
                  </w:p>
                </w:txbxContent>
              </v:textbox>
              <w10:wrap anchorx="page" anchory="page"/>
            </v:shape>
          </w:pict>
        </mc:Fallback>
      </mc:AlternateContent>
    </w:r>
    <w:r>
      <w:rPr>
        <w:noProof/>
      </w:rPr>
      <w:drawing>
        <wp:anchor distT="0" distB="0" distL="114300" distR="114300" simplePos="0" relativeHeight="251585536" behindDoc="1" locked="0" layoutInCell="1" allowOverlap="1" wp14:anchorId="6ABCE709" wp14:editId="6BF828BF">
          <wp:simplePos x="0" y="0"/>
          <wp:positionH relativeFrom="page">
            <wp:align>right</wp:align>
          </wp:positionH>
          <wp:positionV relativeFrom="paragraph">
            <wp:posOffset>-457200</wp:posOffset>
          </wp:positionV>
          <wp:extent cx="7558763" cy="10691993"/>
          <wp:effectExtent l="0" t="0" r="0" b="0"/>
          <wp:wrapNone/>
          <wp:docPr id="1618915718" name="Picture 161891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76D77" w14:textId="51B434A1" w:rsidR="00313AE2" w:rsidRDefault="00B941AA" w:rsidP="00461734">
    <w:pPr>
      <w:pStyle w:val="Header"/>
      <w:tabs>
        <w:tab w:val="clear" w:pos="4513"/>
        <w:tab w:val="clear" w:pos="9026"/>
        <w:tab w:val="left" w:pos="1816"/>
      </w:tabs>
    </w:pPr>
    <w:r>
      <w:rPr>
        <w:noProof/>
      </w:rPr>
      <w:drawing>
        <wp:anchor distT="0" distB="0" distL="114300" distR="114300" simplePos="0" relativeHeight="251613184" behindDoc="1" locked="0" layoutInCell="1" allowOverlap="1" wp14:anchorId="13116051" wp14:editId="2F8F335C">
          <wp:simplePos x="0" y="0"/>
          <wp:positionH relativeFrom="page">
            <wp:posOffset>7951</wp:posOffset>
          </wp:positionH>
          <wp:positionV relativeFrom="paragraph">
            <wp:posOffset>-449249</wp:posOffset>
          </wp:positionV>
          <wp:extent cx="7558765" cy="10691995"/>
          <wp:effectExtent l="0" t="0" r="4445" b="0"/>
          <wp:wrapNone/>
          <wp:docPr id="898330706" name="Picture 89833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461734">
      <w:tab/>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5F3B7" w14:textId="77777777" w:rsidR="00313AE2" w:rsidRDefault="00313AE2">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0700B" w14:textId="286B2BBF" w:rsidR="00A1107D" w:rsidRDefault="00B941AA">
    <w:pPr>
      <w:pStyle w:val="Header"/>
    </w:pPr>
    <w:r>
      <w:rPr>
        <w:noProof/>
      </w:rPr>
      <w:drawing>
        <wp:anchor distT="0" distB="0" distL="114300" distR="114300" simplePos="0" relativeHeight="251614208" behindDoc="1" locked="0" layoutInCell="1" allowOverlap="1" wp14:anchorId="327A09D7" wp14:editId="2DE3A7A6">
          <wp:simplePos x="0" y="0"/>
          <wp:positionH relativeFrom="page">
            <wp:posOffset>7951</wp:posOffset>
          </wp:positionH>
          <wp:positionV relativeFrom="paragraph">
            <wp:posOffset>-449249</wp:posOffset>
          </wp:positionV>
          <wp:extent cx="7558765" cy="10691995"/>
          <wp:effectExtent l="0" t="0" r="4445" b="0"/>
          <wp:wrapNone/>
          <wp:docPr id="486873046" name="Picture 48687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BD96" w14:textId="075D4E85" w:rsidR="00A1107D" w:rsidRDefault="00B81506">
    <w:r>
      <w:rPr>
        <w:noProof/>
      </w:rPr>
      <w:drawing>
        <wp:anchor distT="0" distB="0" distL="114300" distR="114300" simplePos="0" relativeHeight="251670528" behindDoc="1" locked="0" layoutInCell="1" allowOverlap="1" wp14:anchorId="1E783E41" wp14:editId="36C5007C">
          <wp:simplePos x="0" y="0"/>
          <wp:positionH relativeFrom="page">
            <wp:align>left</wp:align>
          </wp:positionH>
          <wp:positionV relativeFrom="paragraph">
            <wp:posOffset>-453729</wp:posOffset>
          </wp:positionV>
          <wp:extent cx="7558765" cy="10691997"/>
          <wp:effectExtent l="0" t="0" r="4445" b="0"/>
          <wp:wrapNone/>
          <wp:docPr id="608039433" name="Picture 60803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9DE3" w14:textId="77777777" w:rsidR="00A1107D" w:rsidRDefault="00A1107D">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355A" w14:textId="77777777" w:rsidR="00C418E1" w:rsidRDefault="00C418E1">
    <w:pPr>
      <w:pStyle w:val="Header"/>
    </w:pPr>
    <w:r>
      <w:rPr>
        <w:noProof/>
      </w:rPr>
      <mc:AlternateContent>
        <mc:Choice Requires="wps">
          <w:drawing>
            <wp:anchor distT="0" distB="0" distL="114300" distR="114300" simplePos="0" relativeHeight="251703296" behindDoc="0" locked="0" layoutInCell="0" allowOverlap="1" wp14:anchorId="59C7C8A4" wp14:editId="606919B0">
              <wp:simplePos x="0" y="0"/>
              <wp:positionH relativeFrom="page">
                <wp:posOffset>0</wp:posOffset>
              </wp:positionH>
              <wp:positionV relativeFrom="page">
                <wp:posOffset>0</wp:posOffset>
              </wp:positionV>
              <wp:extent cx="7772400" cy="463550"/>
              <wp:effectExtent l="0" t="0" r="0" b="12700"/>
              <wp:wrapNone/>
              <wp:docPr id="83"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3240BC" w14:textId="77777777" w:rsidR="00C418E1" w:rsidRPr="008E4C9E" w:rsidRDefault="00C418E1" w:rsidP="008F7730">
                          <w:pPr>
                            <w:spacing w:after="0"/>
                            <w:jc w:val="center"/>
                            <w:rPr>
                              <w:rFonts w:ascii="Calibri" w:hAnsi="Calibri" w:cs="Calibri"/>
                              <w:sz w:val="24"/>
                            </w:rPr>
                          </w:pPr>
                          <w:r w:rsidRPr="008E4C9E">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C7C8A4" id="_x0000_t202" coordsize="21600,21600" o:spt="202" path="m,l,21600r21600,l21600,xe">
              <v:stroke joinstyle="miter"/>
              <v:path gradientshapeok="t" o:connecttype="rect"/>
            </v:shapetype>
            <v:shape id="_x0000_s1056" type="#_x0000_t202" alt="{&quot;HashCode&quot;:431350885,&quot;Height&quot;:9999999.0,&quot;Width&quot;:9999999.0,&quot;Placement&quot;:&quot;Header&quot;,&quot;Index&quot;:&quot;Primary&quot;,&quot;Section&quot;:8,&quot;Top&quot;:0.0,&quot;Left&quot;:0.0}" style="position:absolute;margin-left:0;margin-top:0;width:612pt;height:36.5pt;z-index:2517043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403240BC" w14:textId="77777777" w:rsidR="00C418E1" w:rsidRPr="008E4C9E" w:rsidRDefault="00C418E1" w:rsidP="008F7730">
                    <w:pPr>
                      <w:spacing w:after="0"/>
                      <w:jc w:val="center"/>
                      <w:rPr>
                        <w:rFonts w:ascii="Calibri" w:hAnsi="Calibri" w:cs="Calibri"/>
                        <w:sz w:val="24"/>
                      </w:rPr>
                    </w:pPr>
                    <w:r w:rsidRPr="008E4C9E">
                      <w:rPr>
                        <w:rFonts w:ascii="Calibri" w:hAnsi="Calibri" w:cs="Calibri"/>
                        <w:sz w:val="24"/>
                      </w:rPr>
                      <w:t>OFFICIAL</w:t>
                    </w:r>
                  </w:p>
                </w:txbxContent>
              </v:textbox>
              <w10:wrap anchorx="page" anchory="page"/>
            </v:shape>
          </w:pict>
        </mc:Fallback>
      </mc:AlternateContent>
    </w:r>
    <w:r>
      <w:rPr>
        <w:noProof/>
      </w:rPr>
      <w:drawing>
        <wp:anchor distT="0" distB="0" distL="114300" distR="114300" simplePos="0" relativeHeight="251702272" behindDoc="1" locked="0" layoutInCell="1" allowOverlap="1" wp14:anchorId="3B0B542C" wp14:editId="3CA8F0A7">
          <wp:simplePos x="0" y="0"/>
          <wp:positionH relativeFrom="page">
            <wp:align>right</wp:align>
          </wp:positionH>
          <wp:positionV relativeFrom="paragraph">
            <wp:posOffset>-457200</wp:posOffset>
          </wp:positionV>
          <wp:extent cx="7558763" cy="10691993"/>
          <wp:effectExtent l="0" t="0" r="0" b="0"/>
          <wp:wrapNone/>
          <wp:docPr id="1225161706" name="Picture 122516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C0BC" w14:textId="78940B2F" w:rsidR="000442BE" w:rsidRDefault="00E7193F">
    <w:pPr>
      <w:pStyle w:val="Header"/>
    </w:pPr>
    <w:r>
      <w:rPr>
        <w:noProof/>
      </w:rPr>
      <mc:AlternateContent>
        <mc:Choice Requires="wps">
          <w:drawing>
            <wp:anchor distT="0" distB="0" distL="114300" distR="114300" simplePos="0" relativeHeight="251573248" behindDoc="0" locked="0" layoutInCell="0" allowOverlap="1" wp14:anchorId="545579E2" wp14:editId="32F2DF8B">
              <wp:simplePos x="0" y="0"/>
              <wp:positionH relativeFrom="page">
                <wp:align>center</wp:align>
              </wp:positionH>
              <wp:positionV relativeFrom="page">
                <wp:align>top</wp:align>
              </wp:positionV>
              <wp:extent cx="7772400" cy="463550"/>
              <wp:effectExtent l="0" t="0" r="0" b="12700"/>
              <wp:wrapNone/>
              <wp:docPr id="1756626582" name="MSIPCM5b7341f397424e164e56e6d2" descr="{&quot;HashCode&quot;:431350885,&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F5748A" w14:textId="189CA9DF" w:rsidR="00E7193F" w:rsidRPr="009B0939" w:rsidRDefault="004060ED" w:rsidP="004060ED">
                          <w:pPr>
                            <w:spacing w:after="0"/>
                            <w:jc w:val="center"/>
                            <w:rPr>
                              <w:rFonts w:ascii="Calibri" w:hAnsi="Calibri" w:cs="Calibri"/>
                              <w:sz w:val="24"/>
                            </w:rPr>
                          </w:pPr>
                          <w:r w:rsidRPr="008B2D3B">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5579E2" id="_x0000_t202" coordsize="21600,21600" o:spt="202" path="m,l,21600r21600,l21600,xe">
              <v:stroke joinstyle="miter"/>
              <v:path gradientshapeok="t" o:connecttype="rect"/>
            </v:shapetype>
            <v:shape id="MSIPCM5b7341f397424e164e56e6d2" o:spid="_x0000_s1045" type="#_x0000_t202" alt="{&quot;HashCode&quot;:431350885,&quot;Height&quot;:9999999.0,&quot;Width&quot;:9999999.0,&quot;Placement&quot;:&quot;Header&quot;,&quot;Index&quot;:&quot;FirstPage&quot;,&quot;Section&quot;:2,&quot;Top&quot;:0.0,&quot;Left&quot;:0.0}" style="position:absolute;margin-left:0;margin-top:0;width:612pt;height:36.5pt;z-index:2515742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01F5748A" w14:textId="189CA9DF" w:rsidR="00E7193F" w:rsidRPr="009B0939" w:rsidRDefault="004060ED" w:rsidP="004060ED">
                    <w:pPr>
                      <w:spacing w:after="0"/>
                      <w:jc w:val="center"/>
                      <w:rPr>
                        <w:rFonts w:ascii="Calibri" w:hAnsi="Calibri" w:cs="Calibri"/>
                        <w:sz w:val="24"/>
                      </w:rPr>
                    </w:pPr>
                    <w:r w:rsidRPr="008B2D3B">
                      <w:rPr>
                        <w:rFonts w:ascii="Calibri" w:hAnsi="Calibri" w:cs="Calibri"/>
                        <w:sz w:val="24"/>
                      </w:rPr>
                      <w:t>OFFICIAL</w:t>
                    </w:r>
                  </w:p>
                </w:txbxContent>
              </v:textbox>
              <w10:wrap anchorx="page" anchory="page"/>
            </v:shape>
          </w:pict>
        </mc:Fallback>
      </mc:AlternateContent>
    </w:r>
    <w:r w:rsidR="006A0A5F">
      <w:rPr>
        <w:noProof/>
      </w:rPr>
      <w:drawing>
        <wp:anchor distT="0" distB="0" distL="114300" distR="114300" simplePos="0" relativeHeight="251553792" behindDoc="1" locked="0" layoutInCell="1" allowOverlap="1" wp14:anchorId="5CEB8FA8" wp14:editId="270B7F31">
          <wp:simplePos x="0" y="0"/>
          <wp:positionH relativeFrom="page">
            <wp:align>right</wp:align>
          </wp:positionH>
          <wp:positionV relativeFrom="paragraph">
            <wp:posOffset>-452456</wp:posOffset>
          </wp:positionV>
          <wp:extent cx="7558765" cy="10691996"/>
          <wp:effectExtent l="0" t="0" r="4445" b="0"/>
          <wp:wrapNone/>
          <wp:docPr id="270450741" name="Picture 27045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6"/>
                  </a:xfrm>
                  <a:prstGeom prst="rect">
                    <a:avLst/>
                  </a:prstGeom>
                </pic:spPr>
              </pic:pic>
            </a:graphicData>
          </a:graphic>
          <wp14:sizeRelH relativeFrom="page">
            <wp14:pctWidth>0</wp14:pctWidth>
          </wp14:sizeRelH>
          <wp14:sizeRelV relativeFrom="page">
            <wp14:pctHeight>0</wp14:pctHeight>
          </wp14:sizeRelV>
        </wp:anchor>
      </w:drawing>
    </w:r>
    <w:r w:rsidR="000442BE">
      <w:rPr>
        <w:noProof/>
      </w:rPr>
      <w:drawing>
        <wp:anchor distT="0" distB="0" distL="114300" distR="114300" simplePos="0" relativeHeight="251547648" behindDoc="1" locked="0" layoutInCell="1" allowOverlap="1" wp14:anchorId="7CD7861D" wp14:editId="7F1B305F">
          <wp:simplePos x="0" y="0"/>
          <wp:positionH relativeFrom="column">
            <wp:posOffset>6985635</wp:posOffset>
          </wp:positionH>
          <wp:positionV relativeFrom="paragraph">
            <wp:posOffset>-450215</wp:posOffset>
          </wp:positionV>
          <wp:extent cx="7558405" cy="10691495"/>
          <wp:effectExtent l="0" t="0" r="4445" b="0"/>
          <wp:wrapNone/>
          <wp:docPr id="1784789012" name="Picture 178478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p w14:paraId="213A3AFE" w14:textId="77777777" w:rsidR="000442BE" w:rsidRDefault="000442BE"/>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DCDD8" w14:textId="77777777" w:rsidR="00C418E1" w:rsidRDefault="00C418E1">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339D" w14:textId="77777777" w:rsidR="00C418E1" w:rsidRDefault="00C418E1">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72F37" w14:textId="699B178F" w:rsidR="00C418E1" w:rsidRDefault="001D08A4">
    <w:pPr>
      <w:pStyle w:val="Header"/>
    </w:pPr>
    <w:r>
      <w:rPr>
        <w:noProof/>
      </w:rPr>
      <w:drawing>
        <wp:anchor distT="0" distB="0" distL="114300" distR="114300" simplePos="0" relativeHeight="251705344" behindDoc="1" locked="0" layoutInCell="1" allowOverlap="1" wp14:anchorId="7DE3B58E" wp14:editId="333F47B9">
          <wp:simplePos x="0" y="0"/>
          <wp:positionH relativeFrom="column">
            <wp:posOffset>-720090</wp:posOffset>
          </wp:positionH>
          <wp:positionV relativeFrom="paragraph">
            <wp:posOffset>-441297</wp:posOffset>
          </wp:positionV>
          <wp:extent cx="7536152" cy="10659925"/>
          <wp:effectExtent l="0" t="0" r="8255" b="8255"/>
          <wp:wrapNone/>
          <wp:docPr id="11759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1196" name="Picture 102071196"/>
                  <pic:cNvPicPr/>
                </pic:nvPicPr>
                <pic:blipFill>
                  <a:blip r:embed="rId1">
                    <a:extLst>
                      <a:ext uri="{28A0092B-C50C-407E-A947-70E740481C1C}">
                        <a14:useLocalDpi xmlns:a14="http://schemas.microsoft.com/office/drawing/2010/main" val="0"/>
                      </a:ext>
                    </a:extLst>
                  </a:blip>
                  <a:stretch>
                    <a:fillRect/>
                  </a:stretch>
                </pic:blipFill>
                <pic:spPr>
                  <a:xfrm>
                    <a:off x="0" y="0"/>
                    <a:ext cx="7545808" cy="10673583"/>
                  </a:xfrm>
                  <a:prstGeom prst="rect">
                    <a:avLst/>
                  </a:prstGeom>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D2980" w14:textId="77777777" w:rsidR="00C418E1" w:rsidRDefault="00C418E1">
    <w:r>
      <w:rPr>
        <w:noProof/>
      </w:rPr>
      <w:drawing>
        <wp:anchor distT="0" distB="0" distL="114300" distR="114300" simplePos="0" relativeHeight="251704320" behindDoc="1" locked="0" layoutInCell="1" allowOverlap="1" wp14:anchorId="22DE42BC" wp14:editId="43B2D880">
          <wp:simplePos x="0" y="0"/>
          <wp:positionH relativeFrom="page">
            <wp:align>left</wp:align>
          </wp:positionH>
          <wp:positionV relativeFrom="paragraph">
            <wp:posOffset>-453729</wp:posOffset>
          </wp:positionV>
          <wp:extent cx="7558765" cy="10691997"/>
          <wp:effectExtent l="0" t="0" r="4445" b="0"/>
          <wp:wrapNone/>
          <wp:docPr id="493685067" name="Picture 49368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9158E" w14:textId="77777777" w:rsidR="00C418E1" w:rsidRDefault="00C418E1">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61757" w14:textId="1740BD4F" w:rsidR="000442BE" w:rsidRDefault="00805835">
    <w:pPr>
      <w:pStyle w:val="Header"/>
    </w:pPr>
    <w:r>
      <w:rPr>
        <w:noProof/>
      </w:rPr>
      <mc:AlternateContent>
        <mc:Choice Requires="wps">
          <w:drawing>
            <wp:anchor distT="0" distB="0" distL="114300" distR="114300" simplePos="0" relativeHeight="251592704" behindDoc="1" locked="0" layoutInCell="1" allowOverlap="1" wp14:anchorId="21FD4EE3" wp14:editId="501EFCFC">
              <wp:simplePos x="0" y="0"/>
              <wp:positionH relativeFrom="page">
                <wp:align>left</wp:align>
              </wp:positionH>
              <wp:positionV relativeFrom="paragraph">
                <wp:posOffset>-464185</wp:posOffset>
              </wp:positionV>
              <wp:extent cx="7552055" cy="10691446"/>
              <wp:effectExtent l="0" t="0" r="0" b="0"/>
              <wp:wrapNone/>
              <wp:docPr id="54" name="Text Box 54"/>
              <wp:cNvGraphicFramePr/>
              <a:graphic xmlns:a="http://schemas.openxmlformats.org/drawingml/2006/main">
                <a:graphicData uri="http://schemas.microsoft.com/office/word/2010/wordprocessingShape">
                  <wps:wsp>
                    <wps:cNvSpPr txBox="1"/>
                    <wps:spPr>
                      <a:xfrm>
                        <a:off x="0" y="0"/>
                        <a:ext cx="7552055" cy="10691446"/>
                      </a:xfrm>
                      <a:prstGeom prst="rect">
                        <a:avLst/>
                      </a:prstGeom>
                      <a:solidFill>
                        <a:schemeClr val="bg1">
                          <a:lumMod val="95000"/>
                        </a:schemeClr>
                      </a:solidFill>
                      <a:ln w="6350">
                        <a:noFill/>
                      </a:ln>
                    </wps:spPr>
                    <wps:txbx>
                      <w:txbxContent>
                        <w:p w14:paraId="54719D81" w14:textId="12E99C3E" w:rsidR="00805835" w:rsidRDefault="00B81506" w:rsidP="00805835">
                          <w:r>
                            <w:rPr>
                              <w:noProof/>
                            </w:rPr>
                            <w:drawing>
                              <wp:inline distT="0" distB="0" distL="0" distR="0" wp14:anchorId="271BAF19" wp14:editId="19221B20">
                                <wp:extent cx="7362825" cy="10414635"/>
                                <wp:effectExtent l="0" t="0" r="0" b="5715"/>
                                <wp:docPr id="1298445442" name="Picture 129844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355" name="Picture 175662935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62825" cy="10414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D4EE3" id="_x0000_t202" coordsize="21600,21600" o:spt="202" path="m,l,21600r21600,l21600,xe">
              <v:stroke joinstyle="miter"/>
              <v:path gradientshapeok="t" o:connecttype="rect"/>
            </v:shapetype>
            <v:shape id="Text Box 54" o:spid="_x0000_s1057" type="#_x0000_t202" style="position:absolute;margin-left:0;margin-top:-36.55pt;width:594.65pt;height:841.85pt;z-index:-251722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" fillcolor="#f2f2f2 [3052]" stroked="f" strokeweight=".5pt">
              <v:textbox>
                <w:txbxContent>
                  <w:p w14:paraId="54719D81" w14:textId="12E99C3E" w:rsidR="00805835" w:rsidRDefault="00B81506" w:rsidP="00805835">
                    <w:r>
                      <w:rPr>
                        <w:noProof/>
                      </w:rPr>
                      <w:drawing>
                        <wp:inline distT="0" distB="0" distL="0" distR="0" wp14:anchorId="271BAF19" wp14:editId="19221B20">
                          <wp:extent cx="7362825" cy="10414635"/>
                          <wp:effectExtent l="0" t="0" r="0" b="5715"/>
                          <wp:docPr id="1298445442" name="Picture 129844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355" name="Picture 175662935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362825" cy="10414635"/>
                                  </a:xfrm>
                                  <a:prstGeom prst="rect">
                                    <a:avLst/>
                                  </a:prstGeom>
                                </pic:spPr>
                              </pic:pic>
                            </a:graphicData>
                          </a:graphic>
                        </wp:inline>
                      </w:drawing>
                    </w:r>
                  </w:p>
                </w:txbxContent>
              </v:textbox>
              <w10:wrap anchorx="page"/>
            </v:shape>
          </w:pict>
        </mc:Fallback>
      </mc:AlternateContent>
    </w:r>
    <w:r w:rsidR="009F258F">
      <w:rPr>
        <w:noProof/>
      </w:rPr>
      <w:drawing>
        <wp:anchor distT="0" distB="0" distL="114300" distR="114300" simplePos="0" relativeHeight="251584512" behindDoc="1" locked="0" layoutInCell="1" allowOverlap="1" wp14:anchorId="72672643" wp14:editId="46B462AA">
          <wp:simplePos x="0" y="0"/>
          <wp:positionH relativeFrom="page">
            <wp:posOffset>-5080</wp:posOffset>
          </wp:positionH>
          <wp:positionV relativeFrom="paragraph">
            <wp:posOffset>10362565</wp:posOffset>
          </wp:positionV>
          <wp:extent cx="7558405" cy="10691495"/>
          <wp:effectExtent l="0" t="0" r="4445" b="0"/>
          <wp:wrapNone/>
          <wp:docPr id="1179121308" name="Picture 117912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422" name="Picture 1756629422"/>
                  <pic:cNvPicPr/>
                </pic:nvPicPr>
                <pic:blipFill>
                  <a:blip r:embed="rId3">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F31A5" w14:textId="729F8BA4" w:rsidR="00855F7F" w:rsidRDefault="00697C54">
    <w:r>
      <w:rPr>
        <w:noProof/>
      </w:rPr>
      <w:drawing>
        <wp:anchor distT="0" distB="0" distL="114300" distR="114300" simplePos="0" relativeHeight="251707392" behindDoc="1" locked="0" layoutInCell="1" allowOverlap="1" wp14:anchorId="6DBD0D29" wp14:editId="62242169">
          <wp:simplePos x="0" y="0"/>
          <wp:positionH relativeFrom="column">
            <wp:posOffset>-709452</wp:posOffset>
          </wp:positionH>
          <wp:positionV relativeFrom="paragraph">
            <wp:posOffset>-447040</wp:posOffset>
          </wp:positionV>
          <wp:extent cx="7534797" cy="10662699"/>
          <wp:effectExtent l="0" t="0" r="9525" b="5715"/>
          <wp:wrapNone/>
          <wp:docPr id="16435765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90150" name="Picture 1431690150"/>
                  <pic:cNvPicPr/>
                </pic:nvPicPr>
                <pic:blipFill>
                  <a:blip r:embed="rId1">
                    <a:extLst>
                      <a:ext uri="{28A0092B-C50C-407E-A947-70E740481C1C}">
                        <a14:useLocalDpi xmlns:a14="http://schemas.microsoft.com/office/drawing/2010/main" val="0"/>
                      </a:ext>
                    </a:extLst>
                  </a:blip>
                  <a:stretch>
                    <a:fillRect/>
                  </a:stretch>
                </pic:blipFill>
                <pic:spPr>
                  <a:xfrm>
                    <a:off x="0" y="0"/>
                    <a:ext cx="7534797" cy="10662699"/>
                  </a:xfrm>
                  <a:prstGeom prst="rect">
                    <a:avLst/>
                  </a:prstGeom>
                </pic:spPr>
              </pic:pic>
            </a:graphicData>
          </a:graphic>
          <wp14:sizeRelH relativeFrom="page">
            <wp14:pctWidth>0</wp14:pctWidth>
          </wp14:sizeRelH>
          <wp14:sizeRelV relativeFrom="page">
            <wp14:pctHeight>0</wp14:pctHeight>
          </wp14:sizeRelV>
        </wp:anchor>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7D61" w14:textId="147D003D" w:rsidR="00DA3DA7" w:rsidRDefault="00DA3DA7">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AD5A" w14:textId="1A167B4D" w:rsidR="00DA3DA7" w:rsidRDefault="00697C54">
    <w:pPr>
      <w:pStyle w:val="Header"/>
    </w:pPr>
    <w:r>
      <w:rPr>
        <w:noProof/>
      </w:rPr>
      <w:drawing>
        <wp:anchor distT="0" distB="0" distL="114300" distR="114300" simplePos="0" relativeHeight="251708416" behindDoc="1" locked="0" layoutInCell="1" allowOverlap="1" wp14:anchorId="6B850612" wp14:editId="4671D550">
          <wp:simplePos x="0" y="0"/>
          <wp:positionH relativeFrom="column">
            <wp:posOffset>-712139</wp:posOffset>
          </wp:positionH>
          <wp:positionV relativeFrom="paragraph">
            <wp:posOffset>-443865</wp:posOffset>
          </wp:positionV>
          <wp:extent cx="7534797" cy="10662699"/>
          <wp:effectExtent l="0" t="0" r="9525" b="5715"/>
          <wp:wrapNone/>
          <wp:docPr id="17065821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90150" name="Picture 1431690150"/>
                  <pic:cNvPicPr/>
                </pic:nvPicPr>
                <pic:blipFill>
                  <a:blip r:embed="rId1">
                    <a:extLst>
                      <a:ext uri="{28A0092B-C50C-407E-A947-70E740481C1C}">
                        <a14:useLocalDpi xmlns:a14="http://schemas.microsoft.com/office/drawing/2010/main" val="0"/>
                      </a:ext>
                    </a:extLst>
                  </a:blip>
                  <a:stretch>
                    <a:fillRect/>
                  </a:stretch>
                </pic:blipFill>
                <pic:spPr>
                  <a:xfrm>
                    <a:off x="0" y="0"/>
                    <a:ext cx="7534797" cy="10662699"/>
                  </a:xfrm>
                  <a:prstGeom prst="rect">
                    <a:avLst/>
                  </a:prstGeom>
                </pic:spPr>
              </pic:pic>
            </a:graphicData>
          </a:graphic>
          <wp14:sizeRelH relativeFrom="page">
            <wp14:pctWidth>0</wp14:pctWidth>
          </wp14:sizeRelH>
          <wp14:sizeRelV relativeFrom="page">
            <wp14:pctHeight>0</wp14:pctHeight>
          </wp14:sizeRelV>
        </wp:anchor>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9F04F" w14:textId="5DED1E71" w:rsidR="00C27723" w:rsidRDefault="00805835">
    <w:pPr>
      <w:pStyle w:val="Header"/>
    </w:pPr>
    <w:r>
      <w:rPr>
        <w:noProof/>
      </w:rPr>
      <mc:AlternateContent>
        <mc:Choice Requires="wps">
          <w:drawing>
            <wp:anchor distT="0" distB="0" distL="114300" distR="114300" simplePos="0" relativeHeight="251593728" behindDoc="1" locked="0" layoutInCell="1" allowOverlap="1" wp14:anchorId="6CB5B269" wp14:editId="24DF50E1">
              <wp:simplePos x="0" y="0"/>
              <wp:positionH relativeFrom="page">
                <wp:align>left</wp:align>
              </wp:positionH>
              <wp:positionV relativeFrom="paragraph">
                <wp:posOffset>-445477</wp:posOffset>
              </wp:positionV>
              <wp:extent cx="7552481" cy="10683433"/>
              <wp:effectExtent l="0" t="0" r="0" b="3810"/>
              <wp:wrapNone/>
              <wp:docPr id="55" name="Text Box 55"/>
              <wp:cNvGraphicFramePr/>
              <a:graphic xmlns:a="http://schemas.openxmlformats.org/drawingml/2006/main">
                <a:graphicData uri="http://schemas.microsoft.com/office/word/2010/wordprocessingShape">
                  <wps:wsp>
                    <wps:cNvSpPr txBox="1"/>
                    <wps:spPr>
                      <a:xfrm>
                        <a:off x="0" y="0"/>
                        <a:ext cx="7552481" cy="10683433"/>
                      </a:xfrm>
                      <a:prstGeom prst="rect">
                        <a:avLst/>
                      </a:prstGeom>
                      <a:solidFill>
                        <a:schemeClr val="bg1">
                          <a:lumMod val="95000"/>
                        </a:schemeClr>
                      </a:solidFill>
                      <a:ln w="6350">
                        <a:noFill/>
                      </a:ln>
                    </wps:spPr>
                    <wps:txbx>
                      <w:txbxContent>
                        <w:p w14:paraId="71C236F6" w14:textId="03EE032A" w:rsidR="00805835" w:rsidRDefault="00B81506" w:rsidP="00805835">
                          <w:r>
                            <w:rPr>
                              <w:noProof/>
                            </w:rPr>
                            <w:drawing>
                              <wp:inline distT="0" distB="0" distL="0" distR="0" wp14:anchorId="5CFC0FD0" wp14:editId="2DA69BAF">
                                <wp:extent cx="7362825" cy="10414635"/>
                                <wp:effectExtent l="0" t="0" r="9525" b="5715"/>
                                <wp:docPr id="1933070049" name="Picture 19330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62825" cy="10414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5B269" id="_x0000_t202" coordsize="21600,21600" o:spt="202" path="m,l,21600r21600,l21600,xe">
              <v:stroke joinstyle="miter"/>
              <v:path gradientshapeok="t" o:connecttype="rect"/>
            </v:shapetype>
            <v:shape id="Text Box 55" o:spid="_x0000_s1058" type="#_x0000_t202" style="position:absolute;margin-left:0;margin-top:-35.1pt;width:594.7pt;height:841.2pt;z-index:-251721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" fillcolor="#f2f2f2 [3052]" stroked="f" strokeweight=".5pt">
              <v:textbox>
                <w:txbxContent>
                  <w:p w14:paraId="71C236F6" w14:textId="03EE032A" w:rsidR="00805835" w:rsidRDefault="00B81506" w:rsidP="00805835">
                    <w:r>
                      <w:rPr>
                        <w:noProof/>
                      </w:rPr>
                      <w:drawing>
                        <wp:inline distT="0" distB="0" distL="0" distR="0" wp14:anchorId="5CFC0FD0" wp14:editId="2DA69BAF">
                          <wp:extent cx="7362825" cy="10414635"/>
                          <wp:effectExtent l="0" t="0" r="9525" b="5715"/>
                          <wp:docPr id="1933070049" name="Picture 19330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362825" cy="10414635"/>
                                  </a:xfrm>
                                  <a:prstGeom prst="rect">
                                    <a:avLst/>
                                  </a:prstGeom>
                                </pic:spPr>
                              </pic:pic>
                            </a:graphicData>
                          </a:graphic>
                        </wp:inline>
                      </w:drawing>
                    </w:r>
                  </w:p>
                </w:txbxContent>
              </v:textbox>
              <w10:wrap anchorx="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624B4" w14:textId="1C73A8BE" w:rsidR="0052005E" w:rsidRDefault="00277508" w:rsidP="0083148A">
    <w:pPr>
      <w:pStyle w:val="Header"/>
      <w:tabs>
        <w:tab w:val="clear" w:pos="4513"/>
        <w:tab w:val="clear" w:pos="9026"/>
        <w:tab w:val="left" w:pos="2467"/>
      </w:tabs>
    </w:pPr>
    <w:r>
      <w:rPr>
        <w:noProof/>
      </w:rPr>
      <w:drawing>
        <wp:anchor distT="0" distB="0" distL="114300" distR="114300" simplePos="0" relativeHeight="251711488" behindDoc="1" locked="0" layoutInCell="1" allowOverlap="1" wp14:anchorId="40BF9ABC" wp14:editId="76635594">
          <wp:simplePos x="0" y="0"/>
          <wp:positionH relativeFrom="column">
            <wp:posOffset>-705100</wp:posOffset>
          </wp:positionH>
          <wp:positionV relativeFrom="paragraph">
            <wp:posOffset>4556499</wp:posOffset>
          </wp:positionV>
          <wp:extent cx="7558021" cy="5669155"/>
          <wp:effectExtent l="0" t="0" r="5080" b="8255"/>
          <wp:wrapNone/>
          <wp:docPr id="8791852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93485" name="Picture 2014193485"/>
                  <pic:cNvPicPr/>
                </pic:nvPicPr>
                <pic:blipFill rotWithShape="1">
                  <a:blip r:embed="rId1">
                    <a:extLst>
                      <a:ext uri="{28A0092B-C50C-407E-A947-70E740481C1C}">
                        <a14:useLocalDpi xmlns:a14="http://schemas.microsoft.com/office/drawing/2010/main" val="0"/>
                      </a:ext>
                    </a:extLst>
                  </a:blip>
                  <a:srcRect t="46972"/>
                  <a:stretch/>
                </pic:blipFill>
                <pic:spPr bwMode="auto">
                  <a:xfrm>
                    <a:off x="0" y="0"/>
                    <a:ext cx="7559921" cy="567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69A">
      <w:rPr>
        <w:noProof/>
      </w:rPr>
      <w:drawing>
        <wp:anchor distT="0" distB="0" distL="114300" distR="114300" simplePos="0" relativeHeight="251602944" behindDoc="1" locked="0" layoutInCell="1" allowOverlap="1" wp14:anchorId="5B3E31EE" wp14:editId="674C0FA4">
          <wp:simplePos x="0" y="0"/>
          <wp:positionH relativeFrom="page">
            <wp:posOffset>7951</wp:posOffset>
          </wp:positionH>
          <wp:positionV relativeFrom="paragraph">
            <wp:posOffset>-466118</wp:posOffset>
          </wp:positionV>
          <wp:extent cx="7558765" cy="10691995"/>
          <wp:effectExtent l="0" t="0" r="4445" b="0"/>
          <wp:wrapNone/>
          <wp:docPr id="857260828" name="Picture 85726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83148A">
      <w:tab/>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57657" w14:textId="22EA5240" w:rsidR="00DA3DA7" w:rsidRDefault="00DA3DA7">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C8C2E" w14:textId="40A7DF3D" w:rsidR="00AE35D2" w:rsidRDefault="00986151">
    <w:pPr>
      <w:pStyle w:val="Header"/>
    </w:pPr>
    <w:r>
      <w:rPr>
        <w:noProof/>
      </w:rPr>
      <w:drawing>
        <wp:anchor distT="0" distB="0" distL="114300" distR="114300" simplePos="0" relativeHeight="251642880" behindDoc="1" locked="0" layoutInCell="1" allowOverlap="1" wp14:anchorId="629FD934" wp14:editId="0B233C53">
          <wp:simplePos x="0" y="0"/>
          <wp:positionH relativeFrom="page">
            <wp:posOffset>0</wp:posOffset>
          </wp:positionH>
          <wp:positionV relativeFrom="paragraph">
            <wp:posOffset>-449249</wp:posOffset>
          </wp:positionV>
          <wp:extent cx="7558765" cy="10691995"/>
          <wp:effectExtent l="0" t="0" r="4445" b="0"/>
          <wp:wrapNone/>
          <wp:docPr id="472012765" name="Picture 47201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1105" name="Picture 1756631105"/>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p w14:paraId="719DF206" w14:textId="77777777" w:rsidR="001D73DE" w:rsidRDefault="001D73DE"/>
  <w:p w14:paraId="2F737880" w14:textId="77777777" w:rsidR="001D73DE" w:rsidRDefault="001D73DE"/>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99D57" w14:textId="15E6B836" w:rsidR="001D73DE" w:rsidRDefault="00B81506" w:rsidP="003A0EBF">
    <w:pPr>
      <w:pStyle w:val="Header"/>
    </w:pPr>
    <w:r>
      <w:rPr>
        <w:noProof/>
      </w:rPr>
      <w:drawing>
        <wp:anchor distT="0" distB="0" distL="114300" distR="114300" simplePos="0" relativeHeight="251671552" behindDoc="1" locked="0" layoutInCell="1" allowOverlap="1" wp14:anchorId="3C61E7C7" wp14:editId="4BD632ED">
          <wp:simplePos x="0" y="0"/>
          <wp:positionH relativeFrom="page">
            <wp:posOffset>0</wp:posOffset>
          </wp:positionH>
          <wp:positionV relativeFrom="paragraph">
            <wp:posOffset>-449249</wp:posOffset>
          </wp:positionV>
          <wp:extent cx="7558765" cy="10691995"/>
          <wp:effectExtent l="0" t="0" r="4445" b="0"/>
          <wp:wrapNone/>
          <wp:docPr id="328793235" name="Picture 32879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56628" name="Picture 1792456628"/>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13E5F" w14:textId="42DE353E" w:rsidR="00DA3DA7" w:rsidRDefault="00DA3DA7">
    <w:pPr>
      <w:pStyle w:val="Header"/>
    </w:pPr>
  </w:p>
  <w:p w14:paraId="2613EC93" w14:textId="77777777" w:rsidR="001D73DE" w:rsidRDefault="001D73DE"/>
  <w:p w14:paraId="2E83B282" w14:textId="77777777" w:rsidR="001D73DE" w:rsidRDefault="001D73DE"/>
  <w:p w14:paraId="1F932471" w14:textId="77777777" w:rsidR="001D73DE" w:rsidRDefault="001D73DE"/>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D47D" w14:textId="07F0FE33" w:rsidR="00AD5687" w:rsidRDefault="00AD5687">
    <w:pPr>
      <w:pStyle w:val="Header"/>
    </w:pPr>
    <w:r>
      <w:rPr>
        <w:noProof/>
      </w:rPr>
      <w:drawing>
        <wp:anchor distT="0" distB="0" distL="114300" distR="114300" simplePos="0" relativeHeight="251557888" behindDoc="1" locked="0" layoutInCell="1" allowOverlap="1" wp14:anchorId="23A6D48F" wp14:editId="01C71B3E">
          <wp:simplePos x="0" y="0"/>
          <wp:positionH relativeFrom="page">
            <wp:align>right</wp:align>
          </wp:positionH>
          <wp:positionV relativeFrom="paragraph">
            <wp:posOffset>-450215</wp:posOffset>
          </wp:positionV>
          <wp:extent cx="7558765" cy="10691995"/>
          <wp:effectExtent l="0" t="0" r="4445" b="0"/>
          <wp:wrapNone/>
          <wp:docPr id="47902446" name="Picture 4790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73315" name="Picture 855673315"/>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DEF5" w14:textId="2F6F6CCB" w:rsidR="00AD5687" w:rsidRDefault="008F7730">
    <w:pPr>
      <w:pStyle w:val="Header"/>
    </w:pPr>
    <w:r>
      <w:rPr>
        <w:noProof/>
      </w:rPr>
      <mc:AlternateContent>
        <mc:Choice Requires="wps">
          <w:drawing>
            <wp:anchor distT="0" distB="0" distL="114300" distR="114300" simplePos="0" relativeHeight="251574272" behindDoc="0" locked="0" layoutInCell="0" allowOverlap="1" wp14:anchorId="4DC4E3FB" wp14:editId="156AEDE0">
              <wp:simplePos x="0" y="0"/>
              <wp:positionH relativeFrom="page">
                <wp:posOffset>0</wp:posOffset>
              </wp:positionH>
              <wp:positionV relativeFrom="page">
                <wp:posOffset>0</wp:posOffset>
              </wp:positionV>
              <wp:extent cx="7772400" cy="463550"/>
              <wp:effectExtent l="0" t="0" r="0" b="12700"/>
              <wp:wrapNone/>
              <wp:docPr id="1756626564"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00FE2A" w14:textId="77777777" w:rsidR="008F7730" w:rsidRPr="008E4C9E" w:rsidRDefault="008F7730" w:rsidP="008F7730">
                          <w:pPr>
                            <w:spacing w:after="0"/>
                            <w:jc w:val="center"/>
                            <w:rPr>
                              <w:rFonts w:ascii="Calibri" w:hAnsi="Calibri" w:cs="Calibri"/>
                              <w:sz w:val="24"/>
                            </w:rPr>
                          </w:pPr>
                          <w:r w:rsidRPr="008E4C9E">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DC4E3FB" id="_x0000_t202" coordsize="21600,21600" o:spt="202" path="m,l,21600r21600,l21600,xe">
              <v:stroke joinstyle="miter"/>
              <v:path gradientshapeok="t" o:connecttype="rect"/>
            </v:shapetype>
            <v:shape id="_x0000_s1059" type="#_x0000_t202" alt="{&quot;HashCode&quot;:431350885,&quot;Height&quot;:9999999.0,&quot;Width&quot;:9999999.0,&quot;Placement&quot;:&quot;Header&quot;,&quot;Index&quot;:&quot;Primary&quot;,&quot;Section&quot;:8,&quot;Top&quot;:0.0,&quot;Left&quot;:0.0}" style="position:absolute;margin-left:0;margin-top:0;width:612pt;height:36.5pt;z-index:2515752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DcyFsZAgAALgQAAA4AAAAAAAAAAAAAAAAALgIAAGRycy9lMm9Eb2MueG1sUEsBAi0AFAAGAAgA&#10;AAAhAL4fCrfaAAAABQEAAA8AAAAAAAAAAAAAAAAAcwQAAGRycy9kb3ducmV2LnhtbFBLBQYAAAAA&#10;BAAEAPMAAAB6BQAAAAA=&#10;" o:allowincell="f" filled="f" stroked="f" strokeweight=".5pt">
              <v:textbox inset=",0,,0">
                <w:txbxContent>
                  <w:p w14:paraId="7D00FE2A" w14:textId="77777777" w:rsidR="008F7730" w:rsidRPr="008E4C9E" w:rsidRDefault="008F7730" w:rsidP="008F7730">
                    <w:pPr>
                      <w:spacing w:after="0"/>
                      <w:jc w:val="center"/>
                      <w:rPr>
                        <w:rFonts w:ascii="Calibri" w:hAnsi="Calibri" w:cs="Calibri"/>
                        <w:sz w:val="24"/>
                      </w:rPr>
                    </w:pPr>
                    <w:r w:rsidRPr="008E4C9E">
                      <w:rPr>
                        <w:rFonts w:ascii="Calibri" w:hAnsi="Calibri" w:cs="Calibri"/>
                        <w:sz w:val="24"/>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7F63B" w14:textId="6EE2A56B" w:rsidR="00DA3DA7" w:rsidRDefault="00DA3DA7">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FD12" w14:textId="0CF74338" w:rsidR="00DF252A" w:rsidRDefault="00B81506">
    <w:pPr>
      <w:pStyle w:val="Header"/>
    </w:pPr>
    <w:r>
      <w:rPr>
        <w:noProof/>
      </w:rPr>
      <w:drawing>
        <wp:anchor distT="0" distB="0" distL="114300" distR="114300" simplePos="0" relativeHeight="251672576" behindDoc="1" locked="0" layoutInCell="1" allowOverlap="1" wp14:anchorId="04DA6A2E" wp14:editId="5D967849">
          <wp:simplePos x="0" y="0"/>
          <wp:positionH relativeFrom="page">
            <wp:posOffset>1905</wp:posOffset>
          </wp:positionH>
          <wp:positionV relativeFrom="paragraph">
            <wp:posOffset>-454984</wp:posOffset>
          </wp:positionV>
          <wp:extent cx="7558763" cy="10691993"/>
          <wp:effectExtent l="0" t="0" r="0" b="0"/>
          <wp:wrapNone/>
          <wp:docPr id="1652889217" name="Picture 165288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7A5E3" w14:textId="437C4AE3" w:rsidR="00DF252A" w:rsidRDefault="00986151">
    <w:pPr>
      <w:pStyle w:val="Header"/>
    </w:pPr>
    <w:r>
      <w:rPr>
        <w:noProof/>
      </w:rPr>
      <w:drawing>
        <wp:anchor distT="0" distB="0" distL="114300" distR="114300" simplePos="0" relativeHeight="251643904" behindDoc="1" locked="0" layoutInCell="1" allowOverlap="1" wp14:anchorId="69508D5A" wp14:editId="4B53C69B">
          <wp:simplePos x="0" y="0"/>
          <wp:positionH relativeFrom="page">
            <wp:posOffset>0</wp:posOffset>
          </wp:positionH>
          <wp:positionV relativeFrom="paragraph">
            <wp:posOffset>-449248</wp:posOffset>
          </wp:positionV>
          <wp:extent cx="7558765" cy="10691995"/>
          <wp:effectExtent l="0" t="0" r="4445" b="0"/>
          <wp:wrapNone/>
          <wp:docPr id="1506930931" name="Picture 150693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2809" name="Picture 1756632809"/>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BCC2" w14:textId="1EFC6C86" w:rsidR="00DA3DA7" w:rsidRDefault="00DA3DA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DC63" w14:textId="4A50E261" w:rsidR="000442BE" w:rsidRDefault="00FC5FFD">
    <w:r>
      <w:rPr>
        <w:noProof/>
      </w:rPr>
      <w:drawing>
        <wp:anchor distT="0" distB="0" distL="114300" distR="114300" simplePos="0" relativeHeight="251572224" behindDoc="1" locked="0" layoutInCell="1" allowOverlap="1" wp14:anchorId="2F149E2D" wp14:editId="6E6CCE57">
          <wp:simplePos x="0" y="0"/>
          <wp:positionH relativeFrom="page">
            <wp:posOffset>-16889</wp:posOffset>
          </wp:positionH>
          <wp:positionV relativeFrom="paragraph">
            <wp:posOffset>-464659</wp:posOffset>
          </wp:positionV>
          <wp:extent cx="7558765" cy="10691995"/>
          <wp:effectExtent l="0" t="0" r="4445" b="0"/>
          <wp:wrapNone/>
          <wp:docPr id="1856661809" name="Picture 185666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8E4C9E">
      <w:rPr>
        <w:noProof/>
      </w:rPr>
      <mc:AlternateContent>
        <mc:Choice Requires="wps">
          <w:drawing>
            <wp:anchor distT="0" distB="0" distL="114300" distR="114300" simplePos="0" relativeHeight="251568128" behindDoc="0" locked="0" layoutInCell="0" allowOverlap="1" wp14:anchorId="0D43750F" wp14:editId="6FEE8827">
              <wp:simplePos x="0" y="0"/>
              <wp:positionH relativeFrom="page">
                <wp:posOffset>-13648</wp:posOffset>
              </wp:positionH>
              <wp:positionV relativeFrom="page">
                <wp:posOffset>-13648</wp:posOffset>
              </wp:positionV>
              <wp:extent cx="7772400" cy="463550"/>
              <wp:effectExtent l="0" t="0" r="0" b="12700"/>
              <wp:wrapNone/>
              <wp:docPr id="40"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43A6EF" w14:textId="77777777" w:rsidR="008E4C9E" w:rsidRPr="008E4C9E" w:rsidRDefault="008E4C9E" w:rsidP="008E4C9E">
                          <w:pPr>
                            <w:spacing w:after="0"/>
                            <w:jc w:val="center"/>
                            <w:rPr>
                              <w:rFonts w:ascii="Calibri" w:hAnsi="Calibri" w:cs="Calibri"/>
                              <w:sz w:val="24"/>
                            </w:rPr>
                          </w:pPr>
                          <w:r w:rsidRPr="008E4C9E">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43750F" id="_x0000_t202" coordsize="21600,21600" o:spt="202" path="m,l,21600r21600,l21600,xe">
              <v:stroke joinstyle="miter"/>
              <v:path gradientshapeok="t" o:connecttype="rect"/>
            </v:shapetype>
            <v:shape id="MSIPCM994e4d5ca9dea02ca8b1b0c9" o:spid="_x0000_s1046" type="#_x0000_t202" alt="{&quot;HashCode&quot;:431350885,&quot;Height&quot;:9999999.0,&quot;Width&quot;:9999999.0,&quot;Placement&quot;:&quot;Header&quot;,&quot;Index&quot;:&quot;Primary&quot;,&quot;Section&quot;:8,&quot;Top&quot;:0.0,&quot;Left&quot;:0.0}" style="position:absolute;margin-left:-1.05pt;margin-top:-1.05pt;width:612pt;height:36.5pt;z-index:2515691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" o:allowincell="f" filled="f" stroked="f" strokeweight=".5pt">
              <v:textbox inset=",0,,0">
                <w:txbxContent>
                  <w:p w14:paraId="3343A6EF" w14:textId="77777777" w:rsidR="008E4C9E" w:rsidRPr="008E4C9E" w:rsidRDefault="008E4C9E" w:rsidP="008E4C9E">
                    <w:pPr>
                      <w:spacing w:after="0"/>
                      <w:jc w:val="center"/>
                      <w:rPr>
                        <w:rFonts w:ascii="Calibri" w:hAnsi="Calibri" w:cs="Calibri"/>
                        <w:sz w:val="24"/>
                      </w:rPr>
                    </w:pPr>
                    <w:r w:rsidRPr="008E4C9E">
                      <w:rPr>
                        <w:rFonts w:ascii="Calibri" w:hAnsi="Calibri" w:cs="Calibri"/>
                        <w:sz w:val="24"/>
                      </w:rPr>
                      <w:t>OFFICIAL</w:t>
                    </w:r>
                  </w:p>
                </w:txbxContent>
              </v:textbox>
              <w10:wrap anchorx="page" anchory="page"/>
            </v:shape>
          </w:pict>
        </mc:Fallback>
      </mc:AlternateContent>
    </w:r>
    <w:r w:rsidR="00E27336">
      <w:rPr>
        <w:noProof/>
      </w:rPr>
      <w:drawing>
        <wp:anchor distT="0" distB="0" distL="114300" distR="114300" simplePos="0" relativeHeight="251555840" behindDoc="1" locked="0" layoutInCell="1" allowOverlap="1" wp14:anchorId="19B035DE" wp14:editId="22D41236">
          <wp:simplePos x="0" y="0"/>
          <wp:positionH relativeFrom="page">
            <wp:posOffset>-38100</wp:posOffset>
          </wp:positionH>
          <wp:positionV relativeFrom="paragraph">
            <wp:posOffset>10351135</wp:posOffset>
          </wp:positionV>
          <wp:extent cx="7558405" cy="10691495"/>
          <wp:effectExtent l="0" t="0" r="4445" b="0"/>
          <wp:wrapNone/>
          <wp:docPr id="378985476" name="Picture 37898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C28C6" w14:textId="61CDEA15" w:rsidR="0054785D" w:rsidRDefault="00B941AA" w:rsidP="004D6301">
    <w:pPr>
      <w:pStyle w:val="Header"/>
      <w:tabs>
        <w:tab w:val="clear" w:pos="4513"/>
        <w:tab w:val="clear" w:pos="9026"/>
        <w:tab w:val="left" w:pos="2792"/>
      </w:tabs>
    </w:pPr>
    <w:r>
      <w:rPr>
        <w:noProof/>
      </w:rPr>
      <w:drawing>
        <wp:anchor distT="0" distB="0" distL="114300" distR="114300" simplePos="0" relativeHeight="251615232" behindDoc="1" locked="0" layoutInCell="1" allowOverlap="1" wp14:anchorId="3D4ECAB7" wp14:editId="040F97A7">
          <wp:simplePos x="0" y="0"/>
          <wp:positionH relativeFrom="page">
            <wp:posOffset>0</wp:posOffset>
          </wp:positionH>
          <wp:positionV relativeFrom="paragraph">
            <wp:posOffset>-449249</wp:posOffset>
          </wp:positionV>
          <wp:extent cx="7558765" cy="10691995"/>
          <wp:effectExtent l="0" t="0" r="4445" b="0"/>
          <wp:wrapNone/>
          <wp:docPr id="971756701" name="Picture 97175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2810" name="Picture 1756632810"/>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4D6301">
      <w:tab/>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90D1" w14:textId="54498B45" w:rsidR="00DA3DA7" w:rsidRDefault="00B81506">
    <w:pPr>
      <w:pStyle w:val="Header"/>
    </w:pPr>
    <w:r>
      <w:rPr>
        <w:noProof/>
      </w:rPr>
      <w:drawing>
        <wp:anchor distT="0" distB="0" distL="114300" distR="114300" simplePos="0" relativeHeight="251673600" behindDoc="1" locked="0" layoutInCell="1" allowOverlap="1" wp14:anchorId="2470BAFF" wp14:editId="7CAEF235">
          <wp:simplePos x="0" y="0"/>
          <wp:positionH relativeFrom="page">
            <wp:posOffset>-751</wp:posOffset>
          </wp:positionH>
          <wp:positionV relativeFrom="paragraph">
            <wp:posOffset>-443851</wp:posOffset>
          </wp:positionV>
          <wp:extent cx="7558765" cy="10691997"/>
          <wp:effectExtent l="0" t="0" r="4445" b="0"/>
          <wp:wrapNone/>
          <wp:docPr id="1783056509" name="Picture 178305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4D26" w14:textId="163D7B31" w:rsidR="00DA3DA7" w:rsidRDefault="00DA3DA7">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CAFC" w14:textId="0C2581C1" w:rsidR="00B9178A" w:rsidRDefault="00B9178A">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B10F0" w14:textId="65399CC9" w:rsidR="00DA3DA7" w:rsidRDefault="00986151" w:rsidP="004D6301">
    <w:pPr>
      <w:pStyle w:val="Header"/>
      <w:tabs>
        <w:tab w:val="clear" w:pos="4513"/>
        <w:tab w:val="clear" w:pos="9026"/>
        <w:tab w:val="left" w:pos="851"/>
        <w:tab w:val="left" w:pos="2003"/>
      </w:tabs>
    </w:pPr>
    <w:r>
      <w:rPr>
        <w:noProof/>
      </w:rPr>
      <w:drawing>
        <wp:anchor distT="0" distB="0" distL="114300" distR="114300" simplePos="0" relativeHeight="251644928" behindDoc="1" locked="0" layoutInCell="1" allowOverlap="1" wp14:anchorId="5498285F" wp14:editId="740842B7">
          <wp:simplePos x="0" y="0"/>
          <wp:positionH relativeFrom="page">
            <wp:posOffset>0</wp:posOffset>
          </wp:positionH>
          <wp:positionV relativeFrom="paragraph">
            <wp:posOffset>-449249</wp:posOffset>
          </wp:positionV>
          <wp:extent cx="7558765" cy="10691995"/>
          <wp:effectExtent l="0" t="0" r="4445" b="0"/>
          <wp:wrapNone/>
          <wp:docPr id="2128840263" name="Picture 212884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2813" name="Picture 1756632813"/>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4D6301">
      <w:tab/>
    </w:r>
    <w:r w:rsidR="004D6301">
      <w:tab/>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96193" w14:textId="4F47CB1A" w:rsidR="00DA3DA7" w:rsidRDefault="00DA3DA7">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73CCB" w14:textId="4247B38A" w:rsidR="00461734" w:rsidRDefault="00461734" w:rsidP="004D6301">
    <w:pPr>
      <w:pStyle w:val="Header"/>
      <w:tabs>
        <w:tab w:val="clear" w:pos="4513"/>
        <w:tab w:val="clear" w:pos="9026"/>
        <w:tab w:val="left" w:pos="776"/>
      </w:tabs>
    </w:pPr>
    <w:r>
      <w:rPr>
        <w:noProof/>
      </w:rPr>
      <w:drawing>
        <wp:anchor distT="0" distB="0" distL="114300" distR="114300" simplePos="0" relativeHeight="251694080" behindDoc="1" locked="0" layoutInCell="1" allowOverlap="1" wp14:anchorId="28733D1A" wp14:editId="75DFC382">
          <wp:simplePos x="0" y="0"/>
          <wp:positionH relativeFrom="page">
            <wp:posOffset>0</wp:posOffset>
          </wp:positionH>
          <wp:positionV relativeFrom="paragraph">
            <wp:posOffset>-449249</wp:posOffset>
          </wp:positionV>
          <wp:extent cx="7558764" cy="10691995"/>
          <wp:effectExtent l="0" t="0" r="4445" b="0"/>
          <wp:wrapNone/>
          <wp:docPr id="2017205042" name="Picture 201720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11086" name="Picture 1352011086"/>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r w:rsidR="004D6301">
      <w:tab/>
    </w:r>
  </w:p>
  <w:p w14:paraId="7C6421D7" w14:textId="77777777" w:rsidR="00461734" w:rsidRDefault="00461734"/>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BDB8" w14:textId="70A72673" w:rsidR="0054785D" w:rsidRDefault="0054785D">
    <w:pPr>
      <w:pStyle w:val="Header"/>
    </w:pPr>
    <w:r>
      <w:rPr>
        <w:noProof/>
      </w:rPr>
      <w:drawing>
        <wp:anchor distT="0" distB="0" distL="114300" distR="114300" simplePos="0" relativeHeight="251563008" behindDoc="1" locked="0" layoutInCell="1" allowOverlap="1" wp14:anchorId="07E7DD67" wp14:editId="65255AA9">
          <wp:simplePos x="0" y="0"/>
          <wp:positionH relativeFrom="page">
            <wp:align>right</wp:align>
          </wp:positionH>
          <wp:positionV relativeFrom="paragraph">
            <wp:posOffset>-457200</wp:posOffset>
          </wp:positionV>
          <wp:extent cx="7558763" cy="10691993"/>
          <wp:effectExtent l="0" t="0" r="0" b="0"/>
          <wp:wrapNone/>
          <wp:docPr id="375441629" name="Picture 37544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9D816" w14:textId="577AF8BF" w:rsidR="00DA3DA7" w:rsidRDefault="00DA3DA7">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E0EA" w14:textId="3EF8FA4D" w:rsidR="00DA3DA7" w:rsidRDefault="00DA3DA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BA8C" w14:textId="1C098D6A" w:rsidR="006A0A5F" w:rsidRDefault="00A60414">
    <w:pPr>
      <w:pStyle w:val="Header"/>
    </w:pPr>
    <w:r>
      <w:rPr>
        <w:noProof/>
      </w:rPr>
      <mc:AlternateContent>
        <mc:Choice Requires="wps">
          <w:drawing>
            <wp:anchor distT="0" distB="0" distL="114300" distR="114300" simplePos="0" relativeHeight="251571200" behindDoc="0" locked="0" layoutInCell="0" allowOverlap="1" wp14:anchorId="42FB36B8" wp14:editId="714E6DA6">
              <wp:simplePos x="0" y="190500"/>
              <wp:positionH relativeFrom="page">
                <wp:align>center</wp:align>
              </wp:positionH>
              <wp:positionV relativeFrom="page">
                <wp:align>top</wp:align>
              </wp:positionV>
              <wp:extent cx="7772400" cy="463550"/>
              <wp:effectExtent l="0" t="0" r="0" b="12700"/>
              <wp:wrapNone/>
              <wp:docPr id="933" name="MSIPCMd3c04742878fd0b5218a2936" descr="{&quot;HashCode&quot;:431350885,&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F6C637" w14:textId="21A35D40" w:rsidR="00A60414" w:rsidRPr="0049163A" w:rsidRDefault="0049163A" w:rsidP="0049163A">
                          <w:pPr>
                            <w:spacing w:after="0"/>
                            <w:jc w:val="center"/>
                            <w:rPr>
                              <w:rFonts w:ascii="Calibri" w:hAnsi="Calibri" w:cs="Calibri"/>
                              <w:color w:val="FF0000"/>
                              <w:sz w:val="24"/>
                            </w:rPr>
                          </w:pPr>
                          <w:r w:rsidRPr="0049163A">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FB36B8" id="_x0000_t202" coordsize="21600,21600" o:spt="202" path="m,l,21600r21600,l21600,xe">
              <v:stroke joinstyle="miter"/>
              <v:path gradientshapeok="t" o:connecttype="rect"/>
            </v:shapetype>
            <v:shape id="MSIPCMd3c04742878fd0b5218a2936" o:spid="_x0000_s1047" type="#_x0000_t202" alt="{&quot;HashCode&quot;:431350885,&quot;Height&quot;:9999999.0,&quot;Width&quot;:9999999.0,&quot;Placement&quot;:&quot;Header&quot;,&quot;Index&quot;:&quot;Primary&quot;,&quot;Section&quot;:3,&quot;Top&quot;:0.0,&quot;Left&quot;:0.0}" style="position:absolute;margin-left:0;margin-top:0;width:612pt;height:36.5pt;z-index:25157222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01F6C637" w14:textId="21A35D40" w:rsidR="00A60414" w:rsidRPr="0049163A" w:rsidRDefault="0049163A" w:rsidP="0049163A">
                    <w:pPr>
                      <w:spacing w:after="0"/>
                      <w:jc w:val="center"/>
                      <w:rPr>
                        <w:rFonts w:ascii="Calibri" w:hAnsi="Calibri" w:cs="Calibri"/>
                        <w:color w:val="FF0000"/>
                        <w:sz w:val="24"/>
                      </w:rPr>
                    </w:pPr>
                    <w:r w:rsidRPr="0049163A">
                      <w:rPr>
                        <w:rFonts w:ascii="Calibri" w:hAnsi="Calibri" w:cs="Calibri"/>
                        <w:color w:val="FF0000"/>
                        <w:sz w:val="24"/>
                      </w:rPr>
                      <w:t>OFFICIAL</w:t>
                    </w:r>
                  </w:p>
                </w:txbxContent>
              </v:textbox>
              <w10:wrap anchorx="page" anchory="page"/>
            </v:shape>
          </w:pict>
        </mc:Fallback>
      </mc:AlternateContent>
    </w:r>
    <w:r w:rsidR="006A0A5F">
      <w:rPr>
        <w:noProof/>
      </w:rPr>
      <w:drawing>
        <wp:anchor distT="0" distB="0" distL="114300" distR="114300" simplePos="0" relativeHeight="251552768" behindDoc="1" locked="0" layoutInCell="1" allowOverlap="1" wp14:anchorId="3566D8D0" wp14:editId="329A0BB8">
          <wp:simplePos x="0" y="0"/>
          <wp:positionH relativeFrom="page">
            <wp:align>right</wp:align>
          </wp:positionH>
          <wp:positionV relativeFrom="paragraph">
            <wp:posOffset>-457835</wp:posOffset>
          </wp:positionV>
          <wp:extent cx="7558765" cy="10691997"/>
          <wp:effectExtent l="0" t="0" r="0" b="0"/>
          <wp:wrapNone/>
          <wp:docPr id="257470417" name="Picture 25747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FF038" w14:textId="1CD7F2F2" w:rsidR="000442BE" w:rsidRDefault="00B81506">
    <w:pPr>
      <w:pStyle w:val="Header"/>
    </w:pPr>
    <w:r>
      <w:rPr>
        <w:noProof/>
      </w:rPr>
      <w:drawing>
        <wp:anchor distT="0" distB="0" distL="114300" distR="114300" simplePos="0" relativeHeight="251675648" behindDoc="1" locked="0" layoutInCell="1" allowOverlap="1" wp14:anchorId="238FEF67" wp14:editId="7838F7BE">
          <wp:simplePos x="0" y="0"/>
          <wp:positionH relativeFrom="page">
            <wp:posOffset>12598</wp:posOffset>
          </wp:positionH>
          <wp:positionV relativeFrom="paragraph">
            <wp:posOffset>-437176</wp:posOffset>
          </wp:positionV>
          <wp:extent cx="7558765" cy="10691997"/>
          <wp:effectExtent l="0" t="0" r="0" b="0"/>
          <wp:wrapNone/>
          <wp:docPr id="882944640" name="Picture 88294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C3E6" w14:textId="3B68A016" w:rsidR="000442BE" w:rsidRDefault="005B3623">
    <w:pPr>
      <w:pStyle w:val="Header"/>
    </w:pPr>
    <w:r>
      <w:rPr>
        <w:noProof/>
      </w:rPr>
      <w:drawing>
        <wp:anchor distT="0" distB="0" distL="114300" distR="114300" simplePos="0" relativeHeight="251635712" behindDoc="1" locked="0" layoutInCell="1" allowOverlap="1" wp14:anchorId="37D23FFD" wp14:editId="33B14E68">
          <wp:simplePos x="0" y="0"/>
          <wp:positionH relativeFrom="page">
            <wp:posOffset>0</wp:posOffset>
          </wp:positionH>
          <wp:positionV relativeFrom="paragraph">
            <wp:posOffset>-457200</wp:posOffset>
          </wp:positionV>
          <wp:extent cx="7558763" cy="10691993"/>
          <wp:effectExtent l="0" t="0" r="4445" b="0"/>
          <wp:wrapNone/>
          <wp:docPr id="314908751" name="Picture 31490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03488" name="Picture 2127503488"/>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F8318" w14:textId="23A591AD" w:rsidR="00DA3DA7" w:rsidRDefault="00DA3DA7">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90F4" w14:textId="7BF45EAA" w:rsidR="006852D9" w:rsidRDefault="00B941AA" w:rsidP="00DD688E">
    <w:pPr>
      <w:pStyle w:val="Header"/>
      <w:tabs>
        <w:tab w:val="clear" w:pos="4513"/>
        <w:tab w:val="clear" w:pos="9026"/>
        <w:tab w:val="left" w:pos="4257"/>
      </w:tabs>
    </w:pPr>
    <w:r>
      <w:rPr>
        <w:noProof/>
      </w:rPr>
      <w:drawing>
        <wp:anchor distT="0" distB="0" distL="114300" distR="114300" simplePos="0" relativeHeight="251616256" behindDoc="1" locked="0" layoutInCell="1" allowOverlap="1" wp14:anchorId="3A582A0B" wp14:editId="60C09DB2">
          <wp:simplePos x="0" y="0"/>
          <wp:positionH relativeFrom="page">
            <wp:posOffset>0</wp:posOffset>
          </wp:positionH>
          <wp:positionV relativeFrom="paragraph">
            <wp:posOffset>-457200</wp:posOffset>
          </wp:positionV>
          <wp:extent cx="7558764" cy="10691995"/>
          <wp:effectExtent l="0" t="0" r="4445" b="0"/>
          <wp:wrapNone/>
          <wp:docPr id="287978719" name="Picture 28797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45932" name="Picture 162934593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r w:rsidR="00DD688E">
      <w:tab/>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053D9" w14:textId="220F52D7" w:rsidR="006852D9" w:rsidRDefault="00B81506">
    <w:pPr>
      <w:pStyle w:val="Header"/>
    </w:pPr>
    <w:r>
      <w:rPr>
        <w:noProof/>
      </w:rPr>
      <w:drawing>
        <wp:anchor distT="0" distB="0" distL="114300" distR="114300" simplePos="0" relativeHeight="251674624" behindDoc="1" locked="0" layoutInCell="1" allowOverlap="1" wp14:anchorId="40E9D68D" wp14:editId="2DAB722A">
          <wp:simplePos x="0" y="0"/>
          <wp:positionH relativeFrom="page">
            <wp:posOffset>-751</wp:posOffset>
          </wp:positionH>
          <wp:positionV relativeFrom="paragraph">
            <wp:posOffset>-440514</wp:posOffset>
          </wp:positionV>
          <wp:extent cx="7558765" cy="10691997"/>
          <wp:effectExtent l="0" t="0" r="4445" b="0"/>
          <wp:wrapNone/>
          <wp:docPr id="916620231" name="Picture 91662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D3A4" w14:textId="77777777" w:rsidR="006852D9" w:rsidRDefault="006852D9">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EFC3" w14:textId="2F1A414B" w:rsidR="006852D9" w:rsidRDefault="00B941AA" w:rsidP="00884CA1">
    <w:pPr>
      <w:pStyle w:val="Header"/>
    </w:pPr>
    <w:r>
      <w:rPr>
        <w:noProof/>
      </w:rPr>
      <w:drawing>
        <wp:anchor distT="0" distB="0" distL="114300" distR="114300" simplePos="0" relativeHeight="251617280" behindDoc="1" locked="0" layoutInCell="1" allowOverlap="1" wp14:anchorId="1D47AFE4" wp14:editId="6817B95D">
          <wp:simplePos x="0" y="0"/>
          <wp:positionH relativeFrom="page">
            <wp:posOffset>0</wp:posOffset>
          </wp:positionH>
          <wp:positionV relativeFrom="paragraph">
            <wp:posOffset>-457200</wp:posOffset>
          </wp:positionV>
          <wp:extent cx="7558764" cy="10691995"/>
          <wp:effectExtent l="0" t="0" r="4445" b="0"/>
          <wp:wrapNone/>
          <wp:docPr id="567217273" name="Picture 56721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87632" name="Picture 141458763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77A5A" w14:textId="4FEF9645" w:rsidR="006852D9" w:rsidRDefault="005B3623">
    <w:pPr>
      <w:pStyle w:val="Header"/>
    </w:pPr>
    <w:r>
      <w:rPr>
        <w:noProof/>
      </w:rPr>
      <w:drawing>
        <wp:anchor distT="0" distB="0" distL="114300" distR="114300" simplePos="0" relativeHeight="251636736" behindDoc="1" locked="0" layoutInCell="1" allowOverlap="1" wp14:anchorId="3564A4F1" wp14:editId="729D545E">
          <wp:simplePos x="0" y="0"/>
          <wp:positionH relativeFrom="page">
            <wp:posOffset>0</wp:posOffset>
          </wp:positionH>
          <wp:positionV relativeFrom="paragraph">
            <wp:posOffset>-457200</wp:posOffset>
          </wp:positionV>
          <wp:extent cx="7558763" cy="10691993"/>
          <wp:effectExtent l="0" t="0" r="4445" b="0"/>
          <wp:wrapNone/>
          <wp:docPr id="1588333591" name="Picture 158833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1754" name="Picture 41141754"/>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54ED2" w14:textId="77777777" w:rsidR="006852D9" w:rsidRDefault="006852D9">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06FF7" w14:textId="05E715FE" w:rsidR="00173852" w:rsidRDefault="00173852">
    <w:pPr>
      <w:pStyle w:val="Header"/>
    </w:pPr>
    <w:r>
      <w:rPr>
        <w:noProof/>
      </w:rPr>
      <mc:AlternateContent>
        <mc:Choice Requires="wps">
          <w:drawing>
            <wp:anchor distT="0" distB="0" distL="114300" distR="114300" simplePos="0" relativeHeight="251597824" behindDoc="0" locked="0" layoutInCell="0" allowOverlap="1" wp14:anchorId="5098C876" wp14:editId="4051318F">
              <wp:simplePos x="0" y="0"/>
              <wp:positionH relativeFrom="page">
                <wp:posOffset>0</wp:posOffset>
              </wp:positionH>
              <wp:positionV relativeFrom="page">
                <wp:posOffset>0</wp:posOffset>
              </wp:positionV>
              <wp:extent cx="7772400" cy="463550"/>
              <wp:effectExtent l="0" t="0" r="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104F3AD3" w14:textId="77777777" w:rsidR="00173852" w:rsidRPr="008E4C9E" w:rsidRDefault="00173852" w:rsidP="008F7730">
                          <w:pPr>
                            <w:spacing w:after="0"/>
                            <w:jc w:val="center"/>
                            <w:rPr>
                              <w:rFonts w:ascii="Calibri" w:hAnsi="Calibri" w:cs="Calibri"/>
                              <w:sz w:val="24"/>
                            </w:rPr>
                          </w:pPr>
                          <w:r w:rsidRPr="008E4C9E">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98C876" id="_x0000_t202" coordsize="21600,21600" o:spt="202" path="m,l,21600r21600,l21600,xe">
              <v:stroke joinstyle="miter"/>
              <v:path gradientshapeok="t" o:connecttype="rect"/>
            </v:shapetype>
            <v:shape id="_x0000_s1060" type="#_x0000_t202" style="position:absolute;margin-left:0;margin-top:0;width:612pt;height:36.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" o:allowincell="f" filled="f" stroked="f" strokeweight=".5pt">
              <v:textbox inset=",0,,0">
                <w:txbxContent>
                  <w:p w14:paraId="104F3AD3" w14:textId="77777777" w:rsidR="00173852" w:rsidRPr="008E4C9E" w:rsidRDefault="00173852" w:rsidP="008F7730">
                    <w:pPr>
                      <w:spacing w:after="0"/>
                      <w:jc w:val="center"/>
                      <w:rPr>
                        <w:rFonts w:ascii="Calibri" w:hAnsi="Calibri" w:cs="Calibri"/>
                        <w:sz w:val="24"/>
                      </w:rPr>
                    </w:pPr>
                    <w:r w:rsidRPr="008E4C9E">
                      <w:rPr>
                        <w:rFonts w:ascii="Calibri" w:hAnsi="Calibri" w:cs="Calibri"/>
                        <w:sz w:val="24"/>
                      </w:rPr>
                      <w:t>OFFICIAL</w:t>
                    </w:r>
                  </w:p>
                </w:txbxContent>
              </v:textbox>
              <w10:wrap anchorx="page" anchory="page"/>
            </v:shape>
          </w:pict>
        </mc:Fallback>
      </mc:AlternateContent>
    </w:r>
    <w:r>
      <w:rPr>
        <w:noProof/>
      </w:rPr>
      <w:drawing>
        <wp:anchor distT="0" distB="0" distL="114300" distR="114300" simplePos="0" relativeHeight="251596800" behindDoc="1" locked="0" layoutInCell="1" allowOverlap="1" wp14:anchorId="0D3B37E0" wp14:editId="33DB4CF7">
          <wp:simplePos x="0" y="0"/>
          <wp:positionH relativeFrom="page">
            <wp:align>right</wp:align>
          </wp:positionH>
          <wp:positionV relativeFrom="paragraph">
            <wp:posOffset>-457200</wp:posOffset>
          </wp:positionV>
          <wp:extent cx="7558763" cy="10691993"/>
          <wp:effectExtent l="0" t="0" r="0" b="0"/>
          <wp:wrapNone/>
          <wp:docPr id="732021414" name="Picture 73202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843D8C"/>
    <w:lvl w:ilvl="0">
      <w:start w:val="1"/>
      <w:numFmt w:val="decimal"/>
      <w:pStyle w:val="ListNumber5"/>
      <w:lvlText w:val="%1."/>
      <w:lvlJc w:val="left"/>
      <w:pPr>
        <w:tabs>
          <w:tab w:val="num" w:pos="1274"/>
        </w:tabs>
        <w:ind w:left="1274" w:hanging="360"/>
      </w:pPr>
    </w:lvl>
  </w:abstractNum>
  <w:abstractNum w:abstractNumId="1" w15:restartNumberingAfterBreak="0">
    <w:nsid w:val="FFFFFF7D"/>
    <w:multiLevelType w:val="singleLevel"/>
    <w:tmpl w:val="AC6C3D8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156D4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2A26C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5CCDCA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C3A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18555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F2CF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5697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B06F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9F6F99"/>
    <w:multiLevelType w:val="hybridMultilevel"/>
    <w:tmpl w:val="EC480426"/>
    <w:lvl w:ilvl="0" w:tplc="A1E6A1F2">
      <w:start w:val="1"/>
      <w:numFmt w:val="decimal"/>
      <w:lvlText w:val="%1."/>
      <w:lvlJc w:val="left"/>
      <w:pPr>
        <w:ind w:left="360" w:hanging="360"/>
      </w:pPr>
      <w:rPr>
        <w:rFonts w:hint="default"/>
        <w:b w:val="0"/>
        <w:bCs w:val="0"/>
        <w:color w:val="58595B"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547301D"/>
    <w:multiLevelType w:val="hybridMultilevel"/>
    <w:tmpl w:val="558A081A"/>
    <w:lvl w:ilvl="0" w:tplc="18E8D5EE">
      <w:start w:val="1"/>
      <w:numFmt w:val="bullet"/>
      <w:pStyle w:val="NormalindentbulletsL1"/>
      <w:lvlText w:val=""/>
      <w:lvlJc w:val="left"/>
      <w:pPr>
        <w:ind w:left="360" w:hanging="360"/>
      </w:pPr>
      <w:rPr>
        <w:rFonts w:ascii="Symbol" w:hAnsi="Symbol" w:hint="default"/>
      </w:rPr>
    </w:lvl>
    <w:lvl w:ilvl="1" w:tplc="0C090003">
      <w:start w:val="1"/>
      <w:numFmt w:val="bullet"/>
      <w:lvlText w:val="o"/>
      <w:lvlJc w:val="left"/>
      <w:pPr>
        <w:ind w:left="1445" w:hanging="360"/>
      </w:pPr>
      <w:rPr>
        <w:rFonts w:ascii="Courier New" w:hAnsi="Courier New" w:cs="Courier New" w:hint="default"/>
      </w:rPr>
    </w:lvl>
    <w:lvl w:ilvl="2" w:tplc="0C090005">
      <w:start w:val="1"/>
      <w:numFmt w:val="bullet"/>
      <w:lvlText w:val=""/>
      <w:lvlJc w:val="left"/>
      <w:pPr>
        <w:ind w:left="2165" w:hanging="360"/>
      </w:pPr>
      <w:rPr>
        <w:rFonts w:ascii="Wingdings" w:hAnsi="Wingdings" w:hint="default"/>
      </w:rPr>
    </w:lvl>
    <w:lvl w:ilvl="3" w:tplc="0C090001">
      <w:start w:val="1"/>
      <w:numFmt w:val="bullet"/>
      <w:lvlText w:val=""/>
      <w:lvlJc w:val="left"/>
      <w:pPr>
        <w:ind w:left="2885" w:hanging="360"/>
      </w:pPr>
      <w:rPr>
        <w:rFonts w:ascii="Symbol" w:hAnsi="Symbol" w:hint="default"/>
      </w:rPr>
    </w:lvl>
    <w:lvl w:ilvl="4" w:tplc="0C090003">
      <w:start w:val="1"/>
      <w:numFmt w:val="bullet"/>
      <w:lvlText w:val="o"/>
      <w:lvlJc w:val="left"/>
      <w:pPr>
        <w:ind w:left="3605" w:hanging="360"/>
      </w:pPr>
      <w:rPr>
        <w:rFonts w:ascii="Courier New" w:hAnsi="Courier New" w:cs="Courier New" w:hint="default"/>
      </w:rPr>
    </w:lvl>
    <w:lvl w:ilvl="5" w:tplc="0C090005">
      <w:start w:val="1"/>
      <w:numFmt w:val="bullet"/>
      <w:lvlText w:val=""/>
      <w:lvlJc w:val="left"/>
      <w:pPr>
        <w:ind w:left="4325" w:hanging="360"/>
      </w:pPr>
      <w:rPr>
        <w:rFonts w:ascii="Wingdings" w:hAnsi="Wingdings" w:hint="default"/>
      </w:rPr>
    </w:lvl>
    <w:lvl w:ilvl="6" w:tplc="0C090001">
      <w:start w:val="1"/>
      <w:numFmt w:val="bullet"/>
      <w:lvlText w:val=""/>
      <w:lvlJc w:val="left"/>
      <w:pPr>
        <w:ind w:left="5045" w:hanging="360"/>
      </w:pPr>
      <w:rPr>
        <w:rFonts w:ascii="Symbol" w:hAnsi="Symbol" w:hint="default"/>
      </w:rPr>
    </w:lvl>
    <w:lvl w:ilvl="7" w:tplc="0C090003">
      <w:start w:val="1"/>
      <w:numFmt w:val="bullet"/>
      <w:lvlText w:val="o"/>
      <w:lvlJc w:val="left"/>
      <w:pPr>
        <w:ind w:left="5765" w:hanging="360"/>
      </w:pPr>
      <w:rPr>
        <w:rFonts w:ascii="Courier New" w:hAnsi="Courier New" w:cs="Courier New" w:hint="default"/>
      </w:rPr>
    </w:lvl>
    <w:lvl w:ilvl="8" w:tplc="0C090005">
      <w:start w:val="1"/>
      <w:numFmt w:val="bullet"/>
      <w:lvlText w:val=""/>
      <w:lvlJc w:val="left"/>
      <w:pPr>
        <w:ind w:left="6485" w:hanging="360"/>
      </w:pPr>
      <w:rPr>
        <w:rFonts w:ascii="Wingdings" w:hAnsi="Wingdings" w:hint="default"/>
      </w:rPr>
    </w:lvl>
  </w:abstractNum>
  <w:abstractNum w:abstractNumId="12" w15:restartNumberingAfterBreak="0">
    <w:nsid w:val="05DD0F35"/>
    <w:multiLevelType w:val="hybridMultilevel"/>
    <w:tmpl w:val="BA3C478E"/>
    <w:lvl w:ilvl="0" w:tplc="96BE9904">
      <w:start w:val="1"/>
      <w:numFmt w:val="bullet"/>
      <w:pStyle w:val="NormalBulletlistL1"/>
      <w:lvlText w:val=""/>
      <w:lvlJc w:val="left"/>
      <w:pPr>
        <w:ind w:left="720" w:hanging="360"/>
      </w:pPr>
      <w:rPr>
        <w:rFonts w:ascii="Symbol" w:hAnsi="Symbol" w:hint="default"/>
        <w:color w:val="939598"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F00366"/>
    <w:multiLevelType w:val="hybridMultilevel"/>
    <w:tmpl w:val="EEAA79F6"/>
    <w:lvl w:ilvl="0" w:tplc="EDAA23A2">
      <w:start w:val="1"/>
      <w:numFmt w:val="bullet"/>
      <w:pStyle w:val="Bulletpoints"/>
      <w:lvlText w:val=""/>
      <w:lvlJc w:val="left"/>
      <w:pPr>
        <w:ind w:left="1353" w:hanging="360"/>
      </w:pPr>
      <w:rPr>
        <w:rFonts w:ascii="Symbol" w:hAnsi="Symbol" w:hint="default"/>
        <w:caps w:val="0"/>
        <w:color w:val="414042" w:themeColor="text1"/>
        <w:sz w:val="16"/>
        <w:u w:color="FFFF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1D7E35"/>
    <w:multiLevelType w:val="hybridMultilevel"/>
    <w:tmpl w:val="5CB29370"/>
    <w:lvl w:ilvl="0" w:tplc="A1605152">
      <w:start w:val="1"/>
      <w:numFmt w:val="bullet"/>
      <w:pStyle w:val="Bullets2"/>
      <w:lvlText w:val=""/>
      <w:lvlJc w:val="left"/>
      <w:pPr>
        <w:ind w:left="717" w:hanging="360"/>
      </w:pPr>
      <w:rPr>
        <w:rFonts w:ascii="Symbol" w:hAnsi="Symbol" w:hint="default"/>
        <w:color w:val="58595B" w:themeColor="accent2"/>
        <w:sz w:val="1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0B864915"/>
    <w:multiLevelType w:val="hybridMultilevel"/>
    <w:tmpl w:val="6C8A6F34"/>
    <w:lvl w:ilvl="0" w:tplc="7D0A7EA8">
      <w:start w:val="1"/>
      <w:numFmt w:val="bullet"/>
      <w:lvlText w:val="─"/>
      <w:lvlJc w:val="left"/>
      <w:pPr>
        <w:ind w:left="720" w:hanging="360"/>
      </w:pPr>
      <w:rPr>
        <w:rFonts w:ascii="Calibri" w:hAnsi="Calibri" w:hint="default"/>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C316181"/>
    <w:multiLevelType w:val="hybridMultilevel"/>
    <w:tmpl w:val="E06C4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C9C64CC"/>
    <w:multiLevelType w:val="hybridMultilevel"/>
    <w:tmpl w:val="57D87D7C"/>
    <w:lvl w:ilvl="0" w:tplc="7D0A7EA8">
      <w:start w:val="1"/>
      <w:numFmt w:val="bullet"/>
      <w:lvlText w:val="─"/>
      <w:lvlJc w:val="left"/>
      <w:pPr>
        <w:ind w:left="720" w:hanging="360"/>
      </w:pPr>
      <w:rPr>
        <w:rFonts w:ascii="Calibri" w:hAnsi="Calibri" w:hint="default"/>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F502DE3"/>
    <w:multiLevelType w:val="multilevel"/>
    <w:tmpl w:val="2DBE2FFC"/>
    <w:lvl w:ilvl="0">
      <w:start w:val="1"/>
      <w:numFmt w:val="bullet"/>
      <w:pStyle w:val="Briefbulletpoints"/>
      <w:lvlText w:val=""/>
      <w:lvlJc w:val="left"/>
      <w:pPr>
        <w:ind w:left="284" w:hanging="284"/>
      </w:pPr>
      <w:rPr>
        <w:rFonts w:ascii="Symbol" w:hAnsi="Symbol" w:hint="default"/>
        <w:color w:val="auto"/>
      </w:rPr>
    </w:lvl>
    <w:lvl w:ilvl="1">
      <w:start w:val="1"/>
      <w:numFmt w:val="bullet"/>
      <w:lvlText w:val="-"/>
      <w:lvlJc w:val="left"/>
      <w:pPr>
        <w:ind w:left="851" w:hanging="284"/>
      </w:pPr>
      <w:rPr>
        <w:rFonts w:ascii="Courier New" w:hAnsi="Courier New" w:hint="default"/>
      </w:rPr>
    </w:lvl>
    <w:lvl w:ilvl="2">
      <w:start w:val="1"/>
      <w:numFmt w:val="bullet"/>
      <w:lvlText w:val=""/>
      <w:lvlJc w:val="left"/>
      <w:pPr>
        <w:ind w:left="1986" w:hanging="284"/>
      </w:pPr>
      <w:rPr>
        <w:rFonts w:ascii="Wingdings" w:hAnsi="Wingdings" w:hint="default"/>
      </w:rPr>
    </w:lvl>
    <w:lvl w:ilvl="3">
      <w:start w:val="1"/>
      <w:numFmt w:val="bullet"/>
      <w:lvlText w:val=""/>
      <w:lvlJc w:val="left"/>
      <w:pPr>
        <w:ind w:left="2837" w:hanging="284"/>
      </w:pPr>
      <w:rPr>
        <w:rFonts w:ascii="Symbol" w:hAnsi="Symbol" w:hint="default"/>
      </w:rPr>
    </w:lvl>
    <w:lvl w:ilvl="4">
      <w:start w:val="1"/>
      <w:numFmt w:val="bullet"/>
      <w:lvlText w:val="o"/>
      <w:lvlJc w:val="left"/>
      <w:pPr>
        <w:ind w:left="3688" w:hanging="284"/>
      </w:pPr>
      <w:rPr>
        <w:rFonts w:ascii="Courier New" w:hAnsi="Courier New" w:cs="Courier New" w:hint="default"/>
      </w:rPr>
    </w:lvl>
    <w:lvl w:ilvl="5">
      <w:start w:val="1"/>
      <w:numFmt w:val="bullet"/>
      <w:lvlText w:val=""/>
      <w:lvlJc w:val="left"/>
      <w:pPr>
        <w:ind w:left="4539" w:hanging="284"/>
      </w:pPr>
      <w:rPr>
        <w:rFonts w:ascii="Wingdings" w:hAnsi="Wingdings" w:hint="default"/>
      </w:rPr>
    </w:lvl>
    <w:lvl w:ilvl="6">
      <w:start w:val="1"/>
      <w:numFmt w:val="bullet"/>
      <w:lvlText w:val=""/>
      <w:lvlJc w:val="left"/>
      <w:pPr>
        <w:ind w:left="5390" w:hanging="284"/>
      </w:pPr>
      <w:rPr>
        <w:rFonts w:ascii="Symbol" w:hAnsi="Symbol" w:hint="default"/>
      </w:rPr>
    </w:lvl>
    <w:lvl w:ilvl="7">
      <w:start w:val="1"/>
      <w:numFmt w:val="bullet"/>
      <w:lvlText w:val="o"/>
      <w:lvlJc w:val="left"/>
      <w:pPr>
        <w:ind w:left="6241" w:hanging="284"/>
      </w:pPr>
      <w:rPr>
        <w:rFonts w:ascii="Courier New" w:hAnsi="Courier New" w:cs="Courier New" w:hint="default"/>
      </w:rPr>
    </w:lvl>
    <w:lvl w:ilvl="8">
      <w:start w:val="1"/>
      <w:numFmt w:val="bullet"/>
      <w:lvlText w:val=""/>
      <w:lvlJc w:val="left"/>
      <w:pPr>
        <w:ind w:left="7092" w:hanging="284"/>
      </w:pPr>
      <w:rPr>
        <w:rFonts w:ascii="Wingdings" w:hAnsi="Wingdings" w:hint="default"/>
      </w:rPr>
    </w:lvl>
  </w:abstractNum>
  <w:abstractNum w:abstractNumId="19" w15:restartNumberingAfterBreak="0">
    <w:nsid w:val="101F2559"/>
    <w:multiLevelType w:val="hybridMultilevel"/>
    <w:tmpl w:val="4D6817B8"/>
    <w:lvl w:ilvl="0" w:tplc="FFFFFFFF">
      <w:start w:val="1"/>
      <w:numFmt w:val="bullet"/>
      <w:lvlText w:val=""/>
      <w:lvlJc w:val="left"/>
      <w:pPr>
        <w:ind w:left="1040" w:hanging="360"/>
      </w:pPr>
      <w:rPr>
        <w:rFonts w:ascii="Symbol" w:hAnsi="Symbol" w:hint="default"/>
      </w:rPr>
    </w:lvl>
    <w:lvl w:ilvl="1" w:tplc="0C090003">
      <w:start w:val="1"/>
      <w:numFmt w:val="bullet"/>
      <w:lvlText w:val="o"/>
      <w:lvlJc w:val="left"/>
      <w:pPr>
        <w:ind w:left="2125" w:hanging="360"/>
      </w:pPr>
      <w:rPr>
        <w:rFonts w:ascii="Courier New" w:hAnsi="Courier New" w:cs="Courier New" w:hint="default"/>
      </w:rPr>
    </w:lvl>
    <w:lvl w:ilvl="2" w:tplc="FFFFFFFF">
      <w:start w:val="1"/>
      <w:numFmt w:val="bullet"/>
      <w:lvlText w:val=""/>
      <w:lvlJc w:val="left"/>
      <w:pPr>
        <w:ind w:left="2845" w:hanging="360"/>
      </w:pPr>
      <w:rPr>
        <w:rFonts w:ascii="Wingdings" w:hAnsi="Wingdings" w:hint="default"/>
      </w:rPr>
    </w:lvl>
    <w:lvl w:ilvl="3" w:tplc="FFFFFFFF">
      <w:start w:val="1"/>
      <w:numFmt w:val="bullet"/>
      <w:lvlText w:val=""/>
      <w:lvlJc w:val="left"/>
      <w:pPr>
        <w:ind w:left="3565" w:hanging="360"/>
      </w:pPr>
      <w:rPr>
        <w:rFonts w:ascii="Symbol" w:hAnsi="Symbol" w:hint="default"/>
      </w:rPr>
    </w:lvl>
    <w:lvl w:ilvl="4" w:tplc="FFFFFFFF">
      <w:start w:val="1"/>
      <w:numFmt w:val="bullet"/>
      <w:lvlText w:val="o"/>
      <w:lvlJc w:val="left"/>
      <w:pPr>
        <w:ind w:left="4285" w:hanging="360"/>
      </w:pPr>
      <w:rPr>
        <w:rFonts w:ascii="Courier New" w:hAnsi="Courier New" w:cs="Courier New" w:hint="default"/>
      </w:rPr>
    </w:lvl>
    <w:lvl w:ilvl="5" w:tplc="FFFFFFFF">
      <w:start w:val="1"/>
      <w:numFmt w:val="bullet"/>
      <w:lvlText w:val=""/>
      <w:lvlJc w:val="left"/>
      <w:pPr>
        <w:ind w:left="5005" w:hanging="360"/>
      </w:pPr>
      <w:rPr>
        <w:rFonts w:ascii="Wingdings" w:hAnsi="Wingdings" w:hint="default"/>
      </w:rPr>
    </w:lvl>
    <w:lvl w:ilvl="6" w:tplc="FFFFFFFF">
      <w:start w:val="1"/>
      <w:numFmt w:val="bullet"/>
      <w:lvlText w:val=""/>
      <w:lvlJc w:val="left"/>
      <w:pPr>
        <w:ind w:left="5725" w:hanging="360"/>
      </w:pPr>
      <w:rPr>
        <w:rFonts w:ascii="Symbol" w:hAnsi="Symbol" w:hint="default"/>
      </w:rPr>
    </w:lvl>
    <w:lvl w:ilvl="7" w:tplc="FFFFFFFF">
      <w:start w:val="1"/>
      <w:numFmt w:val="bullet"/>
      <w:lvlText w:val="o"/>
      <w:lvlJc w:val="left"/>
      <w:pPr>
        <w:ind w:left="6445" w:hanging="360"/>
      </w:pPr>
      <w:rPr>
        <w:rFonts w:ascii="Courier New" w:hAnsi="Courier New" w:cs="Courier New" w:hint="default"/>
      </w:rPr>
    </w:lvl>
    <w:lvl w:ilvl="8" w:tplc="FFFFFFFF">
      <w:start w:val="1"/>
      <w:numFmt w:val="bullet"/>
      <w:lvlText w:val=""/>
      <w:lvlJc w:val="left"/>
      <w:pPr>
        <w:ind w:left="7165" w:hanging="360"/>
      </w:pPr>
      <w:rPr>
        <w:rFonts w:ascii="Wingdings" w:hAnsi="Wingdings" w:hint="default"/>
      </w:rPr>
    </w:lvl>
  </w:abstractNum>
  <w:abstractNum w:abstractNumId="20" w15:restartNumberingAfterBreak="0">
    <w:nsid w:val="12684DBF"/>
    <w:multiLevelType w:val="hybridMultilevel"/>
    <w:tmpl w:val="5CD4BE6A"/>
    <w:lvl w:ilvl="0" w:tplc="9C7A6D28">
      <w:start w:val="1"/>
      <w:numFmt w:val="bullet"/>
      <w:pStyle w:val="BoxtextbulletlistL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130F5370"/>
    <w:multiLevelType w:val="hybridMultilevel"/>
    <w:tmpl w:val="0346FE3A"/>
    <w:lvl w:ilvl="0" w:tplc="D932101A">
      <w:numFmt w:val="bullet"/>
      <w:pStyle w:val="Bullets2c"/>
      <w:lvlText w:val="-"/>
      <w:lvlJc w:val="left"/>
      <w:pPr>
        <w:ind w:left="720" w:hanging="360"/>
      </w:pPr>
      <w:rPr>
        <w:rFonts w:ascii="Calibri Light" w:eastAsiaTheme="minorHAnsi"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9A60E0E8">
      <w:numFmt w:val="bullet"/>
      <w:lvlText w:val="•"/>
      <w:lvlJc w:val="left"/>
      <w:pPr>
        <w:ind w:left="2160" w:hanging="360"/>
      </w:pPr>
      <w:rPr>
        <w:rFonts w:ascii="Calibri Light" w:eastAsiaTheme="minorHAnsi" w:hAnsi="Calibri Light" w:cs="Calibri Light"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5300B3E"/>
    <w:multiLevelType w:val="hybridMultilevel"/>
    <w:tmpl w:val="36BE8F3A"/>
    <w:lvl w:ilvl="0" w:tplc="69822386">
      <w:start w:val="1"/>
      <w:numFmt w:val="decimal"/>
      <w:pStyle w:val="NormalnumberedlistL2"/>
      <w:lvlText w:val="%1."/>
      <w:lvlJc w:val="left"/>
      <w:pPr>
        <w:ind w:left="1284" w:hanging="360"/>
      </w:pPr>
      <w:rPr>
        <w:rFonts w:hint="default"/>
        <w:color w:val="939598" w:themeColor="accent4"/>
      </w:rPr>
    </w:lvl>
    <w:lvl w:ilvl="1" w:tplc="0C090019">
      <w:start w:val="1"/>
      <w:numFmt w:val="lowerLetter"/>
      <w:lvlText w:val="%2."/>
      <w:lvlJc w:val="left"/>
      <w:pPr>
        <w:ind w:left="2154" w:hanging="360"/>
      </w:pPr>
    </w:lvl>
    <w:lvl w:ilvl="2" w:tplc="0C09001B">
      <w:start w:val="1"/>
      <w:numFmt w:val="lowerRoman"/>
      <w:lvlText w:val="%3."/>
      <w:lvlJc w:val="right"/>
      <w:pPr>
        <w:ind w:left="2874" w:hanging="180"/>
      </w:pPr>
    </w:lvl>
    <w:lvl w:ilvl="3" w:tplc="0C09000F">
      <w:start w:val="1"/>
      <w:numFmt w:val="decimal"/>
      <w:lvlText w:val="%4."/>
      <w:lvlJc w:val="left"/>
      <w:pPr>
        <w:ind w:left="3594" w:hanging="360"/>
      </w:pPr>
    </w:lvl>
    <w:lvl w:ilvl="4" w:tplc="0C090019">
      <w:start w:val="1"/>
      <w:numFmt w:val="lowerLetter"/>
      <w:lvlText w:val="%5."/>
      <w:lvlJc w:val="left"/>
      <w:pPr>
        <w:ind w:left="4314" w:hanging="360"/>
      </w:pPr>
    </w:lvl>
    <w:lvl w:ilvl="5" w:tplc="0C09001B">
      <w:start w:val="1"/>
      <w:numFmt w:val="lowerRoman"/>
      <w:lvlText w:val="%6."/>
      <w:lvlJc w:val="right"/>
      <w:pPr>
        <w:ind w:left="5034" w:hanging="180"/>
      </w:pPr>
    </w:lvl>
    <w:lvl w:ilvl="6" w:tplc="0C09000F">
      <w:start w:val="1"/>
      <w:numFmt w:val="decimal"/>
      <w:lvlText w:val="%7."/>
      <w:lvlJc w:val="left"/>
      <w:pPr>
        <w:ind w:left="5754" w:hanging="360"/>
      </w:pPr>
    </w:lvl>
    <w:lvl w:ilvl="7" w:tplc="0C090019">
      <w:start w:val="1"/>
      <w:numFmt w:val="lowerLetter"/>
      <w:lvlText w:val="%8."/>
      <w:lvlJc w:val="left"/>
      <w:pPr>
        <w:ind w:left="6474" w:hanging="360"/>
      </w:pPr>
    </w:lvl>
    <w:lvl w:ilvl="8" w:tplc="0C09001B">
      <w:start w:val="1"/>
      <w:numFmt w:val="lowerRoman"/>
      <w:lvlText w:val="%9."/>
      <w:lvlJc w:val="right"/>
      <w:pPr>
        <w:ind w:left="7194" w:hanging="180"/>
      </w:pPr>
    </w:lvl>
  </w:abstractNum>
  <w:abstractNum w:abstractNumId="23" w15:restartNumberingAfterBreak="0">
    <w:nsid w:val="197264E7"/>
    <w:multiLevelType w:val="hybridMultilevel"/>
    <w:tmpl w:val="B754C498"/>
    <w:lvl w:ilvl="0" w:tplc="91AC0582">
      <w:start w:val="1"/>
      <w:numFmt w:val="decimal"/>
      <w:lvlText w:val="%1."/>
      <w:lvlJc w:val="left"/>
      <w:pPr>
        <w:ind w:left="360" w:hanging="360"/>
      </w:pPr>
      <w:rPr>
        <w:rFonts w:asciiTheme="majorHAnsi" w:hAnsiTheme="majorHAnsi" w:cstheme="majorHAnsi" w:hint="default"/>
        <w:b w:val="0"/>
        <w:bCs w:val="0"/>
        <w:color w:val="58595B" w:themeColor="accent2"/>
        <w:sz w:val="16"/>
        <w:szCs w:val="16"/>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CA35E88"/>
    <w:multiLevelType w:val="hybridMultilevel"/>
    <w:tmpl w:val="48703DEC"/>
    <w:lvl w:ilvl="0" w:tplc="E2D24BAA">
      <w:start w:val="1"/>
      <w:numFmt w:val="decimal"/>
      <w:lvlText w:val="%1."/>
      <w:lvlJc w:val="left"/>
      <w:pPr>
        <w:ind w:left="360" w:hanging="360"/>
      </w:pPr>
      <w:rPr>
        <w:rFonts w:hint="default"/>
        <w:b w:val="0"/>
        <w:bCs w:val="0"/>
        <w:i w:val="0"/>
        <w:iCs/>
        <w:color w:val="58595B" w:themeColor="accent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1D602654"/>
    <w:multiLevelType w:val="hybridMultilevel"/>
    <w:tmpl w:val="23245D98"/>
    <w:lvl w:ilvl="0" w:tplc="D83C2454">
      <w:start w:val="1"/>
      <w:numFmt w:val="lowerLetter"/>
      <w:pStyle w:val="NormalalistL1"/>
      <w:lvlText w:val="(%1)"/>
      <w:lvlJc w:val="left"/>
      <w:pPr>
        <w:ind w:left="927"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223D40A0"/>
    <w:multiLevelType w:val="hybridMultilevel"/>
    <w:tmpl w:val="79A2A472"/>
    <w:lvl w:ilvl="0" w:tplc="38E28F76">
      <w:start w:val="1"/>
      <w:numFmt w:val="bullet"/>
      <w:pStyle w:val="NormalbulletlistL10"/>
      <w:lvlText w:val=""/>
      <w:lvlJc w:val="left"/>
      <w:pPr>
        <w:ind w:left="1287" w:hanging="360"/>
      </w:pPr>
      <w:rPr>
        <w:rFonts w:ascii="Symbol" w:hAnsi="Symbol" w:hint="default"/>
      </w:rPr>
    </w:lvl>
    <w:lvl w:ilvl="1" w:tplc="0C090019">
      <w:start w:val="1"/>
      <w:numFmt w:val="bullet"/>
      <w:lvlText w:val="o"/>
      <w:lvlJc w:val="left"/>
      <w:pPr>
        <w:ind w:left="2007" w:hanging="360"/>
      </w:pPr>
      <w:rPr>
        <w:rFonts w:ascii="Courier New" w:hAnsi="Courier New" w:cs="Courier New" w:hint="default"/>
      </w:rPr>
    </w:lvl>
    <w:lvl w:ilvl="2" w:tplc="0C09001B">
      <w:start w:val="1"/>
      <w:numFmt w:val="bullet"/>
      <w:lvlText w:val=""/>
      <w:lvlJc w:val="left"/>
      <w:pPr>
        <w:ind w:left="2727" w:hanging="360"/>
      </w:pPr>
      <w:rPr>
        <w:rFonts w:ascii="Wingdings" w:hAnsi="Wingdings" w:hint="default"/>
      </w:rPr>
    </w:lvl>
    <w:lvl w:ilvl="3" w:tplc="0C09000F">
      <w:start w:val="1"/>
      <w:numFmt w:val="bullet"/>
      <w:lvlText w:val=""/>
      <w:lvlJc w:val="left"/>
      <w:pPr>
        <w:ind w:left="3447" w:hanging="360"/>
      </w:pPr>
      <w:rPr>
        <w:rFonts w:ascii="Symbol" w:hAnsi="Symbol" w:hint="default"/>
      </w:rPr>
    </w:lvl>
    <w:lvl w:ilvl="4" w:tplc="0C090019">
      <w:start w:val="1"/>
      <w:numFmt w:val="bullet"/>
      <w:lvlText w:val="o"/>
      <w:lvlJc w:val="left"/>
      <w:pPr>
        <w:ind w:left="4167" w:hanging="360"/>
      </w:pPr>
      <w:rPr>
        <w:rFonts w:ascii="Courier New" w:hAnsi="Courier New" w:cs="Courier New" w:hint="default"/>
      </w:rPr>
    </w:lvl>
    <w:lvl w:ilvl="5" w:tplc="0C09001B">
      <w:start w:val="1"/>
      <w:numFmt w:val="bullet"/>
      <w:lvlText w:val=""/>
      <w:lvlJc w:val="left"/>
      <w:pPr>
        <w:ind w:left="4887" w:hanging="360"/>
      </w:pPr>
      <w:rPr>
        <w:rFonts w:ascii="Wingdings" w:hAnsi="Wingdings" w:hint="default"/>
      </w:rPr>
    </w:lvl>
    <w:lvl w:ilvl="6" w:tplc="0C09000F">
      <w:start w:val="1"/>
      <w:numFmt w:val="bullet"/>
      <w:lvlText w:val=""/>
      <w:lvlJc w:val="left"/>
      <w:pPr>
        <w:ind w:left="5607" w:hanging="360"/>
      </w:pPr>
      <w:rPr>
        <w:rFonts w:ascii="Symbol" w:hAnsi="Symbol" w:hint="default"/>
      </w:rPr>
    </w:lvl>
    <w:lvl w:ilvl="7" w:tplc="0C090019">
      <w:start w:val="1"/>
      <w:numFmt w:val="bullet"/>
      <w:lvlText w:val="o"/>
      <w:lvlJc w:val="left"/>
      <w:pPr>
        <w:ind w:left="6327" w:hanging="360"/>
      </w:pPr>
      <w:rPr>
        <w:rFonts w:ascii="Courier New" w:hAnsi="Courier New" w:cs="Courier New" w:hint="default"/>
      </w:rPr>
    </w:lvl>
    <w:lvl w:ilvl="8" w:tplc="0C09001B">
      <w:start w:val="1"/>
      <w:numFmt w:val="bullet"/>
      <w:lvlText w:val=""/>
      <w:lvlJc w:val="left"/>
      <w:pPr>
        <w:ind w:left="7047" w:hanging="360"/>
      </w:pPr>
      <w:rPr>
        <w:rFonts w:ascii="Wingdings" w:hAnsi="Wingdings" w:hint="default"/>
      </w:rPr>
    </w:lvl>
  </w:abstractNum>
  <w:abstractNum w:abstractNumId="27" w15:restartNumberingAfterBreak="0">
    <w:nsid w:val="24797690"/>
    <w:multiLevelType w:val="hybridMultilevel"/>
    <w:tmpl w:val="C0E82C18"/>
    <w:lvl w:ilvl="0" w:tplc="E758B958">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2A751041"/>
    <w:multiLevelType w:val="hybridMultilevel"/>
    <w:tmpl w:val="E9A4E4BC"/>
    <w:lvl w:ilvl="0" w:tplc="B566BC18">
      <w:start w:val="1"/>
      <w:numFmt w:val="decimal"/>
      <w:lvlText w:val="%1."/>
      <w:lvlJc w:val="left"/>
      <w:pPr>
        <w:ind w:left="360" w:hanging="360"/>
      </w:pPr>
      <w:rPr>
        <w:rFonts w:hint="default"/>
        <w:b w:val="0"/>
        <w:bCs w:val="0"/>
        <w:strike w:val="0"/>
        <w:color w:val="58595B"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2AD436B2"/>
    <w:multiLevelType w:val="hybridMultilevel"/>
    <w:tmpl w:val="6D666702"/>
    <w:lvl w:ilvl="0" w:tplc="2F7CF698">
      <w:start w:val="1"/>
      <w:numFmt w:val="lowerRoman"/>
      <w:pStyle w:val="Boxtexti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2BF5246A"/>
    <w:multiLevelType w:val="hybridMultilevel"/>
    <w:tmpl w:val="11A0A476"/>
    <w:lvl w:ilvl="0" w:tplc="E8943246">
      <w:start w:val="1"/>
      <w:numFmt w:val="decimal"/>
      <w:pStyle w:val="Normal1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2DCF0C8D"/>
    <w:multiLevelType w:val="hybridMultilevel"/>
    <w:tmpl w:val="0114BD74"/>
    <w:lvl w:ilvl="0" w:tplc="39EA0F1C">
      <w:start w:val="1"/>
      <w:numFmt w:val="lowerRoman"/>
      <w:pStyle w:val="NormalilistL2"/>
      <w:lvlText w:val="(%1)"/>
      <w:lvlJc w:val="left"/>
      <w:pPr>
        <w:ind w:left="1284" w:hanging="360"/>
      </w:pPr>
      <w:rPr>
        <w:rFonts w:ascii="Calibri" w:hAnsi="Calibri" w:cs="Symbol" w:hint="default"/>
        <w:b w:val="0"/>
        <w:i w:val="0"/>
        <w:color w:val="939598" w:themeColor="accent4"/>
        <w:spacing w:val="0"/>
        <w:sz w:val="20"/>
        <w:szCs w:val="2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319D048A"/>
    <w:multiLevelType w:val="hybridMultilevel"/>
    <w:tmpl w:val="C38410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31D02467"/>
    <w:multiLevelType w:val="hybridMultilevel"/>
    <w:tmpl w:val="9684E7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5DE3C25"/>
    <w:multiLevelType w:val="hybridMultilevel"/>
    <w:tmpl w:val="5A84FDE8"/>
    <w:lvl w:ilvl="0" w:tplc="40E4EB08">
      <w:start w:val="1"/>
      <w:numFmt w:val="decimal"/>
      <w:pStyle w:val="BoxtextnumberedlistL1"/>
      <w:lvlText w:val="%1."/>
      <w:lvlJc w:val="lef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36AA4F63"/>
    <w:multiLevelType w:val="hybridMultilevel"/>
    <w:tmpl w:val="7FD20918"/>
    <w:lvl w:ilvl="0" w:tplc="B4C6B932">
      <w:start w:val="1"/>
      <w:numFmt w:val="decimal"/>
      <w:pStyle w:val="Boxtext1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36D24CE2"/>
    <w:multiLevelType w:val="hybridMultilevel"/>
    <w:tmpl w:val="0EE6CA6A"/>
    <w:lvl w:ilvl="0" w:tplc="FFFFFFFF">
      <w:start w:val="1"/>
      <w:numFmt w:val="bullet"/>
      <w:lvlText w:val=""/>
      <w:lvlJc w:val="left"/>
      <w:pPr>
        <w:ind w:left="720" w:hanging="360"/>
      </w:pPr>
      <w:rPr>
        <w:rFonts w:ascii="Symbol" w:hAnsi="Symbol" w:hint="default"/>
      </w:rPr>
    </w:lvl>
    <w:lvl w:ilvl="1" w:tplc="7D0A7EA8">
      <w:start w:val="1"/>
      <w:numFmt w:val="bullet"/>
      <w:lvlText w:val="─"/>
      <w:lvlJc w:val="left"/>
      <w:pPr>
        <w:ind w:left="72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AEC3289"/>
    <w:multiLevelType w:val="hybridMultilevel"/>
    <w:tmpl w:val="3DD20FC0"/>
    <w:lvl w:ilvl="0" w:tplc="2DC8DE7E">
      <w:start w:val="1"/>
      <w:numFmt w:val="decimal"/>
      <w:pStyle w:val="Normal1listL2"/>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15:restartNumberingAfterBreak="0">
    <w:nsid w:val="3DED732C"/>
    <w:multiLevelType w:val="hybridMultilevel"/>
    <w:tmpl w:val="3486816C"/>
    <w:lvl w:ilvl="0" w:tplc="82BE160C">
      <w:start w:val="1"/>
      <w:numFmt w:val="bullet"/>
      <w:pStyle w:val="Bulletlis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23137E"/>
    <w:multiLevelType w:val="hybridMultilevel"/>
    <w:tmpl w:val="303834C6"/>
    <w:lvl w:ilvl="0" w:tplc="8988B1DE">
      <w:start w:val="1"/>
      <w:numFmt w:val="bullet"/>
      <w:pStyle w:val="Responsedotpoint"/>
      <w:lvlText w:val=""/>
      <w:lvlJc w:val="left"/>
      <w:pPr>
        <w:ind w:left="720" w:hanging="360"/>
      </w:pPr>
      <w:rPr>
        <w:rFonts w:ascii="Symbol" w:hAnsi="Symbol" w:hint="default"/>
      </w:rPr>
    </w:lvl>
    <w:lvl w:ilvl="1" w:tplc="CB32EB02">
      <w:start w:val="2019"/>
      <w:numFmt w:val="bullet"/>
      <w:lvlText w:val="–"/>
      <w:lvlJc w:val="left"/>
      <w:pPr>
        <w:ind w:left="1440" w:hanging="360"/>
      </w:pPr>
      <w:rPr>
        <w:rFonts w:ascii="Arial" w:eastAsiaTheme="minorHAnsi" w:hAnsi="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DF74B1"/>
    <w:multiLevelType w:val="hybridMultilevel"/>
    <w:tmpl w:val="14C8A84C"/>
    <w:lvl w:ilvl="0" w:tplc="189C883E">
      <w:start w:val="1"/>
      <w:numFmt w:val="lowerRoman"/>
      <w:pStyle w:val="BoxtextilistL10"/>
      <w:lvlText w:val="(%1)"/>
      <w:lvlJc w:val="left"/>
      <w:pPr>
        <w:ind w:left="360" w:hanging="360"/>
      </w:pPr>
      <w:rPr>
        <w:rFonts w:ascii="Calibri" w:hAnsi="Calibri" w:cs="Symbol" w:hint="default"/>
        <w:b w:val="0"/>
        <w:i w:val="0"/>
        <w:spacing w:val="0"/>
        <w:sz w:val="20"/>
        <w:szCs w:val="21"/>
      </w:rPr>
    </w:lvl>
    <w:lvl w:ilvl="1" w:tplc="0C090003">
      <w:start w:val="1"/>
      <w:numFmt w:val="lowerLetter"/>
      <w:lvlText w:val="%2."/>
      <w:lvlJc w:val="left"/>
      <w:pPr>
        <w:ind w:left="1440" w:hanging="360"/>
      </w:pPr>
    </w:lvl>
    <w:lvl w:ilvl="2" w:tplc="0C090005">
      <w:start w:val="1"/>
      <w:numFmt w:val="lowerRoman"/>
      <w:lvlText w:val="%3."/>
      <w:lvlJc w:val="right"/>
      <w:pPr>
        <w:ind w:left="2160" w:hanging="180"/>
      </w:pPr>
    </w:lvl>
    <w:lvl w:ilvl="3" w:tplc="0C090001">
      <w:start w:val="1"/>
      <w:numFmt w:val="decimal"/>
      <w:lvlText w:val="%4."/>
      <w:lvlJc w:val="left"/>
      <w:pPr>
        <w:ind w:left="2880" w:hanging="360"/>
      </w:pPr>
    </w:lvl>
    <w:lvl w:ilvl="4" w:tplc="0C090003">
      <w:start w:val="1"/>
      <w:numFmt w:val="lowerLetter"/>
      <w:lvlText w:val="%5."/>
      <w:lvlJc w:val="left"/>
      <w:pPr>
        <w:ind w:left="3600" w:hanging="360"/>
      </w:pPr>
    </w:lvl>
    <w:lvl w:ilvl="5" w:tplc="0C090005">
      <w:start w:val="1"/>
      <w:numFmt w:val="lowerRoman"/>
      <w:lvlText w:val="%6."/>
      <w:lvlJc w:val="right"/>
      <w:pPr>
        <w:ind w:left="4320" w:hanging="180"/>
      </w:pPr>
    </w:lvl>
    <w:lvl w:ilvl="6" w:tplc="0C090001">
      <w:start w:val="1"/>
      <w:numFmt w:val="decimal"/>
      <w:lvlText w:val="%7."/>
      <w:lvlJc w:val="left"/>
      <w:pPr>
        <w:ind w:left="5040" w:hanging="360"/>
      </w:pPr>
    </w:lvl>
    <w:lvl w:ilvl="7" w:tplc="0C090003">
      <w:start w:val="1"/>
      <w:numFmt w:val="lowerLetter"/>
      <w:lvlText w:val="%8."/>
      <w:lvlJc w:val="left"/>
      <w:pPr>
        <w:ind w:left="5760" w:hanging="360"/>
      </w:pPr>
    </w:lvl>
    <w:lvl w:ilvl="8" w:tplc="0C090005">
      <w:start w:val="1"/>
      <w:numFmt w:val="lowerRoman"/>
      <w:lvlText w:val="%9."/>
      <w:lvlJc w:val="right"/>
      <w:pPr>
        <w:ind w:left="6480" w:hanging="180"/>
      </w:pPr>
    </w:lvl>
  </w:abstractNum>
  <w:abstractNum w:abstractNumId="41" w15:restartNumberingAfterBreak="0">
    <w:nsid w:val="4311125A"/>
    <w:multiLevelType w:val="hybridMultilevel"/>
    <w:tmpl w:val="7F86D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820411"/>
    <w:multiLevelType w:val="hybridMultilevel"/>
    <w:tmpl w:val="40846616"/>
    <w:lvl w:ilvl="0" w:tplc="0206105E">
      <w:start w:val="1"/>
      <w:numFmt w:val="bullet"/>
      <w:pStyle w:val="NormalbulletlistL2"/>
      <w:lvlText w:val="−"/>
      <w:lvlJc w:val="left"/>
      <w:pPr>
        <w:ind w:left="1284" w:hanging="360"/>
      </w:pPr>
      <w:rPr>
        <w:rFonts w:ascii="Calibri" w:hAnsi="Calibri" w:hint="default"/>
        <w:color w:val="939598" w:themeColor="accent4"/>
      </w:rPr>
    </w:lvl>
    <w:lvl w:ilvl="1" w:tplc="0C090019">
      <w:start w:val="1"/>
      <w:numFmt w:val="bullet"/>
      <w:lvlText w:val="o"/>
      <w:lvlJc w:val="left"/>
      <w:pPr>
        <w:ind w:left="2364" w:hanging="360"/>
      </w:pPr>
      <w:rPr>
        <w:rFonts w:ascii="Courier New" w:hAnsi="Courier New" w:cs="Courier New" w:hint="default"/>
      </w:rPr>
    </w:lvl>
    <w:lvl w:ilvl="2" w:tplc="0C09001B">
      <w:start w:val="1"/>
      <w:numFmt w:val="bullet"/>
      <w:lvlText w:val=""/>
      <w:lvlJc w:val="left"/>
      <w:pPr>
        <w:ind w:left="3084" w:hanging="360"/>
      </w:pPr>
      <w:rPr>
        <w:rFonts w:ascii="Wingdings" w:hAnsi="Wingdings" w:hint="default"/>
      </w:rPr>
    </w:lvl>
    <w:lvl w:ilvl="3" w:tplc="0C09000F">
      <w:start w:val="1"/>
      <w:numFmt w:val="bullet"/>
      <w:lvlText w:val=""/>
      <w:lvlJc w:val="left"/>
      <w:pPr>
        <w:ind w:left="3804" w:hanging="360"/>
      </w:pPr>
      <w:rPr>
        <w:rFonts w:ascii="Symbol" w:hAnsi="Symbol" w:hint="default"/>
      </w:rPr>
    </w:lvl>
    <w:lvl w:ilvl="4" w:tplc="0C090019">
      <w:start w:val="1"/>
      <w:numFmt w:val="bullet"/>
      <w:lvlText w:val="o"/>
      <w:lvlJc w:val="left"/>
      <w:pPr>
        <w:ind w:left="4524" w:hanging="360"/>
      </w:pPr>
      <w:rPr>
        <w:rFonts w:ascii="Courier New" w:hAnsi="Courier New" w:cs="Courier New" w:hint="default"/>
      </w:rPr>
    </w:lvl>
    <w:lvl w:ilvl="5" w:tplc="0C09001B">
      <w:start w:val="1"/>
      <w:numFmt w:val="bullet"/>
      <w:lvlText w:val=""/>
      <w:lvlJc w:val="left"/>
      <w:pPr>
        <w:ind w:left="5244" w:hanging="360"/>
      </w:pPr>
      <w:rPr>
        <w:rFonts w:ascii="Wingdings" w:hAnsi="Wingdings" w:hint="default"/>
      </w:rPr>
    </w:lvl>
    <w:lvl w:ilvl="6" w:tplc="0C09000F">
      <w:start w:val="1"/>
      <w:numFmt w:val="bullet"/>
      <w:lvlText w:val=""/>
      <w:lvlJc w:val="left"/>
      <w:pPr>
        <w:ind w:left="5964" w:hanging="360"/>
      </w:pPr>
      <w:rPr>
        <w:rFonts w:ascii="Symbol" w:hAnsi="Symbol" w:hint="default"/>
      </w:rPr>
    </w:lvl>
    <w:lvl w:ilvl="7" w:tplc="0C090019">
      <w:start w:val="1"/>
      <w:numFmt w:val="bullet"/>
      <w:lvlText w:val="o"/>
      <w:lvlJc w:val="left"/>
      <w:pPr>
        <w:ind w:left="6684" w:hanging="360"/>
      </w:pPr>
      <w:rPr>
        <w:rFonts w:ascii="Courier New" w:hAnsi="Courier New" w:cs="Courier New" w:hint="default"/>
      </w:rPr>
    </w:lvl>
    <w:lvl w:ilvl="8" w:tplc="0C09001B">
      <w:start w:val="1"/>
      <w:numFmt w:val="bullet"/>
      <w:lvlText w:val=""/>
      <w:lvlJc w:val="left"/>
      <w:pPr>
        <w:ind w:left="7404" w:hanging="360"/>
      </w:pPr>
      <w:rPr>
        <w:rFonts w:ascii="Wingdings" w:hAnsi="Wingdings" w:hint="default"/>
      </w:rPr>
    </w:lvl>
  </w:abstractNum>
  <w:abstractNum w:abstractNumId="43" w15:restartNumberingAfterBreak="0">
    <w:nsid w:val="4688136A"/>
    <w:multiLevelType w:val="hybridMultilevel"/>
    <w:tmpl w:val="8C44A650"/>
    <w:lvl w:ilvl="0" w:tplc="F12CAC74">
      <w:start w:val="1"/>
      <w:numFmt w:val="lowerRoman"/>
      <w:pStyle w:val="NormalilistL1"/>
      <w:lvlText w:val="(%1)"/>
      <w:lvlJc w:val="left"/>
      <w:pPr>
        <w:ind w:left="927" w:hanging="360"/>
      </w:pPr>
      <w:rPr>
        <w:rFonts w:ascii="Calibri" w:hAnsi="Calibri" w:cs="Symbol" w:hint="default"/>
        <w:b w:val="0"/>
        <w:i w:val="0"/>
        <w:color w:val="939598" w:themeColor="accent4"/>
        <w:spacing w:val="0"/>
        <w:sz w:val="20"/>
        <w:szCs w:val="21"/>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44" w15:restartNumberingAfterBreak="0">
    <w:nsid w:val="49F90877"/>
    <w:multiLevelType w:val="hybridMultilevel"/>
    <w:tmpl w:val="DAA0EC1E"/>
    <w:lvl w:ilvl="0" w:tplc="293AF190">
      <w:start w:val="1"/>
      <w:numFmt w:val="lowerLetter"/>
      <w:pStyle w:val="NormalalistL10"/>
      <w:lvlText w:val="%1."/>
      <w:lvlJc w:val="left"/>
      <w:pPr>
        <w:ind w:left="927" w:hanging="360"/>
      </w:pPr>
      <w:rPr>
        <w:rFonts w:hint="default"/>
        <w:color w:val="939598" w:themeColor="accent4"/>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45" w15:restartNumberingAfterBreak="0">
    <w:nsid w:val="4DF91087"/>
    <w:multiLevelType w:val="hybridMultilevel"/>
    <w:tmpl w:val="8E806474"/>
    <w:lvl w:ilvl="0" w:tplc="CBB4477A">
      <w:start w:val="1"/>
      <w:numFmt w:val="bullet"/>
      <w:pStyle w:val="Sourceandnotebullets"/>
      <w:lvlText w:val=""/>
      <w:lvlJc w:val="left"/>
      <w:pPr>
        <w:ind w:left="1287" w:hanging="360"/>
      </w:pPr>
      <w:rPr>
        <w:rFonts w:ascii="Symbol" w:hAnsi="Symbol" w:hint="default"/>
      </w:rPr>
    </w:lvl>
    <w:lvl w:ilvl="1" w:tplc="0C090019">
      <w:start w:val="1"/>
      <w:numFmt w:val="bullet"/>
      <w:lvlText w:val="o"/>
      <w:lvlJc w:val="left"/>
      <w:pPr>
        <w:ind w:left="2007" w:hanging="360"/>
      </w:pPr>
      <w:rPr>
        <w:rFonts w:ascii="Courier New" w:hAnsi="Courier New" w:cs="Courier New" w:hint="default"/>
      </w:rPr>
    </w:lvl>
    <w:lvl w:ilvl="2" w:tplc="0C09001B">
      <w:start w:val="1"/>
      <w:numFmt w:val="bullet"/>
      <w:lvlText w:val=""/>
      <w:lvlJc w:val="left"/>
      <w:pPr>
        <w:ind w:left="2727" w:hanging="360"/>
      </w:pPr>
      <w:rPr>
        <w:rFonts w:ascii="Wingdings" w:hAnsi="Wingdings" w:hint="default"/>
      </w:rPr>
    </w:lvl>
    <w:lvl w:ilvl="3" w:tplc="0C09000F">
      <w:start w:val="1"/>
      <w:numFmt w:val="bullet"/>
      <w:lvlText w:val=""/>
      <w:lvlJc w:val="left"/>
      <w:pPr>
        <w:ind w:left="3447" w:hanging="360"/>
      </w:pPr>
      <w:rPr>
        <w:rFonts w:ascii="Symbol" w:hAnsi="Symbol" w:hint="default"/>
      </w:rPr>
    </w:lvl>
    <w:lvl w:ilvl="4" w:tplc="0C090019">
      <w:start w:val="1"/>
      <w:numFmt w:val="bullet"/>
      <w:lvlText w:val="o"/>
      <w:lvlJc w:val="left"/>
      <w:pPr>
        <w:ind w:left="4167" w:hanging="360"/>
      </w:pPr>
      <w:rPr>
        <w:rFonts w:ascii="Courier New" w:hAnsi="Courier New" w:cs="Courier New" w:hint="default"/>
      </w:rPr>
    </w:lvl>
    <w:lvl w:ilvl="5" w:tplc="0C09001B">
      <w:start w:val="1"/>
      <w:numFmt w:val="bullet"/>
      <w:lvlText w:val=""/>
      <w:lvlJc w:val="left"/>
      <w:pPr>
        <w:ind w:left="4887" w:hanging="360"/>
      </w:pPr>
      <w:rPr>
        <w:rFonts w:ascii="Wingdings" w:hAnsi="Wingdings" w:hint="default"/>
      </w:rPr>
    </w:lvl>
    <w:lvl w:ilvl="6" w:tplc="0C09000F">
      <w:start w:val="1"/>
      <w:numFmt w:val="bullet"/>
      <w:lvlText w:val=""/>
      <w:lvlJc w:val="left"/>
      <w:pPr>
        <w:ind w:left="5607" w:hanging="360"/>
      </w:pPr>
      <w:rPr>
        <w:rFonts w:ascii="Symbol" w:hAnsi="Symbol" w:hint="default"/>
      </w:rPr>
    </w:lvl>
    <w:lvl w:ilvl="7" w:tplc="0C090019">
      <w:start w:val="1"/>
      <w:numFmt w:val="bullet"/>
      <w:lvlText w:val="o"/>
      <w:lvlJc w:val="left"/>
      <w:pPr>
        <w:ind w:left="6327" w:hanging="360"/>
      </w:pPr>
      <w:rPr>
        <w:rFonts w:ascii="Courier New" w:hAnsi="Courier New" w:cs="Courier New" w:hint="default"/>
      </w:rPr>
    </w:lvl>
    <w:lvl w:ilvl="8" w:tplc="0C09001B">
      <w:start w:val="1"/>
      <w:numFmt w:val="bullet"/>
      <w:lvlText w:val=""/>
      <w:lvlJc w:val="left"/>
      <w:pPr>
        <w:ind w:left="7047" w:hanging="360"/>
      </w:pPr>
      <w:rPr>
        <w:rFonts w:ascii="Wingdings" w:hAnsi="Wingdings" w:hint="default"/>
      </w:rPr>
    </w:lvl>
  </w:abstractNum>
  <w:abstractNum w:abstractNumId="46" w15:restartNumberingAfterBreak="0">
    <w:nsid w:val="50034495"/>
    <w:multiLevelType w:val="hybridMultilevel"/>
    <w:tmpl w:val="81D8B240"/>
    <w:lvl w:ilvl="0" w:tplc="DE748388">
      <w:start w:val="1"/>
      <w:numFmt w:val="bullet"/>
      <w:pStyle w:val="Bulletpoints0"/>
      <w:lvlText w:val=""/>
      <w:lvlJc w:val="left"/>
      <w:pPr>
        <w:ind w:left="2629"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1574306"/>
    <w:multiLevelType w:val="hybridMultilevel"/>
    <w:tmpl w:val="53622732"/>
    <w:lvl w:ilvl="0" w:tplc="7C36A598">
      <w:numFmt w:val="bullet"/>
      <w:lvlText w:val="•"/>
      <w:lvlJc w:val="left"/>
      <w:pPr>
        <w:ind w:left="700" w:hanging="360"/>
      </w:pPr>
      <w:rPr>
        <w:rFonts w:ascii="Arial" w:eastAsia="Times New Roman" w:hAnsi="Arial" w:cs="Arial" w:hint="default"/>
      </w:rPr>
    </w:lvl>
    <w:lvl w:ilvl="1" w:tplc="C2B05E42">
      <w:numFmt w:val="bullet"/>
      <w:pStyle w:val="NormalindentbulletsL2"/>
      <w:lvlText w:val="–"/>
      <w:lvlJc w:val="left"/>
      <w:pPr>
        <w:ind w:left="1420" w:hanging="360"/>
      </w:pPr>
      <w:rPr>
        <w:rFonts w:ascii="Arial" w:eastAsia="Times New Roman" w:hAnsi="Arial" w:cs="Arial" w:hint="default"/>
      </w:rPr>
    </w:lvl>
    <w:lvl w:ilvl="2" w:tplc="2D00E67A">
      <w:start w:val="1"/>
      <w:numFmt w:val="bullet"/>
      <w:lvlText w:val="-"/>
      <w:lvlJc w:val="left"/>
      <w:pPr>
        <w:ind w:left="2140" w:hanging="360"/>
      </w:pPr>
      <w:rPr>
        <w:rFonts w:ascii="Calibri" w:eastAsia="Times New Roman" w:hAnsi="Calibri" w:cs="Arial"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48" w15:restartNumberingAfterBreak="0">
    <w:nsid w:val="5162572F"/>
    <w:multiLevelType w:val="hybridMultilevel"/>
    <w:tmpl w:val="C1E4C95E"/>
    <w:lvl w:ilvl="0" w:tplc="40DE1108">
      <w:start w:val="1"/>
      <w:numFmt w:val="decimal"/>
      <w:pStyle w:val="NormalnumberedlistL1"/>
      <w:lvlText w:val="%1."/>
      <w:lvlJc w:val="left"/>
      <w:pPr>
        <w:ind w:left="927" w:hanging="360"/>
      </w:pPr>
      <w:rPr>
        <w:rFonts w:hint="default"/>
        <w:color w:val="939598" w:themeColor="accent4"/>
      </w:rPr>
    </w:lvl>
    <w:lvl w:ilvl="1" w:tplc="0C090003">
      <w:start w:val="1"/>
      <w:numFmt w:val="lowerLetter"/>
      <w:lvlText w:val="%2."/>
      <w:lvlJc w:val="left"/>
      <w:pPr>
        <w:ind w:left="2007" w:hanging="360"/>
      </w:pPr>
    </w:lvl>
    <w:lvl w:ilvl="2" w:tplc="0C090005">
      <w:start w:val="1"/>
      <w:numFmt w:val="lowerRoman"/>
      <w:lvlText w:val="%3."/>
      <w:lvlJc w:val="right"/>
      <w:pPr>
        <w:ind w:left="2727" w:hanging="180"/>
      </w:pPr>
    </w:lvl>
    <w:lvl w:ilvl="3" w:tplc="0C090001">
      <w:start w:val="1"/>
      <w:numFmt w:val="decimal"/>
      <w:lvlText w:val="%4."/>
      <w:lvlJc w:val="left"/>
      <w:pPr>
        <w:ind w:left="3447" w:hanging="360"/>
      </w:pPr>
    </w:lvl>
    <w:lvl w:ilvl="4" w:tplc="0C090003">
      <w:start w:val="1"/>
      <w:numFmt w:val="lowerLetter"/>
      <w:lvlText w:val="%5."/>
      <w:lvlJc w:val="left"/>
      <w:pPr>
        <w:ind w:left="4167" w:hanging="360"/>
      </w:pPr>
    </w:lvl>
    <w:lvl w:ilvl="5" w:tplc="0C090005">
      <w:start w:val="1"/>
      <w:numFmt w:val="lowerRoman"/>
      <w:lvlText w:val="%6."/>
      <w:lvlJc w:val="right"/>
      <w:pPr>
        <w:ind w:left="4887" w:hanging="180"/>
      </w:pPr>
    </w:lvl>
    <w:lvl w:ilvl="6" w:tplc="0C090001">
      <w:start w:val="1"/>
      <w:numFmt w:val="decimal"/>
      <w:lvlText w:val="%7."/>
      <w:lvlJc w:val="left"/>
      <w:pPr>
        <w:ind w:left="5607" w:hanging="360"/>
      </w:pPr>
    </w:lvl>
    <w:lvl w:ilvl="7" w:tplc="0C090003">
      <w:start w:val="1"/>
      <w:numFmt w:val="lowerLetter"/>
      <w:lvlText w:val="%8."/>
      <w:lvlJc w:val="left"/>
      <w:pPr>
        <w:ind w:left="6327" w:hanging="360"/>
      </w:pPr>
    </w:lvl>
    <w:lvl w:ilvl="8" w:tplc="0C090005">
      <w:start w:val="1"/>
      <w:numFmt w:val="lowerRoman"/>
      <w:lvlText w:val="%9."/>
      <w:lvlJc w:val="right"/>
      <w:pPr>
        <w:ind w:left="7047" w:hanging="180"/>
      </w:pPr>
    </w:lvl>
  </w:abstractNum>
  <w:abstractNum w:abstractNumId="49" w15:restartNumberingAfterBreak="0">
    <w:nsid w:val="526E007D"/>
    <w:multiLevelType w:val="hybridMultilevel"/>
    <w:tmpl w:val="1A08F6EC"/>
    <w:lvl w:ilvl="0" w:tplc="A55EAD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3A93C2C"/>
    <w:multiLevelType w:val="hybridMultilevel"/>
    <w:tmpl w:val="A0289400"/>
    <w:lvl w:ilvl="0" w:tplc="43989AEA">
      <w:start w:val="1"/>
      <w:numFmt w:val="lowerLetter"/>
      <w:pStyle w:val="NormalalistL2"/>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1" w15:restartNumberingAfterBreak="0">
    <w:nsid w:val="56955CFF"/>
    <w:multiLevelType w:val="hybridMultilevel"/>
    <w:tmpl w:val="DEA4EA1E"/>
    <w:lvl w:ilvl="0" w:tplc="32AA1F78">
      <w:start w:val="1"/>
      <w:numFmt w:val="lowerLetter"/>
      <w:lvlText w:val="%1)"/>
      <w:lvlJc w:val="left"/>
      <w:pPr>
        <w:ind w:left="785" w:hanging="567"/>
      </w:pPr>
      <w:rPr>
        <w:rFonts w:ascii="Arial" w:eastAsia="Arial" w:hAnsi="Arial" w:cs="Arial" w:hint="default"/>
        <w:b w:val="0"/>
        <w:bCs w:val="0"/>
        <w:i w:val="0"/>
        <w:iCs w:val="0"/>
        <w:spacing w:val="-1"/>
        <w:w w:val="100"/>
        <w:sz w:val="22"/>
        <w:szCs w:val="22"/>
        <w:lang w:val="en-US" w:eastAsia="en-US" w:bidi="ar-SA"/>
      </w:rPr>
    </w:lvl>
    <w:lvl w:ilvl="1" w:tplc="89341542">
      <w:numFmt w:val="bullet"/>
      <w:lvlText w:val="•"/>
      <w:lvlJc w:val="left"/>
      <w:pPr>
        <w:ind w:left="1698" w:hanging="567"/>
      </w:pPr>
      <w:rPr>
        <w:rFonts w:hint="default"/>
        <w:lang w:val="en-US" w:eastAsia="en-US" w:bidi="ar-SA"/>
      </w:rPr>
    </w:lvl>
    <w:lvl w:ilvl="2" w:tplc="CBB8FE14">
      <w:numFmt w:val="bullet"/>
      <w:lvlText w:val="•"/>
      <w:lvlJc w:val="left"/>
      <w:pPr>
        <w:ind w:left="2617" w:hanging="567"/>
      </w:pPr>
      <w:rPr>
        <w:rFonts w:hint="default"/>
        <w:lang w:val="en-US" w:eastAsia="en-US" w:bidi="ar-SA"/>
      </w:rPr>
    </w:lvl>
    <w:lvl w:ilvl="3" w:tplc="EB64F680">
      <w:numFmt w:val="bullet"/>
      <w:lvlText w:val="•"/>
      <w:lvlJc w:val="left"/>
      <w:pPr>
        <w:ind w:left="3535" w:hanging="567"/>
      </w:pPr>
      <w:rPr>
        <w:rFonts w:hint="default"/>
        <w:lang w:val="en-US" w:eastAsia="en-US" w:bidi="ar-SA"/>
      </w:rPr>
    </w:lvl>
    <w:lvl w:ilvl="4" w:tplc="55BC7192">
      <w:numFmt w:val="bullet"/>
      <w:lvlText w:val="•"/>
      <w:lvlJc w:val="left"/>
      <w:pPr>
        <w:ind w:left="4454" w:hanging="567"/>
      </w:pPr>
      <w:rPr>
        <w:rFonts w:hint="default"/>
        <w:lang w:val="en-US" w:eastAsia="en-US" w:bidi="ar-SA"/>
      </w:rPr>
    </w:lvl>
    <w:lvl w:ilvl="5" w:tplc="698A4FC2">
      <w:numFmt w:val="bullet"/>
      <w:lvlText w:val="•"/>
      <w:lvlJc w:val="left"/>
      <w:pPr>
        <w:ind w:left="5373" w:hanging="567"/>
      </w:pPr>
      <w:rPr>
        <w:rFonts w:hint="default"/>
        <w:lang w:val="en-US" w:eastAsia="en-US" w:bidi="ar-SA"/>
      </w:rPr>
    </w:lvl>
    <w:lvl w:ilvl="6" w:tplc="52A6FAD2">
      <w:numFmt w:val="bullet"/>
      <w:lvlText w:val="•"/>
      <w:lvlJc w:val="left"/>
      <w:pPr>
        <w:ind w:left="6291" w:hanging="567"/>
      </w:pPr>
      <w:rPr>
        <w:rFonts w:hint="default"/>
        <w:lang w:val="en-US" w:eastAsia="en-US" w:bidi="ar-SA"/>
      </w:rPr>
    </w:lvl>
    <w:lvl w:ilvl="7" w:tplc="00F4D0C2">
      <w:numFmt w:val="bullet"/>
      <w:lvlText w:val="•"/>
      <w:lvlJc w:val="left"/>
      <w:pPr>
        <w:ind w:left="7210" w:hanging="567"/>
      </w:pPr>
      <w:rPr>
        <w:rFonts w:hint="default"/>
        <w:lang w:val="en-US" w:eastAsia="en-US" w:bidi="ar-SA"/>
      </w:rPr>
    </w:lvl>
    <w:lvl w:ilvl="8" w:tplc="27EAA04C">
      <w:numFmt w:val="bullet"/>
      <w:lvlText w:val="•"/>
      <w:lvlJc w:val="left"/>
      <w:pPr>
        <w:ind w:left="8129" w:hanging="567"/>
      </w:pPr>
      <w:rPr>
        <w:rFonts w:hint="default"/>
        <w:lang w:val="en-US" w:eastAsia="en-US" w:bidi="ar-SA"/>
      </w:rPr>
    </w:lvl>
  </w:abstractNum>
  <w:abstractNum w:abstractNumId="52" w15:restartNumberingAfterBreak="0">
    <w:nsid w:val="588061BE"/>
    <w:multiLevelType w:val="hybridMultilevel"/>
    <w:tmpl w:val="06C869EC"/>
    <w:lvl w:ilvl="0" w:tplc="10C00BC2">
      <w:start w:val="1"/>
      <w:numFmt w:val="lowerLetter"/>
      <w:lvlText w:val="%1)"/>
      <w:lvlJc w:val="left"/>
      <w:pPr>
        <w:ind w:left="785" w:hanging="567"/>
      </w:pPr>
      <w:rPr>
        <w:rFonts w:ascii="Arial" w:eastAsia="Arial" w:hAnsi="Arial" w:cs="Arial" w:hint="default"/>
        <w:b w:val="0"/>
        <w:bCs w:val="0"/>
        <w:i w:val="0"/>
        <w:iCs w:val="0"/>
        <w:spacing w:val="-1"/>
        <w:w w:val="100"/>
        <w:sz w:val="22"/>
        <w:szCs w:val="22"/>
        <w:lang w:val="en-US" w:eastAsia="en-US" w:bidi="ar-SA"/>
      </w:rPr>
    </w:lvl>
    <w:lvl w:ilvl="1" w:tplc="7B5AB2D6">
      <w:numFmt w:val="bullet"/>
      <w:lvlText w:val="•"/>
      <w:lvlJc w:val="left"/>
      <w:pPr>
        <w:ind w:left="1698" w:hanging="567"/>
      </w:pPr>
      <w:rPr>
        <w:rFonts w:hint="default"/>
        <w:lang w:val="en-US" w:eastAsia="en-US" w:bidi="ar-SA"/>
      </w:rPr>
    </w:lvl>
    <w:lvl w:ilvl="2" w:tplc="6470B568">
      <w:numFmt w:val="bullet"/>
      <w:lvlText w:val="•"/>
      <w:lvlJc w:val="left"/>
      <w:pPr>
        <w:ind w:left="2617" w:hanging="567"/>
      </w:pPr>
      <w:rPr>
        <w:rFonts w:hint="default"/>
        <w:lang w:val="en-US" w:eastAsia="en-US" w:bidi="ar-SA"/>
      </w:rPr>
    </w:lvl>
    <w:lvl w:ilvl="3" w:tplc="E2CE8A4E">
      <w:numFmt w:val="bullet"/>
      <w:lvlText w:val="•"/>
      <w:lvlJc w:val="left"/>
      <w:pPr>
        <w:ind w:left="3535" w:hanging="567"/>
      </w:pPr>
      <w:rPr>
        <w:rFonts w:hint="default"/>
        <w:lang w:val="en-US" w:eastAsia="en-US" w:bidi="ar-SA"/>
      </w:rPr>
    </w:lvl>
    <w:lvl w:ilvl="4" w:tplc="7698313A">
      <w:numFmt w:val="bullet"/>
      <w:lvlText w:val="•"/>
      <w:lvlJc w:val="left"/>
      <w:pPr>
        <w:ind w:left="4454" w:hanging="567"/>
      </w:pPr>
      <w:rPr>
        <w:rFonts w:hint="default"/>
        <w:lang w:val="en-US" w:eastAsia="en-US" w:bidi="ar-SA"/>
      </w:rPr>
    </w:lvl>
    <w:lvl w:ilvl="5" w:tplc="0C1E217E">
      <w:numFmt w:val="bullet"/>
      <w:lvlText w:val="•"/>
      <w:lvlJc w:val="left"/>
      <w:pPr>
        <w:ind w:left="5373" w:hanging="567"/>
      </w:pPr>
      <w:rPr>
        <w:rFonts w:hint="default"/>
        <w:lang w:val="en-US" w:eastAsia="en-US" w:bidi="ar-SA"/>
      </w:rPr>
    </w:lvl>
    <w:lvl w:ilvl="6" w:tplc="385C8696">
      <w:numFmt w:val="bullet"/>
      <w:lvlText w:val="•"/>
      <w:lvlJc w:val="left"/>
      <w:pPr>
        <w:ind w:left="6291" w:hanging="567"/>
      </w:pPr>
      <w:rPr>
        <w:rFonts w:hint="default"/>
        <w:lang w:val="en-US" w:eastAsia="en-US" w:bidi="ar-SA"/>
      </w:rPr>
    </w:lvl>
    <w:lvl w:ilvl="7" w:tplc="8B584B82">
      <w:numFmt w:val="bullet"/>
      <w:lvlText w:val="•"/>
      <w:lvlJc w:val="left"/>
      <w:pPr>
        <w:ind w:left="7210" w:hanging="567"/>
      </w:pPr>
      <w:rPr>
        <w:rFonts w:hint="default"/>
        <w:lang w:val="en-US" w:eastAsia="en-US" w:bidi="ar-SA"/>
      </w:rPr>
    </w:lvl>
    <w:lvl w:ilvl="8" w:tplc="4170BB70">
      <w:numFmt w:val="bullet"/>
      <w:lvlText w:val="•"/>
      <w:lvlJc w:val="left"/>
      <w:pPr>
        <w:ind w:left="8129" w:hanging="567"/>
      </w:pPr>
      <w:rPr>
        <w:rFonts w:hint="default"/>
        <w:lang w:val="en-US" w:eastAsia="en-US" w:bidi="ar-SA"/>
      </w:rPr>
    </w:lvl>
  </w:abstractNum>
  <w:abstractNum w:abstractNumId="53" w15:restartNumberingAfterBreak="0">
    <w:nsid w:val="59B8407E"/>
    <w:multiLevelType w:val="hybridMultilevel"/>
    <w:tmpl w:val="93769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B3E1ADB"/>
    <w:multiLevelType w:val="hybridMultilevel"/>
    <w:tmpl w:val="41AE28F2"/>
    <w:lvl w:ilvl="0" w:tplc="473048FE">
      <w:start w:val="1"/>
      <w:numFmt w:val="decimal"/>
      <w:lvlText w:val="%1."/>
      <w:lvlJc w:val="left"/>
      <w:pPr>
        <w:ind w:left="360" w:hanging="360"/>
      </w:pPr>
      <w:rPr>
        <w:rFonts w:hint="default"/>
        <w:b w:val="0"/>
        <w:bCs w:val="0"/>
        <w:i w:val="0"/>
        <w:iCs/>
        <w:color w:val="58595B" w:themeColor="accent2"/>
        <w:sz w:val="16"/>
        <w:szCs w:val="16"/>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5B9361B8"/>
    <w:multiLevelType w:val="hybridMultilevel"/>
    <w:tmpl w:val="E0A47474"/>
    <w:lvl w:ilvl="0" w:tplc="F37ECA78">
      <w:start w:val="1"/>
      <w:numFmt w:val="lowerRoman"/>
      <w:pStyle w:val="NormalilistL10"/>
      <w:lvlText w:val="%1."/>
      <w:lvlJc w:val="left"/>
      <w:pPr>
        <w:ind w:left="927" w:hanging="360"/>
      </w:pPr>
      <w:rPr>
        <w:rFonts w:hint="default"/>
        <w:color w:val="939598" w:themeColor="accent4"/>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56" w15:restartNumberingAfterBreak="0">
    <w:nsid w:val="5C9B708A"/>
    <w:multiLevelType w:val="hybridMultilevel"/>
    <w:tmpl w:val="D60060B2"/>
    <w:lvl w:ilvl="0" w:tplc="FFFFFFFF">
      <w:start w:val="1"/>
      <w:numFmt w:val="bullet"/>
      <w:lvlText w:val=""/>
      <w:lvlJc w:val="left"/>
      <w:pPr>
        <w:ind w:left="720" w:hanging="360"/>
      </w:pPr>
      <w:rPr>
        <w:rFonts w:ascii="Symbol" w:hAnsi="Symbol" w:hint="default"/>
      </w:rPr>
    </w:lvl>
    <w:lvl w:ilvl="1" w:tplc="FE20C998">
      <w:start w:val="1"/>
      <w:numFmt w:val="bullet"/>
      <w:pStyle w:val="AnnualReportsecondlevelbulletpoint"/>
      <w:lvlText w:val="-"/>
      <w:lvlJc w:val="left"/>
      <w:pPr>
        <w:ind w:left="1440" w:hanging="360"/>
      </w:pPr>
      <w:rPr>
        <w:rFonts w:ascii="Calibri" w:eastAsia="Times New Roman" w:hAnsi="Calibri" w:cs="Aria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0183EB2"/>
    <w:multiLevelType w:val="hybridMultilevel"/>
    <w:tmpl w:val="5734C27C"/>
    <w:lvl w:ilvl="0" w:tplc="7D0A7EA8">
      <w:start w:val="1"/>
      <w:numFmt w:val="bullet"/>
      <w:lvlText w:val="─"/>
      <w:lvlJc w:val="left"/>
      <w:pPr>
        <w:ind w:left="720" w:hanging="360"/>
      </w:pPr>
      <w:rPr>
        <w:rFonts w:ascii="Calibri" w:hAnsi="Calibri" w:hint="default"/>
      </w:rPr>
    </w:lvl>
    <w:lvl w:ilvl="1" w:tplc="FFFFFFFF">
      <w:start w:val="1"/>
      <w:numFmt w:val="bullet"/>
      <w:lvlText w:val="-"/>
      <w:lvlJc w:val="left"/>
      <w:pPr>
        <w:ind w:left="1440" w:hanging="360"/>
      </w:pPr>
      <w:rPr>
        <w:rFonts w:ascii="Calibri" w:eastAsia="Times New Roman" w:hAnsi="Calibri" w:cs="Aria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1E679BB"/>
    <w:multiLevelType w:val="hybridMultilevel"/>
    <w:tmpl w:val="B446983E"/>
    <w:lvl w:ilvl="0" w:tplc="9E92D8A4">
      <w:start w:val="1"/>
      <w:numFmt w:val="lowerRoman"/>
      <w:pStyle w:val="NormalilistL20"/>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9" w15:restartNumberingAfterBreak="0">
    <w:nsid w:val="66593407"/>
    <w:multiLevelType w:val="hybridMultilevel"/>
    <w:tmpl w:val="5ED80E64"/>
    <w:lvl w:ilvl="0" w:tplc="7D0A7EA8">
      <w:start w:val="1"/>
      <w:numFmt w:val="bullet"/>
      <w:lvlText w:val="─"/>
      <w:lvlJc w:val="left"/>
      <w:pPr>
        <w:ind w:left="958" w:hanging="360"/>
      </w:pPr>
      <w:rPr>
        <w:rFonts w:ascii="Calibri" w:hAnsi="Calibri" w:hint="default"/>
        <w:sz w:val="20"/>
        <w:szCs w:val="20"/>
      </w:rPr>
    </w:lvl>
    <w:lvl w:ilvl="1" w:tplc="FFFFFFFF">
      <w:start w:val="1"/>
      <w:numFmt w:val="bullet"/>
      <w:lvlText w:val="o"/>
      <w:lvlJc w:val="left"/>
      <w:pPr>
        <w:ind w:left="1678" w:hanging="360"/>
      </w:pPr>
      <w:rPr>
        <w:rFonts w:ascii="Courier New" w:hAnsi="Courier New" w:cs="Courier New" w:hint="default"/>
      </w:rPr>
    </w:lvl>
    <w:lvl w:ilvl="2" w:tplc="FFFFFFFF" w:tentative="1">
      <w:start w:val="1"/>
      <w:numFmt w:val="bullet"/>
      <w:lvlText w:val=""/>
      <w:lvlJc w:val="left"/>
      <w:pPr>
        <w:ind w:left="2398" w:hanging="360"/>
      </w:pPr>
      <w:rPr>
        <w:rFonts w:ascii="Wingdings" w:hAnsi="Wingdings" w:hint="default"/>
      </w:rPr>
    </w:lvl>
    <w:lvl w:ilvl="3" w:tplc="FFFFFFFF" w:tentative="1">
      <w:start w:val="1"/>
      <w:numFmt w:val="bullet"/>
      <w:lvlText w:val=""/>
      <w:lvlJc w:val="left"/>
      <w:pPr>
        <w:ind w:left="3118" w:hanging="360"/>
      </w:pPr>
      <w:rPr>
        <w:rFonts w:ascii="Symbol" w:hAnsi="Symbol" w:hint="default"/>
      </w:rPr>
    </w:lvl>
    <w:lvl w:ilvl="4" w:tplc="FFFFFFFF" w:tentative="1">
      <w:start w:val="1"/>
      <w:numFmt w:val="bullet"/>
      <w:lvlText w:val="o"/>
      <w:lvlJc w:val="left"/>
      <w:pPr>
        <w:ind w:left="3838" w:hanging="360"/>
      </w:pPr>
      <w:rPr>
        <w:rFonts w:ascii="Courier New" w:hAnsi="Courier New" w:cs="Courier New" w:hint="default"/>
      </w:rPr>
    </w:lvl>
    <w:lvl w:ilvl="5" w:tplc="FFFFFFFF" w:tentative="1">
      <w:start w:val="1"/>
      <w:numFmt w:val="bullet"/>
      <w:lvlText w:val=""/>
      <w:lvlJc w:val="left"/>
      <w:pPr>
        <w:ind w:left="4558" w:hanging="360"/>
      </w:pPr>
      <w:rPr>
        <w:rFonts w:ascii="Wingdings" w:hAnsi="Wingdings" w:hint="default"/>
      </w:rPr>
    </w:lvl>
    <w:lvl w:ilvl="6" w:tplc="FFFFFFFF" w:tentative="1">
      <w:start w:val="1"/>
      <w:numFmt w:val="bullet"/>
      <w:lvlText w:val=""/>
      <w:lvlJc w:val="left"/>
      <w:pPr>
        <w:ind w:left="5278" w:hanging="360"/>
      </w:pPr>
      <w:rPr>
        <w:rFonts w:ascii="Symbol" w:hAnsi="Symbol" w:hint="default"/>
      </w:rPr>
    </w:lvl>
    <w:lvl w:ilvl="7" w:tplc="FFFFFFFF" w:tentative="1">
      <w:start w:val="1"/>
      <w:numFmt w:val="bullet"/>
      <w:lvlText w:val="o"/>
      <w:lvlJc w:val="left"/>
      <w:pPr>
        <w:ind w:left="5998" w:hanging="360"/>
      </w:pPr>
      <w:rPr>
        <w:rFonts w:ascii="Courier New" w:hAnsi="Courier New" w:cs="Courier New" w:hint="default"/>
      </w:rPr>
    </w:lvl>
    <w:lvl w:ilvl="8" w:tplc="FFFFFFFF" w:tentative="1">
      <w:start w:val="1"/>
      <w:numFmt w:val="bullet"/>
      <w:lvlText w:val=""/>
      <w:lvlJc w:val="left"/>
      <w:pPr>
        <w:ind w:left="6718" w:hanging="360"/>
      </w:pPr>
      <w:rPr>
        <w:rFonts w:ascii="Wingdings" w:hAnsi="Wingdings" w:hint="default"/>
      </w:rPr>
    </w:lvl>
  </w:abstractNum>
  <w:abstractNum w:abstractNumId="60" w15:restartNumberingAfterBreak="0">
    <w:nsid w:val="6B277AF4"/>
    <w:multiLevelType w:val="hybridMultilevel"/>
    <w:tmpl w:val="7D80F47C"/>
    <w:lvl w:ilvl="0" w:tplc="1436A396">
      <w:start w:val="1"/>
      <w:numFmt w:val="bullet"/>
      <w:pStyle w:val="BoxtextbulletlistL2"/>
      <w:lvlText w:val="-"/>
      <w:lvlJc w:val="left"/>
      <w:pPr>
        <w:ind w:left="720" w:hanging="360"/>
      </w:pPr>
      <w:rPr>
        <w:rFonts w:ascii="Courier New" w:hAnsi="Courier New" w:cs="Times New Roman"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start w:val="1"/>
      <w:numFmt w:val="bullet"/>
      <w:lvlText w:val=""/>
      <w:lvlJc w:val="left"/>
      <w:pPr>
        <w:ind w:left="2880" w:hanging="360"/>
      </w:pPr>
      <w:rPr>
        <w:rFonts w:ascii="Symbol" w:hAnsi="Symbol" w:hint="default"/>
      </w:rPr>
    </w:lvl>
    <w:lvl w:ilvl="4" w:tplc="0C090019">
      <w:start w:val="1"/>
      <w:numFmt w:val="bullet"/>
      <w:lvlText w:val="o"/>
      <w:lvlJc w:val="left"/>
      <w:pPr>
        <w:ind w:left="3600" w:hanging="360"/>
      </w:pPr>
      <w:rPr>
        <w:rFonts w:ascii="Courier New" w:hAnsi="Courier New" w:cs="Courier New" w:hint="default"/>
      </w:rPr>
    </w:lvl>
    <w:lvl w:ilvl="5" w:tplc="0C09001B">
      <w:start w:val="1"/>
      <w:numFmt w:val="bullet"/>
      <w:lvlText w:val=""/>
      <w:lvlJc w:val="left"/>
      <w:pPr>
        <w:ind w:left="4320" w:hanging="360"/>
      </w:pPr>
      <w:rPr>
        <w:rFonts w:ascii="Wingdings" w:hAnsi="Wingdings" w:hint="default"/>
      </w:rPr>
    </w:lvl>
    <w:lvl w:ilvl="6" w:tplc="0C09000F">
      <w:start w:val="1"/>
      <w:numFmt w:val="bullet"/>
      <w:lvlText w:val=""/>
      <w:lvlJc w:val="left"/>
      <w:pPr>
        <w:ind w:left="5040" w:hanging="360"/>
      </w:pPr>
      <w:rPr>
        <w:rFonts w:ascii="Symbol" w:hAnsi="Symbol" w:hint="default"/>
      </w:rPr>
    </w:lvl>
    <w:lvl w:ilvl="7" w:tplc="0C090019">
      <w:start w:val="1"/>
      <w:numFmt w:val="bullet"/>
      <w:lvlText w:val="o"/>
      <w:lvlJc w:val="left"/>
      <w:pPr>
        <w:ind w:left="5760" w:hanging="360"/>
      </w:pPr>
      <w:rPr>
        <w:rFonts w:ascii="Courier New" w:hAnsi="Courier New" w:cs="Courier New" w:hint="default"/>
      </w:rPr>
    </w:lvl>
    <w:lvl w:ilvl="8" w:tplc="0C09001B">
      <w:start w:val="1"/>
      <w:numFmt w:val="bullet"/>
      <w:lvlText w:val=""/>
      <w:lvlJc w:val="left"/>
      <w:pPr>
        <w:ind w:left="6480" w:hanging="360"/>
      </w:pPr>
      <w:rPr>
        <w:rFonts w:ascii="Wingdings" w:hAnsi="Wingdings" w:hint="default"/>
      </w:rPr>
    </w:lvl>
  </w:abstractNum>
  <w:abstractNum w:abstractNumId="61" w15:restartNumberingAfterBreak="0">
    <w:nsid w:val="6B2B0D27"/>
    <w:multiLevelType w:val="hybridMultilevel"/>
    <w:tmpl w:val="A108571A"/>
    <w:lvl w:ilvl="0" w:tplc="3C3E6E74">
      <w:start w:val="1"/>
      <w:numFmt w:val="bullet"/>
      <w:pStyle w:val="TabletextbulletlistL1"/>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start w:val="1"/>
      <w:numFmt w:val="bullet"/>
      <w:lvlText w:val=""/>
      <w:lvlJc w:val="left"/>
      <w:pPr>
        <w:ind w:left="2880" w:hanging="360"/>
      </w:pPr>
      <w:rPr>
        <w:rFonts w:ascii="Symbol" w:hAnsi="Symbol" w:hint="default"/>
      </w:rPr>
    </w:lvl>
    <w:lvl w:ilvl="4" w:tplc="0C090019">
      <w:start w:val="1"/>
      <w:numFmt w:val="bullet"/>
      <w:lvlText w:val="o"/>
      <w:lvlJc w:val="left"/>
      <w:pPr>
        <w:ind w:left="3600" w:hanging="360"/>
      </w:pPr>
      <w:rPr>
        <w:rFonts w:ascii="Courier New" w:hAnsi="Courier New" w:cs="Courier New" w:hint="default"/>
      </w:rPr>
    </w:lvl>
    <w:lvl w:ilvl="5" w:tplc="0C09001B">
      <w:start w:val="1"/>
      <w:numFmt w:val="bullet"/>
      <w:lvlText w:val=""/>
      <w:lvlJc w:val="left"/>
      <w:pPr>
        <w:ind w:left="4320" w:hanging="360"/>
      </w:pPr>
      <w:rPr>
        <w:rFonts w:ascii="Wingdings" w:hAnsi="Wingdings" w:hint="default"/>
      </w:rPr>
    </w:lvl>
    <w:lvl w:ilvl="6" w:tplc="0C09000F">
      <w:start w:val="1"/>
      <w:numFmt w:val="bullet"/>
      <w:lvlText w:val=""/>
      <w:lvlJc w:val="left"/>
      <w:pPr>
        <w:ind w:left="5040" w:hanging="360"/>
      </w:pPr>
      <w:rPr>
        <w:rFonts w:ascii="Symbol" w:hAnsi="Symbol" w:hint="default"/>
      </w:rPr>
    </w:lvl>
    <w:lvl w:ilvl="7" w:tplc="0C090019">
      <w:start w:val="1"/>
      <w:numFmt w:val="bullet"/>
      <w:lvlText w:val="o"/>
      <w:lvlJc w:val="left"/>
      <w:pPr>
        <w:ind w:left="5760" w:hanging="360"/>
      </w:pPr>
      <w:rPr>
        <w:rFonts w:ascii="Courier New" w:hAnsi="Courier New" w:cs="Courier New" w:hint="default"/>
      </w:rPr>
    </w:lvl>
    <w:lvl w:ilvl="8" w:tplc="0C09001B">
      <w:start w:val="1"/>
      <w:numFmt w:val="bullet"/>
      <w:lvlText w:val=""/>
      <w:lvlJc w:val="left"/>
      <w:pPr>
        <w:ind w:left="6480" w:hanging="360"/>
      </w:pPr>
      <w:rPr>
        <w:rFonts w:ascii="Wingdings" w:hAnsi="Wingdings" w:hint="default"/>
      </w:rPr>
    </w:lvl>
  </w:abstractNum>
  <w:abstractNum w:abstractNumId="62" w15:restartNumberingAfterBreak="0">
    <w:nsid w:val="6BC12CB4"/>
    <w:multiLevelType w:val="hybridMultilevel"/>
    <w:tmpl w:val="FE6E5AB6"/>
    <w:lvl w:ilvl="0" w:tplc="5CA802F6">
      <w:start w:val="1"/>
      <w:numFmt w:val="lowerLetter"/>
      <w:pStyle w:val="BoxtextalistL1"/>
      <w:lvlText w:val="%1."/>
      <w:lvlJc w:val="left"/>
      <w:pPr>
        <w:ind w:left="720" w:hanging="360"/>
      </w:pPr>
    </w:lvl>
    <w:lvl w:ilvl="1" w:tplc="0C090003">
      <w:start w:val="1"/>
      <w:numFmt w:val="lowerLetter"/>
      <w:lvlText w:val="%2."/>
      <w:lvlJc w:val="left"/>
      <w:pPr>
        <w:ind w:left="1440" w:hanging="360"/>
      </w:pPr>
    </w:lvl>
    <w:lvl w:ilvl="2" w:tplc="0C090005">
      <w:start w:val="1"/>
      <w:numFmt w:val="lowerRoman"/>
      <w:lvlText w:val="%3."/>
      <w:lvlJc w:val="right"/>
      <w:pPr>
        <w:ind w:left="2160" w:hanging="180"/>
      </w:pPr>
    </w:lvl>
    <w:lvl w:ilvl="3" w:tplc="0C090001">
      <w:start w:val="1"/>
      <w:numFmt w:val="decimal"/>
      <w:lvlText w:val="%4."/>
      <w:lvlJc w:val="left"/>
      <w:pPr>
        <w:ind w:left="2880" w:hanging="360"/>
      </w:pPr>
    </w:lvl>
    <w:lvl w:ilvl="4" w:tplc="0C090003">
      <w:start w:val="1"/>
      <w:numFmt w:val="lowerLetter"/>
      <w:lvlText w:val="%5."/>
      <w:lvlJc w:val="left"/>
      <w:pPr>
        <w:ind w:left="3600" w:hanging="360"/>
      </w:pPr>
    </w:lvl>
    <w:lvl w:ilvl="5" w:tplc="0C090005">
      <w:start w:val="1"/>
      <w:numFmt w:val="lowerRoman"/>
      <w:lvlText w:val="%6."/>
      <w:lvlJc w:val="right"/>
      <w:pPr>
        <w:ind w:left="4320" w:hanging="180"/>
      </w:pPr>
    </w:lvl>
    <w:lvl w:ilvl="6" w:tplc="0C090001">
      <w:start w:val="1"/>
      <w:numFmt w:val="decimal"/>
      <w:lvlText w:val="%7."/>
      <w:lvlJc w:val="left"/>
      <w:pPr>
        <w:ind w:left="5040" w:hanging="360"/>
      </w:pPr>
    </w:lvl>
    <w:lvl w:ilvl="7" w:tplc="0C090003">
      <w:start w:val="1"/>
      <w:numFmt w:val="lowerLetter"/>
      <w:lvlText w:val="%8."/>
      <w:lvlJc w:val="left"/>
      <w:pPr>
        <w:ind w:left="5760" w:hanging="360"/>
      </w:pPr>
    </w:lvl>
    <w:lvl w:ilvl="8" w:tplc="0C090005">
      <w:start w:val="1"/>
      <w:numFmt w:val="lowerRoman"/>
      <w:lvlText w:val="%9."/>
      <w:lvlJc w:val="right"/>
      <w:pPr>
        <w:ind w:left="6480" w:hanging="180"/>
      </w:pPr>
    </w:lvl>
  </w:abstractNum>
  <w:abstractNum w:abstractNumId="63" w15:restartNumberingAfterBreak="0">
    <w:nsid w:val="6C084C81"/>
    <w:multiLevelType w:val="hybridMultilevel"/>
    <w:tmpl w:val="02024488"/>
    <w:lvl w:ilvl="0" w:tplc="F788BD8A">
      <w:start w:val="1"/>
      <w:numFmt w:val="lowerLetter"/>
      <w:pStyle w:val="NormalalistL20"/>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4" w15:restartNumberingAfterBreak="0">
    <w:nsid w:val="6FA852D4"/>
    <w:multiLevelType w:val="hybridMultilevel"/>
    <w:tmpl w:val="EC480426"/>
    <w:lvl w:ilvl="0" w:tplc="FFFFFFFF">
      <w:start w:val="1"/>
      <w:numFmt w:val="decimal"/>
      <w:lvlText w:val="%1."/>
      <w:lvlJc w:val="left"/>
      <w:pPr>
        <w:ind w:left="360" w:hanging="360"/>
      </w:pPr>
      <w:rPr>
        <w:rFonts w:hint="default"/>
        <w:b w:val="0"/>
        <w:bCs w:val="0"/>
        <w:color w:val="58595B" w:themeColor="accent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7115712A"/>
    <w:multiLevelType w:val="hybridMultilevel"/>
    <w:tmpl w:val="ED20A268"/>
    <w:lvl w:ilvl="0" w:tplc="193A2EA2">
      <w:start w:val="1"/>
      <w:numFmt w:val="bullet"/>
      <w:pStyle w:val="Bulletbox"/>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6031258"/>
    <w:multiLevelType w:val="hybridMultilevel"/>
    <w:tmpl w:val="D7D45B8C"/>
    <w:lvl w:ilvl="0" w:tplc="7E040046">
      <w:start w:val="1"/>
      <w:numFmt w:val="lowerLetter"/>
      <w:pStyle w:val="BoxtextalistL10"/>
      <w:lvlText w:val="(%1)"/>
      <w:lvlJc w:val="left"/>
      <w:pPr>
        <w:ind w:left="720" w:hanging="360"/>
      </w:pPr>
      <w:rPr>
        <w:rFonts w:cs="Symbol"/>
        <w:spacing w:val="0"/>
        <w:szCs w:val="2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7" w15:restartNumberingAfterBreak="0">
    <w:nsid w:val="76706ACD"/>
    <w:multiLevelType w:val="hybridMultilevel"/>
    <w:tmpl w:val="8A9020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A8D43D5"/>
    <w:multiLevelType w:val="hybridMultilevel"/>
    <w:tmpl w:val="158AD7D4"/>
    <w:lvl w:ilvl="0" w:tplc="D5549418">
      <w:start w:val="1"/>
      <w:numFmt w:val="bullet"/>
      <w:pStyle w:val="Footnote"/>
      <w:lvlText w:val=""/>
      <w:lvlJc w:val="left"/>
      <w:pPr>
        <w:ind w:left="720" w:hanging="360"/>
      </w:pPr>
      <w:rPr>
        <w:rFonts w:ascii="Symbol" w:hAnsi="Symbol" w:hint="default"/>
        <w:color w:val="58595B" w:themeColor="accent2"/>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F7451D0"/>
    <w:multiLevelType w:val="hybridMultilevel"/>
    <w:tmpl w:val="D90AE96C"/>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num w:numId="1" w16cid:durableId="1627852853">
    <w:abstractNumId w:val="13"/>
  </w:num>
  <w:num w:numId="2" w16cid:durableId="859665653">
    <w:abstractNumId w:val="27"/>
  </w:num>
  <w:num w:numId="3" w16cid:durableId="1282418174">
    <w:abstractNumId w:val="18"/>
  </w:num>
  <w:num w:numId="4" w16cid:durableId="1817410611">
    <w:abstractNumId w:val="39"/>
  </w:num>
  <w:num w:numId="5" w16cid:durableId="2019572985">
    <w:abstractNumId w:val="26"/>
  </w:num>
  <w:num w:numId="6" w16cid:durableId="1174371051">
    <w:abstractNumId w:val="42"/>
  </w:num>
  <w:num w:numId="7" w16cid:durableId="91122292">
    <w:abstractNumId w:val="48"/>
  </w:num>
  <w:num w:numId="8" w16cid:durableId="325086331">
    <w:abstractNumId w:val="43"/>
  </w:num>
  <w:num w:numId="9" w16cid:durableId="1119177975">
    <w:abstractNumId w:val="55"/>
  </w:num>
  <w:num w:numId="10" w16cid:durableId="232130350">
    <w:abstractNumId w:val="44"/>
  </w:num>
  <w:num w:numId="11" w16cid:durableId="1974485645">
    <w:abstractNumId w:val="20"/>
  </w:num>
  <w:num w:numId="12" w16cid:durableId="1843664804">
    <w:abstractNumId w:val="60"/>
  </w:num>
  <w:num w:numId="13" w16cid:durableId="127914270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792034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56959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228473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70754531">
    <w:abstractNumId w:val="61"/>
  </w:num>
  <w:num w:numId="18" w16cid:durableId="1836456789">
    <w:abstractNumId w:val="45"/>
  </w:num>
  <w:num w:numId="19" w16cid:durableId="1187326633">
    <w:abstractNumId w:val="22"/>
  </w:num>
  <w:num w:numId="20" w16cid:durableId="12894384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1252895">
    <w:abstractNumId w:val="37"/>
  </w:num>
  <w:num w:numId="22" w16cid:durableId="542444292">
    <w:abstractNumId w:val="58"/>
  </w:num>
  <w:num w:numId="23" w16cid:durableId="1926524463">
    <w:abstractNumId w:val="31"/>
  </w:num>
  <w:num w:numId="24" w16cid:durableId="1412001691">
    <w:abstractNumId w:val="63"/>
  </w:num>
  <w:num w:numId="25" w16cid:durableId="9264641">
    <w:abstractNumId w:val="25"/>
  </w:num>
  <w:num w:numId="26" w16cid:durableId="594945037">
    <w:abstractNumId w:val="50"/>
  </w:num>
  <w:num w:numId="27" w16cid:durableId="8048128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3501409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58375152">
    <w:abstractNumId w:val="12"/>
  </w:num>
  <w:num w:numId="30" w16cid:durableId="1573661522">
    <w:abstractNumId w:val="11"/>
  </w:num>
  <w:num w:numId="31" w16cid:durableId="503862578">
    <w:abstractNumId w:val="47"/>
  </w:num>
  <w:num w:numId="32" w16cid:durableId="426508371">
    <w:abstractNumId w:val="9"/>
  </w:num>
  <w:num w:numId="33" w16cid:durableId="345835309">
    <w:abstractNumId w:val="7"/>
  </w:num>
  <w:num w:numId="34" w16cid:durableId="1554267394">
    <w:abstractNumId w:val="6"/>
  </w:num>
  <w:num w:numId="35" w16cid:durableId="1947271711">
    <w:abstractNumId w:val="5"/>
  </w:num>
  <w:num w:numId="36" w16cid:durableId="1469274947">
    <w:abstractNumId w:val="4"/>
  </w:num>
  <w:num w:numId="37" w16cid:durableId="1525435127">
    <w:abstractNumId w:val="8"/>
  </w:num>
  <w:num w:numId="38" w16cid:durableId="328026521">
    <w:abstractNumId w:val="3"/>
  </w:num>
  <w:num w:numId="39" w16cid:durableId="121315987">
    <w:abstractNumId w:val="2"/>
  </w:num>
  <w:num w:numId="40" w16cid:durableId="1282414351">
    <w:abstractNumId w:val="1"/>
  </w:num>
  <w:num w:numId="41" w16cid:durableId="2048211647">
    <w:abstractNumId w:val="0"/>
  </w:num>
  <w:num w:numId="42" w16cid:durableId="526989182">
    <w:abstractNumId w:val="67"/>
  </w:num>
  <w:num w:numId="43" w16cid:durableId="1283875637">
    <w:abstractNumId w:val="10"/>
  </w:num>
  <w:num w:numId="44" w16cid:durableId="650408589">
    <w:abstractNumId w:val="28"/>
  </w:num>
  <w:num w:numId="45" w16cid:durableId="553779848">
    <w:abstractNumId w:val="14"/>
  </w:num>
  <w:num w:numId="46" w16cid:durableId="1381131550">
    <w:abstractNumId w:val="68"/>
  </w:num>
  <w:num w:numId="47" w16cid:durableId="99765095">
    <w:abstractNumId w:val="21"/>
  </w:num>
  <w:num w:numId="48" w16cid:durableId="12581707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10405634">
    <w:abstractNumId w:val="64"/>
  </w:num>
  <w:num w:numId="50" w16cid:durableId="1046029731">
    <w:abstractNumId w:val="23"/>
  </w:num>
  <w:num w:numId="51" w16cid:durableId="696466317">
    <w:abstractNumId w:val="38"/>
  </w:num>
  <w:num w:numId="52" w16cid:durableId="463355584">
    <w:abstractNumId w:val="19"/>
  </w:num>
  <w:num w:numId="53" w16cid:durableId="1109351491">
    <w:abstractNumId w:val="49"/>
  </w:num>
  <w:num w:numId="54" w16cid:durableId="1394889186">
    <w:abstractNumId w:val="33"/>
  </w:num>
  <w:num w:numId="55" w16cid:durableId="2007433858">
    <w:abstractNumId w:val="69"/>
  </w:num>
  <w:num w:numId="56" w16cid:durableId="245463216">
    <w:abstractNumId w:val="41"/>
  </w:num>
  <w:num w:numId="57" w16cid:durableId="1864594172">
    <w:abstractNumId w:val="65"/>
  </w:num>
  <w:num w:numId="58" w16cid:durableId="522285065">
    <w:abstractNumId w:val="56"/>
  </w:num>
  <w:num w:numId="59" w16cid:durableId="1238982147">
    <w:abstractNumId w:val="51"/>
  </w:num>
  <w:num w:numId="60" w16cid:durableId="40373989">
    <w:abstractNumId w:val="52"/>
  </w:num>
  <w:num w:numId="61" w16cid:durableId="868837874">
    <w:abstractNumId w:val="59"/>
  </w:num>
  <w:num w:numId="62" w16cid:durableId="1094012350">
    <w:abstractNumId w:val="17"/>
  </w:num>
  <w:num w:numId="63" w16cid:durableId="2132089831">
    <w:abstractNumId w:val="15"/>
  </w:num>
  <w:num w:numId="64" w16cid:durableId="1823039358">
    <w:abstractNumId w:val="57"/>
  </w:num>
  <w:num w:numId="65" w16cid:durableId="1139345528">
    <w:abstractNumId w:val="36"/>
  </w:num>
  <w:num w:numId="66" w16cid:durableId="217786435">
    <w:abstractNumId w:val="46"/>
  </w:num>
  <w:num w:numId="67" w16cid:durableId="215163022">
    <w:abstractNumId w:val="32"/>
  </w:num>
  <w:num w:numId="68" w16cid:durableId="740368848">
    <w:abstractNumId w:val="53"/>
  </w:num>
  <w:num w:numId="69" w16cid:durableId="2065175981">
    <w:abstractNumId w:val="54"/>
  </w:num>
  <w:num w:numId="70" w16cid:durableId="169566891">
    <w:abstractNumId w:val="1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proofState w:spelling="clean" w:grammar="clean"/>
  <w:stylePaneFormatFilter w:val="1128" w:allStyles="0" w:customStyles="0" w:latentStyles="0" w:stylesInUse="1" w:headingStyles="1" w:numberingStyles="0" w:tableStyles="0" w:directFormattingOnRuns="1"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CzyDMjiATPAXGF7KTBDjxaGaEUuA1ulz/XTbVb7OjAF7GnVCFbXn+rG49Hoaf/lO/TcXBVOTXqs2hCDebM0Naw==" w:salt="cryZ84RxNVLmoqYk3BOk5w=="/>
  <w:defaultTabStop w:val="720"/>
  <w:defaultTableStyle w:val="Annualreport2020-21"/>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84A"/>
    <w:rsid w:val="000000AE"/>
    <w:rsid w:val="00000629"/>
    <w:rsid w:val="0000072B"/>
    <w:rsid w:val="0000081C"/>
    <w:rsid w:val="000008EC"/>
    <w:rsid w:val="00000FDB"/>
    <w:rsid w:val="00001116"/>
    <w:rsid w:val="00001CEF"/>
    <w:rsid w:val="0000357F"/>
    <w:rsid w:val="000038F3"/>
    <w:rsid w:val="00003B0D"/>
    <w:rsid w:val="00003C19"/>
    <w:rsid w:val="00004029"/>
    <w:rsid w:val="0000439B"/>
    <w:rsid w:val="00004541"/>
    <w:rsid w:val="00004572"/>
    <w:rsid w:val="00004BDE"/>
    <w:rsid w:val="0000518A"/>
    <w:rsid w:val="00005418"/>
    <w:rsid w:val="00005AB3"/>
    <w:rsid w:val="00005B20"/>
    <w:rsid w:val="00005F86"/>
    <w:rsid w:val="000064A9"/>
    <w:rsid w:val="00006684"/>
    <w:rsid w:val="0000694B"/>
    <w:rsid w:val="0000709C"/>
    <w:rsid w:val="00007AB8"/>
    <w:rsid w:val="00007D35"/>
    <w:rsid w:val="00007D3E"/>
    <w:rsid w:val="00010131"/>
    <w:rsid w:val="00010856"/>
    <w:rsid w:val="00010890"/>
    <w:rsid w:val="00011004"/>
    <w:rsid w:val="00011062"/>
    <w:rsid w:val="000112B0"/>
    <w:rsid w:val="00011369"/>
    <w:rsid w:val="000118AF"/>
    <w:rsid w:val="00011A30"/>
    <w:rsid w:val="00011BA2"/>
    <w:rsid w:val="00012214"/>
    <w:rsid w:val="00012356"/>
    <w:rsid w:val="000127CB"/>
    <w:rsid w:val="00013101"/>
    <w:rsid w:val="000135FE"/>
    <w:rsid w:val="00013F61"/>
    <w:rsid w:val="000140B6"/>
    <w:rsid w:val="000152A4"/>
    <w:rsid w:val="000156C8"/>
    <w:rsid w:val="00015F8E"/>
    <w:rsid w:val="00016208"/>
    <w:rsid w:val="00017CB7"/>
    <w:rsid w:val="0002016E"/>
    <w:rsid w:val="00020744"/>
    <w:rsid w:val="00020959"/>
    <w:rsid w:val="00020D11"/>
    <w:rsid w:val="000211DF"/>
    <w:rsid w:val="00021A4A"/>
    <w:rsid w:val="00021F1E"/>
    <w:rsid w:val="00022367"/>
    <w:rsid w:val="000229F4"/>
    <w:rsid w:val="00022B27"/>
    <w:rsid w:val="00022DB7"/>
    <w:rsid w:val="000230BD"/>
    <w:rsid w:val="00023583"/>
    <w:rsid w:val="00023770"/>
    <w:rsid w:val="00023827"/>
    <w:rsid w:val="000242E9"/>
    <w:rsid w:val="000246EA"/>
    <w:rsid w:val="00024740"/>
    <w:rsid w:val="00024B7B"/>
    <w:rsid w:val="00024DD5"/>
    <w:rsid w:val="000251DB"/>
    <w:rsid w:val="00025844"/>
    <w:rsid w:val="00025998"/>
    <w:rsid w:val="00025F4F"/>
    <w:rsid w:val="00026576"/>
    <w:rsid w:val="00026B95"/>
    <w:rsid w:val="00027058"/>
    <w:rsid w:val="000270D5"/>
    <w:rsid w:val="00027301"/>
    <w:rsid w:val="0002740A"/>
    <w:rsid w:val="000300A6"/>
    <w:rsid w:val="000307D2"/>
    <w:rsid w:val="00031099"/>
    <w:rsid w:val="00031276"/>
    <w:rsid w:val="0003209E"/>
    <w:rsid w:val="000326D7"/>
    <w:rsid w:val="000326EC"/>
    <w:rsid w:val="00032796"/>
    <w:rsid w:val="000328EC"/>
    <w:rsid w:val="00032D92"/>
    <w:rsid w:val="00032F73"/>
    <w:rsid w:val="00033519"/>
    <w:rsid w:val="00033671"/>
    <w:rsid w:val="00033F40"/>
    <w:rsid w:val="00034078"/>
    <w:rsid w:val="0003412B"/>
    <w:rsid w:val="000341CE"/>
    <w:rsid w:val="000344CE"/>
    <w:rsid w:val="00034725"/>
    <w:rsid w:val="00034D88"/>
    <w:rsid w:val="00035133"/>
    <w:rsid w:val="000358F3"/>
    <w:rsid w:val="0003609D"/>
    <w:rsid w:val="00036A9C"/>
    <w:rsid w:val="00036AC0"/>
    <w:rsid w:val="00036B85"/>
    <w:rsid w:val="00036E83"/>
    <w:rsid w:val="0003720A"/>
    <w:rsid w:val="000377E3"/>
    <w:rsid w:val="000378BE"/>
    <w:rsid w:val="00037917"/>
    <w:rsid w:val="00040033"/>
    <w:rsid w:val="00040104"/>
    <w:rsid w:val="00040738"/>
    <w:rsid w:val="000408E8"/>
    <w:rsid w:val="00040A6D"/>
    <w:rsid w:val="00040E63"/>
    <w:rsid w:val="00041161"/>
    <w:rsid w:val="00041224"/>
    <w:rsid w:val="0004128D"/>
    <w:rsid w:val="00041A8B"/>
    <w:rsid w:val="00041D17"/>
    <w:rsid w:val="00041F70"/>
    <w:rsid w:val="000422C9"/>
    <w:rsid w:val="00042450"/>
    <w:rsid w:val="0004297B"/>
    <w:rsid w:val="00042D8C"/>
    <w:rsid w:val="000437C4"/>
    <w:rsid w:val="000439F3"/>
    <w:rsid w:val="00043A75"/>
    <w:rsid w:val="00043CE3"/>
    <w:rsid w:val="00043E14"/>
    <w:rsid w:val="000442BE"/>
    <w:rsid w:val="0004452E"/>
    <w:rsid w:val="0004473A"/>
    <w:rsid w:val="00044C96"/>
    <w:rsid w:val="0004521C"/>
    <w:rsid w:val="00045AA7"/>
    <w:rsid w:val="00045B93"/>
    <w:rsid w:val="00045CC9"/>
    <w:rsid w:val="0004602F"/>
    <w:rsid w:val="0004603E"/>
    <w:rsid w:val="00046150"/>
    <w:rsid w:val="00046560"/>
    <w:rsid w:val="000469F2"/>
    <w:rsid w:val="00047012"/>
    <w:rsid w:val="000471CC"/>
    <w:rsid w:val="00047929"/>
    <w:rsid w:val="00047C86"/>
    <w:rsid w:val="00047D35"/>
    <w:rsid w:val="00050EDC"/>
    <w:rsid w:val="000518FF"/>
    <w:rsid w:val="00051B77"/>
    <w:rsid w:val="00051CF9"/>
    <w:rsid w:val="0005235E"/>
    <w:rsid w:val="00052441"/>
    <w:rsid w:val="00052845"/>
    <w:rsid w:val="00052976"/>
    <w:rsid w:val="00052A60"/>
    <w:rsid w:val="00052AD8"/>
    <w:rsid w:val="00052B03"/>
    <w:rsid w:val="00052C3C"/>
    <w:rsid w:val="00052DE8"/>
    <w:rsid w:val="0005301C"/>
    <w:rsid w:val="0005345B"/>
    <w:rsid w:val="0005389B"/>
    <w:rsid w:val="00053CB9"/>
    <w:rsid w:val="00053FE9"/>
    <w:rsid w:val="0005407C"/>
    <w:rsid w:val="00054412"/>
    <w:rsid w:val="000547AD"/>
    <w:rsid w:val="0005489D"/>
    <w:rsid w:val="000549D5"/>
    <w:rsid w:val="0005571E"/>
    <w:rsid w:val="00055C92"/>
    <w:rsid w:val="0005679E"/>
    <w:rsid w:val="00056918"/>
    <w:rsid w:val="00057299"/>
    <w:rsid w:val="00057356"/>
    <w:rsid w:val="00057362"/>
    <w:rsid w:val="00057C02"/>
    <w:rsid w:val="00057EEF"/>
    <w:rsid w:val="0006019B"/>
    <w:rsid w:val="0006114E"/>
    <w:rsid w:val="0006123B"/>
    <w:rsid w:val="000613A9"/>
    <w:rsid w:val="000613C0"/>
    <w:rsid w:val="000619FE"/>
    <w:rsid w:val="00061A64"/>
    <w:rsid w:val="00061EFB"/>
    <w:rsid w:val="00061F2D"/>
    <w:rsid w:val="000621E6"/>
    <w:rsid w:val="00062724"/>
    <w:rsid w:val="000628A7"/>
    <w:rsid w:val="00062AE2"/>
    <w:rsid w:val="0006305F"/>
    <w:rsid w:val="00063296"/>
    <w:rsid w:val="00063404"/>
    <w:rsid w:val="000636DF"/>
    <w:rsid w:val="0006494F"/>
    <w:rsid w:val="00064A7B"/>
    <w:rsid w:val="00064AD4"/>
    <w:rsid w:val="00064B3C"/>
    <w:rsid w:val="00064D54"/>
    <w:rsid w:val="00064E50"/>
    <w:rsid w:val="00065310"/>
    <w:rsid w:val="00065B23"/>
    <w:rsid w:val="000661F0"/>
    <w:rsid w:val="0006651E"/>
    <w:rsid w:val="000665EB"/>
    <w:rsid w:val="0006705E"/>
    <w:rsid w:val="0006746C"/>
    <w:rsid w:val="00067B2D"/>
    <w:rsid w:val="00067D94"/>
    <w:rsid w:val="00070182"/>
    <w:rsid w:val="000701D8"/>
    <w:rsid w:val="00070230"/>
    <w:rsid w:val="0007037D"/>
    <w:rsid w:val="0007058E"/>
    <w:rsid w:val="000706C7"/>
    <w:rsid w:val="000707CA"/>
    <w:rsid w:val="00070935"/>
    <w:rsid w:val="00070DE5"/>
    <w:rsid w:val="000711DB"/>
    <w:rsid w:val="0007154A"/>
    <w:rsid w:val="00071A81"/>
    <w:rsid w:val="00071C30"/>
    <w:rsid w:val="00071D0E"/>
    <w:rsid w:val="00071D8D"/>
    <w:rsid w:val="0007210F"/>
    <w:rsid w:val="00072396"/>
    <w:rsid w:val="000725F9"/>
    <w:rsid w:val="0007291F"/>
    <w:rsid w:val="00072B06"/>
    <w:rsid w:val="00072BDB"/>
    <w:rsid w:val="00072D57"/>
    <w:rsid w:val="000739A8"/>
    <w:rsid w:val="00073C8A"/>
    <w:rsid w:val="00073DCC"/>
    <w:rsid w:val="00074082"/>
    <w:rsid w:val="00074514"/>
    <w:rsid w:val="000745FF"/>
    <w:rsid w:val="000746C2"/>
    <w:rsid w:val="00074C19"/>
    <w:rsid w:val="00074FC3"/>
    <w:rsid w:val="0007507D"/>
    <w:rsid w:val="000752F6"/>
    <w:rsid w:val="000754D4"/>
    <w:rsid w:val="00075AA3"/>
    <w:rsid w:val="00075DD9"/>
    <w:rsid w:val="00075E9E"/>
    <w:rsid w:val="00076199"/>
    <w:rsid w:val="00076260"/>
    <w:rsid w:val="0007627C"/>
    <w:rsid w:val="00076499"/>
    <w:rsid w:val="000767FC"/>
    <w:rsid w:val="00076825"/>
    <w:rsid w:val="00076A3F"/>
    <w:rsid w:val="00076CD8"/>
    <w:rsid w:val="00076D2C"/>
    <w:rsid w:val="000771B9"/>
    <w:rsid w:val="0007770B"/>
    <w:rsid w:val="00080420"/>
    <w:rsid w:val="00081613"/>
    <w:rsid w:val="00081A81"/>
    <w:rsid w:val="000820BD"/>
    <w:rsid w:val="000823AC"/>
    <w:rsid w:val="00082812"/>
    <w:rsid w:val="00082C17"/>
    <w:rsid w:val="00082E42"/>
    <w:rsid w:val="00082E5B"/>
    <w:rsid w:val="00082FEF"/>
    <w:rsid w:val="0008314D"/>
    <w:rsid w:val="0008385C"/>
    <w:rsid w:val="000839A2"/>
    <w:rsid w:val="00083A15"/>
    <w:rsid w:val="00083F4D"/>
    <w:rsid w:val="0008447C"/>
    <w:rsid w:val="0008448D"/>
    <w:rsid w:val="00084740"/>
    <w:rsid w:val="000847EB"/>
    <w:rsid w:val="00084800"/>
    <w:rsid w:val="00084969"/>
    <w:rsid w:val="0008539B"/>
    <w:rsid w:val="00085A82"/>
    <w:rsid w:val="00085B48"/>
    <w:rsid w:val="00085EAF"/>
    <w:rsid w:val="00086780"/>
    <w:rsid w:val="000868AA"/>
    <w:rsid w:val="000869BC"/>
    <w:rsid w:val="00086BE7"/>
    <w:rsid w:val="00087F5C"/>
    <w:rsid w:val="00090510"/>
    <w:rsid w:val="000909DD"/>
    <w:rsid w:val="000909EF"/>
    <w:rsid w:val="00090F8F"/>
    <w:rsid w:val="000911AE"/>
    <w:rsid w:val="00091E47"/>
    <w:rsid w:val="0009209E"/>
    <w:rsid w:val="0009240A"/>
    <w:rsid w:val="0009256E"/>
    <w:rsid w:val="000927A4"/>
    <w:rsid w:val="00092945"/>
    <w:rsid w:val="0009378B"/>
    <w:rsid w:val="00093BD1"/>
    <w:rsid w:val="0009408B"/>
    <w:rsid w:val="00094B6A"/>
    <w:rsid w:val="00094D1C"/>
    <w:rsid w:val="00094FAA"/>
    <w:rsid w:val="0009525A"/>
    <w:rsid w:val="00095329"/>
    <w:rsid w:val="00095583"/>
    <w:rsid w:val="000955C9"/>
    <w:rsid w:val="00095875"/>
    <w:rsid w:val="00095C93"/>
    <w:rsid w:val="00095CB7"/>
    <w:rsid w:val="00095DAF"/>
    <w:rsid w:val="00095F0A"/>
    <w:rsid w:val="0009621D"/>
    <w:rsid w:val="00096361"/>
    <w:rsid w:val="000969F7"/>
    <w:rsid w:val="00097872"/>
    <w:rsid w:val="000A08C0"/>
    <w:rsid w:val="000A0AB3"/>
    <w:rsid w:val="000A10B2"/>
    <w:rsid w:val="000A14FD"/>
    <w:rsid w:val="000A15BF"/>
    <w:rsid w:val="000A1898"/>
    <w:rsid w:val="000A1B69"/>
    <w:rsid w:val="000A2528"/>
    <w:rsid w:val="000A2993"/>
    <w:rsid w:val="000A2F20"/>
    <w:rsid w:val="000A3011"/>
    <w:rsid w:val="000A31FB"/>
    <w:rsid w:val="000A32C4"/>
    <w:rsid w:val="000A343F"/>
    <w:rsid w:val="000A3A31"/>
    <w:rsid w:val="000A44C9"/>
    <w:rsid w:val="000A4898"/>
    <w:rsid w:val="000A4FC4"/>
    <w:rsid w:val="000A50F6"/>
    <w:rsid w:val="000A5C57"/>
    <w:rsid w:val="000A65C4"/>
    <w:rsid w:val="000A6746"/>
    <w:rsid w:val="000A692C"/>
    <w:rsid w:val="000A6BC1"/>
    <w:rsid w:val="000A6C9C"/>
    <w:rsid w:val="000A730A"/>
    <w:rsid w:val="000A732C"/>
    <w:rsid w:val="000A73B4"/>
    <w:rsid w:val="000A7803"/>
    <w:rsid w:val="000B05EE"/>
    <w:rsid w:val="000B0980"/>
    <w:rsid w:val="000B0B6D"/>
    <w:rsid w:val="000B11CA"/>
    <w:rsid w:val="000B142B"/>
    <w:rsid w:val="000B18EE"/>
    <w:rsid w:val="000B1FC1"/>
    <w:rsid w:val="000B2018"/>
    <w:rsid w:val="000B2D8E"/>
    <w:rsid w:val="000B331F"/>
    <w:rsid w:val="000B3870"/>
    <w:rsid w:val="000B43D8"/>
    <w:rsid w:val="000B469A"/>
    <w:rsid w:val="000B474C"/>
    <w:rsid w:val="000B4C7F"/>
    <w:rsid w:val="000B4DEF"/>
    <w:rsid w:val="000B53A7"/>
    <w:rsid w:val="000B57F5"/>
    <w:rsid w:val="000B5A7F"/>
    <w:rsid w:val="000B5F07"/>
    <w:rsid w:val="000B60D9"/>
    <w:rsid w:val="000B611B"/>
    <w:rsid w:val="000B6342"/>
    <w:rsid w:val="000B69E7"/>
    <w:rsid w:val="000B71BD"/>
    <w:rsid w:val="000B738B"/>
    <w:rsid w:val="000B7760"/>
    <w:rsid w:val="000C004C"/>
    <w:rsid w:val="000C0C57"/>
    <w:rsid w:val="000C1245"/>
    <w:rsid w:val="000C1AA1"/>
    <w:rsid w:val="000C1D76"/>
    <w:rsid w:val="000C1F1E"/>
    <w:rsid w:val="000C218D"/>
    <w:rsid w:val="000C2975"/>
    <w:rsid w:val="000C32EF"/>
    <w:rsid w:val="000C3429"/>
    <w:rsid w:val="000C38A8"/>
    <w:rsid w:val="000C3A2D"/>
    <w:rsid w:val="000C3CA2"/>
    <w:rsid w:val="000C3F3E"/>
    <w:rsid w:val="000C40E2"/>
    <w:rsid w:val="000C4972"/>
    <w:rsid w:val="000C4AF0"/>
    <w:rsid w:val="000C4BBF"/>
    <w:rsid w:val="000C4DC3"/>
    <w:rsid w:val="000C5039"/>
    <w:rsid w:val="000C5250"/>
    <w:rsid w:val="000C5292"/>
    <w:rsid w:val="000C55DD"/>
    <w:rsid w:val="000C5644"/>
    <w:rsid w:val="000C5D85"/>
    <w:rsid w:val="000C60F1"/>
    <w:rsid w:val="000C6645"/>
    <w:rsid w:val="000C6797"/>
    <w:rsid w:val="000C6A20"/>
    <w:rsid w:val="000C7428"/>
    <w:rsid w:val="000C7565"/>
    <w:rsid w:val="000D0827"/>
    <w:rsid w:val="000D1036"/>
    <w:rsid w:val="000D17E7"/>
    <w:rsid w:val="000D1A3E"/>
    <w:rsid w:val="000D20E4"/>
    <w:rsid w:val="000D24E5"/>
    <w:rsid w:val="000D2592"/>
    <w:rsid w:val="000D28E1"/>
    <w:rsid w:val="000D28FD"/>
    <w:rsid w:val="000D292B"/>
    <w:rsid w:val="000D299A"/>
    <w:rsid w:val="000D2F08"/>
    <w:rsid w:val="000D326F"/>
    <w:rsid w:val="000D3E9B"/>
    <w:rsid w:val="000D4109"/>
    <w:rsid w:val="000D41E9"/>
    <w:rsid w:val="000D44DD"/>
    <w:rsid w:val="000D476E"/>
    <w:rsid w:val="000D4B7B"/>
    <w:rsid w:val="000D4D0F"/>
    <w:rsid w:val="000D4FF7"/>
    <w:rsid w:val="000D562E"/>
    <w:rsid w:val="000D57DC"/>
    <w:rsid w:val="000D5F17"/>
    <w:rsid w:val="000D5F39"/>
    <w:rsid w:val="000D6853"/>
    <w:rsid w:val="000D6869"/>
    <w:rsid w:val="000D6C8E"/>
    <w:rsid w:val="000E0092"/>
    <w:rsid w:val="000E05F1"/>
    <w:rsid w:val="000E0D0C"/>
    <w:rsid w:val="000E0E28"/>
    <w:rsid w:val="000E1205"/>
    <w:rsid w:val="000E151C"/>
    <w:rsid w:val="000E197C"/>
    <w:rsid w:val="000E1C2F"/>
    <w:rsid w:val="000E2408"/>
    <w:rsid w:val="000E2AD5"/>
    <w:rsid w:val="000E3226"/>
    <w:rsid w:val="000E3C5C"/>
    <w:rsid w:val="000E3EE7"/>
    <w:rsid w:val="000E4201"/>
    <w:rsid w:val="000E4B6E"/>
    <w:rsid w:val="000E4D15"/>
    <w:rsid w:val="000E4F9E"/>
    <w:rsid w:val="000E5143"/>
    <w:rsid w:val="000E52F3"/>
    <w:rsid w:val="000E5609"/>
    <w:rsid w:val="000E59E2"/>
    <w:rsid w:val="000E5C71"/>
    <w:rsid w:val="000E5C90"/>
    <w:rsid w:val="000E66C8"/>
    <w:rsid w:val="000E6A27"/>
    <w:rsid w:val="000E6C07"/>
    <w:rsid w:val="000E6C4C"/>
    <w:rsid w:val="000E6D43"/>
    <w:rsid w:val="000E6ED6"/>
    <w:rsid w:val="000E6F56"/>
    <w:rsid w:val="000E6FE9"/>
    <w:rsid w:val="000E7164"/>
    <w:rsid w:val="000E7209"/>
    <w:rsid w:val="000E7E35"/>
    <w:rsid w:val="000F00A7"/>
    <w:rsid w:val="000F00F2"/>
    <w:rsid w:val="000F09AA"/>
    <w:rsid w:val="000F0DFC"/>
    <w:rsid w:val="000F16F7"/>
    <w:rsid w:val="000F29DF"/>
    <w:rsid w:val="000F29E6"/>
    <w:rsid w:val="000F2AFB"/>
    <w:rsid w:val="000F2DEC"/>
    <w:rsid w:val="000F3B19"/>
    <w:rsid w:val="000F3E00"/>
    <w:rsid w:val="000F40C4"/>
    <w:rsid w:val="000F41F2"/>
    <w:rsid w:val="000F4CA1"/>
    <w:rsid w:val="000F504A"/>
    <w:rsid w:val="000F5064"/>
    <w:rsid w:val="000F61E0"/>
    <w:rsid w:val="000F6251"/>
    <w:rsid w:val="000F7498"/>
    <w:rsid w:val="000F7992"/>
    <w:rsid w:val="000F7C78"/>
    <w:rsid w:val="0010010B"/>
    <w:rsid w:val="0010037C"/>
    <w:rsid w:val="001007DC"/>
    <w:rsid w:val="00100B6A"/>
    <w:rsid w:val="00100BB6"/>
    <w:rsid w:val="00101231"/>
    <w:rsid w:val="001018CC"/>
    <w:rsid w:val="00101A4D"/>
    <w:rsid w:val="00101A78"/>
    <w:rsid w:val="00101E90"/>
    <w:rsid w:val="00102282"/>
    <w:rsid w:val="00102313"/>
    <w:rsid w:val="00102503"/>
    <w:rsid w:val="00102555"/>
    <w:rsid w:val="00102CE4"/>
    <w:rsid w:val="00102D73"/>
    <w:rsid w:val="001030D0"/>
    <w:rsid w:val="00103AEC"/>
    <w:rsid w:val="00103B23"/>
    <w:rsid w:val="001045DC"/>
    <w:rsid w:val="0010466D"/>
    <w:rsid w:val="00104769"/>
    <w:rsid w:val="00104C21"/>
    <w:rsid w:val="0010582F"/>
    <w:rsid w:val="00105849"/>
    <w:rsid w:val="00105D07"/>
    <w:rsid w:val="001060B6"/>
    <w:rsid w:val="001061F9"/>
    <w:rsid w:val="00107188"/>
    <w:rsid w:val="00107923"/>
    <w:rsid w:val="00107C2F"/>
    <w:rsid w:val="00107FE4"/>
    <w:rsid w:val="001100F9"/>
    <w:rsid w:val="00110960"/>
    <w:rsid w:val="001109F1"/>
    <w:rsid w:val="00110B45"/>
    <w:rsid w:val="00110DCD"/>
    <w:rsid w:val="00111493"/>
    <w:rsid w:val="0011162B"/>
    <w:rsid w:val="0011169C"/>
    <w:rsid w:val="001116A6"/>
    <w:rsid w:val="0011212C"/>
    <w:rsid w:val="00112266"/>
    <w:rsid w:val="0011232E"/>
    <w:rsid w:val="00112684"/>
    <w:rsid w:val="00112EF6"/>
    <w:rsid w:val="00112F2C"/>
    <w:rsid w:val="0011395A"/>
    <w:rsid w:val="0011421A"/>
    <w:rsid w:val="0011441B"/>
    <w:rsid w:val="0011487E"/>
    <w:rsid w:val="00114A29"/>
    <w:rsid w:val="00114DDB"/>
    <w:rsid w:val="00115A51"/>
    <w:rsid w:val="00115A54"/>
    <w:rsid w:val="00115D32"/>
    <w:rsid w:val="00116537"/>
    <w:rsid w:val="00116791"/>
    <w:rsid w:val="0011697F"/>
    <w:rsid w:val="00117636"/>
    <w:rsid w:val="00117A8C"/>
    <w:rsid w:val="001202F5"/>
    <w:rsid w:val="001208C4"/>
    <w:rsid w:val="00120B70"/>
    <w:rsid w:val="00121451"/>
    <w:rsid w:val="0012148E"/>
    <w:rsid w:val="00121613"/>
    <w:rsid w:val="00121702"/>
    <w:rsid w:val="001218A0"/>
    <w:rsid w:val="00121ED9"/>
    <w:rsid w:val="001224FD"/>
    <w:rsid w:val="0012256D"/>
    <w:rsid w:val="00122AD8"/>
    <w:rsid w:val="001231CD"/>
    <w:rsid w:val="00123846"/>
    <w:rsid w:val="00123A41"/>
    <w:rsid w:val="0012456A"/>
    <w:rsid w:val="0012461F"/>
    <w:rsid w:val="001255EA"/>
    <w:rsid w:val="00125BE2"/>
    <w:rsid w:val="001265B8"/>
    <w:rsid w:val="001266BA"/>
    <w:rsid w:val="001267E4"/>
    <w:rsid w:val="00126BDE"/>
    <w:rsid w:val="00126D9F"/>
    <w:rsid w:val="00126FCB"/>
    <w:rsid w:val="00127617"/>
    <w:rsid w:val="00127C33"/>
    <w:rsid w:val="00127CB0"/>
    <w:rsid w:val="00127EFD"/>
    <w:rsid w:val="0013024E"/>
    <w:rsid w:val="00130917"/>
    <w:rsid w:val="00130957"/>
    <w:rsid w:val="00130AD9"/>
    <w:rsid w:val="00130B40"/>
    <w:rsid w:val="00130B47"/>
    <w:rsid w:val="00130F09"/>
    <w:rsid w:val="001311A5"/>
    <w:rsid w:val="001311B9"/>
    <w:rsid w:val="0013176B"/>
    <w:rsid w:val="00131A83"/>
    <w:rsid w:val="00131F9B"/>
    <w:rsid w:val="001323E7"/>
    <w:rsid w:val="001328A3"/>
    <w:rsid w:val="00132D67"/>
    <w:rsid w:val="00132FAE"/>
    <w:rsid w:val="0013317A"/>
    <w:rsid w:val="001331F3"/>
    <w:rsid w:val="001332D3"/>
    <w:rsid w:val="001334A4"/>
    <w:rsid w:val="00133E62"/>
    <w:rsid w:val="001341FE"/>
    <w:rsid w:val="001350C1"/>
    <w:rsid w:val="001350C5"/>
    <w:rsid w:val="00135414"/>
    <w:rsid w:val="00135FF8"/>
    <w:rsid w:val="001361DC"/>
    <w:rsid w:val="00136313"/>
    <w:rsid w:val="00136712"/>
    <w:rsid w:val="001368AD"/>
    <w:rsid w:val="00136AA3"/>
    <w:rsid w:val="00136BE9"/>
    <w:rsid w:val="00136CB4"/>
    <w:rsid w:val="00136DC8"/>
    <w:rsid w:val="00136F0B"/>
    <w:rsid w:val="001372C6"/>
    <w:rsid w:val="001376DD"/>
    <w:rsid w:val="001401A7"/>
    <w:rsid w:val="00140519"/>
    <w:rsid w:val="00140892"/>
    <w:rsid w:val="00140AC4"/>
    <w:rsid w:val="00140B3E"/>
    <w:rsid w:val="0014105B"/>
    <w:rsid w:val="00141352"/>
    <w:rsid w:val="001417B5"/>
    <w:rsid w:val="0014181B"/>
    <w:rsid w:val="00141AFD"/>
    <w:rsid w:val="00142337"/>
    <w:rsid w:val="0014246E"/>
    <w:rsid w:val="001426D3"/>
    <w:rsid w:val="00142CCB"/>
    <w:rsid w:val="00142CEA"/>
    <w:rsid w:val="00142D00"/>
    <w:rsid w:val="00142DF0"/>
    <w:rsid w:val="00143243"/>
    <w:rsid w:val="00143397"/>
    <w:rsid w:val="001435CD"/>
    <w:rsid w:val="00143E30"/>
    <w:rsid w:val="00144298"/>
    <w:rsid w:val="0014472F"/>
    <w:rsid w:val="0014496E"/>
    <w:rsid w:val="00144A5B"/>
    <w:rsid w:val="00144BCA"/>
    <w:rsid w:val="00144DBD"/>
    <w:rsid w:val="001455A4"/>
    <w:rsid w:val="00145765"/>
    <w:rsid w:val="00145A5A"/>
    <w:rsid w:val="00145D2C"/>
    <w:rsid w:val="00145FAC"/>
    <w:rsid w:val="00145FB2"/>
    <w:rsid w:val="001461B3"/>
    <w:rsid w:val="00146386"/>
    <w:rsid w:val="0014646D"/>
    <w:rsid w:val="0014682B"/>
    <w:rsid w:val="00146C21"/>
    <w:rsid w:val="00147106"/>
    <w:rsid w:val="001472B6"/>
    <w:rsid w:val="0014785C"/>
    <w:rsid w:val="00147C03"/>
    <w:rsid w:val="00147F79"/>
    <w:rsid w:val="00150080"/>
    <w:rsid w:val="0015025B"/>
    <w:rsid w:val="001502B0"/>
    <w:rsid w:val="0015080B"/>
    <w:rsid w:val="00151058"/>
    <w:rsid w:val="001516A8"/>
    <w:rsid w:val="00151EF9"/>
    <w:rsid w:val="00152132"/>
    <w:rsid w:val="001534FF"/>
    <w:rsid w:val="001535C1"/>
    <w:rsid w:val="001536EB"/>
    <w:rsid w:val="001537BD"/>
    <w:rsid w:val="00153943"/>
    <w:rsid w:val="001539F2"/>
    <w:rsid w:val="00153D3E"/>
    <w:rsid w:val="0015410A"/>
    <w:rsid w:val="001542E3"/>
    <w:rsid w:val="0015447B"/>
    <w:rsid w:val="001544CB"/>
    <w:rsid w:val="00154511"/>
    <w:rsid w:val="0015477A"/>
    <w:rsid w:val="00154A59"/>
    <w:rsid w:val="00154E48"/>
    <w:rsid w:val="00155176"/>
    <w:rsid w:val="00155701"/>
    <w:rsid w:val="00155FAF"/>
    <w:rsid w:val="0015603F"/>
    <w:rsid w:val="00156333"/>
    <w:rsid w:val="001567E6"/>
    <w:rsid w:val="001567E7"/>
    <w:rsid w:val="00156C0D"/>
    <w:rsid w:val="00157088"/>
    <w:rsid w:val="00157384"/>
    <w:rsid w:val="0015747F"/>
    <w:rsid w:val="00157C49"/>
    <w:rsid w:val="00157E59"/>
    <w:rsid w:val="00160757"/>
    <w:rsid w:val="00160931"/>
    <w:rsid w:val="00160A3C"/>
    <w:rsid w:val="00160D4D"/>
    <w:rsid w:val="00160F24"/>
    <w:rsid w:val="00161195"/>
    <w:rsid w:val="001613F4"/>
    <w:rsid w:val="001624C1"/>
    <w:rsid w:val="001626EF"/>
    <w:rsid w:val="00162D03"/>
    <w:rsid w:val="001630D1"/>
    <w:rsid w:val="0016330C"/>
    <w:rsid w:val="001634FB"/>
    <w:rsid w:val="0016390F"/>
    <w:rsid w:val="00163AAE"/>
    <w:rsid w:val="00163C41"/>
    <w:rsid w:val="00163E8A"/>
    <w:rsid w:val="00164349"/>
    <w:rsid w:val="00164558"/>
    <w:rsid w:val="00164701"/>
    <w:rsid w:val="001647F0"/>
    <w:rsid w:val="001649BB"/>
    <w:rsid w:val="00165E6A"/>
    <w:rsid w:val="00166027"/>
    <w:rsid w:val="00166183"/>
    <w:rsid w:val="00166202"/>
    <w:rsid w:val="00166B24"/>
    <w:rsid w:val="00166B2E"/>
    <w:rsid w:val="00166B88"/>
    <w:rsid w:val="00166BA0"/>
    <w:rsid w:val="00167101"/>
    <w:rsid w:val="00167332"/>
    <w:rsid w:val="001673C1"/>
    <w:rsid w:val="001674A0"/>
    <w:rsid w:val="0016774A"/>
    <w:rsid w:val="001704C5"/>
    <w:rsid w:val="00170650"/>
    <w:rsid w:val="00170846"/>
    <w:rsid w:val="001708FF"/>
    <w:rsid w:val="00170C85"/>
    <w:rsid w:val="00171426"/>
    <w:rsid w:val="00171435"/>
    <w:rsid w:val="0017161B"/>
    <w:rsid w:val="001718A2"/>
    <w:rsid w:val="00171ADE"/>
    <w:rsid w:val="00171C5D"/>
    <w:rsid w:val="00171D4E"/>
    <w:rsid w:val="00171FD3"/>
    <w:rsid w:val="00171FFE"/>
    <w:rsid w:val="00172F48"/>
    <w:rsid w:val="0017339B"/>
    <w:rsid w:val="00173494"/>
    <w:rsid w:val="0017359D"/>
    <w:rsid w:val="00173852"/>
    <w:rsid w:val="001738B0"/>
    <w:rsid w:val="00174017"/>
    <w:rsid w:val="001742E6"/>
    <w:rsid w:val="001745A2"/>
    <w:rsid w:val="001747E4"/>
    <w:rsid w:val="001749F1"/>
    <w:rsid w:val="00175484"/>
    <w:rsid w:val="00175CB7"/>
    <w:rsid w:val="00175E6D"/>
    <w:rsid w:val="00176577"/>
    <w:rsid w:val="00176729"/>
    <w:rsid w:val="00176796"/>
    <w:rsid w:val="00180370"/>
    <w:rsid w:val="0018075B"/>
    <w:rsid w:val="00180814"/>
    <w:rsid w:val="00180B95"/>
    <w:rsid w:val="00180D14"/>
    <w:rsid w:val="00180D7E"/>
    <w:rsid w:val="00181183"/>
    <w:rsid w:val="00181269"/>
    <w:rsid w:val="00181D50"/>
    <w:rsid w:val="00181D8F"/>
    <w:rsid w:val="001820EE"/>
    <w:rsid w:val="001822C3"/>
    <w:rsid w:val="00182F6F"/>
    <w:rsid w:val="00182FB0"/>
    <w:rsid w:val="00183165"/>
    <w:rsid w:val="001831F7"/>
    <w:rsid w:val="0018391C"/>
    <w:rsid w:val="00183A43"/>
    <w:rsid w:val="00184115"/>
    <w:rsid w:val="001842A6"/>
    <w:rsid w:val="001843ED"/>
    <w:rsid w:val="001848AF"/>
    <w:rsid w:val="001854F3"/>
    <w:rsid w:val="001859C0"/>
    <w:rsid w:val="00185BFE"/>
    <w:rsid w:val="00185C3C"/>
    <w:rsid w:val="0018660A"/>
    <w:rsid w:val="00186889"/>
    <w:rsid w:val="00186917"/>
    <w:rsid w:val="00186A4C"/>
    <w:rsid w:val="00186BC0"/>
    <w:rsid w:val="00187502"/>
    <w:rsid w:val="001875DC"/>
    <w:rsid w:val="00187745"/>
    <w:rsid w:val="00187933"/>
    <w:rsid w:val="00187B9B"/>
    <w:rsid w:val="00191E99"/>
    <w:rsid w:val="0019266C"/>
    <w:rsid w:val="00192809"/>
    <w:rsid w:val="00192E62"/>
    <w:rsid w:val="00192FDC"/>
    <w:rsid w:val="0019328E"/>
    <w:rsid w:val="00193348"/>
    <w:rsid w:val="00193646"/>
    <w:rsid w:val="001939C6"/>
    <w:rsid w:val="00193B3B"/>
    <w:rsid w:val="00194112"/>
    <w:rsid w:val="001944FB"/>
    <w:rsid w:val="001946CE"/>
    <w:rsid w:val="001948D6"/>
    <w:rsid w:val="00194CF3"/>
    <w:rsid w:val="00194E29"/>
    <w:rsid w:val="00194E8D"/>
    <w:rsid w:val="00194FA9"/>
    <w:rsid w:val="0019556C"/>
    <w:rsid w:val="0019570F"/>
    <w:rsid w:val="00195B55"/>
    <w:rsid w:val="00195C8C"/>
    <w:rsid w:val="00195E82"/>
    <w:rsid w:val="0019614B"/>
    <w:rsid w:val="001961E3"/>
    <w:rsid w:val="00196552"/>
    <w:rsid w:val="001A0142"/>
    <w:rsid w:val="001A047F"/>
    <w:rsid w:val="001A095C"/>
    <w:rsid w:val="001A0B2B"/>
    <w:rsid w:val="001A1B6D"/>
    <w:rsid w:val="001A1FF2"/>
    <w:rsid w:val="001A33F4"/>
    <w:rsid w:val="001A3ECC"/>
    <w:rsid w:val="001A44A5"/>
    <w:rsid w:val="001A44E0"/>
    <w:rsid w:val="001A4A38"/>
    <w:rsid w:val="001A4BE5"/>
    <w:rsid w:val="001A4E74"/>
    <w:rsid w:val="001A550B"/>
    <w:rsid w:val="001A5A95"/>
    <w:rsid w:val="001A5EDF"/>
    <w:rsid w:val="001A5F5A"/>
    <w:rsid w:val="001A6067"/>
    <w:rsid w:val="001A62F4"/>
    <w:rsid w:val="001A667B"/>
    <w:rsid w:val="001A7A5B"/>
    <w:rsid w:val="001A7E5B"/>
    <w:rsid w:val="001A7F01"/>
    <w:rsid w:val="001B01C0"/>
    <w:rsid w:val="001B0A19"/>
    <w:rsid w:val="001B0E3B"/>
    <w:rsid w:val="001B139A"/>
    <w:rsid w:val="001B1892"/>
    <w:rsid w:val="001B1A19"/>
    <w:rsid w:val="001B1EFB"/>
    <w:rsid w:val="001B30D0"/>
    <w:rsid w:val="001B32A5"/>
    <w:rsid w:val="001B33F5"/>
    <w:rsid w:val="001B34CD"/>
    <w:rsid w:val="001B364D"/>
    <w:rsid w:val="001B3721"/>
    <w:rsid w:val="001B39B4"/>
    <w:rsid w:val="001B3B3E"/>
    <w:rsid w:val="001B41C8"/>
    <w:rsid w:val="001B4261"/>
    <w:rsid w:val="001B42C1"/>
    <w:rsid w:val="001B6D21"/>
    <w:rsid w:val="001B6D92"/>
    <w:rsid w:val="001B70FD"/>
    <w:rsid w:val="001B7513"/>
    <w:rsid w:val="001B792E"/>
    <w:rsid w:val="001B7A96"/>
    <w:rsid w:val="001B7E91"/>
    <w:rsid w:val="001C001B"/>
    <w:rsid w:val="001C06A7"/>
    <w:rsid w:val="001C1962"/>
    <w:rsid w:val="001C1DEE"/>
    <w:rsid w:val="001C1EAB"/>
    <w:rsid w:val="001C2089"/>
    <w:rsid w:val="001C20BF"/>
    <w:rsid w:val="001C21C1"/>
    <w:rsid w:val="001C232F"/>
    <w:rsid w:val="001C265A"/>
    <w:rsid w:val="001C2ABE"/>
    <w:rsid w:val="001C2C77"/>
    <w:rsid w:val="001C332E"/>
    <w:rsid w:val="001C36FA"/>
    <w:rsid w:val="001C3760"/>
    <w:rsid w:val="001C3785"/>
    <w:rsid w:val="001C3B11"/>
    <w:rsid w:val="001C3E5F"/>
    <w:rsid w:val="001C3EBF"/>
    <w:rsid w:val="001C3F74"/>
    <w:rsid w:val="001C404E"/>
    <w:rsid w:val="001C4371"/>
    <w:rsid w:val="001C4A29"/>
    <w:rsid w:val="001C595A"/>
    <w:rsid w:val="001C5CAD"/>
    <w:rsid w:val="001C5CB0"/>
    <w:rsid w:val="001C60E8"/>
    <w:rsid w:val="001C614E"/>
    <w:rsid w:val="001C6465"/>
    <w:rsid w:val="001C6863"/>
    <w:rsid w:val="001C68C3"/>
    <w:rsid w:val="001C6954"/>
    <w:rsid w:val="001C6FDB"/>
    <w:rsid w:val="001C75A2"/>
    <w:rsid w:val="001C7980"/>
    <w:rsid w:val="001C7AC4"/>
    <w:rsid w:val="001C7D11"/>
    <w:rsid w:val="001D03DE"/>
    <w:rsid w:val="001D0779"/>
    <w:rsid w:val="001D08A4"/>
    <w:rsid w:val="001D134E"/>
    <w:rsid w:val="001D15B1"/>
    <w:rsid w:val="001D16AF"/>
    <w:rsid w:val="001D29E9"/>
    <w:rsid w:val="001D2A09"/>
    <w:rsid w:val="001D3FBB"/>
    <w:rsid w:val="001D4296"/>
    <w:rsid w:val="001D48AE"/>
    <w:rsid w:val="001D4B4E"/>
    <w:rsid w:val="001D50B1"/>
    <w:rsid w:val="001D5112"/>
    <w:rsid w:val="001D552C"/>
    <w:rsid w:val="001D55BC"/>
    <w:rsid w:val="001D5DD5"/>
    <w:rsid w:val="001D63C2"/>
    <w:rsid w:val="001D64D0"/>
    <w:rsid w:val="001D6760"/>
    <w:rsid w:val="001D6948"/>
    <w:rsid w:val="001D6A73"/>
    <w:rsid w:val="001D6A76"/>
    <w:rsid w:val="001D70DD"/>
    <w:rsid w:val="001D7295"/>
    <w:rsid w:val="001D73BB"/>
    <w:rsid w:val="001D73DE"/>
    <w:rsid w:val="001D76A8"/>
    <w:rsid w:val="001D77B5"/>
    <w:rsid w:val="001D7FF4"/>
    <w:rsid w:val="001E0280"/>
    <w:rsid w:val="001E04EE"/>
    <w:rsid w:val="001E0FB9"/>
    <w:rsid w:val="001E17BC"/>
    <w:rsid w:val="001E1B28"/>
    <w:rsid w:val="001E2409"/>
    <w:rsid w:val="001E2AEC"/>
    <w:rsid w:val="001E33A3"/>
    <w:rsid w:val="001E34CA"/>
    <w:rsid w:val="001E3507"/>
    <w:rsid w:val="001E3DC2"/>
    <w:rsid w:val="001E422F"/>
    <w:rsid w:val="001E426D"/>
    <w:rsid w:val="001E44AF"/>
    <w:rsid w:val="001E4EE8"/>
    <w:rsid w:val="001E5138"/>
    <w:rsid w:val="001E5518"/>
    <w:rsid w:val="001E585A"/>
    <w:rsid w:val="001E5C54"/>
    <w:rsid w:val="001E633A"/>
    <w:rsid w:val="001E70D6"/>
    <w:rsid w:val="001E71BF"/>
    <w:rsid w:val="001F036F"/>
    <w:rsid w:val="001F0BAF"/>
    <w:rsid w:val="001F0CB5"/>
    <w:rsid w:val="001F0FE3"/>
    <w:rsid w:val="001F10A0"/>
    <w:rsid w:val="001F1137"/>
    <w:rsid w:val="001F2E36"/>
    <w:rsid w:val="001F31BD"/>
    <w:rsid w:val="001F392B"/>
    <w:rsid w:val="001F3B8B"/>
    <w:rsid w:val="001F3FF7"/>
    <w:rsid w:val="001F42E1"/>
    <w:rsid w:val="001F4500"/>
    <w:rsid w:val="001F494F"/>
    <w:rsid w:val="001F5092"/>
    <w:rsid w:val="001F50B7"/>
    <w:rsid w:val="001F5596"/>
    <w:rsid w:val="001F5759"/>
    <w:rsid w:val="001F5762"/>
    <w:rsid w:val="001F59A0"/>
    <w:rsid w:val="001F5A78"/>
    <w:rsid w:val="001F5BC5"/>
    <w:rsid w:val="001F5F1C"/>
    <w:rsid w:val="001F6423"/>
    <w:rsid w:val="001F65EA"/>
    <w:rsid w:val="001F6B6B"/>
    <w:rsid w:val="001F6D4A"/>
    <w:rsid w:val="001F6D5B"/>
    <w:rsid w:val="001F70C8"/>
    <w:rsid w:val="001F730A"/>
    <w:rsid w:val="001F78AD"/>
    <w:rsid w:val="001F7A07"/>
    <w:rsid w:val="001F7E71"/>
    <w:rsid w:val="002001A8"/>
    <w:rsid w:val="00200352"/>
    <w:rsid w:val="0020039D"/>
    <w:rsid w:val="002003FD"/>
    <w:rsid w:val="00200573"/>
    <w:rsid w:val="00200931"/>
    <w:rsid w:val="00201293"/>
    <w:rsid w:val="00201651"/>
    <w:rsid w:val="0020171B"/>
    <w:rsid w:val="00201A90"/>
    <w:rsid w:val="00201BCF"/>
    <w:rsid w:val="00201DE6"/>
    <w:rsid w:val="002022AE"/>
    <w:rsid w:val="002022B9"/>
    <w:rsid w:val="002025E4"/>
    <w:rsid w:val="00202C3F"/>
    <w:rsid w:val="00202F5E"/>
    <w:rsid w:val="00203115"/>
    <w:rsid w:val="00203163"/>
    <w:rsid w:val="0020361A"/>
    <w:rsid w:val="002037F1"/>
    <w:rsid w:val="00203967"/>
    <w:rsid w:val="00203BF7"/>
    <w:rsid w:val="00203EF2"/>
    <w:rsid w:val="00204152"/>
    <w:rsid w:val="00204E3D"/>
    <w:rsid w:val="00204FB3"/>
    <w:rsid w:val="00204FD1"/>
    <w:rsid w:val="00205840"/>
    <w:rsid w:val="00205BCE"/>
    <w:rsid w:val="00205EFD"/>
    <w:rsid w:val="002060E0"/>
    <w:rsid w:val="00206628"/>
    <w:rsid w:val="0020663B"/>
    <w:rsid w:val="002066C6"/>
    <w:rsid w:val="00206710"/>
    <w:rsid w:val="00206755"/>
    <w:rsid w:val="00206A00"/>
    <w:rsid w:val="00207989"/>
    <w:rsid w:val="00210631"/>
    <w:rsid w:val="00210654"/>
    <w:rsid w:val="0021093F"/>
    <w:rsid w:val="00210948"/>
    <w:rsid w:val="00210A29"/>
    <w:rsid w:val="00210C84"/>
    <w:rsid w:val="00210FD8"/>
    <w:rsid w:val="0021105F"/>
    <w:rsid w:val="002113BC"/>
    <w:rsid w:val="0021171A"/>
    <w:rsid w:val="00211DB2"/>
    <w:rsid w:val="002123A6"/>
    <w:rsid w:val="002123EA"/>
    <w:rsid w:val="0021260D"/>
    <w:rsid w:val="0021273F"/>
    <w:rsid w:val="00212A8E"/>
    <w:rsid w:val="00212AD0"/>
    <w:rsid w:val="00213067"/>
    <w:rsid w:val="002137B7"/>
    <w:rsid w:val="002139D6"/>
    <w:rsid w:val="00213A3B"/>
    <w:rsid w:val="00213DA3"/>
    <w:rsid w:val="00213E78"/>
    <w:rsid w:val="002141F1"/>
    <w:rsid w:val="002152D8"/>
    <w:rsid w:val="00215A86"/>
    <w:rsid w:val="00215CF9"/>
    <w:rsid w:val="00215EEA"/>
    <w:rsid w:val="00216012"/>
    <w:rsid w:val="00216894"/>
    <w:rsid w:val="00216BE4"/>
    <w:rsid w:val="00216C6E"/>
    <w:rsid w:val="00217679"/>
    <w:rsid w:val="00217CAC"/>
    <w:rsid w:val="00217CB4"/>
    <w:rsid w:val="00217F29"/>
    <w:rsid w:val="002200F2"/>
    <w:rsid w:val="0022094A"/>
    <w:rsid w:val="00220C85"/>
    <w:rsid w:val="0022128C"/>
    <w:rsid w:val="0022129B"/>
    <w:rsid w:val="002215A2"/>
    <w:rsid w:val="00221B4D"/>
    <w:rsid w:val="00222160"/>
    <w:rsid w:val="00222355"/>
    <w:rsid w:val="0022260D"/>
    <w:rsid w:val="002227D3"/>
    <w:rsid w:val="00222F0B"/>
    <w:rsid w:val="00222FA6"/>
    <w:rsid w:val="0022318E"/>
    <w:rsid w:val="002232A6"/>
    <w:rsid w:val="002234F5"/>
    <w:rsid w:val="00223610"/>
    <w:rsid w:val="002236A2"/>
    <w:rsid w:val="00223FE9"/>
    <w:rsid w:val="002240AB"/>
    <w:rsid w:val="002243E8"/>
    <w:rsid w:val="0022444D"/>
    <w:rsid w:val="00224C0B"/>
    <w:rsid w:val="00225D8F"/>
    <w:rsid w:val="002262FC"/>
    <w:rsid w:val="002265B4"/>
    <w:rsid w:val="00226AEF"/>
    <w:rsid w:val="00226B24"/>
    <w:rsid w:val="0022773E"/>
    <w:rsid w:val="0022785B"/>
    <w:rsid w:val="00227D54"/>
    <w:rsid w:val="00227D6B"/>
    <w:rsid w:val="00227EA0"/>
    <w:rsid w:val="00227EBF"/>
    <w:rsid w:val="00230B8A"/>
    <w:rsid w:val="00230D58"/>
    <w:rsid w:val="00230E4B"/>
    <w:rsid w:val="0023112C"/>
    <w:rsid w:val="002318AA"/>
    <w:rsid w:val="0023192E"/>
    <w:rsid w:val="0023199A"/>
    <w:rsid w:val="00231CBB"/>
    <w:rsid w:val="0023245E"/>
    <w:rsid w:val="0023256E"/>
    <w:rsid w:val="002325C2"/>
    <w:rsid w:val="00232E6C"/>
    <w:rsid w:val="00233571"/>
    <w:rsid w:val="002336B0"/>
    <w:rsid w:val="00233918"/>
    <w:rsid w:val="002339F5"/>
    <w:rsid w:val="00233D81"/>
    <w:rsid w:val="002340FA"/>
    <w:rsid w:val="00234461"/>
    <w:rsid w:val="00234A1C"/>
    <w:rsid w:val="00235315"/>
    <w:rsid w:val="0023571D"/>
    <w:rsid w:val="00236201"/>
    <w:rsid w:val="00236269"/>
    <w:rsid w:val="00236352"/>
    <w:rsid w:val="00236413"/>
    <w:rsid w:val="0023652F"/>
    <w:rsid w:val="002365FF"/>
    <w:rsid w:val="00236649"/>
    <w:rsid w:val="00237CA3"/>
    <w:rsid w:val="002403A8"/>
    <w:rsid w:val="00240490"/>
    <w:rsid w:val="002404D3"/>
    <w:rsid w:val="0024059B"/>
    <w:rsid w:val="002405F1"/>
    <w:rsid w:val="00240814"/>
    <w:rsid w:val="00240879"/>
    <w:rsid w:val="00241273"/>
    <w:rsid w:val="002413E0"/>
    <w:rsid w:val="002420AA"/>
    <w:rsid w:val="002422E1"/>
    <w:rsid w:val="00242EB1"/>
    <w:rsid w:val="00242F86"/>
    <w:rsid w:val="00243051"/>
    <w:rsid w:val="002431DF"/>
    <w:rsid w:val="002432C3"/>
    <w:rsid w:val="002434A7"/>
    <w:rsid w:val="0024354B"/>
    <w:rsid w:val="002435FF"/>
    <w:rsid w:val="00243C0B"/>
    <w:rsid w:val="00243D24"/>
    <w:rsid w:val="002449F1"/>
    <w:rsid w:val="00245463"/>
    <w:rsid w:val="00245705"/>
    <w:rsid w:val="00245BEE"/>
    <w:rsid w:val="0024659F"/>
    <w:rsid w:val="002465CC"/>
    <w:rsid w:val="0024691D"/>
    <w:rsid w:val="00247124"/>
    <w:rsid w:val="00247143"/>
    <w:rsid w:val="00247441"/>
    <w:rsid w:val="00247A42"/>
    <w:rsid w:val="00247BB4"/>
    <w:rsid w:val="00250030"/>
    <w:rsid w:val="00250039"/>
    <w:rsid w:val="0025004A"/>
    <w:rsid w:val="002503C2"/>
    <w:rsid w:val="002503C5"/>
    <w:rsid w:val="00250828"/>
    <w:rsid w:val="00250836"/>
    <w:rsid w:val="002508BC"/>
    <w:rsid w:val="00250D57"/>
    <w:rsid w:val="00250D9F"/>
    <w:rsid w:val="002511B4"/>
    <w:rsid w:val="002516FB"/>
    <w:rsid w:val="002521A6"/>
    <w:rsid w:val="002526D9"/>
    <w:rsid w:val="002527D1"/>
    <w:rsid w:val="002528F7"/>
    <w:rsid w:val="00252903"/>
    <w:rsid w:val="0025295B"/>
    <w:rsid w:val="00252DF5"/>
    <w:rsid w:val="00253170"/>
    <w:rsid w:val="002532BF"/>
    <w:rsid w:val="00253717"/>
    <w:rsid w:val="00253AE5"/>
    <w:rsid w:val="00253CDA"/>
    <w:rsid w:val="00254124"/>
    <w:rsid w:val="002542AF"/>
    <w:rsid w:val="0025449A"/>
    <w:rsid w:val="002546F6"/>
    <w:rsid w:val="002547F7"/>
    <w:rsid w:val="0025483E"/>
    <w:rsid w:val="00254890"/>
    <w:rsid w:val="00254AE0"/>
    <w:rsid w:val="002557B7"/>
    <w:rsid w:val="00255ADB"/>
    <w:rsid w:val="00255F17"/>
    <w:rsid w:val="00255FA7"/>
    <w:rsid w:val="00256788"/>
    <w:rsid w:val="00256799"/>
    <w:rsid w:val="00256B7C"/>
    <w:rsid w:val="00256F90"/>
    <w:rsid w:val="00257881"/>
    <w:rsid w:val="0025788D"/>
    <w:rsid w:val="00257B2A"/>
    <w:rsid w:val="00257D54"/>
    <w:rsid w:val="00260267"/>
    <w:rsid w:val="00260422"/>
    <w:rsid w:val="0026082F"/>
    <w:rsid w:val="00260B1D"/>
    <w:rsid w:val="00260EB2"/>
    <w:rsid w:val="0026136A"/>
    <w:rsid w:val="002618A5"/>
    <w:rsid w:val="00261AC3"/>
    <w:rsid w:val="00261E21"/>
    <w:rsid w:val="00262465"/>
    <w:rsid w:val="00262619"/>
    <w:rsid w:val="002627EA"/>
    <w:rsid w:val="00262804"/>
    <w:rsid w:val="00262819"/>
    <w:rsid w:val="00262B22"/>
    <w:rsid w:val="00263732"/>
    <w:rsid w:val="0026373B"/>
    <w:rsid w:val="00263932"/>
    <w:rsid w:val="00263D79"/>
    <w:rsid w:val="00263E57"/>
    <w:rsid w:val="0026439C"/>
    <w:rsid w:val="00265EA2"/>
    <w:rsid w:val="002663ED"/>
    <w:rsid w:val="00266465"/>
    <w:rsid w:val="002664F7"/>
    <w:rsid w:val="002666E0"/>
    <w:rsid w:val="00267211"/>
    <w:rsid w:val="00267745"/>
    <w:rsid w:val="00267D14"/>
    <w:rsid w:val="00267FE1"/>
    <w:rsid w:val="002702CB"/>
    <w:rsid w:val="00270576"/>
    <w:rsid w:val="002710E3"/>
    <w:rsid w:val="00271CF4"/>
    <w:rsid w:val="00271FF9"/>
    <w:rsid w:val="002724C5"/>
    <w:rsid w:val="002725A1"/>
    <w:rsid w:val="002725CC"/>
    <w:rsid w:val="00272A5D"/>
    <w:rsid w:val="002731A0"/>
    <w:rsid w:val="002732BE"/>
    <w:rsid w:val="002735C9"/>
    <w:rsid w:val="00273AA8"/>
    <w:rsid w:val="00273C8F"/>
    <w:rsid w:val="00273CC8"/>
    <w:rsid w:val="00273ECA"/>
    <w:rsid w:val="002740AE"/>
    <w:rsid w:val="002740D7"/>
    <w:rsid w:val="0027411B"/>
    <w:rsid w:val="002744EF"/>
    <w:rsid w:val="0027491D"/>
    <w:rsid w:val="00274F43"/>
    <w:rsid w:val="00275197"/>
    <w:rsid w:val="00275783"/>
    <w:rsid w:val="00275818"/>
    <w:rsid w:val="00275BA6"/>
    <w:rsid w:val="002762E7"/>
    <w:rsid w:val="0027740E"/>
    <w:rsid w:val="0027749E"/>
    <w:rsid w:val="00277508"/>
    <w:rsid w:val="0027784D"/>
    <w:rsid w:val="00280346"/>
    <w:rsid w:val="00280380"/>
    <w:rsid w:val="00280803"/>
    <w:rsid w:val="00280BEA"/>
    <w:rsid w:val="00280EFD"/>
    <w:rsid w:val="00281157"/>
    <w:rsid w:val="002819CC"/>
    <w:rsid w:val="00281E08"/>
    <w:rsid w:val="0028234C"/>
    <w:rsid w:val="00282CB2"/>
    <w:rsid w:val="00282D55"/>
    <w:rsid w:val="00283322"/>
    <w:rsid w:val="00283E1D"/>
    <w:rsid w:val="0028405F"/>
    <w:rsid w:val="00284BA1"/>
    <w:rsid w:val="00284C4A"/>
    <w:rsid w:val="00284F37"/>
    <w:rsid w:val="002851C2"/>
    <w:rsid w:val="00285BEA"/>
    <w:rsid w:val="00285EDE"/>
    <w:rsid w:val="00285EEB"/>
    <w:rsid w:val="0028612F"/>
    <w:rsid w:val="002868E0"/>
    <w:rsid w:val="002869B3"/>
    <w:rsid w:val="00286A80"/>
    <w:rsid w:val="00287386"/>
    <w:rsid w:val="00287464"/>
    <w:rsid w:val="002878AA"/>
    <w:rsid w:val="00287DE0"/>
    <w:rsid w:val="002909CF"/>
    <w:rsid w:val="00290C7E"/>
    <w:rsid w:val="002910F8"/>
    <w:rsid w:val="002916DD"/>
    <w:rsid w:val="00291754"/>
    <w:rsid w:val="00291971"/>
    <w:rsid w:val="00291AC3"/>
    <w:rsid w:val="00291F3D"/>
    <w:rsid w:val="0029228D"/>
    <w:rsid w:val="00292596"/>
    <w:rsid w:val="00292A1C"/>
    <w:rsid w:val="00292DB7"/>
    <w:rsid w:val="00292DCD"/>
    <w:rsid w:val="00292F86"/>
    <w:rsid w:val="00293136"/>
    <w:rsid w:val="002932D2"/>
    <w:rsid w:val="0029346C"/>
    <w:rsid w:val="0029360D"/>
    <w:rsid w:val="0029382D"/>
    <w:rsid w:val="00293D31"/>
    <w:rsid w:val="00293F95"/>
    <w:rsid w:val="0029412A"/>
    <w:rsid w:val="002943B6"/>
    <w:rsid w:val="00294B89"/>
    <w:rsid w:val="00295266"/>
    <w:rsid w:val="00295360"/>
    <w:rsid w:val="0029547B"/>
    <w:rsid w:val="00295A08"/>
    <w:rsid w:val="0029686D"/>
    <w:rsid w:val="00296A1F"/>
    <w:rsid w:val="00296CEC"/>
    <w:rsid w:val="00297619"/>
    <w:rsid w:val="00297ACA"/>
    <w:rsid w:val="00297F49"/>
    <w:rsid w:val="002A000C"/>
    <w:rsid w:val="002A009C"/>
    <w:rsid w:val="002A0718"/>
    <w:rsid w:val="002A088E"/>
    <w:rsid w:val="002A0A03"/>
    <w:rsid w:val="002A0DC7"/>
    <w:rsid w:val="002A1121"/>
    <w:rsid w:val="002A1181"/>
    <w:rsid w:val="002A1326"/>
    <w:rsid w:val="002A15AB"/>
    <w:rsid w:val="002A18B7"/>
    <w:rsid w:val="002A20F0"/>
    <w:rsid w:val="002A22E9"/>
    <w:rsid w:val="002A24D6"/>
    <w:rsid w:val="002A25F2"/>
    <w:rsid w:val="002A35D1"/>
    <w:rsid w:val="002A37ED"/>
    <w:rsid w:val="002A3B9C"/>
    <w:rsid w:val="002A4053"/>
    <w:rsid w:val="002A41A6"/>
    <w:rsid w:val="002A4265"/>
    <w:rsid w:val="002A4273"/>
    <w:rsid w:val="002A50E1"/>
    <w:rsid w:val="002A59DC"/>
    <w:rsid w:val="002A5C96"/>
    <w:rsid w:val="002A600F"/>
    <w:rsid w:val="002A6031"/>
    <w:rsid w:val="002A618B"/>
    <w:rsid w:val="002A673C"/>
    <w:rsid w:val="002A685C"/>
    <w:rsid w:val="002A6CCA"/>
    <w:rsid w:val="002A6FE1"/>
    <w:rsid w:val="002A7223"/>
    <w:rsid w:val="002A75D1"/>
    <w:rsid w:val="002A7952"/>
    <w:rsid w:val="002A79E4"/>
    <w:rsid w:val="002B0185"/>
    <w:rsid w:val="002B01CA"/>
    <w:rsid w:val="002B0561"/>
    <w:rsid w:val="002B17D2"/>
    <w:rsid w:val="002B1CA7"/>
    <w:rsid w:val="002B2412"/>
    <w:rsid w:val="002B27AF"/>
    <w:rsid w:val="002B2A63"/>
    <w:rsid w:val="002B31E1"/>
    <w:rsid w:val="002B323D"/>
    <w:rsid w:val="002B3492"/>
    <w:rsid w:val="002B37C5"/>
    <w:rsid w:val="002B3D5C"/>
    <w:rsid w:val="002B4965"/>
    <w:rsid w:val="002B4B42"/>
    <w:rsid w:val="002B4D57"/>
    <w:rsid w:val="002B5640"/>
    <w:rsid w:val="002B5A42"/>
    <w:rsid w:val="002B5A9E"/>
    <w:rsid w:val="002B5AE7"/>
    <w:rsid w:val="002B6178"/>
    <w:rsid w:val="002B6206"/>
    <w:rsid w:val="002B63AF"/>
    <w:rsid w:val="002B685D"/>
    <w:rsid w:val="002B691D"/>
    <w:rsid w:val="002B6B95"/>
    <w:rsid w:val="002B7A1B"/>
    <w:rsid w:val="002B7E01"/>
    <w:rsid w:val="002B7EF1"/>
    <w:rsid w:val="002C03B6"/>
    <w:rsid w:val="002C05B2"/>
    <w:rsid w:val="002C0650"/>
    <w:rsid w:val="002C06B5"/>
    <w:rsid w:val="002C0C85"/>
    <w:rsid w:val="002C0CFA"/>
    <w:rsid w:val="002C0EE0"/>
    <w:rsid w:val="002C1243"/>
    <w:rsid w:val="002C1381"/>
    <w:rsid w:val="002C1519"/>
    <w:rsid w:val="002C1664"/>
    <w:rsid w:val="002C1B65"/>
    <w:rsid w:val="002C1D6D"/>
    <w:rsid w:val="002C1DDB"/>
    <w:rsid w:val="002C1E29"/>
    <w:rsid w:val="002C1F33"/>
    <w:rsid w:val="002C1F7C"/>
    <w:rsid w:val="002C22F5"/>
    <w:rsid w:val="002C2730"/>
    <w:rsid w:val="002C2CF9"/>
    <w:rsid w:val="002C2D1C"/>
    <w:rsid w:val="002C2D30"/>
    <w:rsid w:val="002C32E1"/>
    <w:rsid w:val="002C3639"/>
    <w:rsid w:val="002C37B2"/>
    <w:rsid w:val="002C40A1"/>
    <w:rsid w:val="002C42D1"/>
    <w:rsid w:val="002C448F"/>
    <w:rsid w:val="002C459D"/>
    <w:rsid w:val="002C4F7D"/>
    <w:rsid w:val="002C5493"/>
    <w:rsid w:val="002C5556"/>
    <w:rsid w:val="002C6293"/>
    <w:rsid w:val="002C74EA"/>
    <w:rsid w:val="002C7958"/>
    <w:rsid w:val="002C7E84"/>
    <w:rsid w:val="002C7ED7"/>
    <w:rsid w:val="002D0075"/>
    <w:rsid w:val="002D0246"/>
    <w:rsid w:val="002D05C6"/>
    <w:rsid w:val="002D0D26"/>
    <w:rsid w:val="002D0DBD"/>
    <w:rsid w:val="002D237F"/>
    <w:rsid w:val="002D24FE"/>
    <w:rsid w:val="002D2E35"/>
    <w:rsid w:val="002D306A"/>
    <w:rsid w:val="002D34DF"/>
    <w:rsid w:val="002D3815"/>
    <w:rsid w:val="002D3D5D"/>
    <w:rsid w:val="002D436D"/>
    <w:rsid w:val="002D4A60"/>
    <w:rsid w:val="002D4AF8"/>
    <w:rsid w:val="002D4B47"/>
    <w:rsid w:val="002D4F8B"/>
    <w:rsid w:val="002D516C"/>
    <w:rsid w:val="002D58FC"/>
    <w:rsid w:val="002D59C3"/>
    <w:rsid w:val="002D5AE6"/>
    <w:rsid w:val="002D6020"/>
    <w:rsid w:val="002D6195"/>
    <w:rsid w:val="002D61EB"/>
    <w:rsid w:val="002D68A1"/>
    <w:rsid w:val="002D71C8"/>
    <w:rsid w:val="002D75AA"/>
    <w:rsid w:val="002D7B6F"/>
    <w:rsid w:val="002D7BAE"/>
    <w:rsid w:val="002E0489"/>
    <w:rsid w:val="002E0A87"/>
    <w:rsid w:val="002E0B4F"/>
    <w:rsid w:val="002E0C55"/>
    <w:rsid w:val="002E0E36"/>
    <w:rsid w:val="002E0FB4"/>
    <w:rsid w:val="002E132C"/>
    <w:rsid w:val="002E15DD"/>
    <w:rsid w:val="002E16CB"/>
    <w:rsid w:val="002E1A39"/>
    <w:rsid w:val="002E1C1D"/>
    <w:rsid w:val="002E21C9"/>
    <w:rsid w:val="002E259F"/>
    <w:rsid w:val="002E2720"/>
    <w:rsid w:val="002E29F6"/>
    <w:rsid w:val="002E36C7"/>
    <w:rsid w:val="002E3DFA"/>
    <w:rsid w:val="002E49B5"/>
    <w:rsid w:val="002E5882"/>
    <w:rsid w:val="002E5C1B"/>
    <w:rsid w:val="002E5F3D"/>
    <w:rsid w:val="002E5F8D"/>
    <w:rsid w:val="002E61F7"/>
    <w:rsid w:val="002E6223"/>
    <w:rsid w:val="002E6AA4"/>
    <w:rsid w:val="002E7528"/>
    <w:rsid w:val="002E758E"/>
    <w:rsid w:val="002E76BF"/>
    <w:rsid w:val="002E7CA5"/>
    <w:rsid w:val="002E7D5F"/>
    <w:rsid w:val="002F018B"/>
    <w:rsid w:val="002F02E1"/>
    <w:rsid w:val="002F07C8"/>
    <w:rsid w:val="002F0D08"/>
    <w:rsid w:val="002F1788"/>
    <w:rsid w:val="002F184F"/>
    <w:rsid w:val="002F2021"/>
    <w:rsid w:val="002F2283"/>
    <w:rsid w:val="002F23D4"/>
    <w:rsid w:val="002F28AB"/>
    <w:rsid w:val="002F2B47"/>
    <w:rsid w:val="002F2EF5"/>
    <w:rsid w:val="002F3196"/>
    <w:rsid w:val="002F38AE"/>
    <w:rsid w:val="002F38BF"/>
    <w:rsid w:val="002F38D7"/>
    <w:rsid w:val="002F4245"/>
    <w:rsid w:val="002F42B5"/>
    <w:rsid w:val="002F4E3E"/>
    <w:rsid w:val="002F4ED6"/>
    <w:rsid w:val="002F52DC"/>
    <w:rsid w:val="002F5474"/>
    <w:rsid w:val="002F5959"/>
    <w:rsid w:val="002F63C2"/>
    <w:rsid w:val="002F673A"/>
    <w:rsid w:val="002F6BA7"/>
    <w:rsid w:val="002F6C99"/>
    <w:rsid w:val="002F7224"/>
    <w:rsid w:val="002F769E"/>
    <w:rsid w:val="002F78C6"/>
    <w:rsid w:val="002F7CB4"/>
    <w:rsid w:val="0030039A"/>
    <w:rsid w:val="003009E1"/>
    <w:rsid w:val="00301200"/>
    <w:rsid w:val="003016CD"/>
    <w:rsid w:val="00301855"/>
    <w:rsid w:val="0030214A"/>
    <w:rsid w:val="00302341"/>
    <w:rsid w:val="003027D5"/>
    <w:rsid w:val="0030286E"/>
    <w:rsid w:val="00302B76"/>
    <w:rsid w:val="00303211"/>
    <w:rsid w:val="003034BE"/>
    <w:rsid w:val="003038EB"/>
    <w:rsid w:val="00303AC0"/>
    <w:rsid w:val="00303DF5"/>
    <w:rsid w:val="00303F18"/>
    <w:rsid w:val="00304074"/>
    <w:rsid w:val="003040F0"/>
    <w:rsid w:val="003046EE"/>
    <w:rsid w:val="00304825"/>
    <w:rsid w:val="00305175"/>
    <w:rsid w:val="00305714"/>
    <w:rsid w:val="00306A0C"/>
    <w:rsid w:val="00306EB3"/>
    <w:rsid w:val="00306EC5"/>
    <w:rsid w:val="00307667"/>
    <w:rsid w:val="0030785D"/>
    <w:rsid w:val="0030792A"/>
    <w:rsid w:val="00307B5E"/>
    <w:rsid w:val="00307C87"/>
    <w:rsid w:val="003107FC"/>
    <w:rsid w:val="0031080A"/>
    <w:rsid w:val="00310ADB"/>
    <w:rsid w:val="00310B1E"/>
    <w:rsid w:val="00310BFD"/>
    <w:rsid w:val="00311072"/>
    <w:rsid w:val="00311238"/>
    <w:rsid w:val="003119E0"/>
    <w:rsid w:val="00312169"/>
    <w:rsid w:val="003125B2"/>
    <w:rsid w:val="003127FB"/>
    <w:rsid w:val="00312AA7"/>
    <w:rsid w:val="00313A8E"/>
    <w:rsid w:val="00313AE2"/>
    <w:rsid w:val="00313BAE"/>
    <w:rsid w:val="00313BBD"/>
    <w:rsid w:val="00313C07"/>
    <w:rsid w:val="00313C60"/>
    <w:rsid w:val="00313EC2"/>
    <w:rsid w:val="00313EFA"/>
    <w:rsid w:val="00313FC1"/>
    <w:rsid w:val="00314418"/>
    <w:rsid w:val="0031481D"/>
    <w:rsid w:val="00315345"/>
    <w:rsid w:val="0031570A"/>
    <w:rsid w:val="00315E08"/>
    <w:rsid w:val="00315FF2"/>
    <w:rsid w:val="00317001"/>
    <w:rsid w:val="003179C3"/>
    <w:rsid w:val="00317DF4"/>
    <w:rsid w:val="0032025C"/>
    <w:rsid w:val="00320406"/>
    <w:rsid w:val="00320558"/>
    <w:rsid w:val="0032071F"/>
    <w:rsid w:val="00320AF9"/>
    <w:rsid w:val="00321756"/>
    <w:rsid w:val="003218FE"/>
    <w:rsid w:val="00321BD4"/>
    <w:rsid w:val="00321EB6"/>
    <w:rsid w:val="003221EA"/>
    <w:rsid w:val="00322245"/>
    <w:rsid w:val="00322555"/>
    <w:rsid w:val="00322587"/>
    <w:rsid w:val="00322BA3"/>
    <w:rsid w:val="00322C39"/>
    <w:rsid w:val="00322F15"/>
    <w:rsid w:val="003231D4"/>
    <w:rsid w:val="003239B5"/>
    <w:rsid w:val="00323FFE"/>
    <w:rsid w:val="00324017"/>
    <w:rsid w:val="003240DE"/>
    <w:rsid w:val="0032449B"/>
    <w:rsid w:val="0032493C"/>
    <w:rsid w:val="003253A8"/>
    <w:rsid w:val="003254B0"/>
    <w:rsid w:val="003257FA"/>
    <w:rsid w:val="00325B93"/>
    <w:rsid w:val="0032633A"/>
    <w:rsid w:val="0032647B"/>
    <w:rsid w:val="0032654E"/>
    <w:rsid w:val="0032726A"/>
    <w:rsid w:val="0033028B"/>
    <w:rsid w:val="00330900"/>
    <w:rsid w:val="00330CC0"/>
    <w:rsid w:val="00331207"/>
    <w:rsid w:val="003315BB"/>
    <w:rsid w:val="00331A70"/>
    <w:rsid w:val="00332217"/>
    <w:rsid w:val="003323CF"/>
    <w:rsid w:val="00332652"/>
    <w:rsid w:val="003328A1"/>
    <w:rsid w:val="00332B2D"/>
    <w:rsid w:val="00333188"/>
    <w:rsid w:val="00333242"/>
    <w:rsid w:val="003333A5"/>
    <w:rsid w:val="00334478"/>
    <w:rsid w:val="003345A6"/>
    <w:rsid w:val="003346B3"/>
    <w:rsid w:val="00334929"/>
    <w:rsid w:val="00334DE4"/>
    <w:rsid w:val="0033544E"/>
    <w:rsid w:val="00335615"/>
    <w:rsid w:val="00335EAC"/>
    <w:rsid w:val="003362C2"/>
    <w:rsid w:val="00336360"/>
    <w:rsid w:val="00336AD8"/>
    <w:rsid w:val="00336CFF"/>
    <w:rsid w:val="0033760E"/>
    <w:rsid w:val="0033790B"/>
    <w:rsid w:val="00337B59"/>
    <w:rsid w:val="00340450"/>
    <w:rsid w:val="003406D5"/>
    <w:rsid w:val="00340762"/>
    <w:rsid w:val="0034081D"/>
    <w:rsid w:val="003408A0"/>
    <w:rsid w:val="003410FC"/>
    <w:rsid w:val="00341200"/>
    <w:rsid w:val="0034197F"/>
    <w:rsid w:val="003421F3"/>
    <w:rsid w:val="003428BB"/>
    <w:rsid w:val="00342993"/>
    <w:rsid w:val="00342B48"/>
    <w:rsid w:val="00342C87"/>
    <w:rsid w:val="00342CA6"/>
    <w:rsid w:val="00342ED4"/>
    <w:rsid w:val="00342F4B"/>
    <w:rsid w:val="00343105"/>
    <w:rsid w:val="00343342"/>
    <w:rsid w:val="003433D8"/>
    <w:rsid w:val="00343582"/>
    <w:rsid w:val="0034421D"/>
    <w:rsid w:val="00344DD5"/>
    <w:rsid w:val="00345913"/>
    <w:rsid w:val="00345938"/>
    <w:rsid w:val="00346128"/>
    <w:rsid w:val="00346565"/>
    <w:rsid w:val="00346B13"/>
    <w:rsid w:val="00346C70"/>
    <w:rsid w:val="003472F6"/>
    <w:rsid w:val="00347358"/>
    <w:rsid w:val="00347575"/>
    <w:rsid w:val="00347B11"/>
    <w:rsid w:val="00347D81"/>
    <w:rsid w:val="00350B1F"/>
    <w:rsid w:val="00350C24"/>
    <w:rsid w:val="00350D6C"/>
    <w:rsid w:val="00350F73"/>
    <w:rsid w:val="00351819"/>
    <w:rsid w:val="0035184F"/>
    <w:rsid w:val="00351AC3"/>
    <w:rsid w:val="00351B1C"/>
    <w:rsid w:val="00351BCC"/>
    <w:rsid w:val="00351E63"/>
    <w:rsid w:val="00351F0E"/>
    <w:rsid w:val="00352097"/>
    <w:rsid w:val="00352972"/>
    <w:rsid w:val="0035298E"/>
    <w:rsid w:val="00352A5B"/>
    <w:rsid w:val="00352BC9"/>
    <w:rsid w:val="003536F6"/>
    <w:rsid w:val="00353BEA"/>
    <w:rsid w:val="00353DCA"/>
    <w:rsid w:val="00354232"/>
    <w:rsid w:val="00354448"/>
    <w:rsid w:val="003548FA"/>
    <w:rsid w:val="0035496A"/>
    <w:rsid w:val="0035496B"/>
    <w:rsid w:val="00354AE3"/>
    <w:rsid w:val="0035502E"/>
    <w:rsid w:val="003550DF"/>
    <w:rsid w:val="003551F4"/>
    <w:rsid w:val="00355348"/>
    <w:rsid w:val="00356557"/>
    <w:rsid w:val="00356802"/>
    <w:rsid w:val="00356DDB"/>
    <w:rsid w:val="00356F8B"/>
    <w:rsid w:val="00357241"/>
    <w:rsid w:val="003572B4"/>
    <w:rsid w:val="003575B0"/>
    <w:rsid w:val="0035766F"/>
    <w:rsid w:val="003577D3"/>
    <w:rsid w:val="00357A00"/>
    <w:rsid w:val="00357D15"/>
    <w:rsid w:val="003602EE"/>
    <w:rsid w:val="00360456"/>
    <w:rsid w:val="003605B4"/>
    <w:rsid w:val="00360877"/>
    <w:rsid w:val="00360987"/>
    <w:rsid w:val="00360CEB"/>
    <w:rsid w:val="00361A15"/>
    <w:rsid w:val="00361D4E"/>
    <w:rsid w:val="00361F62"/>
    <w:rsid w:val="00362727"/>
    <w:rsid w:val="00362850"/>
    <w:rsid w:val="00362B01"/>
    <w:rsid w:val="00362CF8"/>
    <w:rsid w:val="00363606"/>
    <w:rsid w:val="00363A60"/>
    <w:rsid w:val="00363BDC"/>
    <w:rsid w:val="0036444A"/>
    <w:rsid w:val="00364C88"/>
    <w:rsid w:val="00365405"/>
    <w:rsid w:val="00365426"/>
    <w:rsid w:val="00365978"/>
    <w:rsid w:val="00365A32"/>
    <w:rsid w:val="00366B85"/>
    <w:rsid w:val="0036712A"/>
    <w:rsid w:val="0036715B"/>
    <w:rsid w:val="003673B1"/>
    <w:rsid w:val="003673D5"/>
    <w:rsid w:val="003674D8"/>
    <w:rsid w:val="00367C2D"/>
    <w:rsid w:val="003705D1"/>
    <w:rsid w:val="00370B75"/>
    <w:rsid w:val="00370F00"/>
    <w:rsid w:val="0037124B"/>
    <w:rsid w:val="0037132A"/>
    <w:rsid w:val="003719F6"/>
    <w:rsid w:val="00371A19"/>
    <w:rsid w:val="00371A1C"/>
    <w:rsid w:val="003723EC"/>
    <w:rsid w:val="0037274E"/>
    <w:rsid w:val="00372848"/>
    <w:rsid w:val="00373049"/>
    <w:rsid w:val="0037336B"/>
    <w:rsid w:val="0037340D"/>
    <w:rsid w:val="00373891"/>
    <w:rsid w:val="00374153"/>
    <w:rsid w:val="0037486A"/>
    <w:rsid w:val="003749B6"/>
    <w:rsid w:val="0037507A"/>
    <w:rsid w:val="00375547"/>
    <w:rsid w:val="00375C3A"/>
    <w:rsid w:val="00375D8E"/>
    <w:rsid w:val="00375FF9"/>
    <w:rsid w:val="00376CAD"/>
    <w:rsid w:val="00376D42"/>
    <w:rsid w:val="0037706D"/>
    <w:rsid w:val="003773BC"/>
    <w:rsid w:val="00377F34"/>
    <w:rsid w:val="00380128"/>
    <w:rsid w:val="00380E14"/>
    <w:rsid w:val="003810A9"/>
    <w:rsid w:val="003816AB"/>
    <w:rsid w:val="00381788"/>
    <w:rsid w:val="003818CB"/>
    <w:rsid w:val="00381AC0"/>
    <w:rsid w:val="00381DEC"/>
    <w:rsid w:val="00381F9D"/>
    <w:rsid w:val="00382169"/>
    <w:rsid w:val="003821FE"/>
    <w:rsid w:val="0038263F"/>
    <w:rsid w:val="00382713"/>
    <w:rsid w:val="00382911"/>
    <w:rsid w:val="00382A74"/>
    <w:rsid w:val="00382B5F"/>
    <w:rsid w:val="00383275"/>
    <w:rsid w:val="003832C6"/>
    <w:rsid w:val="003834FC"/>
    <w:rsid w:val="00383EE9"/>
    <w:rsid w:val="00384F76"/>
    <w:rsid w:val="00385024"/>
    <w:rsid w:val="0038503E"/>
    <w:rsid w:val="003850D0"/>
    <w:rsid w:val="00385251"/>
    <w:rsid w:val="00385B1E"/>
    <w:rsid w:val="00385D42"/>
    <w:rsid w:val="00385D53"/>
    <w:rsid w:val="00385E0E"/>
    <w:rsid w:val="00385E4B"/>
    <w:rsid w:val="003864D2"/>
    <w:rsid w:val="00386BFD"/>
    <w:rsid w:val="00386D54"/>
    <w:rsid w:val="00386EE0"/>
    <w:rsid w:val="003870A1"/>
    <w:rsid w:val="00387141"/>
    <w:rsid w:val="0038762F"/>
    <w:rsid w:val="003878A4"/>
    <w:rsid w:val="0038791E"/>
    <w:rsid w:val="00387981"/>
    <w:rsid w:val="00387DE0"/>
    <w:rsid w:val="00387EFA"/>
    <w:rsid w:val="003909AE"/>
    <w:rsid w:val="00390A4C"/>
    <w:rsid w:val="00390BB8"/>
    <w:rsid w:val="0039105E"/>
    <w:rsid w:val="003916F1"/>
    <w:rsid w:val="003917A4"/>
    <w:rsid w:val="003919D6"/>
    <w:rsid w:val="00391D02"/>
    <w:rsid w:val="00392A5C"/>
    <w:rsid w:val="00392BCC"/>
    <w:rsid w:val="003939AF"/>
    <w:rsid w:val="00394571"/>
    <w:rsid w:val="00394597"/>
    <w:rsid w:val="00394C87"/>
    <w:rsid w:val="00394DAB"/>
    <w:rsid w:val="00395133"/>
    <w:rsid w:val="00395C27"/>
    <w:rsid w:val="00395E1D"/>
    <w:rsid w:val="00396023"/>
    <w:rsid w:val="003964F3"/>
    <w:rsid w:val="003968AE"/>
    <w:rsid w:val="00396EAF"/>
    <w:rsid w:val="00396F27"/>
    <w:rsid w:val="00396FCE"/>
    <w:rsid w:val="0039749B"/>
    <w:rsid w:val="00397A90"/>
    <w:rsid w:val="003A00F7"/>
    <w:rsid w:val="003A031B"/>
    <w:rsid w:val="003A0662"/>
    <w:rsid w:val="003A0BAE"/>
    <w:rsid w:val="003A0EBF"/>
    <w:rsid w:val="003A1DE7"/>
    <w:rsid w:val="003A2644"/>
    <w:rsid w:val="003A26E3"/>
    <w:rsid w:val="003A2998"/>
    <w:rsid w:val="003A3099"/>
    <w:rsid w:val="003A33CA"/>
    <w:rsid w:val="003A34A0"/>
    <w:rsid w:val="003A3FC7"/>
    <w:rsid w:val="003A3FD5"/>
    <w:rsid w:val="003A42F3"/>
    <w:rsid w:val="003A4847"/>
    <w:rsid w:val="003A4957"/>
    <w:rsid w:val="003A4B3A"/>
    <w:rsid w:val="003A4EA6"/>
    <w:rsid w:val="003A6B2C"/>
    <w:rsid w:val="003A70CD"/>
    <w:rsid w:val="003A70D5"/>
    <w:rsid w:val="003A71B4"/>
    <w:rsid w:val="003A7292"/>
    <w:rsid w:val="003A7393"/>
    <w:rsid w:val="003A7407"/>
    <w:rsid w:val="003A7819"/>
    <w:rsid w:val="003A7F3C"/>
    <w:rsid w:val="003B01FF"/>
    <w:rsid w:val="003B0533"/>
    <w:rsid w:val="003B0A22"/>
    <w:rsid w:val="003B0DD4"/>
    <w:rsid w:val="003B1185"/>
    <w:rsid w:val="003B1903"/>
    <w:rsid w:val="003B1CD9"/>
    <w:rsid w:val="003B2CE9"/>
    <w:rsid w:val="003B2D1E"/>
    <w:rsid w:val="003B30B9"/>
    <w:rsid w:val="003B32C6"/>
    <w:rsid w:val="003B35DD"/>
    <w:rsid w:val="003B3713"/>
    <w:rsid w:val="003B38CA"/>
    <w:rsid w:val="003B3B33"/>
    <w:rsid w:val="003B3CB3"/>
    <w:rsid w:val="003B3E76"/>
    <w:rsid w:val="003B43E7"/>
    <w:rsid w:val="003B43F1"/>
    <w:rsid w:val="003B56EC"/>
    <w:rsid w:val="003B5726"/>
    <w:rsid w:val="003B5C3E"/>
    <w:rsid w:val="003B60C7"/>
    <w:rsid w:val="003B639F"/>
    <w:rsid w:val="003B6970"/>
    <w:rsid w:val="003B7171"/>
    <w:rsid w:val="003B7318"/>
    <w:rsid w:val="003B7404"/>
    <w:rsid w:val="003B7419"/>
    <w:rsid w:val="003B751B"/>
    <w:rsid w:val="003B7912"/>
    <w:rsid w:val="003B7A6D"/>
    <w:rsid w:val="003B7AB7"/>
    <w:rsid w:val="003B7C78"/>
    <w:rsid w:val="003C0249"/>
    <w:rsid w:val="003C035F"/>
    <w:rsid w:val="003C03CA"/>
    <w:rsid w:val="003C05D3"/>
    <w:rsid w:val="003C0A57"/>
    <w:rsid w:val="003C135E"/>
    <w:rsid w:val="003C16B1"/>
    <w:rsid w:val="003C184A"/>
    <w:rsid w:val="003C1C34"/>
    <w:rsid w:val="003C1DE5"/>
    <w:rsid w:val="003C211D"/>
    <w:rsid w:val="003C22FE"/>
    <w:rsid w:val="003C2361"/>
    <w:rsid w:val="003C2A5E"/>
    <w:rsid w:val="003C2F31"/>
    <w:rsid w:val="003C3E7A"/>
    <w:rsid w:val="003C3E7B"/>
    <w:rsid w:val="003C43E2"/>
    <w:rsid w:val="003C442B"/>
    <w:rsid w:val="003C4A0A"/>
    <w:rsid w:val="003C5072"/>
    <w:rsid w:val="003C523F"/>
    <w:rsid w:val="003C540D"/>
    <w:rsid w:val="003C5427"/>
    <w:rsid w:val="003C560F"/>
    <w:rsid w:val="003C5C22"/>
    <w:rsid w:val="003C5F5B"/>
    <w:rsid w:val="003C65FD"/>
    <w:rsid w:val="003C696B"/>
    <w:rsid w:val="003C69FE"/>
    <w:rsid w:val="003C6E08"/>
    <w:rsid w:val="003C7470"/>
    <w:rsid w:val="003C748C"/>
    <w:rsid w:val="003C797B"/>
    <w:rsid w:val="003C79FF"/>
    <w:rsid w:val="003C7B3C"/>
    <w:rsid w:val="003C7F15"/>
    <w:rsid w:val="003C7FC4"/>
    <w:rsid w:val="003D042E"/>
    <w:rsid w:val="003D0436"/>
    <w:rsid w:val="003D0809"/>
    <w:rsid w:val="003D10C0"/>
    <w:rsid w:val="003D1124"/>
    <w:rsid w:val="003D11AB"/>
    <w:rsid w:val="003D15C1"/>
    <w:rsid w:val="003D1A90"/>
    <w:rsid w:val="003D1AAB"/>
    <w:rsid w:val="003D1C42"/>
    <w:rsid w:val="003D26D6"/>
    <w:rsid w:val="003D2CC0"/>
    <w:rsid w:val="003D3137"/>
    <w:rsid w:val="003D3243"/>
    <w:rsid w:val="003D34ED"/>
    <w:rsid w:val="003D38F9"/>
    <w:rsid w:val="003D3C6F"/>
    <w:rsid w:val="003D42DE"/>
    <w:rsid w:val="003D48BC"/>
    <w:rsid w:val="003D50FF"/>
    <w:rsid w:val="003D542E"/>
    <w:rsid w:val="003D5681"/>
    <w:rsid w:val="003D5E49"/>
    <w:rsid w:val="003D5EAD"/>
    <w:rsid w:val="003D5FB8"/>
    <w:rsid w:val="003D6860"/>
    <w:rsid w:val="003D69AF"/>
    <w:rsid w:val="003D6A1D"/>
    <w:rsid w:val="003D6B64"/>
    <w:rsid w:val="003D6CC7"/>
    <w:rsid w:val="003D706A"/>
    <w:rsid w:val="003D723B"/>
    <w:rsid w:val="003D725C"/>
    <w:rsid w:val="003D7272"/>
    <w:rsid w:val="003D72B0"/>
    <w:rsid w:val="003D748F"/>
    <w:rsid w:val="003D76A7"/>
    <w:rsid w:val="003D795F"/>
    <w:rsid w:val="003D7B2E"/>
    <w:rsid w:val="003D7C1C"/>
    <w:rsid w:val="003D7D83"/>
    <w:rsid w:val="003E0209"/>
    <w:rsid w:val="003E043D"/>
    <w:rsid w:val="003E0719"/>
    <w:rsid w:val="003E08AB"/>
    <w:rsid w:val="003E0A68"/>
    <w:rsid w:val="003E0F7D"/>
    <w:rsid w:val="003E141A"/>
    <w:rsid w:val="003E17F3"/>
    <w:rsid w:val="003E19A9"/>
    <w:rsid w:val="003E22FF"/>
    <w:rsid w:val="003E24C2"/>
    <w:rsid w:val="003E2542"/>
    <w:rsid w:val="003E281A"/>
    <w:rsid w:val="003E282A"/>
    <w:rsid w:val="003E28EA"/>
    <w:rsid w:val="003E34E4"/>
    <w:rsid w:val="003E36A4"/>
    <w:rsid w:val="003E37E1"/>
    <w:rsid w:val="003E3801"/>
    <w:rsid w:val="003E3BDA"/>
    <w:rsid w:val="003E3FA8"/>
    <w:rsid w:val="003E46E7"/>
    <w:rsid w:val="003E46EE"/>
    <w:rsid w:val="003E49AE"/>
    <w:rsid w:val="003E4E62"/>
    <w:rsid w:val="003E4F75"/>
    <w:rsid w:val="003E5356"/>
    <w:rsid w:val="003E543A"/>
    <w:rsid w:val="003E5766"/>
    <w:rsid w:val="003E6671"/>
    <w:rsid w:val="003E6689"/>
    <w:rsid w:val="003E680E"/>
    <w:rsid w:val="003E6B73"/>
    <w:rsid w:val="003E6B95"/>
    <w:rsid w:val="003E73D0"/>
    <w:rsid w:val="003E7F96"/>
    <w:rsid w:val="003F00C9"/>
    <w:rsid w:val="003F0211"/>
    <w:rsid w:val="003F05F7"/>
    <w:rsid w:val="003F0C86"/>
    <w:rsid w:val="003F0CB2"/>
    <w:rsid w:val="003F0E3F"/>
    <w:rsid w:val="003F14DF"/>
    <w:rsid w:val="003F17F6"/>
    <w:rsid w:val="003F1D80"/>
    <w:rsid w:val="003F2505"/>
    <w:rsid w:val="003F256A"/>
    <w:rsid w:val="003F2A83"/>
    <w:rsid w:val="003F2FB1"/>
    <w:rsid w:val="003F3187"/>
    <w:rsid w:val="003F3503"/>
    <w:rsid w:val="003F36F0"/>
    <w:rsid w:val="003F37D2"/>
    <w:rsid w:val="003F38CA"/>
    <w:rsid w:val="003F397B"/>
    <w:rsid w:val="003F3B35"/>
    <w:rsid w:val="003F3B8A"/>
    <w:rsid w:val="003F4083"/>
    <w:rsid w:val="003F44C3"/>
    <w:rsid w:val="003F458E"/>
    <w:rsid w:val="003F4733"/>
    <w:rsid w:val="003F4B90"/>
    <w:rsid w:val="003F529A"/>
    <w:rsid w:val="003F5438"/>
    <w:rsid w:val="003F5548"/>
    <w:rsid w:val="003F5587"/>
    <w:rsid w:val="003F5A4A"/>
    <w:rsid w:val="003F5AC9"/>
    <w:rsid w:val="003F5BBE"/>
    <w:rsid w:val="003F6808"/>
    <w:rsid w:val="003F7481"/>
    <w:rsid w:val="003F782E"/>
    <w:rsid w:val="003F7DF9"/>
    <w:rsid w:val="004001A3"/>
    <w:rsid w:val="004001A6"/>
    <w:rsid w:val="00400801"/>
    <w:rsid w:val="0040083F"/>
    <w:rsid w:val="00400A1F"/>
    <w:rsid w:val="00400D1E"/>
    <w:rsid w:val="00400E83"/>
    <w:rsid w:val="00401052"/>
    <w:rsid w:val="0040123D"/>
    <w:rsid w:val="004018D2"/>
    <w:rsid w:val="0040198E"/>
    <w:rsid w:val="004019EA"/>
    <w:rsid w:val="0040266D"/>
    <w:rsid w:val="004026EA"/>
    <w:rsid w:val="004027C7"/>
    <w:rsid w:val="00403040"/>
    <w:rsid w:val="004037DC"/>
    <w:rsid w:val="00403912"/>
    <w:rsid w:val="00403F12"/>
    <w:rsid w:val="00404135"/>
    <w:rsid w:val="00404482"/>
    <w:rsid w:val="00404AC4"/>
    <w:rsid w:val="00404E4A"/>
    <w:rsid w:val="00404FC9"/>
    <w:rsid w:val="00405922"/>
    <w:rsid w:val="00405AFB"/>
    <w:rsid w:val="00405C91"/>
    <w:rsid w:val="004060ED"/>
    <w:rsid w:val="004061E1"/>
    <w:rsid w:val="004061F6"/>
    <w:rsid w:val="0040686F"/>
    <w:rsid w:val="004069F8"/>
    <w:rsid w:val="00406D44"/>
    <w:rsid w:val="00407CC2"/>
    <w:rsid w:val="00407FB6"/>
    <w:rsid w:val="004100B7"/>
    <w:rsid w:val="00410492"/>
    <w:rsid w:val="00411697"/>
    <w:rsid w:val="0041198D"/>
    <w:rsid w:val="00411A6C"/>
    <w:rsid w:val="00411D63"/>
    <w:rsid w:val="004120B6"/>
    <w:rsid w:val="004120E1"/>
    <w:rsid w:val="00412B84"/>
    <w:rsid w:val="00412BDB"/>
    <w:rsid w:val="00412CA0"/>
    <w:rsid w:val="00412FC4"/>
    <w:rsid w:val="00412FCB"/>
    <w:rsid w:val="00413002"/>
    <w:rsid w:val="004133F2"/>
    <w:rsid w:val="004135B9"/>
    <w:rsid w:val="004135EF"/>
    <w:rsid w:val="00413646"/>
    <w:rsid w:val="00413E78"/>
    <w:rsid w:val="004140C2"/>
    <w:rsid w:val="004143EB"/>
    <w:rsid w:val="004144CC"/>
    <w:rsid w:val="00414909"/>
    <w:rsid w:val="00414B05"/>
    <w:rsid w:val="00414B44"/>
    <w:rsid w:val="00414C3A"/>
    <w:rsid w:val="00414E6F"/>
    <w:rsid w:val="00415019"/>
    <w:rsid w:val="0041548F"/>
    <w:rsid w:val="004154A1"/>
    <w:rsid w:val="00415718"/>
    <w:rsid w:val="00415AA0"/>
    <w:rsid w:val="00415D6E"/>
    <w:rsid w:val="00416789"/>
    <w:rsid w:val="004168CA"/>
    <w:rsid w:val="004168EF"/>
    <w:rsid w:val="00416ACA"/>
    <w:rsid w:val="00416CB8"/>
    <w:rsid w:val="0041749C"/>
    <w:rsid w:val="00417580"/>
    <w:rsid w:val="00417773"/>
    <w:rsid w:val="004200F5"/>
    <w:rsid w:val="00420125"/>
    <w:rsid w:val="0042092A"/>
    <w:rsid w:val="0042094C"/>
    <w:rsid w:val="0042096D"/>
    <w:rsid w:val="00420ABF"/>
    <w:rsid w:val="00421311"/>
    <w:rsid w:val="0042246C"/>
    <w:rsid w:val="004224EC"/>
    <w:rsid w:val="00422C25"/>
    <w:rsid w:val="00422D21"/>
    <w:rsid w:val="00422D63"/>
    <w:rsid w:val="00423789"/>
    <w:rsid w:val="004248CC"/>
    <w:rsid w:val="00424BD1"/>
    <w:rsid w:val="004251F2"/>
    <w:rsid w:val="00425FE0"/>
    <w:rsid w:val="00426538"/>
    <w:rsid w:val="00426539"/>
    <w:rsid w:val="00426962"/>
    <w:rsid w:val="00426AAB"/>
    <w:rsid w:val="00426D75"/>
    <w:rsid w:val="00426E82"/>
    <w:rsid w:val="00426EB7"/>
    <w:rsid w:val="0042745D"/>
    <w:rsid w:val="00427BAA"/>
    <w:rsid w:val="00427D86"/>
    <w:rsid w:val="0043001F"/>
    <w:rsid w:val="00430CCD"/>
    <w:rsid w:val="00431222"/>
    <w:rsid w:val="0043126C"/>
    <w:rsid w:val="00431853"/>
    <w:rsid w:val="00432207"/>
    <w:rsid w:val="0043248E"/>
    <w:rsid w:val="00433075"/>
    <w:rsid w:val="00433691"/>
    <w:rsid w:val="00433DAB"/>
    <w:rsid w:val="00434199"/>
    <w:rsid w:val="00434B4A"/>
    <w:rsid w:val="00434D7C"/>
    <w:rsid w:val="00434F4E"/>
    <w:rsid w:val="0043571E"/>
    <w:rsid w:val="004357A6"/>
    <w:rsid w:val="00435996"/>
    <w:rsid w:val="004359C7"/>
    <w:rsid w:val="004361DA"/>
    <w:rsid w:val="00436652"/>
    <w:rsid w:val="00436705"/>
    <w:rsid w:val="004367A5"/>
    <w:rsid w:val="00436822"/>
    <w:rsid w:val="004368AC"/>
    <w:rsid w:val="00436A48"/>
    <w:rsid w:val="00436ADD"/>
    <w:rsid w:val="004370F2"/>
    <w:rsid w:val="00437251"/>
    <w:rsid w:val="0043740B"/>
    <w:rsid w:val="00437416"/>
    <w:rsid w:val="004404A3"/>
    <w:rsid w:val="0044092E"/>
    <w:rsid w:val="00440BC6"/>
    <w:rsid w:val="004412A7"/>
    <w:rsid w:val="0044171C"/>
    <w:rsid w:val="004417C6"/>
    <w:rsid w:val="00441B19"/>
    <w:rsid w:val="004420D5"/>
    <w:rsid w:val="00442318"/>
    <w:rsid w:val="00442364"/>
    <w:rsid w:val="00442CF2"/>
    <w:rsid w:val="00442D9F"/>
    <w:rsid w:val="00443170"/>
    <w:rsid w:val="00443183"/>
    <w:rsid w:val="00443952"/>
    <w:rsid w:val="00443A44"/>
    <w:rsid w:val="00443ACE"/>
    <w:rsid w:val="00444307"/>
    <w:rsid w:val="0044440F"/>
    <w:rsid w:val="00444413"/>
    <w:rsid w:val="0044443C"/>
    <w:rsid w:val="00444799"/>
    <w:rsid w:val="00444933"/>
    <w:rsid w:val="00444941"/>
    <w:rsid w:val="00444FF1"/>
    <w:rsid w:val="0044531D"/>
    <w:rsid w:val="0044591C"/>
    <w:rsid w:val="00445CB8"/>
    <w:rsid w:val="0044617D"/>
    <w:rsid w:val="004461B3"/>
    <w:rsid w:val="00446429"/>
    <w:rsid w:val="00446819"/>
    <w:rsid w:val="004476CC"/>
    <w:rsid w:val="00447A38"/>
    <w:rsid w:val="00447DFC"/>
    <w:rsid w:val="00447ECC"/>
    <w:rsid w:val="00450696"/>
    <w:rsid w:val="004508DB"/>
    <w:rsid w:val="004519ED"/>
    <w:rsid w:val="00451CA0"/>
    <w:rsid w:val="00451F3F"/>
    <w:rsid w:val="0045209B"/>
    <w:rsid w:val="00452D8A"/>
    <w:rsid w:val="00453373"/>
    <w:rsid w:val="00453684"/>
    <w:rsid w:val="004538A7"/>
    <w:rsid w:val="00454404"/>
    <w:rsid w:val="004546E8"/>
    <w:rsid w:val="00454BC6"/>
    <w:rsid w:val="00454CD3"/>
    <w:rsid w:val="0045530C"/>
    <w:rsid w:val="00455C91"/>
    <w:rsid w:val="004560A1"/>
    <w:rsid w:val="004564F1"/>
    <w:rsid w:val="0045684C"/>
    <w:rsid w:val="00456BF2"/>
    <w:rsid w:val="0045755A"/>
    <w:rsid w:val="00457D4E"/>
    <w:rsid w:val="0046045E"/>
    <w:rsid w:val="004604D3"/>
    <w:rsid w:val="00460567"/>
    <w:rsid w:val="00460882"/>
    <w:rsid w:val="0046090B"/>
    <w:rsid w:val="00461734"/>
    <w:rsid w:val="00461739"/>
    <w:rsid w:val="0046192C"/>
    <w:rsid w:val="00461B19"/>
    <w:rsid w:val="00462084"/>
    <w:rsid w:val="00462149"/>
    <w:rsid w:val="00462268"/>
    <w:rsid w:val="0046227A"/>
    <w:rsid w:val="00462776"/>
    <w:rsid w:val="00462B5C"/>
    <w:rsid w:val="00462C41"/>
    <w:rsid w:val="00462C6F"/>
    <w:rsid w:val="00462EEC"/>
    <w:rsid w:val="00462FCD"/>
    <w:rsid w:val="004630EF"/>
    <w:rsid w:val="00463155"/>
    <w:rsid w:val="004632E1"/>
    <w:rsid w:val="0046383E"/>
    <w:rsid w:val="00463916"/>
    <w:rsid w:val="00463A90"/>
    <w:rsid w:val="00463EBD"/>
    <w:rsid w:val="00463FBB"/>
    <w:rsid w:val="00464118"/>
    <w:rsid w:val="00464AE6"/>
    <w:rsid w:val="004650C8"/>
    <w:rsid w:val="00465748"/>
    <w:rsid w:val="00466065"/>
    <w:rsid w:val="0046624C"/>
    <w:rsid w:val="0046647F"/>
    <w:rsid w:val="004668A6"/>
    <w:rsid w:val="00466D23"/>
    <w:rsid w:val="00466EA1"/>
    <w:rsid w:val="00467035"/>
    <w:rsid w:val="004670FD"/>
    <w:rsid w:val="004671C6"/>
    <w:rsid w:val="004675E4"/>
    <w:rsid w:val="004677F3"/>
    <w:rsid w:val="00467B2F"/>
    <w:rsid w:val="00470395"/>
    <w:rsid w:val="00470418"/>
    <w:rsid w:val="00470C42"/>
    <w:rsid w:val="004716DE"/>
    <w:rsid w:val="00471A6D"/>
    <w:rsid w:val="004723E9"/>
    <w:rsid w:val="00472907"/>
    <w:rsid w:val="0047299D"/>
    <w:rsid w:val="00472A7E"/>
    <w:rsid w:val="00472C47"/>
    <w:rsid w:val="00472CE7"/>
    <w:rsid w:val="00472DB7"/>
    <w:rsid w:val="00472E38"/>
    <w:rsid w:val="0047351F"/>
    <w:rsid w:val="00473D99"/>
    <w:rsid w:val="004742D6"/>
    <w:rsid w:val="00474C48"/>
    <w:rsid w:val="00474F9F"/>
    <w:rsid w:val="004750DA"/>
    <w:rsid w:val="0047525A"/>
    <w:rsid w:val="00475917"/>
    <w:rsid w:val="00475D0A"/>
    <w:rsid w:val="0047609D"/>
    <w:rsid w:val="00476994"/>
    <w:rsid w:val="00476B58"/>
    <w:rsid w:val="00477468"/>
    <w:rsid w:val="004777B4"/>
    <w:rsid w:val="004779C7"/>
    <w:rsid w:val="00477EDA"/>
    <w:rsid w:val="0048016B"/>
    <w:rsid w:val="00480486"/>
    <w:rsid w:val="0048059F"/>
    <w:rsid w:val="00481027"/>
    <w:rsid w:val="00481A5F"/>
    <w:rsid w:val="00481F89"/>
    <w:rsid w:val="0048287B"/>
    <w:rsid w:val="00482949"/>
    <w:rsid w:val="00482CB8"/>
    <w:rsid w:val="004833A5"/>
    <w:rsid w:val="004836E7"/>
    <w:rsid w:val="00483940"/>
    <w:rsid w:val="00483FFF"/>
    <w:rsid w:val="00484634"/>
    <w:rsid w:val="0048526C"/>
    <w:rsid w:val="00485688"/>
    <w:rsid w:val="004858CC"/>
    <w:rsid w:val="00485BDF"/>
    <w:rsid w:val="004863F4"/>
    <w:rsid w:val="00486985"/>
    <w:rsid w:val="00486C8E"/>
    <w:rsid w:val="004871E1"/>
    <w:rsid w:val="00487C5D"/>
    <w:rsid w:val="00490D5C"/>
    <w:rsid w:val="004910C5"/>
    <w:rsid w:val="004911D6"/>
    <w:rsid w:val="004912FE"/>
    <w:rsid w:val="00491592"/>
    <w:rsid w:val="0049163A"/>
    <w:rsid w:val="00491740"/>
    <w:rsid w:val="00491DE8"/>
    <w:rsid w:val="004925B0"/>
    <w:rsid w:val="00492DAA"/>
    <w:rsid w:val="00493353"/>
    <w:rsid w:val="00493689"/>
    <w:rsid w:val="00494585"/>
    <w:rsid w:val="004946A7"/>
    <w:rsid w:val="004946B6"/>
    <w:rsid w:val="004949DB"/>
    <w:rsid w:val="0049602F"/>
    <w:rsid w:val="004960BA"/>
    <w:rsid w:val="0049643A"/>
    <w:rsid w:val="00496C0C"/>
    <w:rsid w:val="00496F8F"/>
    <w:rsid w:val="00497349"/>
    <w:rsid w:val="004976A9"/>
    <w:rsid w:val="004978E8"/>
    <w:rsid w:val="00497AC7"/>
    <w:rsid w:val="004A01F8"/>
    <w:rsid w:val="004A0651"/>
    <w:rsid w:val="004A0A06"/>
    <w:rsid w:val="004A1C8A"/>
    <w:rsid w:val="004A1EA9"/>
    <w:rsid w:val="004A2186"/>
    <w:rsid w:val="004A228F"/>
    <w:rsid w:val="004A24BB"/>
    <w:rsid w:val="004A315A"/>
    <w:rsid w:val="004A34D6"/>
    <w:rsid w:val="004A34DD"/>
    <w:rsid w:val="004A36F8"/>
    <w:rsid w:val="004A3864"/>
    <w:rsid w:val="004A38AB"/>
    <w:rsid w:val="004A3B9C"/>
    <w:rsid w:val="004A522A"/>
    <w:rsid w:val="004A58F5"/>
    <w:rsid w:val="004A6051"/>
    <w:rsid w:val="004A6BC5"/>
    <w:rsid w:val="004A6E53"/>
    <w:rsid w:val="004A6FE9"/>
    <w:rsid w:val="004A7995"/>
    <w:rsid w:val="004B0247"/>
    <w:rsid w:val="004B0CE9"/>
    <w:rsid w:val="004B1654"/>
    <w:rsid w:val="004B17FA"/>
    <w:rsid w:val="004B18E7"/>
    <w:rsid w:val="004B21E1"/>
    <w:rsid w:val="004B21E8"/>
    <w:rsid w:val="004B30BB"/>
    <w:rsid w:val="004B3771"/>
    <w:rsid w:val="004B3CC1"/>
    <w:rsid w:val="004B3FED"/>
    <w:rsid w:val="004B4764"/>
    <w:rsid w:val="004B4784"/>
    <w:rsid w:val="004B49A9"/>
    <w:rsid w:val="004B4F24"/>
    <w:rsid w:val="004B57F9"/>
    <w:rsid w:val="004B5DD3"/>
    <w:rsid w:val="004B6351"/>
    <w:rsid w:val="004B6AC2"/>
    <w:rsid w:val="004B6EBF"/>
    <w:rsid w:val="004B6F36"/>
    <w:rsid w:val="004B796B"/>
    <w:rsid w:val="004B7B5D"/>
    <w:rsid w:val="004C06E3"/>
    <w:rsid w:val="004C0754"/>
    <w:rsid w:val="004C0A83"/>
    <w:rsid w:val="004C13EB"/>
    <w:rsid w:val="004C1410"/>
    <w:rsid w:val="004C151F"/>
    <w:rsid w:val="004C15D9"/>
    <w:rsid w:val="004C1A3D"/>
    <w:rsid w:val="004C20D3"/>
    <w:rsid w:val="004C25E3"/>
    <w:rsid w:val="004C2676"/>
    <w:rsid w:val="004C35BB"/>
    <w:rsid w:val="004C3844"/>
    <w:rsid w:val="004C3D95"/>
    <w:rsid w:val="004C45D7"/>
    <w:rsid w:val="004C4CDB"/>
    <w:rsid w:val="004C5523"/>
    <w:rsid w:val="004C56F1"/>
    <w:rsid w:val="004C5932"/>
    <w:rsid w:val="004C5FE9"/>
    <w:rsid w:val="004C60C0"/>
    <w:rsid w:val="004C787C"/>
    <w:rsid w:val="004C78E0"/>
    <w:rsid w:val="004C7977"/>
    <w:rsid w:val="004C7BB6"/>
    <w:rsid w:val="004C7BE5"/>
    <w:rsid w:val="004D00CD"/>
    <w:rsid w:val="004D03D3"/>
    <w:rsid w:val="004D0706"/>
    <w:rsid w:val="004D0AA7"/>
    <w:rsid w:val="004D11DF"/>
    <w:rsid w:val="004D1343"/>
    <w:rsid w:val="004D13B4"/>
    <w:rsid w:val="004D24F2"/>
    <w:rsid w:val="004D2929"/>
    <w:rsid w:val="004D2994"/>
    <w:rsid w:val="004D2AFD"/>
    <w:rsid w:val="004D2B93"/>
    <w:rsid w:val="004D2E04"/>
    <w:rsid w:val="004D2FE4"/>
    <w:rsid w:val="004D316B"/>
    <w:rsid w:val="004D3BC2"/>
    <w:rsid w:val="004D3EB3"/>
    <w:rsid w:val="004D4DD3"/>
    <w:rsid w:val="004D4F68"/>
    <w:rsid w:val="004D51EC"/>
    <w:rsid w:val="004D59AC"/>
    <w:rsid w:val="004D5F5D"/>
    <w:rsid w:val="004D6052"/>
    <w:rsid w:val="004D628A"/>
    <w:rsid w:val="004D6301"/>
    <w:rsid w:val="004D6B60"/>
    <w:rsid w:val="004D74A9"/>
    <w:rsid w:val="004D7A7E"/>
    <w:rsid w:val="004D7C65"/>
    <w:rsid w:val="004D7DBB"/>
    <w:rsid w:val="004E04FC"/>
    <w:rsid w:val="004E0C15"/>
    <w:rsid w:val="004E0D05"/>
    <w:rsid w:val="004E0D58"/>
    <w:rsid w:val="004E0FA0"/>
    <w:rsid w:val="004E10E1"/>
    <w:rsid w:val="004E138D"/>
    <w:rsid w:val="004E1C5A"/>
    <w:rsid w:val="004E1E36"/>
    <w:rsid w:val="004E1FA9"/>
    <w:rsid w:val="004E201E"/>
    <w:rsid w:val="004E212E"/>
    <w:rsid w:val="004E267E"/>
    <w:rsid w:val="004E2FA3"/>
    <w:rsid w:val="004E3130"/>
    <w:rsid w:val="004E3378"/>
    <w:rsid w:val="004E355F"/>
    <w:rsid w:val="004E3575"/>
    <w:rsid w:val="004E370F"/>
    <w:rsid w:val="004E37B0"/>
    <w:rsid w:val="004E3D39"/>
    <w:rsid w:val="004E452A"/>
    <w:rsid w:val="004E4E9E"/>
    <w:rsid w:val="004E57C4"/>
    <w:rsid w:val="004E5E21"/>
    <w:rsid w:val="004E646B"/>
    <w:rsid w:val="004E6488"/>
    <w:rsid w:val="004E649D"/>
    <w:rsid w:val="004E66F3"/>
    <w:rsid w:val="004E69BC"/>
    <w:rsid w:val="004E6AE4"/>
    <w:rsid w:val="004E6D31"/>
    <w:rsid w:val="004E6DEC"/>
    <w:rsid w:val="004E741D"/>
    <w:rsid w:val="004E7649"/>
    <w:rsid w:val="004E76A7"/>
    <w:rsid w:val="004E7753"/>
    <w:rsid w:val="004E7B5E"/>
    <w:rsid w:val="004E7C00"/>
    <w:rsid w:val="004E7D27"/>
    <w:rsid w:val="004E7E0F"/>
    <w:rsid w:val="004E7FF2"/>
    <w:rsid w:val="004F0012"/>
    <w:rsid w:val="004F021D"/>
    <w:rsid w:val="004F0AC6"/>
    <w:rsid w:val="004F1395"/>
    <w:rsid w:val="004F1462"/>
    <w:rsid w:val="004F1663"/>
    <w:rsid w:val="004F173F"/>
    <w:rsid w:val="004F1F68"/>
    <w:rsid w:val="004F1F6B"/>
    <w:rsid w:val="004F20B5"/>
    <w:rsid w:val="004F20D3"/>
    <w:rsid w:val="004F2395"/>
    <w:rsid w:val="004F3471"/>
    <w:rsid w:val="004F3A97"/>
    <w:rsid w:val="004F3BC4"/>
    <w:rsid w:val="004F3CAD"/>
    <w:rsid w:val="004F3DCF"/>
    <w:rsid w:val="004F41BF"/>
    <w:rsid w:val="004F4BD9"/>
    <w:rsid w:val="004F53C4"/>
    <w:rsid w:val="004F5F48"/>
    <w:rsid w:val="004F66CA"/>
    <w:rsid w:val="004F684F"/>
    <w:rsid w:val="004F69DB"/>
    <w:rsid w:val="004F7211"/>
    <w:rsid w:val="004F73CD"/>
    <w:rsid w:val="004F73EB"/>
    <w:rsid w:val="004F7406"/>
    <w:rsid w:val="004F7978"/>
    <w:rsid w:val="004F7A5D"/>
    <w:rsid w:val="004F7F5F"/>
    <w:rsid w:val="004F7F9E"/>
    <w:rsid w:val="00500038"/>
    <w:rsid w:val="00500B44"/>
    <w:rsid w:val="00500F65"/>
    <w:rsid w:val="00501106"/>
    <w:rsid w:val="005013BD"/>
    <w:rsid w:val="00501AAB"/>
    <w:rsid w:val="00502865"/>
    <w:rsid w:val="0050286A"/>
    <w:rsid w:val="005028C5"/>
    <w:rsid w:val="005028EA"/>
    <w:rsid w:val="00502994"/>
    <w:rsid w:val="00502C24"/>
    <w:rsid w:val="005038D5"/>
    <w:rsid w:val="00503EDD"/>
    <w:rsid w:val="00504232"/>
    <w:rsid w:val="00504621"/>
    <w:rsid w:val="00504A7B"/>
    <w:rsid w:val="00504E50"/>
    <w:rsid w:val="00504F8B"/>
    <w:rsid w:val="005057CC"/>
    <w:rsid w:val="0050608A"/>
    <w:rsid w:val="005060A5"/>
    <w:rsid w:val="00506A20"/>
    <w:rsid w:val="00507394"/>
    <w:rsid w:val="005074B3"/>
    <w:rsid w:val="00507575"/>
    <w:rsid w:val="00507864"/>
    <w:rsid w:val="00507AF5"/>
    <w:rsid w:val="005100C4"/>
    <w:rsid w:val="0051033A"/>
    <w:rsid w:val="00510588"/>
    <w:rsid w:val="005115EA"/>
    <w:rsid w:val="005119C0"/>
    <w:rsid w:val="00511D8B"/>
    <w:rsid w:val="00511DE3"/>
    <w:rsid w:val="00512534"/>
    <w:rsid w:val="0051253D"/>
    <w:rsid w:val="005131EE"/>
    <w:rsid w:val="00513F8D"/>
    <w:rsid w:val="0051481F"/>
    <w:rsid w:val="00514FDD"/>
    <w:rsid w:val="00515021"/>
    <w:rsid w:val="005151BB"/>
    <w:rsid w:val="005155D6"/>
    <w:rsid w:val="00515CAD"/>
    <w:rsid w:val="00516128"/>
    <w:rsid w:val="005169C6"/>
    <w:rsid w:val="00516E85"/>
    <w:rsid w:val="00517225"/>
    <w:rsid w:val="0052005E"/>
    <w:rsid w:val="00520A26"/>
    <w:rsid w:val="00520E9A"/>
    <w:rsid w:val="00520F41"/>
    <w:rsid w:val="005213D0"/>
    <w:rsid w:val="0052145A"/>
    <w:rsid w:val="0052150B"/>
    <w:rsid w:val="00521536"/>
    <w:rsid w:val="00521EDD"/>
    <w:rsid w:val="005222DB"/>
    <w:rsid w:val="00522A5A"/>
    <w:rsid w:val="00523731"/>
    <w:rsid w:val="005238DB"/>
    <w:rsid w:val="005239B8"/>
    <w:rsid w:val="00523DF5"/>
    <w:rsid w:val="00523E37"/>
    <w:rsid w:val="00524097"/>
    <w:rsid w:val="0052444E"/>
    <w:rsid w:val="00524498"/>
    <w:rsid w:val="0052455F"/>
    <w:rsid w:val="00524E3C"/>
    <w:rsid w:val="00524EFF"/>
    <w:rsid w:val="005250CB"/>
    <w:rsid w:val="005252DF"/>
    <w:rsid w:val="005253D4"/>
    <w:rsid w:val="00525962"/>
    <w:rsid w:val="00525F76"/>
    <w:rsid w:val="00526548"/>
    <w:rsid w:val="0052658E"/>
    <w:rsid w:val="005265CB"/>
    <w:rsid w:val="005268F0"/>
    <w:rsid w:val="00527210"/>
    <w:rsid w:val="0052725D"/>
    <w:rsid w:val="005272D7"/>
    <w:rsid w:val="00530157"/>
    <w:rsid w:val="0053075D"/>
    <w:rsid w:val="00530AD4"/>
    <w:rsid w:val="00530DF4"/>
    <w:rsid w:val="0053103C"/>
    <w:rsid w:val="00531217"/>
    <w:rsid w:val="00531488"/>
    <w:rsid w:val="00531691"/>
    <w:rsid w:val="00531F64"/>
    <w:rsid w:val="005320D6"/>
    <w:rsid w:val="005322BE"/>
    <w:rsid w:val="005322E5"/>
    <w:rsid w:val="005323FD"/>
    <w:rsid w:val="005324C1"/>
    <w:rsid w:val="0053265F"/>
    <w:rsid w:val="005326D2"/>
    <w:rsid w:val="0053374D"/>
    <w:rsid w:val="00533BB5"/>
    <w:rsid w:val="00533E70"/>
    <w:rsid w:val="00534B2C"/>
    <w:rsid w:val="00534E03"/>
    <w:rsid w:val="005350B5"/>
    <w:rsid w:val="00535828"/>
    <w:rsid w:val="0053610D"/>
    <w:rsid w:val="005362E4"/>
    <w:rsid w:val="0053651A"/>
    <w:rsid w:val="00536A10"/>
    <w:rsid w:val="00537081"/>
    <w:rsid w:val="005371A6"/>
    <w:rsid w:val="005372B5"/>
    <w:rsid w:val="00537661"/>
    <w:rsid w:val="00537C35"/>
    <w:rsid w:val="00540098"/>
    <w:rsid w:val="005409B4"/>
    <w:rsid w:val="00540F32"/>
    <w:rsid w:val="00541A70"/>
    <w:rsid w:val="00541F33"/>
    <w:rsid w:val="005420AD"/>
    <w:rsid w:val="0054210A"/>
    <w:rsid w:val="0054213E"/>
    <w:rsid w:val="00542216"/>
    <w:rsid w:val="005428F5"/>
    <w:rsid w:val="00542A42"/>
    <w:rsid w:val="00542ABC"/>
    <w:rsid w:val="00542D19"/>
    <w:rsid w:val="00542D34"/>
    <w:rsid w:val="00542FFF"/>
    <w:rsid w:val="0054315C"/>
    <w:rsid w:val="005435C0"/>
    <w:rsid w:val="00543996"/>
    <w:rsid w:val="00543CE2"/>
    <w:rsid w:val="00543EF4"/>
    <w:rsid w:val="00543F46"/>
    <w:rsid w:val="005441BC"/>
    <w:rsid w:val="005442D5"/>
    <w:rsid w:val="005443D4"/>
    <w:rsid w:val="00544BC3"/>
    <w:rsid w:val="00544D75"/>
    <w:rsid w:val="00544DB3"/>
    <w:rsid w:val="00545009"/>
    <w:rsid w:val="00545968"/>
    <w:rsid w:val="00545C8F"/>
    <w:rsid w:val="0054616B"/>
    <w:rsid w:val="005462E8"/>
    <w:rsid w:val="00546B0C"/>
    <w:rsid w:val="00547136"/>
    <w:rsid w:val="0054785D"/>
    <w:rsid w:val="00547A22"/>
    <w:rsid w:val="00547E78"/>
    <w:rsid w:val="00550612"/>
    <w:rsid w:val="00550817"/>
    <w:rsid w:val="00550FB6"/>
    <w:rsid w:val="005511D7"/>
    <w:rsid w:val="005511ED"/>
    <w:rsid w:val="00551B54"/>
    <w:rsid w:val="00552068"/>
    <w:rsid w:val="00552170"/>
    <w:rsid w:val="005524C8"/>
    <w:rsid w:val="00552E3D"/>
    <w:rsid w:val="00553171"/>
    <w:rsid w:val="0055322A"/>
    <w:rsid w:val="00553622"/>
    <w:rsid w:val="0055367B"/>
    <w:rsid w:val="00553F24"/>
    <w:rsid w:val="005545A9"/>
    <w:rsid w:val="005548E7"/>
    <w:rsid w:val="00554978"/>
    <w:rsid w:val="00554E28"/>
    <w:rsid w:val="00554EA5"/>
    <w:rsid w:val="0055540F"/>
    <w:rsid w:val="005555D6"/>
    <w:rsid w:val="005555EA"/>
    <w:rsid w:val="005557FC"/>
    <w:rsid w:val="00555AD2"/>
    <w:rsid w:val="005563CF"/>
    <w:rsid w:val="005565F6"/>
    <w:rsid w:val="0055673D"/>
    <w:rsid w:val="00556881"/>
    <w:rsid w:val="00556BDE"/>
    <w:rsid w:val="00556D2E"/>
    <w:rsid w:val="0055718C"/>
    <w:rsid w:val="00557280"/>
    <w:rsid w:val="00557698"/>
    <w:rsid w:val="00557E21"/>
    <w:rsid w:val="00561037"/>
    <w:rsid w:val="00561497"/>
    <w:rsid w:val="00561686"/>
    <w:rsid w:val="00561D84"/>
    <w:rsid w:val="00562080"/>
    <w:rsid w:val="005620B0"/>
    <w:rsid w:val="00562202"/>
    <w:rsid w:val="005626D2"/>
    <w:rsid w:val="00562E49"/>
    <w:rsid w:val="00562EA3"/>
    <w:rsid w:val="00563089"/>
    <w:rsid w:val="005631E4"/>
    <w:rsid w:val="005634C7"/>
    <w:rsid w:val="0056354F"/>
    <w:rsid w:val="00563589"/>
    <w:rsid w:val="005635BE"/>
    <w:rsid w:val="00564586"/>
    <w:rsid w:val="00564647"/>
    <w:rsid w:val="0056470D"/>
    <w:rsid w:val="00564AAD"/>
    <w:rsid w:val="00564B25"/>
    <w:rsid w:val="00564D81"/>
    <w:rsid w:val="00565165"/>
    <w:rsid w:val="00565446"/>
    <w:rsid w:val="005658D9"/>
    <w:rsid w:val="00565A50"/>
    <w:rsid w:val="00565D15"/>
    <w:rsid w:val="00565D31"/>
    <w:rsid w:val="00566261"/>
    <w:rsid w:val="005662C6"/>
    <w:rsid w:val="0056722D"/>
    <w:rsid w:val="00567350"/>
    <w:rsid w:val="00567484"/>
    <w:rsid w:val="00567B5A"/>
    <w:rsid w:val="00567EF5"/>
    <w:rsid w:val="00570146"/>
    <w:rsid w:val="00570400"/>
    <w:rsid w:val="00570578"/>
    <w:rsid w:val="005708C6"/>
    <w:rsid w:val="005708DC"/>
    <w:rsid w:val="00570E90"/>
    <w:rsid w:val="00570F1B"/>
    <w:rsid w:val="0057120F"/>
    <w:rsid w:val="0057172C"/>
    <w:rsid w:val="00571F7A"/>
    <w:rsid w:val="005722F9"/>
    <w:rsid w:val="00573035"/>
    <w:rsid w:val="0057338A"/>
    <w:rsid w:val="00573DF0"/>
    <w:rsid w:val="00574037"/>
    <w:rsid w:val="0057418D"/>
    <w:rsid w:val="005744EE"/>
    <w:rsid w:val="0057460F"/>
    <w:rsid w:val="00574968"/>
    <w:rsid w:val="00574D56"/>
    <w:rsid w:val="00574E0A"/>
    <w:rsid w:val="00574EB6"/>
    <w:rsid w:val="00575A69"/>
    <w:rsid w:val="00575A75"/>
    <w:rsid w:val="0057614E"/>
    <w:rsid w:val="00576251"/>
    <w:rsid w:val="005764DF"/>
    <w:rsid w:val="005765E1"/>
    <w:rsid w:val="005766D7"/>
    <w:rsid w:val="00576BB1"/>
    <w:rsid w:val="00576F76"/>
    <w:rsid w:val="00577248"/>
    <w:rsid w:val="005772AC"/>
    <w:rsid w:val="005772E3"/>
    <w:rsid w:val="00577461"/>
    <w:rsid w:val="00577981"/>
    <w:rsid w:val="0058017E"/>
    <w:rsid w:val="005804B4"/>
    <w:rsid w:val="00580519"/>
    <w:rsid w:val="0058096F"/>
    <w:rsid w:val="00580A05"/>
    <w:rsid w:val="00580C1C"/>
    <w:rsid w:val="00580FC7"/>
    <w:rsid w:val="005817F2"/>
    <w:rsid w:val="00581A6D"/>
    <w:rsid w:val="00581AB5"/>
    <w:rsid w:val="00582275"/>
    <w:rsid w:val="00582C4A"/>
    <w:rsid w:val="00583279"/>
    <w:rsid w:val="005839E4"/>
    <w:rsid w:val="00583AC6"/>
    <w:rsid w:val="005844CA"/>
    <w:rsid w:val="00584618"/>
    <w:rsid w:val="005848DF"/>
    <w:rsid w:val="00584AD9"/>
    <w:rsid w:val="00584BA5"/>
    <w:rsid w:val="00584F66"/>
    <w:rsid w:val="005850A7"/>
    <w:rsid w:val="0058599E"/>
    <w:rsid w:val="005859AC"/>
    <w:rsid w:val="00585ACB"/>
    <w:rsid w:val="00585B0E"/>
    <w:rsid w:val="00586314"/>
    <w:rsid w:val="00586428"/>
    <w:rsid w:val="00586639"/>
    <w:rsid w:val="00586724"/>
    <w:rsid w:val="00586CEE"/>
    <w:rsid w:val="00586DE5"/>
    <w:rsid w:val="00586E49"/>
    <w:rsid w:val="00586F3D"/>
    <w:rsid w:val="00587655"/>
    <w:rsid w:val="00587B9E"/>
    <w:rsid w:val="00587E9D"/>
    <w:rsid w:val="005901CF"/>
    <w:rsid w:val="0059022F"/>
    <w:rsid w:val="005903E5"/>
    <w:rsid w:val="00590586"/>
    <w:rsid w:val="00590909"/>
    <w:rsid w:val="00590953"/>
    <w:rsid w:val="00590A5C"/>
    <w:rsid w:val="00590B79"/>
    <w:rsid w:val="0059126C"/>
    <w:rsid w:val="0059172E"/>
    <w:rsid w:val="00591873"/>
    <w:rsid w:val="00591A21"/>
    <w:rsid w:val="00591D22"/>
    <w:rsid w:val="00592351"/>
    <w:rsid w:val="00592505"/>
    <w:rsid w:val="0059270C"/>
    <w:rsid w:val="00592DC3"/>
    <w:rsid w:val="005935AA"/>
    <w:rsid w:val="00593962"/>
    <w:rsid w:val="00593CB4"/>
    <w:rsid w:val="0059411B"/>
    <w:rsid w:val="005944BE"/>
    <w:rsid w:val="0059498D"/>
    <w:rsid w:val="005949C4"/>
    <w:rsid w:val="005951F8"/>
    <w:rsid w:val="0059577D"/>
    <w:rsid w:val="00595934"/>
    <w:rsid w:val="00595AC9"/>
    <w:rsid w:val="00595D4A"/>
    <w:rsid w:val="00595D94"/>
    <w:rsid w:val="005963D9"/>
    <w:rsid w:val="00596496"/>
    <w:rsid w:val="005964AB"/>
    <w:rsid w:val="005966E5"/>
    <w:rsid w:val="00596734"/>
    <w:rsid w:val="00596802"/>
    <w:rsid w:val="005968AA"/>
    <w:rsid w:val="00596B1D"/>
    <w:rsid w:val="00596E3B"/>
    <w:rsid w:val="00596E52"/>
    <w:rsid w:val="005975D4"/>
    <w:rsid w:val="005976E4"/>
    <w:rsid w:val="005979DE"/>
    <w:rsid w:val="005A0597"/>
    <w:rsid w:val="005A0A8E"/>
    <w:rsid w:val="005A0AED"/>
    <w:rsid w:val="005A100E"/>
    <w:rsid w:val="005A113E"/>
    <w:rsid w:val="005A15A8"/>
    <w:rsid w:val="005A19AD"/>
    <w:rsid w:val="005A1B2E"/>
    <w:rsid w:val="005A1D38"/>
    <w:rsid w:val="005A2BE5"/>
    <w:rsid w:val="005A2C31"/>
    <w:rsid w:val="005A3524"/>
    <w:rsid w:val="005A35A2"/>
    <w:rsid w:val="005A409C"/>
    <w:rsid w:val="005A436B"/>
    <w:rsid w:val="005A45E5"/>
    <w:rsid w:val="005A4860"/>
    <w:rsid w:val="005A50AA"/>
    <w:rsid w:val="005A50FB"/>
    <w:rsid w:val="005A54DE"/>
    <w:rsid w:val="005A5708"/>
    <w:rsid w:val="005A57FB"/>
    <w:rsid w:val="005A5BCC"/>
    <w:rsid w:val="005A5FC5"/>
    <w:rsid w:val="005A7083"/>
    <w:rsid w:val="005A7C60"/>
    <w:rsid w:val="005B06A0"/>
    <w:rsid w:val="005B06F3"/>
    <w:rsid w:val="005B0D07"/>
    <w:rsid w:val="005B188D"/>
    <w:rsid w:val="005B1A8F"/>
    <w:rsid w:val="005B1C92"/>
    <w:rsid w:val="005B1D83"/>
    <w:rsid w:val="005B1DE5"/>
    <w:rsid w:val="005B2264"/>
    <w:rsid w:val="005B25CD"/>
    <w:rsid w:val="005B295D"/>
    <w:rsid w:val="005B29B6"/>
    <w:rsid w:val="005B2D62"/>
    <w:rsid w:val="005B2D6B"/>
    <w:rsid w:val="005B2F56"/>
    <w:rsid w:val="005B3565"/>
    <w:rsid w:val="005B3623"/>
    <w:rsid w:val="005B36FC"/>
    <w:rsid w:val="005B3C26"/>
    <w:rsid w:val="005B4234"/>
    <w:rsid w:val="005B4665"/>
    <w:rsid w:val="005B46C2"/>
    <w:rsid w:val="005B4765"/>
    <w:rsid w:val="005B4BF3"/>
    <w:rsid w:val="005B4C71"/>
    <w:rsid w:val="005B540F"/>
    <w:rsid w:val="005B54A1"/>
    <w:rsid w:val="005B5B14"/>
    <w:rsid w:val="005B5F8C"/>
    <w:rsid w:val="005B6049"/>
    <w:rsid w:val="005B636D"/>
    <w:rsid w:val="005B69B2"/>
    <w:rsid w:val="005B7081"/>
    <w:rsid w:val="005B7BCD"/>
    <w:rsid w:val="005B7E0F"/>
    <w:rsid w:val="005B7FC9"/>
    <w:rsid w:val="005C0157"/>
    <w:rsid w:val="005C0BF6"/>
    <w:rsid w:val="005C0F89"/>
    <w:rsid w:val="005C1816"/>
    <w:rsid w:val="005C1A37"/>
    <w:rsid w:val="005C1CEF"/>
    <w:rsid w:val="005C2096"/>
    <w:rsid w:val="005C2268"/>
    <w:rsid w:val="005C2615"/>
    <w:rsid w:val="005C2819"/>
    <w:rsid w:val="005C35FE"/>
    <w:rsid w:val="005C3683"/>
    <w:rsid w:val="005C3AA0"/>
    <w:rsid w:val="005C3B80"/>
    <w:rsid w:val="005C4294"/>
    <w:rsid w:val="005C46FF"/>
    <w:rsid w:val="005C4D3A"/>
    <w:rsid w:val="005C54D0"/>
    <w:rsid w:val="005C5896"/>
    <w:rsid w:val="005C5D1A"/>
    <w:rsid w:val="005C5DDD"/>
    <w:rsid w:val="005C5F83"/>
    <w:rsid w:val="005C6625"/>
    <w:rsid w:val="005C68AC"/>
    <w:rsid w:val="005C698B"/>
    <w:rsid w:val="005C6ACE"/>
    <w:rsid w:val="005C6B7F"/>
    <w:rsid w:val="005C6C32"/>
    <w:rsid w:val="005C6DBF"/>
    <w:rsid w:val="005C6F10"/>
    <w:rsid w:val="005C70E3"/>
    <w:rsid w:val="005C7461"/>
    <w:rsid w:val="005C7468"/>
    <w:rsid w:val="005C74F5"/>
    <w:rsid w:val="005C755C"/>
    <w:rsid w:val="005C75B8"/>
    <w:rsid w:val="005C770B"/>
    <w:rsid w:val="005D0694"/>
    <w:rsid w:val="005D16F9"/>
    <w:rsid w:val="005D1DC7"/>
    <w:rsid w:val="005D1E29"/>
    <w:rsid w:val="005D21BA"/>
    <w:rsid w:val="005D237B"/>
    <w:rsid w:val="005D2C8E"/>
    <w:rsid w:val="005D34D7"/>
    <w:rsid w:val="005D3E61"/>
    <w:rsid w:val="005D41A2"/>
    <w:rsid w:val="005D43CE"/>
    <w:rsid w:val="005D46E9"/>
    <w:rsid w:val="005D4715"/>
    <w:rsid w:val="005D48A4"/>
    <w:rsid w:val="005D4CDB"/>
    <w:rsid w:val="005D5237"/>
    <w:rsid w:val="005D5579"/>
    <w:rsid w:val="005D5783"/>
    <w:rsid w:val="005D5821"/>
    <w:rsid w:val="005D58F0"/>
    <w:rsid w:val="005D5C0C"/>
    <w:rsid w:val="005D5CD2"/>
    <w:rsid w:val="005D5D46"/>
    <w:rsid w:val="005D5E1F"/>
    <w:rsid w:val="005D5F74"/>
    <w:rsid w:val="005D6265"/>
    <w:rsid w:val="005D6343"/>
    <w:rsid w:val="005D67C6"/>
    <w:rsid w:val="005D7C85"/>
    <w:rsid w:val="005E0055"/>
    <w:rsid w:val="005E0200"/>
    <w:rsid w:val="005E031E"/>
    <w:rsid w:val="005E0B28"/>
    <w:rsid w:val="005E0BA0"/>
    <w:rsid w:val="005E0C16"/>
    <w:rsid w:val="005E10FA"/>
    <w:rsid w:val="005E1493"/>
    <w:rsid w:val="005E1C61"/>
    <w:rsid w:val="005E2233"/>
    <w:rsid w:val="005E2366"/>
    <w:rsid w:val="005E2540"/>
    <w:rsid w:val="005E2615"/>
    <w:rsid w:val="005E29A6"/>
    <w:rsid w:val="005E2A99"/>
    <w:rsid w:val="005E2CC7"/>
    <w:rsid w:val="005E2DB5"/>
    <w:rsid w:val="005E2E0E"/>
    <w:rsid w:val="005E2E14"/>
    <w:rsid w:val="005E32B9"/>
    <w:rsid w:val="005E41B9"/>
    <w:rsid w:val="005E451D"/>
    <w:rsid w:val="005E487F"/>
    <w:rsid w:val="005E4C64"/>
    <w:rsid w:val="005E4C92"/>
    <w:rsid w:val="005E4D7B"/>
    <w:rsid w:val="005E54F0"/>
    <w:rsid w:val="005E5616"/>
    <w:rsid w:val="005E573C"/>
    <w:rsid w:val="005E579C"/>
    <w:rsid w:val="005E5AEF"/>
    <w:rsid w:val="005E5C81"/>
    <w:rsid w:val="005E6A08"/>
    <w:rsid w:val="005E6BB6"/>
    <w:rsid w:val="005E73FE"/>
    <w:rsid w:val="005E7543"/>
    <w:rsid w:val="005E760E"/>
    <w:rsid w:val="005E79D7"/>
    <w:rsid w:val="005F0100"/>
    <w:rsid w:val="005F0303"/>
    <w:rsid w:val="005F0765"/>
    <w:rsid w:val="005F0985"/>
    <w:rsid w:val="005F0A5D"/>
    <w:rsid w:val="005F1083"/>
    <w:rsid w:val="005F1745"/>
    <w:rsid w:val="005F19C3"/>
    <w:rsid w:val="005F19F4"/>
    <w:rsid w:val="005F1AC8"/>
    <w:rsid w:val="005F1BCE"/>
    <w:rsid w:val="005F1BCF"/>
    <w:rsid w:val="005F1E2D"/>
    <w:rsid w:val="005F1F35"/>
    <w:rsid w:val="005F1FE5"/>
    <w:rsid w:val="005F253B"/>
    <w:rsid w:val="005F3051"/>
    <w:rsid w:val="005F3ABC"/>
    <w:rsid w:val="005F42AC"/>
    <w:rsid w:val="005F4F60"/>
    <w:rsid w:val="005F5662"/>
    <w:rsid w:val="005F59E1"/>
    <w:rsid w:val="005F5CB9"/>
    <w:rsid w:val="005F6104"/>
    <w:rsid w:val="005F6157"/>
    <w:rsid w:val="005F61D8"/>
    <w:rsid w:val="005F6679"/>
    <w:rsid w:val="005F69AD"/>
    <w:rsid w:val="005F6E9A"/>
    <w:rsid w:val="005F71A9"/>
    <w:rsid w:val="005F73EF"/>
    <w:rsid w:val="005F7AF1"/>
    <w:rsid w:val="005F7C68"/>
    <w:rsid w:val="005F7E86"/>
    <w:rsid w:val="005F7F26"/>
    <w:rsid w:val="00600665"/>
    <w:rsid w:val="00600F29"/>
    <w:rsid w:val="006011DD"/>
    <w:rsid w:val="00601AA0"/>
    <w:rsid w:val="00602435"/>
    <w:rsid w:val="00602729"/>
    <w:rsid w:val="00602752"/>
    <w:rsid w:val="00602918"/>
    <w:rsid w:val="00602B94"/>
    <w:rsid w:val="0060392B"/>
    <w:rsid w:val="006046A0"/>
    <w:rsid w:val="006046C7"/>
    <w:rsid w:val="00604CAC"/>
    <w:rsid w:val="00604D9B"/>
    <w:rsid w:val="0060560E"/>
    <w:rsid w:val="0060572C"/>
    <w:rsid w:val="006063A9"/>
    <w:rsid w:val="006068C7"/>
    <w:rsid w:val="006069C4"/>
    <w:rsid w:val="00606C81"/>
    <w:rsid w:val="0060759A"/>
    <w:rsid w:val="00607717"/>
    <w:rsid w:val="00607A90"/>
    <w:rsid w:val="00607B1A"/>
    <w:rsid w:val="00607BB2"/>
    <w:rsid w:val="006102C3"/>
    <w:rsid w:val="006108B8"/>
    <w:rsid w:val="00610BCB"/>
    <w:rsid w:val="006115DF"/>
    <w:rsid w:val="006116DC"/>
    <w:rsid w:val="00611A09"/>
    <w:rsid w:val="00611A44"/>
    <w:rsid w:val="00611CCA"/>
    <w:rsid w:val="00612C0D"/>
    <w:rsid w:val="00613287"/>
    <w:rsid w:val="00613357"/>
    <w:rsid w:val="006134EB"/>
    <w:rsid w:val="00614025"/>
    <w:rsid w:val="0061409B"/>
    <w:rsid w:val="006140B7"/>
    <w:rsid w:val="00614838"/>
    <w:rsid w:val="0061490B"/>
    <w:rsid w:val="00614EFE"/>
    <w:rsid w:val="006150AD"/>
    <w:rsid w:val="00615876"/>
    <w:rsid w:val="00615B9E"/>
    <w:rsid w:val="006162DE"/>
    <w:rsid w:val="0061674B"/>
    <w:rsid w:val="0061752F"/>
    <w:rsid w:val="00617779"/>
    <w:rsid w:val="00617971"/>
    <w:rsid w:val="00617C84"/>
    <w:rsid w:val="00617E32"/>
    <w:rsid w:val="00621297"/>
    <w:rsid w:val="006218B7"/>
    <w:rsid w:val="00621ADF"/>
    <w:rsid w:val="00621E2D"/>
    <w:rsid w:val="0062261B"/>
    <w:rsid w:val="00622757"/>
    <w:rsid w:val="00622A96"/>
    <w:rsid w:val="00622AB6"/>
    <w:rsid w:val="00622CEA"/>
    <w:rsid w:val="00622E44"/>
    <w:rsid w:val="006233FF"/>
    <w:rsid w:val="00623432"/>
    <w:rsid w:val="00623726"/>
    <w:rsid w:val="0062373C"/>
    <w:rsid w:val="0062380B"/>
    <w:rsid w:val="00623B40"/>
    <w:rsid w:val="0062402D"/>
    <w:rsid w:val="0062431D"/>
    <w:rsid w:val="00624BFD"/>
    <w:rsid w:val="00624FDA"/>
    <w:rsid w:val="00625174"/>
    <w:rsid w:val="00625203"/>
    <w:rsid w:val="00625501"/>
    <w:rsid w:val="0062601E"/>
    <w:rsid w:val="00626409"/>
    <w:rsid w:val="0062643C"/>
    <w:rsid w:val="00627102"/>
    <w:rsid w:val="00627601"/>
    <w:rsid w:val="006279A1"/>
    <w:rsid w:val="00627A80"/>
    <w:rsid w:val="00627F5E"/>
    <w:rsid w:val="00630268"/>
    <w:rsid w:val="006307BB"/>
    <w:rsid w:val="00630DC5"/>
    <w:rsid w:val="00630F75"/>
    <w:rsid w:val="00631157"/>
    <w:rsid w:val="00631264"/>
    <w:rsid w:val="0063139E"/>
    <w:rsid w:val="00631C1E"/>
    <w:rsid w:val="0063271B"/>
    <w:rsid w:val="00633491"/>
    <w:rsid w:val="00633532"/>
    <w:rsid w:val="00633A61"/>
    <w:rsid w:val="0063422F"/>
    <w:rsid w:val="00634662"/>
    <w:rsid w:val="006351D8"/>
    <w:rsid w:val="0063530E"/>
    <w:rsid w:val="006355E3"/>
    <w:rsid w:val="006357E0"/>
    <w:rsid w:val="00636089"/>
    <w:rsid w:val="006361B9"/>
    <w:rsid w:val="006365AD"/>
    <w:rsid w:val="0063679D"/>
    <w:rsid w:val="00636C9A"/>
    <w:rsid w:val="00636EA3"/>
    <w:rsid w:val="00637027"/>
    <w:rsid w:val="006374E9"/>
    <w:rsid w:val="00637E5D"/>
    <w:rsid w:val="00637F6C"/>
    <w:rsid w:val="00640485"/>
    <w:rsid w:val="00640937"/>
    <w:rsid w:val="00640A53"/>
    <w:rsid w:val="00640C53"/>
    <w:rsid w:val="00640E60"/>
    <w:rsid w:val="006410AB"/>
    <w:rsid w:val="00641816"/>
    <w:rsid w:val="00641C67"/>
    <w:rsid w:val="00641E80"/>
    <w:rsid w:val="006421DE"/>
    <w:rsid w:val="00642207"/>
    <w:rsid w:val="006425C4"/>
    <w:rsid w:val="00642751"/>
    <w:rsid w:val="006427C8"/>
    <w:rsid w:val="00643874"/>
    <w:rsid w:val="00643EEE"/>
    <w:rsid w:val="006446CC"/>
    <w:rsid w:val="00645173"/>
    <w:rsid w:val="00645194"/>
    <w:rsid w:val="00645437"/>
    <w:rsid w:val="00645830"/>
    <w:rsid w:val="00645B06"/>
    <w:rsid w:val="00645BF3"/>
    <w:rsid w:val="00645E0D"/>
    <w:rsid w:val="006469ED"/>
    <w:rsid w:val="00646F1A"/>
    <w:rsid w:val="0064700D"/>
    <w:rsid w:val="006470BE"/>
    <w:rsid w:val="00647253"/>
    <w:rsid w:val="0064745D"/>
    <w:rsid w:val="0064772F"/>
    <w:rsid w:val="00647810"/>
    <w:rsid w:val="006479EE"/>
    <w:rsid w:val="00647E38"/>
    <w:rsid w:val="00650170"/>
    <w:rsid w:val="00650216"/>
    <w:rsid w:val="006502C7"/>
    <w:rsid w:val="0065035A"/>
    <w:rsid w:val="00650824"/>
    <w:rsid w:val="00650AAF"/>
    <w:rsid w:val="00650F44"/>
    <w:rsid w:val="00650FD4"/>
    <w:rsid w:val="006517A1"/>
    <w:rsid w:val="006520BB"/>
    <w:rsid w:val="006525DE"/>
    <w:rsid w:val="00652686"/>
    <w:rsid w:val="0065320B"/>
    <w:rsid w:val="00654040"/>
    <w:rsid w:val="0065428C"/>
    <w:rsid w:val="006545CC"/>
    <w:rsid w:val="00654A4C"/>
    <w:rsid w:val="00654D57"/>
    <w:rsid w:val="00654F3A"/>
    <w:rsid w:val="00655388"/>
    <w:rsid w:val="00655AAD"/>
    <w:rsid w:val="00656C6C"/>
    <w:rsid w:val="00656E77"/>
    <w:rsid w:val="00657228"/>
    <w:rsid w:val="0065761A"/>
    <w:rsid w:val="0065761C"/>
    <w:rsid w:val="00657BE1"/>
    <w:rsid w:val="006602F3"/>
    <w:rsid w:val="006606DE"/>
    <w:rsid w:val="00660951"/>
    <w:rsid w:val="00660A56"/>
    <w:rsid w:val="00660FD0"/>
    <w:rsid w:val="006611B9"/>
    <w:rsid w:val="00661774"/>
    <w:rsid w:val="006617DA"/>
    <w:rsid w:val="00661F29"/>
    <w:rsid w:val="00661F63"/>
    <w:rsid w:val="006627F6"/>
    <w:rsid w:val="00662A39"/>
    <w:rsid w:val="00662C21"/>
    <w:rsid w:val="0066309B"/>
    <w:rsid w:val="0066318B"/>
    <w:rsid w:val="006632C3"/>
    <w:rsid w:val="00663467"/>
    <w:rsid w:val="00663523"/>
    <w:rsid w:val="00663C7F"/>
    <w:rsid w:val="00663DAA"/>
    <w:rsid w:val="0066426F"/>
    <w:rsid w:val="00664353"/>
    <w:rsid w:val="00664417"/>
    <w:rsid w:val="00664815"/>
    <w:rsid w:val="00664A94"/>
    <w:rsid w:val="006655D2"/>
    <w:rsid w:val="00665B85"/>
    <w:rsid w:val="00666B52"/>
    <w:rsid w:val="00666C39"/>
    <w:rsid w:val="00666D67"/>
    <w:rsid w:val="00666ECB"/>
    <w:rsid w:val="0066704B"/>
    <w:rsid w:val="00670AA9"/>
    <w:rsid w:val="00670D4D"/>
    <w:rsid w:val="00670FA5"/>
    <w:rsid w:val="006715EE"/>
    <w:rsid w:val="00671783"/>
    <w:rsid w:val="006718B3"/>
    <w:rsid w:val="00671C24"/>
    <w:rsid w:val="00671EC2"/>
    <w:rsid w:val="00671F03"/>
    <w:rsid w:val="0067206C"/>
    <w:rsid w:val="00672927"/>
    <w:rsid w:val="00672A2D"/>
    <w:rsid w:val="0067376B"/>
    <w:rsid w:val="0067386D"/>
    <w:rsid w:val="00673BFF"/>
    <w:rsid w:val="00673EFF"/>
    <w:rsid w:val="00673F57"/>
    <w:rsid w:val="00674326"/>
    <w:rsid w:val="0067433B"/>
    <w:rsid w:val="00674BD4"/>
    <w:rsid w:val="006750B8"/>
    <w:rsid w:val="006765E5"/>
    <w:rsid w:val="00676609"/>
    <w:rsid w:val="006778FC"/>
    <w:rsid w:val="00677CCE"/>
    <w:rsid w:val="00681144"/>
    <w:rsid w:val="006811C6"/>
    <w:rsid w:val="00681513"/>
    <w:rsid w:val="006816C5"/>
    <w:rsid w:val="00681B2A"/>
    <w:rsid w:val="006825F2"/>
    <w:rsid w:val="006828C8"/>
    <w:rsid w:val="0068296E"/>
    <w:rsid w:val="006830FE"/>
    <w:rsid w:val="00683188"/>
    <w:rsid w:val="006836FB"/>
    <w:rsid w:val="0068381D"/>
    <w:rsid w:val="00684990"/>
    <w:rsid w:val="00684A8A"/>
    <w:rsid w:val="00684B44"/>
    <w:rsid w:val="00685136"/>
    <w:rsid w:val="006852D9"/>
    <w:rsid w:val="00685685"/>
    <w:rsid w:val="00685939"/>
    <w:rsid w:val="006859E1"/>
    <w:rsid w:val="00685B11"/>
    <w:rsid w:val="00686202"/>
    <w:rsid w:val="006862B8"/>
    <w:rsid w:val="00686600"/>
    <w:rsid w:val="00686761"/>
    <w:rsid w:val="00686AB5"/>
    <w:rsid w:val="00686B79"/>
    <w:rsid w:val="00686BD6"/>
    <w:rsid w:val="00686D73"/>
    <w:rsid w:val="00686DAB"/>
    <w:rsid w:val="00687375"/>
    <w:rsid w:val="006900F6"/>
    <w:rsid w:val="00690423"/>
    <w:rsid w:val="006904F0"/>
    <w:rsid w:val="0069090A"/>
    <w:rsid w:val="006913CE"/>
    <w:rsid w:val="00691D3C"/>
    <w:rsid w:val="00691DE2"/>
    <w:rsid w:val="00692463"/>
    <w:rsid w:val="006924CD"/>
    <w:rsid w:val="00692516"/>
    <w:rsid w:val="006925CF"/>
    <w:rsid w:val="00692BE7"/>
    <w:rsid w:val="0069364E"/>
    <w:rsid w:val="006936E8"/>
    <w:rsid w:val="00693CED"/>
    <w:rsid w:val="006944F7"/>
    <w:rsid w:val="00694906"/>
    <w:rsid w:val="00694EDB"/>
    <w:rsid w:val="00695369"/>
    <w:rsid w:val="006955C9"/>
    <w:rsid w:val="00695AF1"/>
    <w:rsid w:val="00695DD5"/>
    <w:rsid w:val="00696D2F"/>
    <w:rsid w:val="006970A3"/>
    <w:rsid w:val="00697280"/>
    <w:rsid w:val="00697350"/>
    <w:rsid w:val="006973D8"/>
    <w:rsid w:val="00697722"/>
    <w:rsid w:val="00697A1C"/>
    <w:rsid w:val="00697BCD"/>
    <w:rsid w:val="00697BE5"/>
    <w:rsid w:val="00697C54"/>
    <w:rsid w:val="006A02F0"/>
    <w:rsid w:val="006A035A"/>
    <w:rsid w:val="006A05EC"/>
    <w:rsid w:val="006A0741"/>
    <w:rsid w:val="006A0999"/>
    <w:rsid w:val="006A0A5F"/>
    <w:rsid w:val="006A0CD6"/>
    <w:rsid w:val="006A0E77"/>
    <w:rsid w:val="006A0F4F"/>
    <w:rsid w:val="006A0FCE"/>
    <w:rsid w:val="006A115E"/>
    <w:rsid w:val="006A1552"/>
    <w:rsid w:val="006A2789"/>
    <w:rsid w:val="006A2A4B"/>
    <w:rsid w:val="006A2BEF"/>
    <w:rsid w:val="006A2E34"/>
    <w:rsid w:val="006A347F"/>
    <w:rsid w:val="006A3485"/>
    <w:rsid w:val="006A370B"/>
    <w:rsid w:val="006A3DDA"/>
    <w:rsid w:val="006A44BB"/>
    <w:rsid w:val="006A47B4"/>
    <w:rsid w:val="006A4EC5"/>
    <w:rsid w:val="006A5065"/>
    <w:rsid w:val="006A512B"/>
    <w:rsid w:val="006A5131"/>
    <w:rsid w:val="006A550E"/>
    <w:rsid w:val="006A5998"/>
    <w:rsid w:val="006A5BEE"/>
    <w:rsid w:val="006A5D79"/>
    <w:rsid w:val="006A5F85"/>
    <w:rsid w:val="006A6B93"/>
    <w:rsid w:val="006A6BD1"/>
    <w:rsid w:val="006A6DF2"/>
    <w:rsid w:val="006A7489"/>
    <w:rsid w:val="006A77E6"/>
    <w:rsid w:val="006A7871"/>
    <w:rsid w:val="006A7907"/>
    <w:rsid w:val="006A7B8D"/>
    <w:rsid w:val="006A7D5D"/>
    <w:rsid w:val="006B0141"/>
    <w:rsid w:val="006B03B8"/>
    <w:rsid w:val="006B0912"/>
    <w:rsid w:val="006B0956"/>
    <w:rsid w:val="006B11E8"/>
    <w:rsid w:val="006B1451"/>
    <w:rsid w:val="006B1778"/>
    <w:rsid w:val="006B1836"/>
    <w:rsid w:val="006B1A9C"/>
    <w:rsid w:val="006B1E6A"/>
    <w:rsid w:val="006B20F4"/>
    <w:rsid w:val="006B21A6"/>
    <w:rsid w:val="006B256E"/>
    <w:rsid w:val="006B2A2A"/>
    <w:rsid w:val="006B2E21"/>
    <w:rsid w:val="006B308F"/>
    <w:rsid w:val="006B331C"/>
    <w:rsid w:val="006B367E"/>
    <w:rsid w:val="006B38C8"/>
    <w:rsid w:val="006B3977"/>
    <w:rsid w:val="006B3A8E"/>
    <w:rsid w:val="006B414E"/>
    <w:rsid w:val="006B4A71"/>
    <w:rsid w:val="006B4CB8"/>
    <w:rsid w:val="006B55D3"/>
    <w:rsid w:val="006B56B5"/>
    <w:rsid w:val="006B6183"/>
    <w:rsid w:val="006B626F"/>
    <w:rsid w:val="006B66FB"/>
    <w:rsid w:val="006B6ACC"/>
    <w:rsid w:val="006B6D21"/>
    <w:rsid w:val="006B7204"/>
    <w:rsid w:val="006B7339"/>
    <w:rsid w:val="006C010A"/>
    <w:rsid w:val="006C0B48"/>
    <w:rsid w:val="006C0CD5"/>
    <w:rsid w:val="006C0EC8"/>
    <w:rsid w:val="006C165E"/>
    <w:rsid w:val="006C1677"/>
    <w:rsid w:val="006C1A02"/>
    <w:rsid w:val="006C1A7E"/>
    <w:rsid w:val="006C1D9E"/>
    <w:rsid w:val="006C2270"/>
    <w:rsid w:val="006C2458"/>
    <w:rsid w:val="006C2C78"/>
    <w:rsid w:val="006C2C92"/>
    <w:rsid w:val="006C2F17"/>
    <w:rsid w:val="006C312A"/>
    <w:rsid w:val="006C390E"/>
    <w:rsid w:val="006C39D5"/>
    <w:rsid w:val="006C3C5F"/>
    <w:rsid w:val="006C3CC9"/>
    <w:rsid w:val="006C45C6"/>
    <w:rsid w:val="006C55CA"/>
    <w:rsid w:val="006C56EB"/>
    <w:rsid w:val="006C5BE4"/>
    <w:rsid w:val="006C68B2"/>
    <w:rsid w:val="006C6A4D"/>
    <w:rsid w:val="006C6AFF"/>
    <w:rsid w:val="006C72DA"/>
    <w:rsid w:val="006C77CC"/>
    <w:rsid w:val="006D01B7"/>
    <w:rsid w:val="006D1876"/>
    <w:rsid w:val="006D1CEB"/>
    <w:rsid w:val="006D1DBB"/>
    <w:rsid w:val="006D3271"/>
    <w:rsid w:val="006D32C7"/>
    <w:rsid w:val="006D3419"/>
    <w:rsid w:val="006D352F"/>
    <w:rsid w:val="006D3924"/>
    <w:rsid w:val="006D3942"/>
    <w:rsid w:val="006D3B0C"/>
    <w:rsid w:val="006D3C06"/>
    <w:rsid w:val="006D4406"/>
    <w:rsid w:val="006D4425"/>
    <w:rsid w:val="006D4CEF"/>
    <w:rsid w:val="006D50B1"/>
    <w:rsid w:val="006D5185"/>
    <w:rsid w:val="006D51E2"/>
    <w:rsid w:val="006D569D"/>
    <w:rsid w:val="006D5725"/>
    <w:rsid w:val="006D5803"/>
    <w:rsid w:val="006D5BA0"/>
    <w:rsid w:val="006D6812"/>
    <w:rsid w:val="006D69CC"/>
    <w:rsid w:val="006D6DCB"/>
    <w:rsid w:val="006D76B1"/>
    <w:rsid w:val="006D792A"/>
    <w:rsid w:val="006D7A56"/>
    <w:rsid w:val="006D7BAF"/>
    <w:rsid w:val="006D7BF4"/>
    <w:rsid w:val="006E005A"/>
    <w:rsid w:val="006E021E"/>
    <w:rsid w:val="006E0354"/>
    <w:rsid w:val="006E05A2"/>
    <w:rsid w:val="006E09AB"/>
    <w:rsid w:val="006E0A3E"/>
    <w:rsid w:val="006E0CFE"/>
    <w:rsid w:val="006E1A23"/>
    <w:rsid w:val="006E1B68"/>
    <w:rsid w:val="006E2000"/>
    <w:rsid w:val="006E212B"/>
    <w:rsid w:val="006E32C2"/>
    <w:rsid w:val="006E32E9"/>
    <w:rsid w:val="006E3532"/>
    <w:rsid w:val="006E35B8"/>
    <w:rsid w:val="006E3833"/>
    <w:rsid w:val="006E3E0C"/>
    <w:rsid w:val="006E41A8"/>
    <w:rsid w:val="006E449C"/>
    <w:rsid w:val="006E481A"/>
    <w:rsid w:val="006E4BD0"/>
    <w:rsid w:val="006E4DF8"/>
    <w:rsid w:val="006E5104"/>
    <w:rsid w:val="006E52AB"/>
    <w:rsid w:val="006E6823"/>
    <w:rsid w:val="006E72F9"/>
    <w:rsid w:val="006E7671"/>
    <w:rsid w:val="006E7979"/>
    <w:rsid w:val="006E7AB4"/>
    <w:rsid w:val="006E7F4E"/>
    <w:rsid w:val="006E7FD2"/>
    <w:rsid w:val="006F00DE"/>
    <w:rsid w:val="006F01FB"/>
    <w:rsid w:val="006F02AF"/>
    <w:rsid w:val="006F03A8"/>
    <w:rsid w:val="006F03F6"/>
    <w:rsid w:val="006F0769"/>
    <w:rsid w:val="006F0A5E"/>
    <w:rsid w:val="006F13DC"/>
    <w:rsid w:val="006F1757"/>
    <w:rsid w:val="006F2198"/>
    <w:rsid w:val="006F257A"/>
    <w:rsid w:val="006F2DDD"/>
    <w:rsid w:val="006F2F44"/>
    <w:rsid w:val="006F3054"/>
    <w:rsid w:val="006F34CD"/>
    <w:rsid w:val="006F3EF3"/>
    <w:rsid w:val="006F3F52"/>
    <w:rsid w:val="006F41FD"/>
    <w:rsid w:val="006F473F"/>
    <w:rsid w:val="006F4C3D"/>
    <w:rsid w:val="006F4DC6"/>
    <w:rsid w:val="006F5B74"/>
    <w:rsid w:val="006F61BB"/>
    <w:rsid w:val="006F62AD"/>
    <w:rsid w:val="006F6518"/>
    <w:rsid w:val="006F6876"/>
    <w:rsid w:val="006F7B39"/>
    <w:rsid w:val="006F7D8B"/>
    <w:rsid w:val="006F7DD3"/>
    <w:rsid w:val="00700873"/>
    <w:rsid w:val="00700F7B"/>
    <w:rsid w:val="0070151B"/>
    <w:rsid w:val="00702037"/>
    <w:rsid w:val="0070224D"/>
    <w:rsid w:val="00702623"/>
    <w:rsid w:val="00702BA3"/>
    <w:rsid w:val="00703C5B"/>
    <w:rsid w:val="00703CA9"/>
    <w:rsid w:val="00703F5F"/>
    <w:rsid w:val="00703FB0"/>
    <w:rsid w:val="00704109"/>
    <w:rsid w:val="0070429D"/>
    <w:rsid w:val="00704566"/>
    <w:rsid w:val="007047CF"/>
    <w:rsid w:val="007047DB"/>
    <w:rsid w:val="00704813"/>
    <w:rsid w:val="0070494F"/>
    <w:rsid w:val="00704AD3"/>
    <w:rsid w:val="00704B60"/>
    <w:rsid w:val="00705263"/>
    <w:rsid w:val="0070546D"/>
    <w:rsid w:val="00705586"/>
    <w:rsid w:val="00705AC0"/>
    <w:rsid w:val="0070617E"/>
    <w:rsid w:val="007066F5"/>
    <w:rsid w:val="007066F6"/>
    <w:rsid w:val="00706DF2"/>
    <w:rsid w:val="00707162"/>
    <w:rsid w:val="007075CF"/>
    <w:rsid w:val="00707720"/>
    <w:rsid w:val="00707CA0"/>
    <w:rsid w:val="00710848"/>
    <w:rsid w:val="007109BF"/>
    <w:rsid w:val="00711108"/>
    <w:rsid w:val="00711B3D"/>
    <w:rsid w:val="00711F3A"/>
    <w:rsid w:val="0071205F"/>
    <w:rsid w:val="007120B1"/>
    <w:rsid w:val="007121B9"/>
    <w:rsid w:val="00712D16"/>
    <w:rsid w:val="00712DD9"/>
    <w:rsid w:val="00712F4F"/>
    <w:rsid w:val="00713016"/>
    <w:rsid w:val="007135B4"/>
    <w:rsid w:val="00713978"/>
    <w:rsid w:val="00713B93"/>
    <w:rsid w:val="00713FB2"/>
    <w:rsid w:val="007143E5"/>
    <w:rsid w:val="007147FE"/>
    <w:rsid w:val="0071481E"/>
    <w:rsid w:val="00714865"/>
    <w:rsid w:val="00714C08"/>
    <w:rsid w:val="00714F06"/>
    <w:rsid w:val="007154D9"/>
    <w:rsid w:val="0071675B"/>
    <w:rsid w:val="007168C3"/>
    <w:rsid w:val="00716AE1"/>
    <w:rsid w:val="00716CA6"/>
    <w:rsid w:val="00716D57"/>
    <w:rsid w:val="00717155"/>
    <w:rsid w:val="007172F3"/>
    <w:rsid w:val="007173AC"/>
    <w:rsid w:val="00717804"/>
    <w:rsid w:val="00720140"/>
    <w:rsid w:val="00720210"/>
    <w:rsid w:val="00720615"/>
    <w:rsid w:val="007206AF"/>
    <w:rsid w:val="007208F0"/>
    <w:rsid w:val="00720B95"/>
    <w:rsid w:val="007210A7"/>
    <w:rsid w:val="007211D4"/>
    <w:rsid w:val="00721FE4"/>
    <w:rsid w:val="007220C3"/>
    <w:rsid w:val="00722CFA"/>
    <w:rsid w:val="00722F01"/>
    <w:rsid w:val="00722F37"/>
    <w:rsid w:val="00722F3B"/>
    <w:rsid w:val="007230BC"/>
    <w:rsid w:val="00723344"/>
    <w:rsid w:val="0072343B"/>
    <w:rsid w:val="00723451"/>
    <w:rsid w:val="007235F7"/>
    <w:rsid w:val="007237ED"/>
    <w:rsid w:val="007238BC"/>
    <w:rsid w:val="00723BDF"/>
    <w:rsid w:val="00723BF4"/>
    <w:rsid w:val="00723D38"/>
    <w:rsid w:val="0072416A"/>
    <w:rsid w:val="007244E1"/>
    <w:rsid w:val="007248DB"/>
    <w:rsid w:val="00725123"/>
    <w:rsid w:val="0072539D"/>
    <w:rsid w:val="00725ACE"/>
    <w:rsid w:val="00725F62"/>
    <w:rsid w:val="0072684C"/>
    <w:rsid w:val="00726FA5"/>
    <w:rsid w:val="007279ED"/>
    <w:rsid w:val="00727A5F"/>
    <w:rsid w:val="00727D3F"/>
    <w:rsid w:val="0073004C"/>
    <w:rsid w:val="00730BD6"/>
    <w:rsid w:val="00730BF5"/>
    <w:rsid w:val="00730EC5"/>
    <w:rsid w:val="00730ECF"/>
    <w:rsid w:val="00731284"/>
    <w:rsid w:val="00731392"/>
    <w:rsid w:val="00731494"/>
    <w:rsid w:val="0073204E"/>
    <w:rsid w:val="0073219A"/>
    <w:rsid w:val="00732488"/>
    <w:rsid w:val="00732896"/>
    <w:rsid w:val="007328EB"/>
    <w:rsid w:val="00733003"/>
    <w:rsid w:val="00733690"/>
    <w:rsid w:val="0073389F"/>
    <w:rsid w:val="00733C1C"/>
    <w:rsid w:val="007341E7"/>
    <w:rsid w:val="00734307"/>
    <w:rsid w:val="007343C8"/>
    <w:rsid w:val="0073442A"/>
    <w:rsid w:val="007344C7"/>
    <w:rsid w:val="00734A9C"/>
    <w:rsid w:val="00734CFB"/>
    <w:rsid w:val="007357E9"/>
    <w:rsid w:val="0073588B"/>
    <w:rsid w:val="0073597B"/>
    <w:rsid w:val="00735B8C"/>
    <w:rsid w:val="00735BEB"/>
    <w:rsid w:val="0073659B"/>
    <w:rsid w:val="00737290"/>
    <w:rsid w:val="00737653"/>
    <w:rsid w:val="007378AE"/>
    <w:rsid w:val="00737ACE"/>
    <w:rsid w:val="00737C3B"/>
    <w:rsid w:val="00737CE7"/>
    <w:rsid w:val="00737E34"/>
    <w:rsid w:val="00737EE3"/>
    <w:rsid w:val="00740302"/>
    <w:rsid w:val="007403F5"/>
    <w:rsid w:val="0074044C"/>
    <w:rsid w:val="00740458"/>
    <w:rsid w:val="007407A6"/>
    <w:rsid w:val="007408D5"/>
    <w:rsid w:val="00740994"/>
    <w:rsid w:val="00740B4F"/>
    <w:rsid w:val="00740C02"/>
    <w:rsid w:val="00740D6D"/>
    <w:rsid w:val="0074101C"/>
    <w:rsid w:val="007412AD"/>
    <w:rsid w:val="007418E6"/>
    <w:rsid w:val="00741D3F"/>
    <w:rsid w:val="00742ADB"/>
    <w:rsid w:val="00742C82"/>
    <w:rsid w:val="00743007"/>
    <w:rsid w:val="00743040"/>
    <w:rsid w:val="007431F3"/>
    <w:rsid w:val="007432F9"/>
    <w:rsid w:val="00743A05"/>
    <w:rsid w:val="00743A90"/>
    <w:rsid w:val="007442A7"/>
    <w:rsid w:val="00744431"/>
    <w:rsid w:val="00744795"/>
    <w:rsid w:val="007448AB"/>
    <w:rsid w:val="00744A99"/>
    <w:rsid w:val="00744FF1"/>
    <w:rsid w:val="00745180"/>
    <w:rsid w:val="0074559F"/>
    <w:rsid w:val="00745928"/>
    <w:rsid w:val="00745BED"/>
    <w:rsid w:val="00746519"/>
    <w:rsid w:val="00746764"/>
    <w:rsid w:val="007469DA"/>
    <w:rsid w:val="00746D76"/>
    <w:rsid w:val="007472FA"/>
    <w:rsid w:val="00747872"/>
    <w:rsid w:val="00747E24"/>
    <w:rsid w:val="00750655"/>
    <w:rsid w:val="00750676"/>
    <w:rsid w:val="00750D4A"/>
    <w:rsid w:val="00750D4D"/>
    <w:rsid w:val="00750D90"/>
    <w:rsid w:val="00750F54"/>
    <w:rsid w:val="00751086"/>
    <w:rsid w:val="0075128F"/>
    <w:rsid w:val="00751753"/>
    <w:rsid w:val="007517C5"/>
    <w:rsid w:val="00751BF7"/>
    <w:rsid w:val="007520A5"/>
    <w:rsid w:val="007527B2"/>
    <w:rsid w:val="007528B4"/>
    <w:rsid w:val="00752B0D"/>
    <w:rsid w:val="00753398"/>
    <w:rsid w:val="007533A7"/>
    <w:rsid w:val="00753AA9"/>
    <w:rsid w:val="00753C58"/>
    <w:rsid w:val="00754156"/>
    <w:rsid w:val="00754346"/>
    <w:rsid w:val="00754A64"/>
    <w:rsid w:val="00754BDF"/>
    <w:rsid w:val="00754D4B"/>
    <w:rsid w:val="007550B8"/>
    <w:rsid w:val="007559C0"/>
    <w:rsid w:val="00755BBB"/>
    <w:rsid w:val="0075665B"/>
    <w:rsid w:val="007569DE"/>
    <w:rsid w:val="00756C2C"/>
    <w:rsid w:val="00756E12"/>
    <w:rsid w:val="00756F36"/>
    <w:rsid w:val="00757095"/>
    <w:rsid w:val="0075772C"/>
    <w:rsid w:val="007577CE"/>
    <w:rsid w:val="00757903"/>
    <w:rsid w:val="00757ACB"/>
    <w:rsid w:val="00757C99"/>
    <w:rsid w:val="007605EE"/>
    <w:rsid w:val="007608CC"/>
    <w:rsid w:val="007608E7"/>
    <w:rsid w:val="00760D9B"/>
    <w:rsid w:val="00760E64"/>
    <w:rsid w:val="00760E72"/>
    <w:rsid w:val="00760F38"/>
    <w:rsid w:val="0076121E"/>
    <w:rsid w:val="00761AE9"/>
    <w:rsid w:val="00762621"/>
    <w:rsid w:val="00762C97"/>
    <w:rsid w:val="00762D64"/>
    <w:rsid w:val="00762EA1"/>
    <w:rsid w:val="00763BE2"/>
    <w:rsid w:val="00763F44"/>
    <w:rsid w:val="007641F7"/>
    <w:rsid w:val="007649E5"/>
    <w:rsid w:val="00764E3E"/>
    <w:rsid w:val="00764F5B"/>
    <w:rsid w:val="0076500C"/>
    <w:rsid w:val="007652DE"/>
    <w:rsid w:val="007653E5"/>
    <w:rsid w:val="00765421"/>
    <w:rsid w:val="00765E64"/>
    <w:rsid w:val="0076626B"/>
    <w:rsid w:val="007662C8"/>
    <w:rsid w:val="0076647A"/>
    <w:rsid w:val="0076680A"/>
    <w:rsid w:val="007669A3"/>
    <w:rsid w:val="00766B16"/>
    <w:rsid w:val="0076718B"/>
    <w:rsid w:val="007672E1"/>
    <w:rsid w:val="00767592"/>
    <w:rsid w:val="0076791E"/>
    <w:rsid w:val="00767A7D"/>
    <w:rsid w:val="00767AA4"/>
    <w:rsid w:val="00770186"/>
    <w:rsid w:val="007704C3"/>
    <w:rsid w:val="00770507"/>
    <w:rsid w:val="00770CE7"/>
    <w:rsid w:val="007717A7"/>
    <w:rsid w:val="007717AE"/>
    <w:rsid w:val="007729D6"/>
    <w:rsid w:val="0077309B"/>
    <w:rsid w:val="00773202"/>
    <w:rsid w:val="00773A13"/>
    <w:rsid w:val="007740B2"/>
    <w:rsid w:val="00774EBD"/>
    <w:rsid w:val="00774F6A"/>
    <w:rsid w:val="00775286"/>
    <w:rsid w:val="00775305"/>
    <w:rsid w:val="007758F0"/>
    <w:rsid w:val="0077590F"/>
    <w:rsid w:val="007759B5"/>
    <w:rsid w:val="00775BC5"/>
    <w:rsid w:val="00775E4D"/>
    <w:rsid w:val="00776167"/>
    <w:rsid w:val="007763E2"/>
    <w:rsid w:val="0077663F"/>
    <w:rsid w:val="00776AC5"/>
    <w:rsid w:val="00776F01"/>
    <w:rsid w:val="00777132"/>
    <w:rsid w:val="007779DA"/>
    <w:rsid w:val="00777BD6"/>
    <w:rsid w:val="00777D13"/>
    <w:rsid w:val="00777FFE"/>
    <w:rsid w:val="00780005"/>
    <w:rsid w:val="00780088"/>
    <w:rsid w:val="00780561"/>
    <w:rsid w:val="00781309"/>
    <w:rsid w:val="0078187A"/>
    <w:rsid w:val="00781E57"/>
    <w:rsid w:val="0078202E"/>
    <w:rsid w:val="0078237A"/>
    <w:rsid w:val="0078255A"/>
    <w:rsid w:val="007827A8"/>
    <w:rsid w:val="00782A5E"/>
    <w:rsid w:val="00782A75"/>
    <w:rsid w:val="00782DB7"/>
    <w:rsid w:val="00782F60"/>
    <w:rsid w:val="007831C5"/>
    <w:rsid w:val="00783476"/>
    <w:rsid w:val="00783497"/>
    <w:rsid w:val="00784078"/>
    <w:rsid w:val="00784A07"/>
    <w:rsid w:val="007855A7"/>
    <w:rsid w:val="007859B6"/>
    <w:rsid w:val="00785FA6"/>
    <w:rsid w:val="00786A40"/>
    <w:rsid w:val="00786F67"/>
    <w:rsid w:val="00787937"/>
    <w:rsid w:val="00787D25"/>
    <w:rsid w:val="00787E23"/>
    <w:rsid w:val="00790819"/>
    <w:rsid w:val="007909C4"/>
    <w:rsid w:val="00791B55"/>
    <w:rsid w:val="00792625"/>
    <w:rsid w:val="00792720"/>
    <w:rsid w:val="00792CD8"/>
    <w:rsid w:val="0079310C"/>
    <w:rsid w:val="00793113"/>
    <w:rsid w:val="0079338E"/>
    <w:rsid w:val="007933F0"/>
    <w:rsid w:val="00793830"/>
    <w:rsid w:val="00793894"/>
    <w:rsid w:val="0079432C"/>
    <w:rsid w:val="0079491A"/>
    <w:rsid w:val="00794C79"/>
    <w:rsid w:val="0079589E"/>
    <w:rsid w:val="00795A7B"/>
    <w:rsid w:val="00795B29"/>
    <w:rsid w:val="00795BBF"/>
    <w:rsid w:val="00795D67"/>
    <w:rsid w:val="00795EB9"/>
    <w:rsid w:val="007963F7"/>
    <w:rsid w:val="007966A3"/>
    <w:rsid w:val="007967BA"/>
    <w:rsid w:val="00796F38"/>
    <w:rsid w:val="00797600"/>
    <w:rsid w:val="00797B66"/>
    <w:rsid w:val="007A00CB"/>
    <w:rsid w:val="007A0758"/>
    <w:rsid w:val="007A087B"/>
    <w:rsid w:val="007A0EAE"/>
    <w:rsid w:val="007A1087"/>
    <w:rsid w:val="007A13D1"/>
    <w:rsid w:val="007A2BF5"/>
    <w:rsid w:val="007A30C1"/>
    <w:rsid w:val="007A3455"/>
    <w:rsid w:val="007A3A4D"/>
    <w:rsid w:val="007A3E39"/>
    <w:rsid w:val="007A40F5"/>
    <w:rsid w:val="007A4305"/>
    <w:rsid w:val="007A4429"/>
    <w:rsid w:val="007A5174"/>
    <w:rsid w:val="007A522F"/>
    <w:rsid w:val="007A57FD"/>
    <w:rsid w:val="007A58C3"/>
    <w:rsid w:val="007A5C37"/>
    <w:rsid w:val="007A5F19"/>
    <w:rsid w:val="007A6036"/>
    <w:rsid w:val="007A6267"/>
    <w:rsid w:val="007A682C"/>
    <w:rsid w:val="007A690D"/>
    <w:rsid w:val="007A7AD2"/>
    <w:rsid w:val="007A7D00"/>
    <w:rsid w:val="007B0542"/>
    <w:rsid w:val="007B07BC"/>
    <w:rsid w:val="007B12FE"/>
    <w:rsid w:val="007B145D"/>
    <w:rsid w:val="007B14AE"/>
    <w:rsid w:val="007B1580"/>
    <w:rsid w:val="007B17D8"/>
    <w:rsid w:val="007B1914"/>
    <w:rsid w:val="007B2035"/>
    <w:rsid w:val="007B25FC"/>
    <w:rsid w:val="007B2623"/>
    <w:rsid w:val="007B274E"/>
    <w:rsid w:val="007B2EF0"/>
    <w:rsid w:val="007B3577"/>
    <w:rsid w:val="007B36B4"/>
    <w:rsid w:val="007B3A17"/>
    <w:rsid w:val="007B3A68"/>
    <w:rsid w:val="007B41DC"/>
    <w:rsid w:val="007B4296"/>
    <w:rsid w:val="007B4649"/>
    <w:rsid w:val="007B49A5"/>
    <w:rsid w:val="007B4A12"/>
    <w:rsid w:val="007B56D4"/>
    <w:rsid w:val="007B57B4"/>
    <w:rsid w:val="007B5D65"/>
    <w:rsid w:val="007B67A4"/>
    <w:rsid w:val="007B6FF4"/>
    <w:rsid w:val="007B706C"/>
    <w:rsid w:val="007B7409"/>
    <w:rsid w:val="007B759F"/>
    <w:rsid w:val="007B7974"/>
    <w:rsid w:val="007B7CC2"/>
    <w:rsid w:val="007C0378"/>
    <w:rsid w:val="007C0DD0"/>
    <w:rsid w:val="007C1081"/>
    <w:rsid w:val="007C1BB4"/>
    <w:rsid w:val="007C1FFA"/>
    <w:rsid w:val="007C32A4"/>
    <w:rsid w:val="007C32C6"/>
    <w:rsid w:val="007C33BB"/>
    <w:rsid w:val="007C39E7"/>
    <w:rsid w:val="007C3FEB"/>
    <w:rsid w:val="007C4E20"/>
    <w:rsid w:val="007C4E47"/>
    <w:rsid w:val="007C4EC8"/>
    <w:rsid w:val="007C5584"/>
    <w:rsid w:val="007C5727"/>
    <w:rsid w:val="007C57C1"/>
    <w:rsid w:val="007C57D9"/>
    <w:rsid w:val="007C5A8B"/>
    <w:rsid w:val="007C6025"/>
    <w:rsid w:val="007C6307"/>
    <w:rsid w:val="007C6785"/>
    <w:rsid w:val="007C67B8"/>
    <w:rsid w:val="007C6F91"/>
    <w:rsid w:val="007C79F2"/>
    <w:rsid w:val="007C7F53"/>
    <w:rsid w:val="007D02D1"/>
    <w:rsid w:val="007D0C69"/>
    <w:rsid w:val="007D1051"/>
    <w:rsid w:val="007D118E"/>
    <w:rsid w:val="007D133B"/>
    <w:rsid w:val="007D13A1"/>
    <w:rsid w:val="007D1C05"/>
    <w:rsid w:val="007D20E4"/>
    <w:rsid w:val="007D26DC"/>
    <w:rsid w:val="007D2EDA"/>
    <w:rsid w:val="007D3154"/>
    <w:rsid w:val="007D32D0"/>
    <w:rsid w:val="007D37D4"/>
    <w:rsid w:val="007D4136"/>
    <w:rsid w:val="007D425D"/>
    <w:rsid w:val="007D5415"/>
    <w:rsid w:val="007D59C4"/>
    <w:rsid w:val="007D5B3F"/>
    <w:rsid w:val="007D6117"/>
    <w:rsid w:val="007D6213"/>
    <w:rsid w:val="007D6522"/>
    <w:rsid w:val="007D661F"/>
    <w:rsid w:val="007D6DB9"/>
    <w:rsid w:val="007D6FFE"/>
    <w:rsid w:val="007D708E"/>
    <w:rsid w:val="007D7460"/>
    <w:rsid w:val="007D7791"/>
    <w:rsid w:val="007D78BF"/>
    <w:rsid w:val="007D79FE"/>
    <w:rsid w:val="007D7FFA"/>
    <w:rsid w:val="007E0A41"/>
    <w:rsid w:val="007E12A3"/>
    <w:rsid w:val="007E1B1B"/>
    <w:rsid w:val="007E20F3"/>
    <w:rsid w:val="007E2271"/>
    <w:rsid w:val="007E257D"/>
    <w:rsid w:val="007E266F"/>
    <w:rsid w:val="007E2726"/>
    <w:rsid w:val="007E34E8"/>
    <w:rsid w:val="007E373A"/>
    <w:rsid w:val="007E38C4"/>
    <w:rsid w:val="007E3981"/>
    <w:rsid w:val="007E3DCA"/>
    <w:rsid w:val="007E40E8"/>
    <w:rsid w:val="007E42F3"/>
    <w:rsid w:val="007E47C0"/>
    <w:rsid w:val="007E4B2E"/>
    <w:rsid w:val="007E4DA0"/>
    <w:rsid w:val="007E4FCB"/>
    <w:rsid w:val="007E50C5"/>
    <w:rsid w:val="007E518A"/>
    <w:rsid w:val="007E553A"/>
    <w:rsid w:val="007E55A1"/>
    <w:rsid w:val="007E56FB"/>
    <w:rsid w:val="007E5ADC"/>
    <w:rsid w:val="007E5C51"/>
    <w:rsid w:val="007E62A9"/>
    <w:rsid w:val="007E66B8"/>
    <w:rsid w:val="007E6799"/>
    <w:rsid w:val="007E6FD6"/>
    <w:rsid w:val="007E7123"/>
    <w:rsid w:val="007E78B0"/>
    <w:rsid w:val="007E795D"/>
    <w:rsid w:val="007E7B4C"/>
    <w:rsid w:val="007F028A"/>
    <w:rsid w:val="007F08D7"/>
    <w:rsid w:val="007F097D"/>
    <w:rsid w:val="007F09CA"/>
    <w:rsid w:val="007F1F3A"/>
    <w:rsid w:val="007F219F"/>
    <w:rsid w:val="007F29F8"/>
    <w:rsid w:val="007F2BB6"/>
    <w:rsid w:val="007F2E99"/>
    <w:rsid w:val="007F3123"/>
    <w:rsid w:val="007F32AB"/>
    <w:rsid w:val="007F358A"/>
    <w:rsid w:val="007F3A9F"/>
    <w:rsid w:val="007F3AFB"/>
    <w:rsid w:val="007F3BFE"/>
    <w:rsid w:val="007F41C0"/>
    <w:rsid w:val="007F42BD"/>
    <w:rsid w:val="007F42DD"/>
    <w:rsid w:val="007F4982"/>
    <w:rsid w:val="007F4A8C"/>
    <w:rsid w:val="007F4F79"/>
    <w:rsid w:val="007F5682"/>
    <w:rsid w:val="007F5D5E"/>
    <w:rsid w:val="007F63B2"/>
    <w:rsid w:val="007F64FE"/>
    <w:rsid w:val="007F6851"/>
    <w:rsid w:val="007F6E46"/>
    <w:rsid w:val="007F76FF"/>
    <w:rsid w:val="00800EC6"/>
    <w:rsid w:val="00800F80"/>
    <w:rsid w:val="00801358"/>
    <w:rsid w:val="0080165E"/>
    <w:rsid w:val="0080168D"/>
    <w:rsid w:val="00801E36"/>
    <w:rsid w:val="00802029"/>
    <w:rsid w:val="00802084"/>
    <w:rsid w:val="008022B5"/>
    <w:rsid w:val="00802BD3"/>
    <w:rsid w:val="008033EB"/>
    <w:rsid w:val="008036CB"/>
    <w:rsid w:val="00803C52"/>
    <w:rsid w:val="00803EF5"/>
    <w:rsid w:val="008040F9"/>
    <w:rsid w:val="008044F4"/>
    <w:rsid w:val="00804681"/>
    <w:rsid w:val="00804F2D"/>
    <w:rsid w:val="00804FBF"/>
    <w:rsid w:val="00805088"/>
    <w:rsid w:val="0080518F"/>
    <w:rsid w:val="0080529C"/>
    <w:rsid w:val="00805646"/>
    <w:rsid w:val="00805835"/>
    <w:rsid w:val="00806055"/>
    <w:rsid w:val="008062C9"/>
    <w:rsid w:val="00806AD0"/>
    <w:rsid w:val="00806C72"/>
    <w:rsid w:val="00806F60"/>
    <w:rsid w:val="00806F79"/>
    <w:rsid w:val="00806FA5"/>
    <w:rsid w:val="00807007"/>
    <w:rsid w:val="008072C7"/>
    <w:rsid w:val="00807305"/>
    <w:rsid w:val="008075B8"/>
    <w:rsid w:val="00807973"/>
    <w:rsid w:val="00807D57"/>
    <w:rsid w:val="00807DBC"/>
    <w:rsid w:val="00807E1A"/>
    <w:rsid w:val="00810243"/>
    <w:rsid w:val="0081036E"/>
    <w:rsid w:val="008108A2"/>
    <w:rsid w:val="008108A6"/>
    <w:rsid w:val="00810AF8"/>
    <w:rsid w:val="00811816"/>
    <w:rsid w:val="00811C33"/>
    <w:rsid w:val="00811C7B"/>
    <w:rsid w:val="00811D1D"/>
    <w:rsid w:val="0081201E"/>
    <w:rsid w:val="0081209E"/>
    <w:rsid w:val="0081211A"/>
    <w:rsid w:val="008121D6"/>
    <w:rsid w:val="0081269C"/>
    <w:rsid w:val="00812E07"/>
    <w:rsid w:val="00812FA2"/>
    <w:rsid w:val="008133DE"/>
    <w:rsid w:val="0081343E"/>
    <w:rsid w:val="00813843"/>
    <w:rsid w:val="0081490D"/>
    <w:rsid w:val="00814B7D"/>
    <w:rsid w:val="00814FD2"/>
    <w:rsid w:val="00815153"/>
    <w:rsid w:val="00815271"/>
    <w:rsid w:val="008152A6"/>
    <w:rsid w:val="00815C53"/>
    <w:rsid w:val="00815EC7"/>
    <w:rsid w:val="008163D1"/>
    <w:rsid w:val="008164F4"/>
    <w:rsid w:val="0081730C"/>
    <w:rsid w:val="00817418"/>
    <w:rsid w:val="008175D9"/>
    <w:rsid w:val="008176C5"/>
    <w:rsid w:val="00817D94"/>
    <w:rsid w:val="00817F9D"/>
    <w:rsid w:val="00820182"/>
    <w:rsid w:val="00820192"/>
    <w:rsid w:val="0082068D"/>
    <w:rsid w:val="008207E0"/>
    <w:rsid w:val="0082085B"/>
    <w:rsid w:val="00820DCA"/>
    <w:rsid w:val="00820EDD"/>
    <w:rsid w:val="008211E6"/>
    <w:rsid w:val="00821C77"/>
    <w:rsid w:val="00821CA4"/>
    <w:rsid w:val="0082224F"/>
    <w:rsid w:val="0082243D"/>
    <w:rsid w:val="00822ADD"/>
    <w:rsid w:val="00822E3B"/>
    <w:rsid w:val="00822FEE"/>
    <w:rsid w:val="008233CE"/>
    <w:rsid w:val="0082365C"/>
    <w:rsid w:val="008236BC"/>
    <w:rsid w:val="00823A96"/>
    <w:rsid w:val="00823F17"/>
    <w:rsid w:val="00823F4E"/>
    <w:rsid w:val="00824308"/>
    <w:rsid w:val="00824C2E"/>
    <w:rsid w:val="00824EA0"/>
    <w:rsid w:val="008250DD"/>
    <w:rsid w:val="00825365"/>
    <w:rsid w:val="00825836"/>
    <w:rsid w:val="00825968"/>
    <w:rsid w:val="00825BAE"/>
    <w:rsid w:val="00825BCE"/>
    <w:rsid w:val="00825BF7"/>
    <w:rsid w:val="008267B2"/>
    <w:rsid w:val="008268D1"/>
    <w:rsid w:val="008272FF"/>
    <w:rsid w:val="00827677"/>
    <w:rsid w:val="00827835"/>
    <w:rsid w:val="00827CCB"/>
    <w:rsid w:val="00827E0F"/>
    <w:rsid w:val="008301DD"/>
    <w:rsid w:val="008309CE"/>
    <w:rsid w:val="00830E9F"/>
    <w:rsid w:val="00831040"/>
    <w:rsid w:val="00831083"/>
    <w:rsid w:val="00831172"/>
    <w:rsid w:val="0083122C"/>
    <w:rsid w:val="0083148A"/>
    <w:rsid w:val="008319E4"/>
    <w:rsid w:val="00832279"/>
    <w:rsid w:val="008324A7"/>
    <w:rsid w:val="00832621"/>
    <w:rsid w:val="00832BB4"/>
    <w:rsid w:val="00832E87"/>
    <w:rsid w:val="00833644"/>
    <w:rsid w:val="00833DAA"/>
    <w:rsid w:val="0083414B"/>
    <w:rsid w:val="00834236"/>
    <w:rsid w:val="00834423"/>
    <w:rsid w:val="008359C1"/>
    <w:rsid w:val="00835A10"/>
    <w:rsid w:val="008363B0"/>
    <w:rsid w:val="00836567"/>
    <w:rsid w:val="008365C7"/>
    <w:rsid w:val="008369A1"/>
    <w:rsid w:val="00836AAC"/>
    <w:rsid w:val="00836DA9"/>
    <w:rsid w:val="0083734B"/>
    <w:rsid w:val="0084005E"/>
    <w:rsid w:val="00840338"/>
    <w:rsid w:val="008406FA"/>
    <w:rsid w:val="00840BE3"/>
    <w:rsid w:val="00840C74"/>
    <w:rsid w:val="00840E42"/>
    <w:rsid w:val="008411C2"/>
    <w:rsid w:val="0084175B"/>
    <w:rsid w:val="00841A0B"/>
    <w:rsid w:val="00841CE9"/>
    <w:rsid w:val="00841E86"/>
    <w:rsid w:val="00842BB3"/>
    <w:rsid w:val="00842E5C"/>
    <w:rsid w:val="00842E7A"/>
    <w:rsid w:val="008433D3"/>
    <w:rsid w:val="008434EB"/>
    <w:rsid w:val="00843D5D"/>
    <w:rsid w:val="00844690"/>
    <w:rsid w:val="008449A6"/>
    <w:rsid w:val="008458F1"/>
    <w:rsid w:val="00845B2D"/>
    <w:rsid w:val="008460A7"/>
    <w:rsid w:val="00846113"/>
    <w:rsid w:val="00846388"/>
    <w:rsid w:val="00846409"/>
    <w:rsid w:val="0084676F"/>
    <w:rsid w:val="00846C36"/>
    <w:rsid w:val="00846D5C"/>
    <w:rsid w:val="00846EE0"/>
    <w:rsid w:val="00847207"/>
    <w:rsid w:val="0084745B"/>
    <w:rsid w:val="0084785B"/>
    <w:rsid w:val="00847944"/>
    <w:rsid w:val="00850423"/>
    <w:rsid w:val="00850BBB"/>
    <w:rsid w:val="0085115F"/>
    <w:rsid w:val="008514D4"/>
    <w:rsid w:val="008514EB"/>
    <w:rsid w:val="00851864"/>
    <w:rsid w:val="00851866"/>
    <w:rsid w:val="00851975"/>
    <w:rsid w:val="00851A70"/>
    <w:rsid w:val="00851B15"/>
    <w:rsid w:val="00851B58"/>
    <w:rsid w:val="0085248C"/>
    <w:rsid w:val="008528E5"/>
    <w:rsid w:val="00852DBB"/>
    <w:rsid w:val="008531BC"/>
    <w:rsid w:val="0085386F"/>
    <w:rsid w:val="008538F2"/>
    <w:rsid w:val="00853DD8"/>
    <w:rsid w:val="008541CB"/>
    <w:rsid w:val="00854389"/>
    <w:rsid w:val="00854461"/>
    <w:rsid w:val="0085485E"/>
    <w:rsid w:val="0085496E"/>
    <w:rsid w:val="00854B2A"/>
    <w:rsid w:val="00855A94"/>
    <w:rsid w:val="00855F7F"/>
    <w:rsid w:val="008562E3"/>
    <w:rsid w:val="0085652B"/>
    <w:rsid w:val="0085660F"/>
    <w:rsid w:val="0085661C"/>
    <w:rsid w:val="008566EE"/>
    <w:rsid w:val="0085677D"/>
    <w:rsid w:val="008569DE"/>
    <w:rsid w:val="00856D84"/>
    <w:rsid w:val="0085715C"/>
    <w:rsid w:val="008572C3"/>
    <w:rsid w:val="00860993"/>
    <w:rsid w:val="00860E4A"/>
    <w:rsid w:val="00860F16"/>
    <w:rsid w:val="00860F4B"/>
    <w:rsid w:val="0086103C"/>
    <w:rsid w:val="00861104"/>
    <w:rsid w:val="00861227"/>
    <w:rsid w:val="0086138C"/>
    <w:rsid w:val="00861633"/>
    <w:rsid w:val="00861AFF"/>
    <w:rsid w:val="00861BC9"/>
    <w:rsid w:val="00861C93"/>
    <w:rsid w:val="00862E3E"/>
    <w:rsid w:val="00863150"/>
    <w:rsid w:val="008637C1"/>
    <w:rsid w:val="00863A47"/>
    <w:rsid w:val="00863C87"/>
    <w:rsid w:val="00864139"/>
    <w:rsid w:val="008642AF"/>
    <w:rsid w:val="008651D8"/>
    <w:rsid w:val="00865BCB"/>
    <w:rsid w:val="00865D7C"/>
    <w:rsid w:val="00866AF5"/>
    <w:rsid w:val="00866CB3"/>
    <w:rsid w:val="00867B0A"/>
    <w:rsid w:val="00867B97"/>
    <w:rsid w:val="008705F2"/>
    <w:rsid w:val="008706EE"/>
    <w:rsid w:val="00870760"/>
    <w:rsid w:val="00870BE0"/>
    <w:rsid w:val="00871445"/>
    <w:rsid w:val="00871CD4"/>
    <w:rsid w:val="00871DDE"/>
    <w:rsid w:val="0087259C"/>
    <w:rsid w:val="008725BE"/>
    <w:rsid w:val="00872644"/>
    <w:rsid w:val="00872EDA"/>
    <w:rsid w:val="00872F63"/>
    <w:rsid w:val="0087308C"/>
    <w:rsid w:val="0087356A"/>
    <w:rsid w:val="00873BFC"/>
    <w:rsid w:val="00874089"/>
    <w:rsid w:val="008741E9"/>
    <w:rsid w:val="00874357"/>
    <w:rsid w:val="00874523"/>
    <w:rsid w:val="00874608"/>
    <w:rsid w:val="00874CF9"/>
    <w:rsid w:val="00874EE3"/>
    <w:rsid w:val="00876090"/>
    <w:rsid w:val="00876A0D"/>
    <w:rsid w:val="00876A9C"/>
    <w:rsid w:val="008802B3"/>
    <w:rsid w:val="008803C3"/>
    <w:rsid w:val="0088058C"/>
    <w:rsid w:val="008809DD"/>
    <w:rsid w:val="00880CFE"/>
    <w:rsid w:val="00880DAA"/>
    <w:rsid w:val="00880E9F"/>
    <w:rsid w:val="0088115B"/>
    <w:rsid w:val="00881282"/>
    <w:rsid w:val="00881670"/>
    <w:rsid w:val="008818A3"/>
    <w:rsid w:val="00881C73"/>
    <w:rsid w:val="00881E24"/>
    <w:rsid w:val="00881E59"/>
    <w:rsid w:val="00881F31"/>
    <w:rsid w:val="008820F0"/>
    <w:rsid w:val="00882139"/>
    <w:rsid w:val="00882B9D"/>
    <w:rsid w:val="00883076"/>
    <w:rsid w:val="008830AA"/>
    <w:rsid w:val="0088320E"/>
    <w:rsid w:val="00883DD1"/>
    <w:rsid w:val="008841C1"/>
    <w:rsid w:val="0088428B"/>
    <w:rsid w:val="0088432E"/>
    <w:rsid w:val="008843A6"/>
    <w:rsid w:val="0088441D"/>
    <w:rsid w:val="00884B71"/>
    <w:rsid w:val="00884CA1"/>
    <w:rsid w:val="00885A93"/>
    <w:rsid w:val="00885AFA"/>
    <w:rsid w:val="00885C4A"/>
    <w:rsid w:val="0088665D"/>
    <w:rsid w:val="00887204"/>
    <w:rsid w:val="0088735A"/>
    <w:rsid w:val="008874C3"/>
    <w:rsid w:val="008874F8"/>
    <w:rsid w:val="00887A03"/>
    <w:rsid w:val="00887B20"/>
    <w:rsid w:val="00887FF8"/>
    <w:rsid w:val="00890131"/>
    <w:rsid w:val="0089077A"/>
    <w:rsid w:val="00890816"/>
    <w:rsid w:val="00890BA0"/>
    <w:rsid w:val="008912E7"/>
    <w:rsid w:val="0089136B"/>
    <w:rsid w:val="008913E4"/>
    <w:rsid w:val="00891411"/>
    <w:rsid w:val="00891542"/>
    <w:rsid w:val="0089163C"/>
    <w:rsid w:val="00891691"/>
    <w:rsid w:val="00891820"/>
    <w:rsid w:val="00891B3A"/>
    <w:rsid w:val="00892E4E"/>
    <w:rsid w:val="00892F80"/>
    <w:rsid w:val="00893046"/>
    <w:rsid w:val="008934B2"/>
    <w:rsid w:val="008939C3"/>
    <w:rsid w:val="008939FF"/>
    <w:rsid w:val="00893ACD"/>
    <w:rsid w:val="00893D3C"/>
    <w:rsid w:val="00893FAA"/>
    <w:rsid w:val="008940A3"/>
    <w:rsid w:val="008944BA"/>
    <w:rsid w:val="008944EC"/>
    <w:rsid w:val="00894828"/>
    <w:rsid w:val="00895063"/>
    <w:rsid w:val="00895350"/>
    <w:rsid w:val="00895856"/>
    <w:rsid w:val="00895A40"/>
    <w:rsid w:val="008960EA"/>
    <w:rsid w:val="008976F3"/>
    <w:rsid w:val="008A0764"/>
    <w:rsid w:val="008A08EF"/>
    <w:rsid w:val="008A0BDB"/>
    <w:rsid w:val="008A0EA3"/>
    <w:rsid w:val="008A19CF"/>
    <w:rsid w:val="008A1A5B"/>
    <w:rsid w:val="008A1BAE"/>
    <w:rsid w:val="008A1CB4"/>
    <w:rsid w:val="008A219F"/>
    <w:rsid w:val="008A22D1"/>
    <w:rsid w:val="008A270D"/>
    <w:rsid w:val="008A2952"/>
    <w:rsid w:val="008A30E2"/>
    <w:rsid w:val="008A323A"/>
    <w:rsid w:val="008A38E8"/>
    <w:rsid w:val="008A39A1"/>
    <w:rsid w:val="008A3AD2"/>
    <w:rsid w:val="008A3E45"/>
    <w:rsid w:val="008A3E70"/>
    <w:rsid w:val="008A46C5"/>
    <w:rsid w:val="008A4ABD"/>
    <w:rsid w:val="008A528F"/>
    <w:rsid w:val="008A536B"/>
    <w:rsid w:val="008A5E00"/>
    <w:rsid w:val="008A6179"/>
    <w:rsid w:val="008A6349"/>
    <w:rsid w:val="008A6904"/>
    <w:rsid w:val="008A71DE"/>
    <w:rsid w:val="008A72CC"/>
    <w:rsid w:val="008A7E5B"/>
    <w:rsid w:val="008A7E69"/>
    <w:rsid w:val="008A7EF1"/>
    <w:rsid w:val="008B013F"/>
    <w:rsid w:val="008B0438"/>
    <w:rsid w:val="008B058C"/>
    <w:rsid w:val="008B13D8"/>
    <w:rsid w:val="008B21DF"/>
    <w:rsid w:val="008B243A"/>
    <w:rsid w:val="008B2533"/>
    <w:rsid w:val="008B263C"/>
    <w:rsid w:val="008B2655"/>
    <w:rsid w:val="008B2731"/>
    <w:rsid w:val="008B27D3"/>
    <w:rsid w:val="008B2D3B"/>
    <w:rsid w:val="008B2F21"/>
    <w:rsid w:val="008B3003"/>
    <w:rsid w:val="008B3D3E"/>
    <w:rsid w:val="008B3D65"/>
    <w:rsid w:val="008B3FB5"/>
    <w:rsid w:val="008B4E77"/>
    <w:rsid w:val="008B579D"/>
    <w:rsid w:val="008B57DA"/>
    <w:rsid w:val="008B6111"/>
    <w:rsid w:val="008B67A1"/>
    <w:rsid w:val="008B6B2B"/>
    <w:rsid w:val="008B6E5E"/>
    <w:rsid w:val="008B6EF7"/>
    <w:rsid w:val="008B7948"/>
    <w:rsid w:val="008B7C09"/>
    <w:rsid w:val="008B7C14"/>
    <w:rsid w:val="008B7CD2"/>
    <w:rsid w:val="008B7D70"/>
    <w:rsid w:val="008B7FC9"/>
    <w:rsid w:val="008C0123"/>
    <w:rsid w:val="008C042A"/>
    <w:rsid w:val="008C05CD"/>
    <w:rsid w:val="008C0C56"/>
    <w:rsid w:val="008C0E99"/>
    <w:rsid w:val="008C17BE"/>
    <w:rsid w:val="008C199A"/>
    <w:rsid w:val="008C1C7E"/>
    <w:rsid w:val="008C1DAA"/>
    <w:rsid w:val="008C1EF8"/>
    <w:rsid w:val="008C2065"/>
    <w:rsid w:val="008C2705"/>
    <w:rsid w:val="008C28D1"/>
    <w:rsid w:val="008C2B1B"/>
    <w:rsid w:val="008C2F1F"/>
    <w:rsid w:val="008C3232"/>
    <w:rsid w:val="008C32CF"/>
    <w:rsid w:val="008C3575"/>
    <w:rsid w:val="008C3BB5"/>
    <w:rsid w:val="008C3E26"/>
    <w:rsid w:val="008C4084"/>
    <w:rsid w:val="008C4208"/>
    <w:rsid w:val="008C460E"/>
    <w:rsid w:val="008C476B"/>
    <w:rsid w:val="008C47E9"/>
    <w:rsid w:val="008C508C"/>
    <w:rsid w:val="008C51C4"/>
    <w:rsid w:val="008C5776"/>
    <w:rsid w:val="008C57D5"/>
    <w:rsid w:val="008C5BD5"/>
    <w:rsid w:val="008C5D94"/>
    <w:rsid w:val="008C5DC1"/>
    <w:rsid w:val="008C5E7C"/>
    <w:rsid w:val="008C5EC7"/>
    <w:rsid w:val="008C5F47"/>
    <w:rsid w:val="008C60AE"/>
    <w:rsid w:val="008C61D1"/>
    <w:rsid w:val="008C6540"/>
    <w:rsid w:val="008C6665"/>
    <w:rsid w:val="008C6674"/>
    <w:rsid w:val="008C694A"/>
    <w:rsid w:val="008C6A0B"/>
    <w:rsid w:val="008C6C47"/>
    <w:rsid w:val="008C735C"/>
    <w:rsid w:val="008C73ED"/>
    <w:rsid w:val="008C7491"/>
    <w:rsid w:val="008C77A2"/>
    <w:rsid w:val="008C78FE"/>
    <w:rsid w:val="008C7CF6"/>
    <w:rsid w:val="008C7F0C"/>
    <w:rsid w:val="008D0089"/>
    <w:rsid w:val="008D106A"/>
    <w:rsid w:val="008D1425"/>
    <w:rsid w:val="008D1985"/>
    <w:rsid w:val="008D199A"/>
    <w:rsid w:val="008D2471"/>
    <w:rsid w:val="008D281C"/>
    <w:rsid w:val="008D2CCA"/>
    <w:rsid w:val="008D36A3"/>
    <w:rsid w:val="008D3AED"/>
    <w:rsid w:val="008D3AF8"/>
    <w:rsid w:val="008D437B"/>
    <w:rsid w:val="008D49E0"/>
    <w:rsid w:val="008D5040"/>
    <w:rsid w:val="008D5C24"/>
    <w:rsid w:val="008D5CC2"/>
    <w:rsid w:val="008D5DE9"/>
    <w:rsid w:val="008D61BF"/>
    <w:rsid w:val="008D6353"/>
    <w:rsid w:val="008D6A1B"/>
    <w:rsid w:val="008D6E15"/>
    <w:rsid w:val="008D7066"/>
    <w:rsid w:val="008D728E"/>
    <w:rsid w:val="008D755F"/>
    <w:rsid w:val="008D7EA4"/>
    <w:rsid w:val="008D7EB8"/>
    <w:rsid w:val="008E00D9"/>
    <w:rsid w:val="008E02EC"/>
    <w:rsid w:val="008E0CB0"/>
    <w:rsid w:val="008E0FA7"/>
    <w:rsid w:val="008E121E"/>
    <w:rsid w:val="008E1296"/>
    <w:rsid w:val="008E14CE"/>
    <w:rsid w:val="008E19E0"/>
    <w:rsid w:val="008E1CE4"/>
    <w:rsid w:val="008E2389"/>
    <w:rsid w:val="008E2D04"/>
    <w:rsid w:val="008E2F87"/>
    <w:rsid w:val="008E30B6"/>
    <w:rsid w:val="008E4B42"/>
    <w:rsid w:val="008E4BD8"/>
    <w:rsid w:val="008E4C5B"/>
    <w:rsid w:val="008E4C9E"/>
    <w:rsid w:val="008E550C"/>
    <w:rsid w:val="008E5753"/>
    <w:rsid w:val="008E5A8F"/>
    <w:rsid w:val="008E5ABF"/>
    <w:rsid w:val="008E5AF9"/>
    <w:rsid w:val="008E5C18"/>
    <w:rsid w:val="008E5EC7"/>
    <w:rsid w:val="008E5ECB"/>
    <w:rsid w:val="008E6C10"/>
    <w:rsid w:val="008E6C81"/>
    <w:rsid w:val="008E6EF4"/>
    <w:rsid w:val="008E7920"/>
    <w:rsid w:val="008E7D02"/>
    <w:rsid w:val="008E7F77"/>
    <w:rsid w:val="008F0503"/>
    <w:rsid w:val="008F085B"/>
    <w:rsid w:val="008F08D5"/>
    <w:rsid w:val="008F0F7C"/>
    <w:rsid w:val="008F0FA2"/>
    <w:rsid w:val="008F157E"/>
    <w:rsid w:val="008F1CC4"/>
    <w:rsid w:val="008F2D9A"/>
    <w:rsid w:val="008F35A2"/>
    <w:rsid w:val="008F3841"/>
    <w:rsid w:val="008F384A"/>
    <w:rsid w:val="008F4161"/>
    <w:rsid w:val="008F43D2"/>
    <w:rsid w:val="008F43DB"/>
    <w:rsid w:val="008F470B"/>
    <w:rsid w:val="008F4931"/>
    <w:rsid w:val="008F4A07"/>
    <w:rsid w:val="008F4FCB"/>
    <w:rsid w:val="008F5CFE"/>
    <w:rsid w:val="008F65AC"/>
    <w:rsid w:val="008F6C9C"/>
    <w:rsid w:val="008F6DD2"/>
    <w:rsid w:val="008F7120"/>
    <w:rsid w:val="008F74E1"/>
    <w:rsid w:val="008F7730"/>
    <w:rsid w:val="00900609"/>
    <w:rsid w:val="00900951"/>
    <w:rsid w:val="00900BA6"/>
    <w:rsid w:val="00900BB4"/>
    <w:rsid w:val="00900BCE"/>
    <w:rsid w:val="00900D4D"/>
    <w:rsid w:val="00900F21"/>
    <w:rsid w:val="009017AB"/>
    <w:rsid w:val="00901AC2"/>
    <w:rsid w:val="00901AD4"/>
    <w:rsid w:val="00901B8B"/>
    <w:rsid w:val="00902142"/>
    <w:rsid w:val="0090233D"/>
    <w:rsid w:val="009025DE"/>
    <w:rsid w:val="00902C76"/>
    <w:rsid w:val="00902DC2"/>
    <w:rsid w:val="0090308E"/>
    <w:rsid w:val="0090377B"/>
    <w:rsid w:val="00903A4D"/>
    <w:rsid w:val="0090437C"/>
    <w:rsid w:val="009043D5"/>
    <w:rsid w:val="009043F3"/>
    <w:rsid w:val="00904683"/>
    <w:rsid w:val="0090480F"/>
    <w:rsid w:val="00904FA4"/>
    <w:rsid w:val="00905249"/>
    <w:rsid w:val="0090629C"/>
    <w:rsid w:val="00906310"/>
    <w:rsid w:val="009074C8"/>
    <w:rsid w:val="00907C73"/>
    <w:rsid w:val="00907CBD"/>
    <w:rsid w:val="00907D6C"/>
    <w:rsid w:val="00910340"/>
    <w:rsid w:val="0091044F"/>
    <w:rsid w:val="009105CD"/>
    <w:rsid w:val="009115A0"/>
    <w:rsid w:val="0091171B"/>
    <w:rsid w:val="00911A7C"/>
    <w:rsid w:val="00911AD9"/>
    <w:rsid w:val="00911B41"/>
    <w:rsid w:val="00912711"/>
    <w:rsid w:val="00912979"/>
    <w:rsid w:val="00912DA0"/>
    <w:rsid w:val="00912E61"/>
    <w:rsid w:val="00912F46"/>
    <w:rsid w:val="00913390"/>
    <w:rsid w:val="00913479"/>
    <w:rsid w:val="00913637"/>
    <w:rsid w:val="009136B4"/>
    <w:rsid w:val="0091386E"/>
    <w:rsid w:val="00913A99"/>
    <w:rsid w:val="00913BBD"/>
    <w:rsid w:val="009141CA"/>
    <w:rsid w:val="00914D38"/>
    <w:rsid w:val="00914E79"/>
    <w:rsid w:val="0091518C"/>
    <w:rsid w:val="009152BE"/>
    <w:rsid w:val="009152CC"/>
    <w:rsid w:val="009156AA"/>
    <w:rsid w:val="00915B20"/>
    <w:rsid w:val="00915FD1"/>
    <w:rsid w:val="009163A7"/>
    <w:rsid w:val="00916824"/>
    <w:rsid w:val="00917147"/>
    <w:rsid w:val="009176A9"/>
    <w:rsid w:val="009201DD"/>
    <w:rsid w:val="009202DD"/>
    <w:rsid w:val="009203AA"/>
    <w:rsid w:val="00920425"/>
    <w:rsid w:val="00920469"/>
    <w:rsid w:val="00920A11"/>
    <w:rsid w:val="00920B8A"/>
    <w:rsid w:val="00920D87"/>
    <w:rsid w:val="00921223"/>
    <w:rsid w:val="0092160B"/>
    <w:rsid w:val="0092187B"/>
    <w:rsid w:val="00921B4F"/>
    <w:rsid w:val="00921D09"/>
    <w:rsid w:val="00922484"/>
    <w:rsid w:val="009227DD"/>
    <w:rsid w:val="0092311E"/>
    <w:rsid w:val="0092322C"/>
    <w:rsid w:val="00923788"/>
    <w:rsid w:val="00923EA9"/>
    <w:rsid w:val="00923F3B"/>
    <w:rsid w:val="009240A2"/>
    <w:rsid w:val="00924598"/>
    <w:rsid w:val="00924B86"/>
    <w:rsid w:val="00924BE9"/>
    <w:rsid w:val="00924CEF"/>
    <w:rsid w:val="00924E0D"/>
    <w:rsid w:val="00925347"/>
    <w:rsid w:val="009255D4"/>
    <w:rsid w:val="009256AD"/>
    <w:rsid w:val="00925940"/>
    <w:rsid w:val="00925A6C"/>
    <w:rsid w:val="00925B98"/>
    <w:rsid w:val="009265AD"/>
    <w:rsid w:val="009265CB"/>
    <w:rsid w:val="00926C5F"/>
    <w:rsid w:val="00927163"/>
    <w:rsid w:val="009273C8"/>
    <w:rsid w:val="00927558"/>
    <w:rsid w:val="00927D24"/>
    <w:rsid w:val="00927DBF"/>
    <w:rsid w:val="009301DD"/>
    <w:rsid w:val="00930C4A"/>
    <w:rsid w:val="00930FDE"/>
    <w:rsid w:val="009313EB"/>
    <w:rsid w:val="009315EE"/>
    <w:rsid w:val="00931639"/>
    <w:rsid w:val="009317E0"/>
    <w:rsid w:val="00931921"/>
    <w:rsid w:val="00931B5D"/>
    <w:rsid w:val="00931CB6"/>
    <w:rsid w:val="009323FA"/>
    <w:rsid w:val="00933237"/>
    <w:rsid w:val="0093339B"/>
    <w:rsid w:val="00933771"/>
    <w:rsid w:val="0093391A"/>
    <w:rsid w:val="00933A6A"/>
    <w:rsid w:val="00933DD5"/>
    <w:rsid w:val="00934009"/>
    <w:rsid w:val="009340A7"/>
    <w:rsid w:val="00934105"/>
    <w:rsid w:val="009345B3"/>
    <w:rsid w:val="00934A15"/>
    <w:rsid w:val="00934D89"/>
    <w:rsid w:val="00935BEA"/>
    <w:rsid w:val="00935D4A"/>
    <w:rsid w:val="00936554"/>
    <w:rsid w:val="0093660C"/>
    <w:rsid w:val="00936648"/>
    <w:rsid w:val="0093679F"/>
    <w:rsid w:val="00936962"/>
    <w:rsid w:val="00936D03"/>
    <w:rsid w:val="0093707B"/>
    <w:rsid w:val="0093763D"/>
    <w:rsid w:val="00937B5B"/>
    <w:rsid w:val="0094029C"/>
    <w:rsid w:val="00940318"/>
    <w:rsid w:val="00940C2D"/>
    <w:rsid w:val="00940DAF"/>
    <w:rsid w:val="00940EA6"/>
    <w:rsid w:val="0094147E"/>
    <w:rsid w:val="009418D0"/>
    <w:rsid w:val="009418D8"/>
    <w:rsid w:val="00941E6C"/>
    <w:rsid w:val="00942033"/>
    <w:rsid w:val="00942825"/>
    <w:rsid w:val="0094299C"/>
    <w:rsid w:val="009429EC"/>
    <w:rsid w:val="009431E6"/>
    <w:rsid w:val="009432EE"/>
    <w:rsid w:val="00943406"/>
    <w:rsid w:val="00943E86"/>
    <w:rsid w:val="00944137"/>
    <w:rsid w:val="0094463A"/>
    <w:rsid w:val="009447C0"/>
    <w:rsid w:val="00944E07"/>
    <w:rsid w:val="00944EC6"/>
    <w:rsid w:val="009464F3"/>
    <w:rsid w:val="00947166"/>
    <w:rsid w:val="00947D4F"/>
    <w:rsid w:val="00950110"/>
    <w:rsid w:val="009502CA"/>
    <w:rsid w:val="00950366"/>
    <w:rsid w:val="0095054C"/>
    <w:rsid w:val="00950856"/>
    <w:rsid w:val="00950915"/>
    <w:rsid w:val="00951A66"/>
    <w:rsid w:val="00951EDF"/>
    <w:rsid w:val="00951EFF"/>
    <w:rsid w:val="009521BD"/>
    <w:rsid w:val="009523CD"/>
    <w:rsid w:val="009526D7"/>
    <w:rsid w:val="009528D3"/>
    <w:rsid w:val="00952970"/>
    <w:rsid w:val="00952CFD"/>
    <w:rsid w:val="00953174"/>
    <w:rsid w:val="00953477"/>
    <w:rsid w:val="00953642"/>
    <w:rsid w:val="00953FC4"/>
    <w:rsid w:val="0095445C"/>
    <w:rsid w:val="00954847"/>
    <w:rsid w:val="00954D89"/>
    <w:rsid w:val="009551C2"/>
    <w:rsid w:val="0095525E"/>
    <w:rsid w:val="009552B1"/>
    <w:rsid w:val="009553F8"/>
    <w:rsid w:val="00955469"/>
    <w:rsid w:val="00955B22"/>
    <w:rsid w:val="00956BD4"/>
    <w:rsid w:val="0095713D"/>
    <w:rsid w:val="0095763F"/>
    <w:rsid w:val="00957804"/>
    <w:rsid w:val="00957AAE"/>
    <w:rsid w:val="009601A5"/>
    <w:rsid w:val="009602B9"/>
    <w:rsid w:val="00960326"/>
    <w:rsid w:val="00960939"/>
    <w:rsid w:val="00960A70"/>
    <w:rsid w:val="00960CC3"/>
    <w:rsid w:val="00960D1F"/>
    <w:rsid w:val="00961105"/>
    <w:rsid w:val="00962048"/>
    <w:rsid w:val="009620B3"/>
    <w:rsid w:val="009620F6"/>
    <w:rsid w:val="0096288D"/>
    <w:rsid w:val="00962E46"/>
    <w:rsid w:val="009632AA"/>
    <w:rsid w:val="00963609"/>
    <w:rsid w:val="009639B0"/>
    <w:rsid w:val="00963D34"/>
    <w:rsid w:val="009644F9"/>
    <w:rsid w:val="00964900"/>
    <w:rsid w:val="00964AB7"/>
    <w:rsid w:val="00964F39"/>
    <w:rsid w:val="00965527"/>
    <w:rsid w:val="00965624"/>
    <w:rsid w:val="009656B2"/>
    <w:rsid w:val="00965D6F"/>
    <w:rsid w:val="00965FE5"/>
    <w:rsid w:val="009668A5"/>
    <w:rsid w:val="00966D13"/>
    <w:rsid w:val="00967647"/>
    <w:rsid w:val="0096768B"/>
    <w:rsid w:val="00967842"/>
    <w:rsid w:val="00967B45"/>
    <w:rsid w:val="00967C09"/>
    <w:rsid w:val="009703ED"/>
    <w:rsid w:val="00971194"/>
    <w:rsid w:val="0097139B"/>
    <w:rsid w:val="0097179E"/>
    <w:rsid w:val="00971ADA"/>
    <w:rsid w:val="00971DC4"/>
    <w:rsid w:val="009722D1"/>
    <w:rsid w:val="0097236E"/>
    <w:rsid w:val="00972747"/>
    <w:rsid w:val="009728BD"/>
    <w:rsid w:val="00972AD4"/>
    <w:rsid w:val="00972FBF"/>
    <w:rsid w:val="00973168"/>
    <w:rsid w:val="009734E5"/>
    <w:rsid w:val="00973802"/>
    <w:rsid w:val="0097392F"/>
    <w:rsid w:val="009740F0"/>
    <w:rsid w:val="0097493A"/>
    <w:rsid w:val="00974990"/>
    <w:rsid w:val="00974DF9"/>
    <w:rsid w:val="00974E3D"/>
    <w:rsid w:val="00975128"/>
    <w:rsid w:val="009751EF"/>
    <w:rsid w:val="00975942"/>
    <w:rsid w:val="00975C26"/>
    <w:rsid w:val="00975E7F"/>
    <w:rsid w:val="00975FA6"/>
    <w:rsid w:val="00976177"/>
    <w:rsid w:val="00976566"/>
    <w:rsid w:val="0097664B"/>
    <w:rsid w:val="00977173"/>
    <w:rsid w:val="009775EB"/>
    <w:rsid w:val="00977757"/>
    <w:rsid w:val="00977D3A"/>
    <w:rsid w:val="00980434"/>
    <w:rsid w:val="009804CC"/>
    <w:rsid w:val="009807E2"/>
    <w:rsid w:val="009808C3"/>
    <w:rsid w:val="0098178A"/>
    <w:rsid w:val="00981A7E"/>
    <w:rsid w:val="00982700"/>
    <w:rsid w:val="00982C31"/>
    <w:rsid w:val="00982C9F"/>
    <w:rsid w:val="0098330C"/>
    <w:rsid w:val="00983D25"/>
    <w:rsid w:val="00983F19"/>
    <w:rsid w:val="009841C5"/>
    <w:rsid w:val="00984309"/>
    <w:rsid w:val="009846B4"/>
    <w:rsid w:val="00984F62"/>
    <w:rsid w:val="00985730"/>
    <w:rsid w:val="00985752"/>
    <w:rsid w:val="00985B05"/>
    <w:rsid w:val="00986151"/>
    <w:rsid w:val="00986217"/>
    <w:rsid w:val="00986406"/>
    <w:rsid w:val="00986531"/>
    <w:rsid w:val="0098656A"/>
    <w:rsid w:val="00986894"/>
    <w:rsid w:val="00986B0E"/>
    <w:rsid w:val="00987120"/>
    <w:rsid w:val="009876C0"/>
    <w:rsid w:val="009877A9"/>
    <w:rsid w:val="009879B9"/>
    <w:rsid w:val="00987CB6"/>
    <w:rsid w:val="009901AC"/>
    <w:rsid w:val="00991051"/>
    <w:rsid w:val="009912AA"/>
    <w:rsid w:val="00991799"/>
    <w:rsid w:val="00991C6D"/>
    <w:rsid w:val="00991E1C"/>
    <w:rsid w:val="009923EC"/>
    <w:rsid w:val="00992552"/>
    <w:rsid w:val="009927DA"/>
    <w:rsid w:val="00992CFB"/>
    <w:rsid w:val="00993089"/>
    <w:rsid w:val="009938C8"/>
    <w:rsid w:val="00993BFF"/>
    <w:rsid w:val="00993E68"/>
    <w:rsid w:val="009941A8"/>
    <w:rsid w:val="00994450"/>
    <w:rsid w:val="00994CAE"/>
    <w:rsid w:val="009950D9"/>
    <w:rsid w:val="0099518F"/>
    <w:rsid w:val="00995C63"/>
    <w:rsid w:val="009962D5"/>
    <w:rsid w:val="009968D6"/>
    <w:rsid w:val="00996CE7"/>
    <w:rsid w:val="00996EBC"/>
    <w:rsid w:val="00996EF8"/>
    <w:rsid w:val="00996FC1"/>
    <w:rsid w:val="0099734F"/>
    <w:rsid w:val="009976FB"/>
    <w:rsid w:val="00997763"/>
    <w:rsid w:val="009979DC"/>
    <w:rsid w:val="00997D23"/>
    <w:rsid w:val="009A01E4"/>
    <w:rsid w:val="009A038E"/>
    <w:rsid w:val="009A05F8"/>
    <w:rsid w:val="009A0C6B"/>
    <w:rsid w:val="009A13A4"/>
    <w:rsid w:val="009A1486"/>
    <w:rsid w:val="009A1898"/>
    <w:rsid w:val="009A1E31"/>
    <w:rsid w:val="009A1EB6"/>
    <w:rsid w:val="009A21FA"/>
    <w:rsid w:val="009A253B"/>
    <w:rsid w:val="009A2581"/>
    <w:rsid w:val="009A2E43"/>
    <w:rsid w:val="009A3453"/>
    <w:rsid w:val="009A38B6"/>
    <w:rsid w:val="009A3ABD"/>
    <w:rsid w:val="009A3C09"/>
    <w:rsid w:val="009A3F45"/>
    <w:rsid w:val="009A4055"/>
    <w:rsid w:val="009A43DA"/>
    <w:rsid w:val="009A462A"/>
    <w:rsid w:val="009A48F6"/>
    <w:rsid w:val="009A4DAB"/>
    <w:rsid w:val="009A5027"/>
    <w:rsid w:val="009A5202"/>
    <w:rsid w:val="009A5F16"/>
    <w:rsid w:val="009A6268"/>
    <w:rsid w:val="009A6741"/>
    <w:rsid w:val="009A7109"/>
    <w:rsid w:val="009A74EF"/>
    <w:rsid w:val="009A77A9"/>
    <w:rsid w:val="009A79F5"/>
    <w:rsid w:val="009A7DB3"/>
    <w:rsid w:val="009A7F22"/>
    <w:rsid w:val="009B0939"/>
    <w:rsid w:val="009B1408"/>
    <w:rsid w:val="009B1E6B"/>
    <w:rsid w:val="009B2007"/>
    <w:rsid w:val="009B2566"/>
    <w:rsid w:val="009B2956"/>
    <w:rsid w:val="009B2C4F"/>
    <w:rsid w:val="009B3CE0"/>
    <w:rsid w:val="009B3CF0"/>
    <w:rsid w:val="009B446D"/>
    <w:rsid w:val="009B4B27"/>
    <w:rsid w:val="009B4C20"/>
    <w:rsid w:val="009B4D68"/>
    <w:rsid w:val="009B4DC2"/>
    <w:rsid w:val="009B4FBA"/>
    <w:rsid w:val="009B54FD"/>
    <w:rsid w:val="009B5760"/>
    <w:rsid w:val="009B5795"/>
    <w:rsid w:val="009B58D2"/>
    <w:rsid w:val="009B5F3F"/>
    <w:rsid w:val="009B6268"/>
    <w:rsid w:val="009B6352"/>
    <w:rsid w:val="009B6496"/>
    <w:rsid w:val="009B6525"/>
    <w:rsid w:val="009B6C22"/>
    <w:rsid w:val="009B6CC8"/>
    <w:rsid w:val="009C012A"/>
    <w:rsid w:val="009C02D9"/>
    <w:rsid w:val="009C05D6"/>
    <w:rsid w:val="009C08C1"/>
    <w:rsid w:val="009C11CE"/>
    <w:rsid w:val="009C15F9"/>
    <w:rsid w:val="009C21CD"/>
    <w:rsid w:val="009C295F"/>
    <w:rsid w:val="009C2D33"/>
    <w:rsid w:val="009C329D"/>
    <w:rsid w:val="009C3334"/>
    <w:rsid w:val="009C3AD4"/>
    <w:rsid w:val="009C40C7"/>
    <w:rsid w:val="009C424E"/>
    <w:rsid w:val="009C43CB"/>
    <w:rsid w:val="009C4817"/>
    <w:rsid w:val="009C481C"/>
    <w:rsid w:val="009C4A11"/>
    <w:rsid w:val="009C4B40"/>
    <w:rsid w:val="009C5350"/>
    <w:rsid w:val="009C59DA"/>
    <w:rsid w:val="009C5CC0"/>
    <w:rsid w:val="009C5DF3"/>
    <w:rsid w:val="009C63DF"/>
    <w:rsid w:val="009C65D4"/>
    <w:rsid w:val="009C6910"/>
    <w:rsid w:val="009C6AD8"/>
    <w:rsid w:val="009C768F"/>
    <w:rsid w:val="009C7D0B"/>
    <w:rsid w:val="009C7EE8"/>
    <w:rsid w:val="009D0398"/>
    <w:rsid w:val="009D0835"/>
    <w:rsid w:val="009D0957"/>
    <w:rsid w:val="009D0ACF"/>
    <w:rsid w:val="009D0EE5"/>
    <w:rsid w:val="009D1769"/>
    <w:rsid w:val="009D180C"/>
    <w:rsid w:val="009D20CC"/>
    <w:rsid w:val="009D24AF"/>
    <w:rsid w:val="009D2A52"/>
    <w:rsid w:val="009D31AA"/>
    <w:rsid w:val="009D3350"/>
    <w:rsid w:val="009D4950"/>
    <w:rsid w:val="009D4A78"/>
    <w:rsid w:val="009D50D1"/>
    <w:rsid w:val="009D5BB7"/>
    <w:rsid w:val="009D5C28"/>
    <w:rsid w:val="009D60DE"/>
    <w:rsid w:val="009D63F6"/>
    <w:rsid w:val="009D6488"/>
    <w:rsid w:val="009D683C"/>
    <w:rsid w:val="009D68EF"/>
    <w:rsid w:val="009D6B42"/>
    <w:rsid w:val="009D6D2C"/>
    <w:rsid w:val="009D6F2B"/>
    <w:rsid w:val="009D722D"/>
    <w:rsid w:val="009D7371"/>
    <w:rsid w:val="009D73A2"/>
    <w:rsid w:val="009D73CA"/>
    <w:rsid w:val="009D7894"/>
    <w:rsid w:val="009E00E0"/>
    <w:rsid w:val="009E01A9"/>
    <w:rsid w:val="009E02C3"/>
    <w:rsid w:val="009E044A"/>
    <w:rsid w:val="009E099A"/>
    <w:rsid w:val="009E0C1E"/>
    <w:rsid w:val="009E0E8F"/>
    <w:rsid w:val="009E0FD8"/>
    <w:rsid w:val="009E1371"/>
    <w:rsid w:val="009E167A"/>
    <w:rsid w:val="009E1A46"/>
    <w:rsid w:val="009E1E73"/>
    <w:rsid w:val="009E1EC7"/>
    <w:rsid w:val="009E1F2D"/>
    <w:rsid w:val="009E2C0A"/>
    <w:rsid w:val="009E2CAC"/>
    <w:rsid w:val="009E32D8"/>
    <w:rsid w:val="009E3463"/>
    <w:rsid w:val="009E3C10"/>
    <w:rsid w:val="009E3D05"/>
    <w:rsid w:val="009E3D92"/>
    <w:rsid w:val="009E41EE"/>
    <w:rsid w:val="009E4476"/>
    <w:rsid w:val="009E48E8"/>
    <w:rsid w:val="009E5653"/>
    <w:rsid w:val="009E567F"/>
    <w:rsid w:val="009E6158"/>
    <w:rsid w:val="009E6191"/>
    <w:rsid w:val="009E6419"/>
    <w:rsid w:val="009E6805"/>
    <w:rsid w:val="009E6A9D"/>
    <w:rsid w:val="009E7A79"/>
    <w:rsid w:val="009E7B22"/>
    <w:rsid w:val="009E7B2D"/>
    <w:rsid w:val="009E7B3B"/>
    <w:rsid w:val="009E7E96"/>
    <w:rsid w:val="009E7F6B"/>
    <w:rsid w:val="009F01FA"/>
    <w:rsid w:val="009F03BF"/>
    <w:rsid w:val="009F056C"/>
    <w:rsid w:val="009F0652"/>
    <w:rsid w:val="009F0669"/>
    <w:rsid w:val="009F06DC"/>
    <w:rsid w:val="009F08FB"/>
    <w:rsid w:val="009F0DC4"/>
    <w:rsid w:val="009F0E8E"/>
    <w:rsid w:val="009F10FF"/>
    <w:rsid w:val="009F1C27"/>
    <w:rsid w:val="009F2455"/>
    <w:rsid w:val="009F258F"/>
    <w:rsid w:val="009F3364"/>
    <w:rsid w:val="009F3666"/>
    <w:rsid w:val="009F36B6"/>
    <w:rsid w:val="009F3CFF"/>
    <w:rsid w:val="009F4317"/>
    <w:rsid w:val="009F4436"/>
    <w:rsid w:val="009F4BA4"/>
    <w:rsid w:val="009F4D1F"/>
    <w:rsid w:val="009F4D2B"/>
    <w:rsid w:val="009F4E6D"/>
    <w:rsid w:val="009F4FBE"/>
    <w:rsid w:val="009F55CE"/>
    <w:rsid w:val="009F5C11"/>
    <w:rsid w:val="009F5E36"/>
    <w:rsid w:val="009F5E9C"/>
    <w:rsid w:val="009F626B"/>
    <w:rsid w:val="009F6711"/>
    <w:rsid w:val="009F6A40"/>
    <w:rsid w:val="009F6ACD"/>
    <w:rsid w:val="009F6F75"/>
    <w:rsid w:val="009F76B6"/>
    <w:rsid w:val="009F7A17"/>
    <w:rsid w:val="009F7A6A"/>
    <w:rsid w:val="00A005CF"/>
    <w:rsid w:val="00A00EC9"/>
    <w:rsid w:val="00A0110C"/>
    <w:rsid w:val="00A01136"/>
    <w:rsid w:val="00A017EB"/>
    <w:rsid w:val="00A018F0"/>
    <w:rsid w:val="00A01AB6"/>
    <w:rsid w:val="00A02139"/>
    <w:rsid w:val="00A0223F"/>
    <w:rsid w:val="00A02F97"/>
    <w:rsid w:val="00A03697"/>
    <w:rsid w:val="00A036D5"/>
    <w:rsid w:val="00A04347"/>
    <w:rsid w:val="00A043DF"/>
    <w:rsid w:val="00A044AD"/>
    <w:rsid w:val="00A045E0"/>
    <w:rsid w:val="00A046A6"/>
    <w:rsid w:val="00A04894"/>
    <w:rsid w:val="00A04A05"/>
    <w:rsid w:val="00A04ABA"/>
    <w:rsid w:val="00A04DA3"/>
    <w:rsid w:val="00A050A7"/>
    <w:rsid w:val="00A05ADB"/>
    <w:rsid w:val="00A05E33"/>
    <w:rsid w:val="00A05FCA"/>
    <w:rsid w:val="00A0642F"/>
    <w:rsid w:val="00A06716"/>
    <w:rsid w:val="00A067D5"/>
    <w:rsid w:val="00A06BC8"/>
    <w:rsid w:val="00A07043"/>
    <w:rsid w:val="00A07189"/>
    <w:rsid w:val="00A071B9"/>
    <w:rsid w:val="00A075F1"/>
    <w:rsid w:val="00A07747"/>
    <w:rsid w:val="00A07768"/>
    <w:rsid w:val="00A100F9"/>
    <w:rsid w:val="00A1022C"/>
    <w:rsid w:val="00A10623"/>
    <w:rsid w:val="00A1063E"/>
    <w:rsid w:val="00A10C06"/>
    <w:rsid w:val="00A10CC4"/>
    <w:rsid w:val="00A1107D"/>
    <w:rsid w:val="00A1139E"/>
    <w:rsid w:val="00A1142F"/>
    <w:rsid w:val="00A118F7"/>
    <w:rsid w:val="00A11C6D"/>
    <w:rsid w:val="00A11C90"/>
    <w:rsid w:val="00A11D50"/>
    <w:rsid w:val="00A120EE"/>
    <w:rsid w:val="00A124D6"/>
    <w:rsid w:val="00A12868"/>
    <w:rsid w:val="00A13155"/>
    <w:rsid w:val="00A13222"/>
    <w:rsid w:val="00A1338E"/>
    <w:rsid w:val="00A1358F"/>
    <w:rsid w:val="00A13961"/>
    <w:rsid w:val="00A13EFC"/>
    <w:rsid w:val="00A13FD4"/>
    <w:rsid w:val="00A13FF1"/>
    <w:rsid w:val="00A14186"/>
    <w:rsid w:val="00A14529"/>
    <w:rsid w:val="00A147EE"/>
    <w:rsid w:val="00A14B7E"/>
    <w:rsid w:val="00A14B82"/>
    <w:rsid w:val="00A14CF6"/>
    <w:rsid w:val="00A14EC6"/>
    <w:rsid w:val="00A14F36"/>
    <w:rsid w:val="00A15273"/>
    <w:rsid w:val="00A1580D"/>
    <w:rsid w:val="00A15ECD"/>
    <w:rsid w:val="00A15F77"/>
    <w:rsid w:val="00A163B0"/>
    <w:rsid w:val="00A16606"/>
    <w:rsid w:val="00A166E7"/>
    <w:rsid w:val="00A167D1"/>
    <w:rsid w:val="00A16AED"/>
    <w:rsid w:val="00A16FD8"/>
    <w:rsid w:val="00A171AA"/>
    <w:rsid w:val="00A1740A"/>
    <w:rsid w:val="00A174A2"/>
    <w:rsid w:val="00A1758D"/>
    <w:rsid w:val="00A17890"/>
    <w:rsid w:val="00A20818"/>
    <w:rsid w:val="00A20D6A"/>
    <w:rsid w:val="00A212F6"/>
    <w:rsid w:val="00A21773"/>
    <w:rsid w:val="00A21AB9"/>
    <w:rsid w:val="00A21D85"/>
    <w:rsid w:val="00A21F2C"/>
    <w:rsid w:val="00A221BE"/>
    <w:rsid w:val="00A228FE"/>
    <w:rsid w:val="00A22946"/>
    <w:rsid w:val="00A22952"/>
    <w:rsid w:val="00A22AA1"/>
    <w:rsid w:val="00A23597"/>
    <w:rsid w:val="00A23EEB"/>
    <w:rsid w:val="00A24057"/>
    <w:rsid w:val="00A2421F"/>
    <w:rsid w:val="00A24729"/>
    <w:rsid w:val="00A24A31"/>
    <w:rsid w:val="00A24AC5"/>
    <w:rsid w:val="00A24B48"/>
    <w:rsid w:val="00A25381"/>
    <w:rsid w:val="00A256A0"/>
    <w:rsid w:val="00A25ACE"/>
    <w:rsid w:val="00A25EB5"/>
    <w:rsid w:val="00A25F9B"/>
    <w:rsid w:val="00A260E0"/>
    <w:rsid w:val="00A267EB"/>
    <w:rsid w:val="00A26808"/>
    <w:rsid w:val="00A26DAF"/>
    <w:rsid w:val="00A278CA"/>
    <w:rsid w:val="00A27A84"/>
    <w:rsid w:val="00A27E80"/>
    <w:rsid w:val="00A3001F"/>
    <w:rsid w:val="00A3090A"/>
    <w:rsid w:val="00A31123"/>
    <w:rsid w:val="00A31E1B"/>
    <w:rsid w:val="00A325F6"/>
    <w:rsid w:val="00A3316B"/>
    <w:rsid w:val="00A332CD"/>
    <w:rsid w:val="00A3388F"/>
    <w:rsid w:val="00A33990"/>
    <w:rsid w:val="00A3441C"/>
    <w:rsid w:val="00A345A7"/>
    <w:rsid w:val="00A34877"/>
    <w:rsid w:val="00A3498E"/>
    <w:rsid w:val="00A34A0F"/>
    <w:rsid w:val="00A34A3A"/>
    <w:rsid w:val="00A34AC4"/>
    <w:rsid w:val="00A34E3C"/>
    <w:rsid w:val="00A350BB"/>
    <w:rsid w:val="00A3512F"/>
    <w:rsid w:val="00A353F5"/>
    <w:rsid w:val="00A35641"/>
    <w:rsid w:val="00A3588C"/>
    <w:rsid w:val="00A35FBA"/>
    <w:rsid w:val="00A3673F"/>
    <w:rsid w:val="00A367F2"/>
    <w:rsid w:val="00A368AE"/>
    <w:rsid w:val="00A368B5"/>
    <w:rsid w:val="00A36C83"/>
    <w:rsid w:val="00A37155"/>
    <w:rsid w:val="00A37605"/>
    <w:rsid w:val="00A376B0"/>
    <w:rsid w:val="00A37862"/>
    <w:rsid w:val="00A37AF2"/>
    <w:rsid w:val="00A4044A"/>
    <w:rsid w:val="00A40524"/>
    <w:rsid w:val="00A40806"/>
    <w:rsid w:val="00A42F27"/>
    <w:rsid w:val="00A435D8"/>
    <w:rsid w:val="00A43936"/>
    <w:rsid w:val="00A43983"/>
    <w:rsid w:val="00A43BA5"/>
    <w:rsid w:val="00A43D3D"/>
    <w:rsid w:val="00A43F42"/>
    <w:rsid w:val="00A4412D"/>
    <w:rsid w:val="00A4446A"/>
    <w:rsid w:val="00A451BD"/>
    <w:rsid w:val="00A451D1"/>
    <w:rsid w:val="00A451F4"/>
    <w:rsid w:val="00A4560B"/>
    <w:rsid w:val="00A4570A"/>
    <w:rsid w:val="00A45810"/>
    <w:rsid w:val="00A4586C"/>
    <w:rsid w:val="00A4595F"/>
    <w:rsid w:val="00A4637B"/>
    <w:rsid w:val="00A46391"/>
    <w:rsid w:val="00A464DC"/>
    <w:rsid w:val="00A46B39"/>
    <w:rsid w:val="00A47330"/>
    <w:rsid w:val="00A47783"/>
    <w:rsid w:val="00A47787"/>
    <w:rsid w:val="00A47975"/>
    <w:rsid w:val="00A47B38"/>
    <w:rsid w:val="00A50F34"/>
    <w:rsid w:val="00A50FBB"/>
    <w:rsid w:val="00A51034"/>
    <w:rsid w:val="00A51842"/>
    <w:rsid w:val="00A51FFA"/>
    <w:rsid w:val="00A52AF4"/>
    <w:rsid w:val="00A52DF0"/>
    <w:rsid w:val="00A52F1E"/>
    <w:rsid w:val="00A532CC"/>
    <w:rsid w:val="00A532DA"/>
    <w:rsid w:val="00A53454"/>
    <w:rsid w:val="00A5386A"/>
    <w:rsid w:val="00A5474D"/>
    <w:rsid w:val="00A54980"/>
    <w:rsid w:val="00A54DE4"/>
    <w:rsid w:val="00A55411"/>
    <w:rsid w:val="00A55B01"/>
    <w:rsid w:val="00A56DA6"/>
    <w:rsid w:val="00A5739C"/>
    <w:rsid w:val="00A579DA"/>
    <w:rsid w:val="00A60414"/>
    <w:rsid w:val="00A60A61"/>
    <w:rsid w:val="00A61219"/>
    <w:rsid w:val="00A614FF"/>
    <w:rsid w:val="00A615A3"/>
    <w:rsid w:val="00A615E4"/>
    <w:rsid w:val="00A6165D"/>
    <w:rsid w:val="00A61FAA"/>
    <w:rsid w:val="00A6208D"/>
    <w:rsid w:val="00A62246"/>
    <w:rsid w:val="00A62303"/>
    <w:rsid w:val="00A62318"/>
    <w:rsid w:val="00A6272D"/>
    <w:rsid w:val="00A62870"/>
    <w:rsid w:val="00A62D20"/>
    <w:rsid w:val="00A62ED8"/>
    <w:rsid w:val="00A630C8"/>
    <w:rsid w:val="00A63120"/>
    <w:rsid w:val="00A63170"/>
    <w:rsid w:val="00A63489"/>
    <w:rsid w:val="00A63853"/>
    <w:rsid w:val="00A64049"/>
    <w:rsid w:val="00A6421A"/>
    <w:rsid w:val="00A64920"/>
    <w:rsid w:val="00A64DE1"/>
    <w:rsid w:val="00A657DB"/>
    <w:rsid w:val="00A65B18"/>
    <w:rsid w:val="00A66448"/>
    <w:rsid w:val="00A66DAE"/>
    <w:rsid w:val="00A66F79"/>
    <w:rsid w:val="00A6710B"/>
    <w:rsid w:val="00A67196"/>
    <w:rsid w:val="00A67455"/>
    <w:rsid w:val="00A67AD3"/>
    <w:rsid w:val="00A7071D"/>
    <w:rsid w:val="00A70EB5"/>
    <w:rsid w:val="00A71EA6"/>
    <w:rsid w:val="00A721C4"/>
    <w:rsid w:val="00A727E4"/>
    <w:rsid w:val="00A72921"/>
    <w:rsid w:val="00A72C1C"/>
    <w:rsid w:val="00A72C4A"/>
    <w:rsid w:val="00A72D0A"/>
    <w:rsid w:val="00A730CE"/>
    <w:rsid w:val="00A739A3"/>
    <w:rsid w:val="00A73A21"/>
    <w:rsid w:val="00A73B4E"/>
    <w:rsid w:val="00A73B66"/>
    <w:rsid w:val="00A756D7"/>
    <w:rsid w:val="00A757CA"/>
    <w:rsid w:val="00A75F12"/>
    <w:rsid w:val="00A75F16"/>
    <w:rsid w:val="00A76D3D"/>
    <w:rsid w:val="00A76EBE"/>
    <w:rsid w:val="00A77749"/>
    <w:rsid w:val="00A77FFC"/>
    <w:rsid w:val="00A8095F"/>
    <w:rsid w:val="00A80C7A"/>
    <w:rsid w:val="00A80E3F"/>
    <w:rsid w:val="00A818CE"/>
    <w:rsid w:val="00A819CC"/>
    <w:rsid w:val="00A81D92"/>
    <w:rsid w:val="00A81EA3"/>
    <w:rsid w:val="00A82087"/>
    <w:rsid w:val="00A827D2"/>
    <w:rsid w:val="00A83302"/>
    <w:rsid w:val="00A83557"/>
    <w:rsid w:val="00A83753"/>
    <w:rsid w:val="00A83C2D"/>
    <w:rsid w:val="00A8441B"/>
    <w:rsid w:val="00A84D25"/>
    <w:rsid w:val="00A84DE8"/>
    <w:rsid w:val="00A8536E"/>
    <w:rsid w:val="00A853BD"/>
    <w:rsid w:val="00A855A6"/>
    <w:rsid w:val="00A85F1E"/>
    <w:rsid w:val="00A85F3C"/>
    <w:rsid w:val="00A85F66"/>
    <w:rsid w:val="00A8600C"/>
    <w:rsid w:val="00A86477"/>
    <w:rsid w:val="00A865F1"/>
    <w:rsid w:val="00A87246"/>
    <w:rsid w:val="00A87321"/>
    <w:rsid w:val="00A874B1"/>
    <w:rsid w:val="00A8751F"/>
    <w:rsid w:val="00A87854"/>
    <w:rsid w:val="00A9030D"/>
    <w:rsid w:val="00A90466"/>
    <w:rsid w:val="00A90AE0"/>
    <w:rsid w:val="00A90F2F"/>
    <w:rsid w:val="00A91397"/>
    <w:rsid w:val="00A91870"/>
    <w:rsid w:val="00A918B3"/>
    <w:rsid w:val="00A91D75"/>
    <w:rsid w:val="00A91F8B"/>
    <w:rsid w:val="00A92110"/>
    <w:rsid w:val="00A930AA"/>
    <w:rsid w:val="00A93424"/>
    <w:rsid w:val="00A93559"/>
    <w:rsid w:val="00A9367D"/>
    <w:rsid w:val="00A93711"/>
    <w:rsid w:val="00A93D8E"/>
    <w:rsid w:val="00A93FA7"/>
    <w:rsid w:val="00A940DE"/>
    <w:rsid w:val="00A945E0"/>
    <w:rsid w:val="00A94633"/>
    <w:rsid w:val="00A949D5"/>
    <w:rsid w:val="00A94C65"/>
    <w:rsid w:val="00A94DBD"/>
    <w:rsid w:val="00A94FFE"/>
    <w:rsid w:val="00A953EF"/>
    <w:rsid w:val="00A95554"/>
    <w:rsid w:val="00A956FA"/>
    <w:rsid w:val="00A95A2E"/>
    <w:rsid w:val="00A95AC0"/>
    <w:rsid w:val="00A95B80"/>
    <w:rsid w:val="00A95E50"/>
    <w:rsid w:val="00A96169"/>
    <w:rsid w:val="00A96C2A"/>
    <w:rsid w:val="00A96CD4"/>
    <w:rsid w:val="00A9702D"/>
    <w:rsid w:val="00A9773C"/>
    <w:rsid w:val="00A97774"/>
    <w:rsid w:val="00A97ED6"/>
    <w:rsid w:val="00A97FE4"/>
    <w:rsid w:val="00AA0833"/>
    <w:rsid w:val="00AA087B"/>
    <w:rsid w:val="00AA0AE8"/>
    <w:rsid w:val="00AA0E62"/>
    <w:rsid w:val="00AA120E"/>
    <w:rsid w:val="00AA19B1"/>
    <w:rsid w:val="00AA1B4A"/>
    <w:rsid w:val="00AA3C20"/>
    <w:rsid w:val="00AA4265"/>
    <w:rsid w:val="00AA43DB"/>
    <w:rsid w:val="00AA442C"/>
    <w:rsid w:val="00AA4582"/>
    <w:rsid w:val="00AA46A1"/>
    <w:rsid w:val="00AA477C"/>
    <w:rsid w:val="00AA4D98"/>
    <w:rsid w:val="00AA5348"/>
    <w:rsid w:val="00AA53EB"/>
    <w:rsid w:val="00AA5405"/>
    <w:rsid w:val="00AA58ED"/>
    <w:rsid w:val="00AA5AC0"/>
    <w:rsid w:val="00AA5E6A"/>
    <w:rsid w:val="00AA5F89"/>
    <w:rsid w:val="00AA67F2"/>
    <w:rsid w:val="00AA6B85"/>
    <w:rsid w:val="00AA6C3C"/>
    <w:rsid w:val="00AA7800"/>
    <w:rsid w:val="00AA7985"/>
    <w:rsid w:val="00AA7A72"/>
    <w:rsid w:val="00AA7F50"/>
    <w:rsid w:val="00AB0135"/>
    <w:rsid w:val="00AB0620"/>
    <w:rsid w:val="00AB1EA3"/>
    <w:rsid w:val="00AB259E"/>
    <w:rsid w:val="00AB280C"/>
    <w:rsid w:val="00AB297B"/>
    <w:rsid w:val="00AB2CCF"/>
    <w:rsid w:val="00AB2DBE"/>
    <w:rsid w:val="00AB33EC"/>
    <w:rsid w:val="00AB344C"/>
    <w:rsid w:val="00AB3A31"/>
    <w:rsid w:val="00AB3B86"/>
    <w:rsid w:val="00AB3DE3"/>
    <w:rsid w:val="00AB4163"/>
    <w:rsid w:val="00AB43B4"/>
    <w:rsid w:val="00AB4515"/>
    <w:rsid w:val="00AB4A8E"/>
    <w:rsid w:val="00AB4E18"/>
    <w:rsid w:val="00AB5234"/>
    <w:rsid w:val="00AB5C60"/>
    <w:rsid w:val="00AB5CDA"/>
    <w:rsid w:val="00AB6087"/>
    <w:rsid w:val="00AB6106"/>
    <w:rsid w:val="00AB6114"/>
    <w:rsid w:val="00AB645A"/>
    <w:rsid w:val="00AB6824"/>
    <w:rsid w:val="00AB6EAE"/>
    <w:rsid w:val="00AB71AF"/>
    <w:rsid w:val="00AB7528"/>
    <w:rsid w:val="00AB7A26"/>
    <w:rsid w:val="00AC07D1"/>
    <w:rsid w:val="00AC0974"/>
    <w:rsid w:val="00AC0DF7"/>
    <w:rsid w:val="00AC1091"/>
    <w:rsid w:val="00AC124F"/>
    <w:rsid w:val="00AC1691"/>
    <w:rsid w:val="00AC19C6"/>
    <w:rsid w:val="00AC338D"/>
    <w:rsid w:val="00AC356E"/>
    <w:rsid w:val="00AC38A3"/>
    <w:rsid w:val="00AC38EB"/>
    <w:rsid w:val="00AC41C4"/>
    <w:rsid w:val="00AC4434"/>
    <w:rsid w:val="00AC4D10"/>
    <w:rsid w:val="00AC4ED9"/>
    <w:rsid w:val="00AC507B"/>
    <w:rsid w:val="00AC5150"/>
    <w:rsid w:val="00AC5728"/>
    <w:rsid w:val="00AC5F85"/>
    <w:rsid w:val="00AC60ED"/>
    <w:rsid w:val="00AC6477"/>
    <w:rsid w:val="00AC651A"/>
    <w:rsid w:val="00AC6860"/>
    <w:rsid w:val="00AC760B"/>
    <w:rsid w:val="00AC76C5"/>
    <w:rsid w:val="00AC7B68"/>
    <w:rsid w:val="00AD0237"/>
    <w:rsid w:val="00AD02BD"/>
    <w:rsid w:val="00AD0AE1"/>
    <w:rsid w:val="00AD1AB5"/>
    <w:rsid w:val="00AD27BF"/>
    <w:rsid w:val="00AD2ADE"/>
    <w:rsid w:val="00AD2D94"/>
    <w:rsid w:val="00AD2DC1"/>
    <w:rsid w:val="00AD30EF"/>
    <w:rsid w:val="00AD3568"/>
    <w:rsid w:val="00AD4122"/>
    <w:rsid w:val="00AD4F68"/>
    <w:rsid w:val="00AD4FC5"/>
    <w:rsid w:val="00AD5687"/>
    <w:rsid w:val="00AD5916"/>
    <w:rsid w:val="00AD5AA0"/>
    <w:rsid w:val="00AD5BC5"/>
    <w:rsid w:val="00AD61FB"/>
    <w:rsid w:val="00AD6308"/>
    <w:rsid w:val="00AD6604"/>
    <w:rsid w:val="00AD6846"/>
    <w:rsid w:val="00AD6A27"/>
    <w:rsid w:val="00AD6C5F"/>
    <w:rsid w:val="00AD72B5"/>
    <w:rsid w:val="00AD73EF"/>
    <w:rsid w:val="00AD7B73"/>
    <w:rsid w:val="00AD7C7D"/>
    <w:rsid w:val="00AD7C96"/>
    <w:rsid w:val="00AD7CD4"/>
    <w:rsid w:val="00AE0078"/>
    <w:rsid w:val="00AE00B4"/>
    <w:rsid w:val="00AE014D"/>
    <w:rsid w:val="00AE0B18"/>
    <w:rsid w:val="00AE0EED"/>
    <w:rsid w:val="00AE0FEA"/>
    <w:rsid w:val="00AE1496"/>
    <w:rsid w:val="00AE17E2"/>
    <w:rsid w:val="00AE1822"/>
    <w:rsid w:val="00AE195F"/>
    <w:rsid w:val="00AE23CD"/>
    <w:rsid w:val="00AE251E"/>
    <w:rsid w:val="00AE29C6"/>
    <w:rsid w:val="00AE2C78"/>
    <w:rsid w:val="00AE30E8"/>
    <w:rsid w:val="00AE31CF"/>
    <w:rsid w:val="00AE35D2"/>
    <w:rsid w:val="00AE3AD2"/>
    <w:rsid w:val="00AE3B05"/>
    <w:rsid w:val="00AE3CE7"/>
    <w:rsid w:val="00AE3CFF"/>
    <w:rsid w:val="00AE48A9"/>
    <w:rsid w:val="00AE4D9F"/>
    <w:rsid w:val="00AE50AB"/>
    <w:rsid w:val="00AE5C37"/>
    <w:rsid w:val="00AE6652"/>
    <w:rsid w:val="00AE70A0"/>
    <w:rsid w:val="00AE792C"/>
    <w:rsid w:val="00AE7C5C"/>
    <w:rsid w:val="00AF0660"/>
    <w:rsid w:val="00AF0675"/>
    <w:rsid w:val="00AF08B7"/>
    <w:rsid w:val="00AF0D5C"/>
    <w:rsid w:val="00AF0E21"/>
    <w:rsid w:val="00AF181C"/>
    <w:rsid w:val="00AF1BD4"/>
    <w:rsid w:val="00AF2677"/>
    <w:rsid w:val="00AF270D"/>
    <w:rsid w:val="00AF296C"/>
    <w:rsid w:val="00AF2DDE"/>
    <w:rsid w:val="00AF3176"/>
    <w:rsid w:val="00AF37B5"/>
    <w:rsid w:val="00AF3807"/>
    <w:rsid w:val="00AF4375"/>
    <w:rsid w:val="00AF4842"/>
    <w:rsid w:val="00AF4A7E"/>
    <w:rsid w:val="00AF4D75"/>
    <w:rsid w:val="00AF4E70"/>
    <w:rsid w:val="00AF4F01"/>
    <w:rsid w:val="00AF5112"/>
    <w:rsid w:val="00AF5502"/>
    <w:rsid w:val="00AF6C4F"/>
    <w:rsid w:val="00AF6E6E"/>
    <w:rsid w:val="00AF6FBA"/>
    <w:rsid w:val="00AF7A17"/>
    <w:rsid w:val="00B0009A"/>
    <w:rsid w:val="00B00367"/>
    <w:rsid w:val="00B00644"/>
    <w:rsid w:val="00B00C70"/>
    <w:rsid w:val="00B00D02"/>
    <w:rsid w:val="00B010F3"/>
    <w:rsid w:val="00B0144B"/>
    <w:rsid w:val="00B014CA"/>
    <w:rsid w:val="00B01879"/>
    <w:rsid w:val="00B01E6D"/>
    <w:rsid w:val="00B01FF4"/>
    <w:rsid w:val="00B0231A"/>
    <w:rsid w:val="00B027E2"/>
    <w:rsid w:val="00B02BBF"/>
    <w:rsid w:val="00B02BC4"/>
    <w:rsid w:val="00B02F70"/>
    <w:rsid w:val="00B035F8"/>
    <w:rsid w:val="00B04641"/>
    <w:rsid w:val="00B04672"/>
    <w:rsid w:val="00B047C1"/>
    <w:rsid w:val="00B04E24"/>
    <w:rsid w:val="00B04F3D"/>
    <w:rsid w:val="00B05032"/>
    <w:rsid w:val="00B05B65"/>
    <w:rsid w:val="00B05F55"/>
    <w:rsid w:val="00B06308"/>
    <w:rsid w:val="00B06958"/>
    <w:rsid w:val="00B0725D"/>
    <w:rsid w:val="00B07B38"/>
    <w:rsid w:val="00B07DE9"/>
    <w:rsid w:val="00B07ECA"/>
    <w:rsid w:val="00B07F0D"/>
    <w:rsid w:val="00B07F72"/>
    <w:rsid w:val="00B1023D"/>
    <w:rsid w:val="00B105A6"/>
    <w:rsid w:val="00B10D0E"/>
    <w:rsid w:val="00B1112D"/>
    <w:rsid w:val="00B11156"/>
    <w:rsid w:val="00B113B6"/>
    <w:rsid w:val="00B122C6"/>
    <w:rsid w:val="00B12599"/>
    <w:rsid w:val="00B12B6E"/>
    <w:rsid w:val="00B12FCD"/>
    <w:rsid w:val="00B13121"/>
    <w:rsid w:val="00B13332"/>
    <w:rsid w:val="00B135FA"/>
    <w:rsid w:val="00B13736"/>
    <w:rsid w:val="00B13EDF"/>
    <w:rsid w:val="00B13EF2"/>
    <w:rsid w:val="00B144A7"/>
    <w:rsid w:val="00B14DE0"/>
    <w:rsid w:val="00B15191"/>
    <w:rsid w:val="00B15357"/>
    <w:rsid w:val="00B15525"/>
    <w:rsid w:val="00B1565E"/>
    <w:rsid w:val="00B1575B"/>
    <w:rsid w:val="00B15AE6"/>
    <w:rsid w:val="00B15F7E"/>
    <w:rsid w:val="00B16A94"/>
    <w:rsid w:val="00B16C35"/>
    <w:rsid w:val="00B16C48"/>
    <w:rsid w:val="00B16ED1"/>
    <w:rsid w:val="00B16ED3"/>
    <w:rsid w:val="00B173BA"/>
    <w:rsid w:val="00B17456"/>
    <w:rsid w:val="00B1788A"/>
    <w:rsid w:val="00B17A32"/>
    <w:rsid w:val="00B17C77"/>
    <w:rsid w:val="00B204CE"/>
    <w:rsid w:val="00B2064A"/>
    <w:rsid w:val="00B20B69"/>
    <w:rsid w:val="00B20F7E"/>
    <w:rsid w:val="00B2162E"/>
    <w:rsid w:val="00B216D8"/>
    <w:rsid w:val="00B21A9F"/>
    <w:rsid w:val="00B21B76"/>
    <w:rsid w:val="00B21B9D"/>
    <w:rsid w:val="00B21C00"/>
    <w:rsid w:val="00B21FD7"/>
    <w:rsid w:val="00B2286E"/>
    <w:rsid w:val="00B22AD7"/>
    <w:rsid w:val="00B22CA5"/>
    <w:rsid w:val="00B22F97"/>
    <w:rsid w:val="00B23146"/>
    <w:rsid w:val="00B2314C"/>
    <w:rsid w:val="00B233D2"/>
    <w:rsid w:val="00B2388C"/>
    <w:rsid w:val="00B24744"/>
    <w:rsid w:val="00B24D1A"/>
    <w:rsid w:val="00B25167"/>
    <w:rsid w:val="00B2576E"/>
    <w:rsid w:val="00B257EE"/>
    <w:rsid w:val="00B25C40"/>
    <w:rsid w:val="00B25F5B"/>
    <w:rsid w:val="00B2646B"/>
    <w:rsid w:val="00B267CC"/>
    <w:rsid w:val="00B26A86"/>
    <w:rsid w:val="00B26C4A"/>
    <w:rsid w:val="00B27230"/>
    <w:rsid w:val="00B27689"/>
    <w:rsid w:val="00B27A89"/>
    <w:rsid w:val="00B306AD"/>
    <w:rsid w:val="00B30762"/>
    <w:rsid w:val="00B30DD1"/>
    <w:rsid w:val="00B312EC"/>
    <w:rsid w:val="00B313D2"/>
    <w:rsid w:val="00B316C8"/>
    <w:rsid w:val="00B31A09"/>
    <w:rsid w:val="00B329FD"/>
    <w:rsid w:val="00B32A2B"/>
    <w:rsid w:val="00B32C77"/>
    <w:rsid w:val="00B32CE8"/>
    <w:rsid w:val="00B32F3D"/>
    <w:rsid w:val="00B330FA"/>
    <w:rsid w:val="00B33272"/>
    <w:rsid w:val="00B33754"/>
    <w:rsid w:val="00B33B86"/>
    <w:rsid w:val="00B33C6F"/>
    <w:rsid w:val="00B34120"/>
    <w:rsid w:val="00B342B6"/>
    <w:rsid w:val="00B34517"/>
    <w:rsid w:val="00B34799"/>
    <w:rsid w:val="00B349CA"/>
    <w:rsid w:val="00B3517B"/>
    <w:rsid w:val="00B35428"/>
    <w:rsid w:val="00B3546A"/>
    <w:rsid w:val="00B3551C"/>
    <w:rsid w:val="00B35540"/>
    <w:rsid w:val="00B35D27"/>
    <w:rsid w:val="00B3610B"/>
    <w:rsid w:val="00B36962"/>
    <w:rsid w:val="00B375F8"/>
    <w:rsid w:val="00B37843"/>
    <w:rsid w:val="00B40137"/>
    <w:rsid w:val="00B40193"/>
    <w:rsid w:val="00B402DC"/>
    <w:rsid w:val="00B4047B"/>
    <w:rsid w:val="00B40B58"/>
    <w:rsid w:val="00B40B6C"/>
    <w:rsid w:val="00B40DDA"/>
    <w:rsid w:val="00B414C2"/>
    <w:rsid w:val="00B41577"/>
    <w:rsid w:val="00B415E6"/>
    <w:rsid w:val="00B41604"/>
    <w:rsid w:val="00B41867"/>
    <w:rsid w:val="00B41BEF"/>
    <w:rsid w:val="00B41C4B"/>
    <w:rsid w:val="00B420FA"/>
    <w:rsid w:val="00B42B0D"/>
    <w:rsid w:val="00B430C7"/>
    <w:rsid w:val="00B430FB"/>
    <w:rsid w:val="00B43339"/>
    <w:rsid w:val="00B434F7"/>
    <w:rsid w:val="00B43636"/>
    <w:rsid w:val="00B43AAE"/>
    <w:rsid w:val="00B43B3A"/>
    <w:rsid w:val="00B44C5A"/>
    <w:rsid w:val="00B45EF0"/>
    <w:rsid w:val="00B46573"/>
    <w:rsid w:val="00B466DC"/>
    <w:rsid w:val="00B46BD2"/>
    <w:rsid w:val="00B470D7"/>
    <w:rsid w:val="00B47400"/>
    <w:rsid w:val="00B477F3"/>
    <w:rsid w:val="00B47EEE"/>
    <w:rsid w:val="00B47F89"/>
    <w:rsid w:val="00B500C2"/>
    <w:rsid w:val="00B505D4"/>
    <w:rsid w:val="00B50C40"/>
    <w:rsid w:val="00B50FBC"/>
    <w:rsid w:val="00B51086"/>
    <w:rsid w:val="00B513C9"/>
    <w:rsid w:val="00B51A3F"/>
    <w:rsid w:val="00B51ACB"/>
    <w:rsid w:val="00B51D0F"/>
    <w:rsid w:val="00B520D0"/>
    <w:rsid w:val="00B52156"/>
    <w:rsid w:val="00B52A2B"/>
    <w:rsid w:val="00B52DCD"/>
    <w:rsid w:val="00B5334B"/>
    <w:rsid w:val="00B537B3"/>
    <w:rsid w:val="00B53F15"/>
    <w:rsid w:val="00B53F17"/>
    <w:rsid w:val="00B54033"/>
    <w:rsid w:val="00B54579"/>
    <w:rsid w:val="00B54A26"/>
    <w:rsid w:val="00B54FFC"/>
    <w:rsid w:val="00B550F8"/>
    <w:rsid w:val="00B55740"/>
    <w:rsid w:val="00B55996"/>
    <w:rsid w:val="00B55D5C"/>
    <w:rsid w:val="00B56414"/>
    <w:rsid w:val="00B5682E"/>
    <w:rsid w:val="00B568FB"/>
    <w:rsid w:val="00B56AE8"/>
    <w:rsid w:val="00B57432"/>
    <w:rsid w:val="00B57445"/>
    <w:rsid w:val="00B600FE"/>
    <w:rsid w:val="00B60492"/>
    <w:rsid w:val="00B609BE"/>
    <w:rsid w:val="00B60B73"/>
    <w:rsid w:val="00B60D48"/>
    <w:rsid w:val="00B60DCC"/>
    <w:rsid w:val="00B61119"/>
    <w:rsid w:val="00B6125B"/>
    <w:rsid w:val="00B61486"/>
    <w:rsid w:val="00B6157E"/>
    <w:rsid w:val="00B61E64"/>
    <w:rsid w:val="00B628D8"/>
    <w:rsid w:val="00B629FD"/>
    <w:rsid w:val="00B62C45"/>
    <w:rsid w:val="00B63DC2"/>
    <w:rsid w:val="00B64033"/>
    <w:rsid w:val="00B64176"/>
    <w:rsid w:val="00B64467"/>
    <w:rsid w:val="00B64CF6"/>
    <w:rsid w:val="00B64F81"/>
    <w:rsid w:val="00B6533F"/>
    <w:rsid w:val="00B659AB"/>
    <w:rsid w:val="00B6656F"/>
    <w:rsid w:val="00B66EC4"/>
    <w:rsid w:val="00B67840"/>
    <w:rsid w:val="00B70014"/>
    <w:rsid w:val="00B70E96"/>
    <w:rsid w:val="00B712E2"/>
    <w:rsid w:val="00B71416"/>
    <w:rsid w:val="00B7165E"/>
    <w:rsid w:val="00B7187B"/>
    <w:rsid w:val="00B719A5"/>
    <w:rsid w:val="00B71CD8"/>
    <w:rsid w:val="00B7201C"/>
    <w:rsid w:val="00B720AD"/>
    <w:rsid w:val="00B72480"/>
    <w:rsid w:val="00B7257F"/>
    <w:rsid w:val="00B726A1"/>
    <w:rsid w:val="00B72724"/>
    <w:rsid w:val="00B72B76"/>
    <w:rsid w:val="00B72BE1"/>
    <w:rsid w:val="00B73439"/>
    <w:rsid w:val="00B73466"/>
    <w:rsid w:val="00B7350C"/>
    <w:rsid w:val="00B73CCF"/>
    <w:rsid w:val="00B73D46"/>
    <w:rsid w:val="00B73F47"/>
    <w:rsid w:val="00B740E3"/>
    <w:rsid w:val="00B74148"/>
    <w:rsid w:val="00B74BF2"/>
    <w:rsid w:val="00B74FCB"/>
    <w:rsid w:val="00B7503C"/>
    <w:rsid w:val="00B7506D"/>
    <w:rsid w:val="00B753EC"/>
    <w:rsid w:val="00B75456"/>
    <w:rsid w:val="00B75489"/>
    <w:rsid w:val="00B75499"/>
    <w:rsid w:val="00B756EE"/>
    <w:rsid w:val="00B75812"/>
    <w:rsid w:val="00B7588A"/>
    <w:rsid w:val="00B7611D"/>
    <w:rsid w:val="00B763FA"/>
    <w:rsid w:val="00B7658C"/>
    <w:rsid w:val="00B766AF"/>
    <w:rsid w:val="00B767F3"/>
    <w:rsid w:val="00B76D04"/>
    <w:rsid w:val="00B76DB9"/>
    <w:rsid w:val="00B773AC"/>
    <w:rsid w:val="00B77685"/>
    <w:rsid w:val="00B77807"/>
    <w:rsid w:val="00B77D86"/>
    <w:rsid w:val="00B77ED6"/>
    <w:rsid w:val="00B80914"/>
    <w:rsid w:val="00B80E4E"/>
    <w:rsid w:val="00B8127A"/>
    <w:rsid w:val="00B81506"/>
    <w:rsid w:val="00B81516"/>
    <w:rsid w:val="00B81836"/>
    <w:rsid w:val="00B81BAB"/>
    <w:rsid w:val="00B81FEE"/>
    <w:rsid w:val="00B822A5"/>
    <w:rsid w:val="00B827FC"/>
    <w:rsid w:val="00B82BCB"/>
    <w:rsid w:val="00B82BD5"/>
    <w:rsid w:val="00B82C0E"/>
    <w:rsid w:val="00B82D80"/>
    <w:rsid w:val="00B8331C"/>
    <w:rsid w:val="00B83969"/>
    <w:rsid w:val="00B83A3A"/>
    <w:rsid w:val="00B83A8C"/>
    <w:rsid w:val="00B83FBD"/>
    <w:rsid w:val="00B84422"/>
    <w:rsid w:val="00B8491E"/>
    <w:rsid w:val="00B84D95"/>
    <w:rsid w:val="00B84F1D"/>
    <w:rsid w:val="00B85230"/>
    <w:rsid w:val="00B85433"/>
    <w:rsid w:val="00B8591A"/>
    <w:rsid w:val="00B861E6"/>
    <w:rsid w:val="00B86592"/>
    <w:rsid w:val="00B86B62"/>
    <w:rsid w:val="00B86C6E"/>
    <w:rsid w:val="00B86D5A"/>
    <w:rsid w:val="00B86F15"/>
    <w:rsid w:val="00B871B6"/>
    <w:rsid w:val="00B87876"/>
    <w:rsid w:val="00B87C12"/>
    <w:rsid w:val="00B90473"/>
    <w:rsid w:val="00B90665"/>
    <w:rsid w:val="00B906FE"/>
    <w:rsid w:val="00B9080F"/>
    <w:rsid w:val="00B90978"/>
    <w:rsid w:val="00B913F5"/>
    <w:rsid w:val="00B91683"/>
    <w:rsid w:val="00B9178A"/>
    <w:rsid w:val="00B91A28"/>
    <w:rsid w:val="00B91B1C"/>
    <w:rsid w:val="00B92190"/>
    <w:rsid w:val="00B921F7"/>
    <w:rsid w:val="00B92D01"/>
    <w:rsid w:val="00B92FAE"/>
    <w:rsid w:val="00B93C9A"/>
    <w:rsid w:val="00B93FF0"/>
    <w:rsid w:val="00B941AA"/>
    <w:rsid w:val="00B94392"/>
    <w:rsid w:val="00B9454F"/>
    <w:rsid w:val="00B95359"/>
    <w:rsid w:val="00B955E9"/>
    <w:rsid w:val="00B958F2"/>
    <w:rsid w:val="00B95ACF"/>
    <w:rsid w:val="00B95B86"/>
    <w:rsid w:val="00B9640B"/>
    <w:rsid w:val="00B97377"/>
    <w:rsid w:val="00B97903"/>
    <w:rsid w:val="00B97B9E"/>
    <w:rsid w:val="00B97E7B"/>
    <w:rsid w:val="00B97EC4"/>
    <w:rsid w:val="00BA00C0"/>
    <w:rsid w:val="00BA03D6"/>
    <w:rsid w:val="00BA04BC"/>
    <w:rsid w:val="00BA0532"/>
    <w:rsid w:val="00BA05C1"/>
    <w:rsid w:val="00BA0799"/>
    <w:rsid w:val="00BA0A83"/>
    <w:rsid w:val="00BA0BA8"/>
    <w:rsid w:val="00BA140C"/>
    <w:rsid w:val="00BA1710"/>
    <w:rsid w:val="00BA2021"/>
    <w:rsid w:val="00BA2818"/>
    <w:rsid w:val="00BA28D6"/>
    <w:rsid w:val="00BA2C3E"/>
    <w:rsid w:val="00BA2C53"/>
    <w:rsid w:val="00BA33D1"/>
    <w:rsid w:val="00BA3C27"/>
    <w:rsid w:val="00BA3F7D"/>
    <w:rsid w:val="00BA4567"/>
    <w:rsid w:val="00BA469D"/>
    <w:rsid w:val="00BA48C5"/>
    <w:rsid w:val="00BA498F"/>
    <w:rsid w:val="00BA4B71"/>
    <w:rsid w:val="00BA4DB7"/>
    <w:rsid w:val="00BA4ED9"/>
    <w:rsid w:val="00BA5067"/>
    <w:rsid w:val="00BA5DBC"/>
    <w:rsid w:val="00BA64CA"/>
    <w:rsid w:val="00BA6A50"/>
    <w:rsid w:val="00BA6BBC"/>
    <w:rsid w:val="00BA6C71"/>
    <w:rsid w:val="00BA7138"/>
    <w:rsid w:val="00BA7E93"/>
    <w:rsid w:val="00BB03D4"/>
    <w:rsid w:val="00BB081B"/>
    <w:rsid w:val="00BB08E8"/>
    <w:rsid w:val="00BB0CDB"/>
    <w:rsid w:val="00BB0EEF"/>
    <w:rsid w:val="00BB139C"/>
    <w:rsid w:val="00BB1F6D"/>
    <w:rsid w:val="00BB217E"/>
    <w:rsid w:val="00BB2647"/>
    <w:rsid w:val="00BB2D3A"/>
    <w:rsid w:val="00BB3050"/>
    <w:rsid w:val="00BB32D4"/>
    <w:rsid w:val="00BB36B1"/>
    <w:rsid w:val="00BB39A9"/>
    <w:rsid w:val="00BB3B4C"/>
    <w:rsid w:val="00BB4157"/>
    <w:rsid w:val="00BB4AD5"/>
    <w:rsid w:val="00BB4DEF"/>
    <w:rsid w:val="00BB516C"/>
    <w:rsid w:val="00BB5386"/>
    <w:rsid w:val="00BB547A"/>
    <w:rsid w:val="00BB5EE0"/>
    <w:rsid w:val="00BB6D07"/>
    <w:rsid w:val="00BB7160"/>
    <w:rsid w:val="00BB7732"/>
    <w:rsid w:val="00BC02F3"/>
    <w:rsid w:val="00BC07ED"/>
    <w:rsid w:val="00BC0A6B"/>
    <w:rsid w:val="00BC1038"/>
    <w:rsid w:val="00BC1348"/>
    <w:rsid w:val="00BC284C"/>
    <w:rsid w:val="00BC29B7"/>
    <w:rsid w:val="00BC29EC"/>
    <w:rsid w:val="00BC2B96"/>
    <w:rsid w:val="00BC2F47"/>
    <w:rsid w:val="00BC3B54"/>
    <w:rsid w:val="00BC3D18"/>
    <w:rsid w:val="00BC44AE"/>
    <w:rsid w:val="00BC46B1"/>
    <w:rsid w:val="00BC48F0"/>
    <w:rsid w:val="00BC4B8F"/>
    <w:rsid w:val="00BC4D6A"/>
    <w:rsid w:val="00BC5147"/>
    <w:rsid w:val="00BC54C8"/>
    <w:rsid w:val="00BC559D"/>
    <w:rsid w:val="00BC5F1F"/>
    <w:rsid w:val="00BC5FF0"/>
    <w:rsid w:val="00BC6200"/>
    <w:rsid w:val="00BC6A87"/>
    <w:rsid w:val="00BC6D35"/>
    <w:rsid w:val="00BC6FBF"/>
    <w:rsid w:val="00BC7405"/>
    <w:rsid w:val="00BC78D1"/>
    <w:rsid w:val="00BC7BB3"/>
    <w:rsid w:val="00BC7DE2"/>
    <w:rsid w:val="00BD0C90"/>
    <w:rsid w:val="00BD12D6"/>
    <w:rsid w:val="00BD1401"/>
    <w:rsid w:val="00BD1956"/>
    <w:rsid w:val="00BD1A9A"/>
    <w:rsid w:val="00BD201C"/>
    <w:rsid w:val="00BD310A"/>
    <w:rsid w:val="00BD3313"/>
    <w:rsid w:val="00BD39CD"/>
    <w:rsid w:val="00BD45C1"/>
    <w:rsid w:val="00BD4786"/>
    <w:rsid w:val="00BD4E4E"/>
    <w:rsid w:val="00BD4FEC"/>
    <w:rsid w:val="00BD51D8"/>
    <w:rsid w:val="00BD5534"/>
    <w:rsid w:val="00BD5814"/>
    <w:rsid w:val="00BD59CE"/>
    <w:rsid w:val="00BD5D0A"/>
    <w:rsid w:val="00BD5FC9"/>
    <w:rsid w:val="00BD62C0"/>
    <w:rsid w:val="00BD6FB8"/>
    <w:rsid w:val="00BD73D8"/>
    <w:rsid w:val="00BD775A"/>
    <w:rsid w:val="00BD7C5E"/>
    <w:rsid w:val="00BE0235"/>
    <w:rsid w:val="00BE070A"/>
    <w:rsid w:val="00BE0849"/>
    <w:rsid w:val="00BE0A01"/>
    <w:rsid w:val="00BE0C42"/>
    <w:rsid w:val="00BE1230"/>
    <w:rsid w:val="00BE1610"/>
    <w:rsid w:val="00BE174C"/>
    <w:rsid w:val="00BE2320"/>
    <w:rsid w:val="00BE2648"/>
    <w:rsid w:val="00BE2F92"/>
    <w:rsid w:val="00BE3245"/>
    <w:rsid w:val="00BE344C"/>
    <w:rsid w:val="00BE3859"/>
    <w:rsid w:val="00BE3959"/>
    <w:rsid w:val="00BE3D76"/>
    <w:rsid w:val="00BE3EC4"/>
    <w:rsid w:val="00BE410A"/>
    <w:rsid w:val="00BE4577"/>
    <w:rsid w:val="00BE46EA"/>
    <w:rsid w:val="00BE4B0E"/>
    <w:rsid w:val="00BE4CC7"/>
    <w:rsid w:val="00BE539C"/>
    <w:rsid w:val="00BE57E9"/>
    <w:rsid w:val="00BE5D09"/>
    <w:rsid w:val="00BE5F68"/>
    <w:rsid w:val="00BE5F85"/>
    <w:rsid w:val="00BE5FEB"/>
    <w:rsid w:val="00BE6157"/>
    <w:rsid w:val="00BE62AA"/>
    <w:rsid w:val="00BE6585"/>
    <w:rsid w:val="00BE66F8"/>
    <w:rsid w:val="00BE67D9"/>
    <w:rsid w:val="00BE73AC"/>
    <w:rsid w:val="00BE7BC6"/>
    <w:rsid w:val="00BE7D1C"/>
    <w:rsid w:val="00BF080B"/>
    <w:rsid w:val="00BF0B06"/>
    <w:rsid w:val="00BF0E65"/>
    <w:rsid w:val="00BF1704"/>
    <w:rsid w:val="00BF224D"/>
    <w:rsid w:val="00BF23FC"/>
    <w:rsid w:val="00BF2923"/>
    <w:rsid w:val="00BF2A1F"/>
    <w:rsid w:val="00BF2AFF"/>
    <w:rsid w:val="00BF2E56"/>
    <w:rsid w:val="00BF3018"/>
    <w:rsid w:val="00BF34AD"/>
    <w:rsid w:val="00BF38F8"/>
    <w:rsid w:val="00BF39DE"/>
    <w:rsid w:val="00BF3E73"/>
    <w:rsid w:val="00BF43F4"/>
    <w:rsid w:val="00BF47E6"/>
    <w:rsid w:val="00BF49E8"/>
    <w:rsid w:val="00BF4AC1"/>
    <w:rsid w:val="00BF4B89"/>
    <w:rsid w:val="00BF4CC2"/>
    <w:rsid w:val="00BF56B8"/>
    <w:rsid w:val="00BF6050"/>
    <w:rsid w:val="00BF66E0"/>
    <w:rsid w:val="00BF66E8"/>
    <w:rsid w:val="00BF6A31"/>
    <w:rsid w:val="00BF6B9F"/>
    <w:rsid w:val="00BF6BCD"/>
    <w:rsid w:val="00BF7415"/>
    <w:rsid w:val="00BF752F"/>
    <w:rsid w:val="00BF7697"/>
    <w:rsid w:val="00BF7CC2"/>
    <w:rsid w:val="00BF7E9B"/>
    <w:rsid w:val="00C0041F"/>
    <w:rsid w:val="00C005BE"/>
    <w:rsid w:val="00C00607"/>
    <w:rsid w:val="00C00910"/>
    <w:rsid w:val="00C00C5D"/>
    <w:rsid w:val="00C01057"/>
    <w:rsid w:val="00C01385"/>
    <w:rsid w:val="00C015B7"/>
    <w:rsid w:val="00C01713"/>
    <w:rsid w:val="00C0198D"/>
    <w:rsid w:val="00C01A75"/>
    <w:rsid w:val="00C01B72"/>
    <w:rsid w:val="00C01DF1"/>
    <w:rsid w:val="00C021CE"/>
    <w:rsid w:val="00C021D6"/>
    <w:rsid w:val="00C025FD"/>
    <w:rsid w:val="00C02FA3"/>
    <w:rsid w:val="00C030AC"/>
    <w:rsid w:val="00C03158"/>
    <w:rsid w:val="00C034A2"/>
    <w:rsid w:val="00C03872"/>
    <w:rsid w:val="00C03A9F"/>
    <w:rsid w:val="00C040BA"/>
    <w:rsid w:val="00C04288"/>
    <w:rsid w:val="00C04816"/>
    <w:rsid w:val="00C048C0"/>
    <w:rsid w:val="00C049EF"/>
    <w:rsid w:val="00C04F05"/>
    <w:rsid w:val="00C051AB"/>
    <w:rsid w:val="00C05305"/>
    <w:rsid w:val="00C05387"/>
    <w:rsid w:val="00C05529"/>
    <w:rsid w:val="00C05600"/>
    <w:rsid w:val="00C0599B"/>
    <w:rsid w:val="00C05B5F"/>
    <w:rsid w:val="00C069B0"/>
    <w:rsid w:val="00C06C4C"/>
    <w:rsid w:val="00C06E82"/>
    <w:rsid w:val="00C07133"/>
    <w:rsid w:val="00C0729C"/>
    <w:rsid w:val="00C072F0"/>
    <w:rsid w:val="00C10941"/>
    <w:rsid w:val="00C10986"/>
    <w:rsid w:val="00C11532"/>
    <w:rsid w:val="00C11C16"/>
    <w:rsid w:val="00C11EB3"/>
    <w:rsid w:val="00C133AC"/>
    <w:rsid w:val="00C13941"/>
    <w:rsid w:val="00C13A19"/>
    <w:rsid w:val="00C13C14"/>
    <w:rsid w:val="00C13CE8"/>
    <w:rsid w:val="00C13DE0"/>
    <w:rsid w:val="00C14440"/>
    <w:rsid w:val="00C14552"/>
    <w:rsid w:val="00C14566"/>
    <w:rsid w:val="00C1495E"/>
    <w:rsid w:val="00C14D90"/>
    <w:rsid w:val="00C14E0A"/>
    <w:rsid w:val="00C14F8D"/>
    <w:rsid w:val="00C15205"/>
    <w:rsid w:val="00C15EBF"/>
    <w:rsid w:val="00C16602"/>
    <w:rsid w:val="00C16657"/>
    <w:rsid w:val="00C16BC5"/>
    <w:rsid w:val="00C16D5B"/>
    <w:rsid w:val="00C16E5A"/>
    <w:rsid w:val="00C17050"/>
    <w:rsid w:val="00C179A6"/>
    <w:rsid w:val="00C17B2F"/>
    <w:rsid w:val="00C17E09"/>
    <w:rsid w:val="00C2084A"/>
    <w:rsid w:val="00C20A87"/>
    <w:rsid w:val="00C20EDD"/>
    <w:rsid w:val="00C20FB2"/>
    <w:rsid w:val="00C21BED"/>
    <w:rsid w:val="00C229A6"/>
    <w:rsid w:val="00C22B5A"/>
    <w:rsid w:val="00C237D0"/>
    <w:rsid w:val="00C23AF8"/>
    <w:rsid w:val="00C2479C"/>
    <w:rsid w:val="00C24802"/>
    <w:rsid w:val="00C24BC2"/>
    <w:rsid w:val="00C2533D"/>
    <w:rsid w:val="00C25A39"/>
    <w:rsid w:val="00C25B64"/>
    <w:rsid w:val="00C260A6"/>
    <w:rsid w:val="00C26547"/>
    <w:rsid w:val="00C268AB"/>
    <w:rsid w:val="00C26A0E"/>
    <w:rsid w:val="00C27723"/>
    <w:rsid w:val="00C30134"/>
    <w:rsid w:val="00C3058E"/>
    <w:rsid w:val="00C3062D"/>
    <w:rsid w:val="00C306B2"/>
    <w:rsid w:val="00C30740"/>
    <w:rsid w:val="00C30BD1"/>
    <w:rsid w:val="00C30C67"/>
    <w:rsid w:val="00C30C9B"/>
    <w:rsid w:val="00C30FA5"/>
    <w:rsid w:val="00C311CD"/>
    <w:rsid w:val="00C31D64"/>
    <w:rsid w:val="00C32229"/>
    <w:rsid w:val="00C328B9"/>
    <w:rsid w:val="00C33533"/>
    <w:rsid w:val="00C33726"/>
    <w:rsid w:val="00C3374C"/>
    <w:rsid w:val="00C3391C"/>
    <w:rsid w:val="00C33C59"/>
    <w:rsid w:val="00C34045"/>
    <w:rsid w:val="00C34F56"/>
    <w:rsid w:val="00C3527D"/>
    <w:rsid w:val="00C3540E"/>
    <w:rsid w:val="00C35E79"/>
    <w:rsid w:val="00C35F75"/>
    <w:rsid w:val="00C367CF"/>
    <w:rsid w:val="00C36D49"/>
    <w:rsid w:val="00C3737A"/>
    <w:rsid w:val="00C37872"/>
    <w:rsid w:val="00C378A0"/>
    <w:rsid w:val="00C37A88"/>
    <w:rsid w:val="00C37A95"/>
    <w:rsid w:val="00C37DDA"/>
    <w:rsid w:val="00C37F47"/>
    <w:rsid w:val="00C37FBE"/>
    <w:rsid w:val="00C40243"/>
    <w:rsid w:val="00C40331"/>
    <w:rsid w:val="00C404D9"/>
    <w:rsid w:val="00C40717"/>
    <w:rsid w:val="00C40733"/>
    <w:rsid w:val="00C40957"/>
    <w:rsid w:val="00C40968"/>
    <w:rsid w:val="00C40F8C"/>
    <w:rsid w:val="00C412F3"/>
    <w:rsid w:val="00C418E1"/>
    <w:rsid w:val="00C41D3D"/>
    <w:rsid w:val="00C41DC2"/>
    <w:rsid w:val="00C4206F"/>
    <w:rsid w:val="00C420FC"/>
    <w:rsid w:val="00C4241F"/>
    <w:rsid w:val="00C42F5A"/>
    <w:rsid w:val="00C436C5"/>
    <w:rsid w:val="00C43F68"/>
    <w:rsid w:val="00C440C0"/>
    <w:rsid w:val="00C4473E"/>
    <w:rsid w:val="00C4482E"/>
    <w:rsid w:val="00C44865"/>
    <w:rsid w:val="00C449F8"/>
    <w:rsid w:val="00C44A4A"/>
    <w:rsid w:val="00C4515F"/>
    <w:rsid w:val="00C452B8"/>
    <w:rsid w:val="00C457C2"/>
    <w:rsid w:val="00C465D3"/>
    <w:rsid w:val="00C4671B"/>
    <w:rsid w:val="00C467F3"/>
    <w:rsid w:val="00C46BC1"/>
    <w:rsid w:val="00C47528"/>
    <w:rsid w:val="00C4768E"/>
    <w:rsid w:val="00C47D66"/>
    <w:rsid w:val="00C47EC7"/>
    <w:rsid w:val="00C50359"/>
    <w:rsid w:val="00C503D5"/>
    <w:rsid w:val="00C50A0C"/>
    <w:rsid w:val="00C5108A"/>
    <w:rsid w:val="00C5109A"/>
    <w:rsid w:val="00C51667"/>
    <w:rsid w:val="00C52471"/>
    <w:rsid w:val="00C524D2"/>
    <w:rsid w:val="00C52C50"/>
    <w:rsid w:val="00C52F32"/>
    <w:rsid w:val="00C52F92"/>
    <w:rsid w:val="00C53191"/>
    <w:rsid w:val="00C53A57"/>
    <w:rsid w:val="00C53B00"/>
    <w:rsid w:val="00C53F19"/>
    <w:rsid w:val="00C54029"/>
    <w:rsid w:val="00C5404E"/>
    <w:rsid w:val="00C54927"/>
    <w:rsid w:val="00C54E1D"/>
    <w:rsid w:val="00C55354"/>
    <w:rsid w:val="00C55361"/>
    <w:rsid w:val="00C555C6"/>
    <w:rsid w:val="00C55BB1"/>
    <w:rsid w:val="00C55BBF"/>
    <w:rsid w:val="00C55E59"/>
    <w:rsid w:val="00C56354"/>
    <w:rsid w:val="00C5640B"/>
    <w:rsid w:val="00C564D4"/>
    <w:rsid w:val="00C56CD7"/>
    <w:rsid w:val="00C56D55"/>
    <w:rsid w:val="00C571FA"/>
    <w:rsid w:val="00C57649"/>
    <w:rsid w:val="00C576D2"/>
    <w:rsid w:val="00C57773"/>
    <w:rsid w:val="00C6051D"/>
    <w:rsid w:val="00C60671"/>
    <w:rsid w:val="00C60B4C"/>
    <w:rsid w:val="00C614FB"/>
    <w:rsid w:val="00C6154D"/>
    <w:rsid w:val="00C615F2"/>
    <w:rsid w:val="00C62D50"/>
    <w:rsid w:val="00C63026"/>
    <w:rsid w:val="00C63711"/>
    <w:rsid w:val="00C63935"/>
    <w:rsid w:val="00C63B23"/>
    <w:rsid w:val="00C64C64"/>
    <w:rsid w:val="00C64D8C"/>
    <w:rsid w:val="00C653B5"/>
    <w:rsid w:val="00C65A36"/>
    <w:rsid w:val="00C65B1C"/>
    <w:rsid w:val="00C66053"/>
    <w:rsid w:val="00C66091"/>
    <w:rsid w:val="00C666E7"/>
    <w:rsid w:val="00C66C52"/>
    <w:rsid w:val="00C66C9A"/>
    <w:rsid w:val="00C66DDB"/>
    <w:rsid w:val="00C66EF6"/>
    <w:rsid w:val="00C67022"/>
    <w:rsid w:val="00C670C6"/>
    <w:rsid w:val="00C676DC"/>
    <w:rsid w:val="00C702FC"/>
    <w:rsid w:val="00C70521"/>
    <w:rsid w:val="00C70D9A"/>
    <w:rsid w:val="00C70EEA"/>
    <w:rsid w:val="00C710E0"/>
    <w:rsid w:val="00C71768"/>
    <w:rsid w:val="00C71B55"/>
    <w:rsid w:val="00C71D65"/>
    <w:rsid w:val="00C7276B"/>
    <w:rsid w:val="00C72819"/>
    <w:rsid w:val="00C7285B"/>
    <w:rsid w:val="00C730A3"/>
    <w:rsid w:val="00C7350F"/>
    <w:rsid w:val="00C73D92"/>
    <w:rsid w:val="00C73EF0"/>
    <w:rsid w:val="00C7459C"/>
    <w:rsid w:val="00C746DE"/>
    <w:rsid w:val="00C74751"/>
    <w:rsid w:val="00C74818"/>
    <w:rsid w:val="00C748D1"/>
    <w:rsid w:val="00C74EF6"/>
    <w:rsid w:val="00C74FDC"/>
    <w:rsid w:val="00C75068"/>
    <w:rsid w:val="00C75B13"/>
    <w:rsid w:val="00C75BB9"/>
    <w:rsid w:val="00C75C01"/>
    <w:rsid w:val="00C75EBC"/>
    <w:rsid w:val="00C76038"/>
    <w:rsid w:val="00C76275"/>
    <w:rsid w:val="00C770E1"/>
    <w:rsid w:val="00C7711A"/>
    <w:rsid w:val="00C77834"/>
    <w:rsid w:val="00C80060"/>
    <w:rsid w:val="00C8051C"/>
    <w:rsid w:val="00C811C4"/>
    <w:rsid w:val="00C81201"/>
    <w:rsid w:val="00C81986"/>
    <w:rsid w:val="00C81C74"/>
    <w:rsid w:val="00C81FB0"/>
    <w:rsid w:val="00C8254E"/>
    <w:rsid w:val="00C827C1"/>
    <w:rsid w:val="00C8309A"/>
    <w:rsid w:val="00C83511"/>
    <w:rsid w:val="00C83956"/>
    <w:rsid w:val="00C83A54"/>
    <w:rsid w:val="00C83E0E"/>
    <w:rsid w:val="00C84018"/>
    <w:rsid w:val="00C84118"/>
    <w:rsid w:val="00C84164"/>
    <w:rsid w:val="00C846C5"/>
    <w:rsid w:val="00C84FFF"/>
    <w:rsid w:val="00C856B4"/>
    <w:rsid w:val="00C85CEA"/>
    <w:rsid w:val="00C863BB"/>
    <w:rsid w:val="00C86406"/>
    <w:rsid w:val="00C86482"/>
    <w:rsid w:val="00C868F5"/>
    <w:rsid w:val="00C86E41"/>
    <w:rsid w:val="00C87067"/>
    <w:rsid w:val="00C8708C"/>
    <w:rsid w:val="00C87381"/>
    <w:rsid w:val="00C874C7"/>
    <w:rsid w:val="00C8790A"/>
    <w:rsid w:val="00C87A97"/>
    <w:rsid w:val="00C87FBF"/>
    <w:rsid w:val="00C90158"/>
    <w:rsid w:val="00C903A2"/>
    <w:rsid w:val="00C9118C"/>
    <w:rsid w:val="00C918C3"/>
    <w:rsid w:val="00C91B4F"/>
    <w:rsid w:val="00C923CE"/>
    <w:rsid w:val="00C92707"/>
    <w:rsid w:val="00C92987"/>
    <w:rsid w:val="00C92AA7"/>
    <w:rsid w:val="00C92C55"/>
    <w:rsid w:val="00C9345D"/>
    <w:rsid w:val="00C9357D"/>
    <w:rsid w:val="00C939F5"/>
    <w:rsid w:val="00C93A71"/>
    <w:rsid w:val="00C941F2"/>
    <w:rsid w:val="00C953EE"/>
    <w:rsid w:val="00C9543A"/>
    <w:rsid w:val="00C958F8"/>
    <w:rsid w:val="00C95C1E"/>
    <w:rsid w:val="00C95F48"/>
    <w:rsid w:val="00C96449"/>
    <w:rsid w:val="00C96556"/>
    <w:rsid w:val="00C96579"/>
    <w:rsid w:val="00C966D5"/>
    <w:rsid w:val="00C970B8"/>
    <w:rsid w:val="00C9736A"/>
    <w:rsid w:val="00C97552"/>
    <w:rsid w:val="00C97902"/>
    <w:rsid w:val="00C97AD6"/>
    <w:rsid w:val="00C97BC1"/>
    <w:rsid w:val="00CA0225"/>
    <w:rsid w:val="00CA0EBF"/>
    <w:rsid w:val="00CA1436"/>
    <w:rsid w:val="00CA1539"/>
    <w:rsid w:val="00CA15E9"/>
    <w:rsid w:val="00CA17F9"/>
    <w:rsid w:val="00CA19FC"/>
    <w:rsid w:val="00CA1C76"/>
    <w:rsid w:val="00CA1C7B"/>
    <w:rsid w:val="00CA1D69"/>
    <w:rsid w:val="00CA1F3A"/>
    <w:rsid w:val="00CA215A"/>
    <w:rsid w:val="00CA22FB"/>
    <w:rsid w:val="00CA3732"/>
    <w:rsid w:val="00CA37AC"/>
    <w:rsid w:val="00CA4814"/>
    <w:rsid w:val="00CA4C6D"/>
    <w:rsid w:val="00CA592C"/>
    <w:rsid w:val="00CA59A5"/>
    <w:rsid w:val="00CA5FA2"/>
    <w:rsid w:val="00CA680E"/>
    <w:rsid w:val="00CA6B3A"/>
    <w:rsid w:val="00CA6B43"/>
    <w:rsid w:val="00CA765D"/>
    <w:rsid w:val="00CA7954"/>
    <w:rsid w:val="00CA7F44"/>
    <w:rsid w:val="00CB036D"/>
    <w:rsid w:val="00CB0913"/>
    <w:rsid w:val="00CB1287"/>
    <w:rsid w:val="00CB1305"/>
    <w:rsid w:val="00CB145C"/>
    <w:rsid w:val="00CB14FF"/>
    <w:rsid w:val="00CB1A49"/>
    <w:rsid w:val="00CB1BC0"/>
    <w:rsid w:val="00CB1C62"/>
    <w:rsid w:val="00CB1E1A"/>
    <w:rsid w:val="00CB21F2"/>
    <w:rsid w:val="00CB22A5"/>
    <w:rsid w:val="00CB24C3"/>
    <w:rsid w:val="00CB2C21"/>
    <w:rsid w:val="00CB2D6E"/>
    <w:rsid w:val="00CB3534"/>
    <w:rsid w:val="00CB355E"/>
    <w:rsid w:val="00CB3967"/>
    <w:rsid w:val="00CB3A91"/>
    <w:rsid w:val="00CB3A98"/>
    <w:rsid w:val="00CB3E7D"/>
    <w:rsid w:val="00CB4060"/>
    <w:rsid w:val="00CB4497"/>
    <w:rsid w:val="00CB4B73"/>
    <w:rsid w:val="00CB4C36"/>
    <w:rsid w:val="00CB4EF7"/>
    <w:rsid w:val="00CB5115"/>
    <w:rsid w:val="00CB556C"/>
    <w:rsid w:val="00CB571F"/>
    <w:rsid w:val="00CB5FF9"/>
    <w:rsid w:val="00CB6290"/>
    <w:rsid w:val="00CB6EE7"/>
    <w:rsid w:val="00CB70F4"/>
    <w:rsid w:val="00CB71C1"/>
    <w:rsid w:val="00CB7A01"/>
    <w:rsid w:val="00CC0102"/>
    <w:rsid w:val="00CC06CC"/>
    <w:rsid w:val="00CC0FA8"/>
    <w:rsid w:val="00CC101A"/>
    <w:rsid w:val="00CC1411"/>
    <w:rsid w:val="00CC1490"/>
    <w:rsid w:val="00CC21C2"/>
    <w:rsid w:val="00CC231A"/>
    <w:rsid w:val="00CC2396"/>
    <w:rsid w:val="00CC240D"/>
    <w:rsid w:val="00CC26AD"/>
    <w:rsid w:val="00CC26B4"/>
    <w:rsid w:val="00CC2B5F"/>
    <w:rsid w:val="00CC3098"/>
    <w:rsid w:val="00CC322C"/>
    <w:rsid w:val="00CC32FC"/>
    <w:rsid w:val="00CC3509"/>
    <w:rsid w:val="00CC3733"/>
    <w:rsid w:val="00CC3913"/>
    <w:rsid w:val="00CC3F29"/>
    <w:rsid w:val="00CC42A1"/>
    <w:rsid w:val="00CC474A"/>
    <w:rsid w:val="00CC495C"/>
    <w:rsid w:val="00CC4F7A"/>
    <w:rsid w:val="00CC568A"/>
    <w:rsid w:val="00CC590C"/>
    <w:rsid w:val="00CC59F4"/>
    <w:rsid w:val="00CC5A43"/>
    <w:rsid w:val="00CC5BBF"/>
    <w:rsid w:val="00CC6B76"/>
    <w:rsid w:val="00CC700B"/>
    <w:rsid w:val="00CC70CB"/>
    <w:rsid w:val="00CC783B"/>
    <w:rsid w:val="00CC7F7A"/>
    <w:rsid w:val="00CC7FA0"/>
    <w:rsid w:val="00CD04F6"/>
    <w:rsid w:val="00CD08BF"/>
    <w:rsid w:val="00CD0AE7"/>
    <w:rsid w:val="00CD0C7C"/>
    <w:rsid w:val="00CD0F28"/>
    <w:rsid w:val="00CD0F49"/>
    <w:rsid w:val="00CD11AC"/>
    <w:rsid w:val="00CD15D9"/>
    <w:rsid w:val="00CD171D"/>
    <w:rsid w:val="00CD1C11"/>
    <w:rsid w:val="00CD1C26"/>
    <w:rsid w:val="00CD231B"/>
    <w:rsid w:val="00CD23D6"/>
    <w:rsid w:val="00CD278D"/>
    <w:rsid w:val="00CD3822"/>
    <w:rsid w:val="00CD394D"/>
    <w:rsid w:val="00CD3AF8"/>
    <w:rsid w:val="00CD3E21"/>
    <w:rsid w:val="00CD3E73"/>
    <w:rsid w:val="00CD4E9A"/>
    <w:rsid w:val="00CD4F09"/>
    <w:rsid w:val="00CD51BD"/>
    <w:rsid w:val="00CD529A"/>
    <w:rsid w:val="00CD54F3"/>
    <w:rsid w:val="00CD578C"/>
    <w:rsid w:val="00CD644C"/>
    <w:rsid w:val="00CD6623"/>
    <w:rsid w:val="00CD6BDA"/>
    <w:rsid w:val="00CD758F"/>
    <w:rsid w:val="00CD7BAD"/>
    <w:rsid w:val="00CD7C2B"/>
    <w:rsid w:val="00CE041B"/>
    <w:rsid w:val="00CE082D"/>
    <w:rsid w:val="00CE09B1"/>
    <w:rsid w:val="00CE1071"/>
    <w:rsid w:val="00CE151D"/>
    <w:rsid w:val="00CE197D"/>
    <w:rsid w:val="00CE1C22"/>
    <w:rsid w:val="00CE1CA1"/>
    <w:rsid w:val="00CE1DC6"/>
    <w:rsid w:val="00CE21B2"/>
    <w:rsid w:val="00CE25A0"/>
    <w:rsid w:val="00CE32B6"/>
    <w:rsid w:val="00CE358D"/>
    <w:rsid w:val="00CE42C2"/>
    <w:rsid w:val="00CE439F"/>
    <w:rsid w:val="00CE51A3"/>
    <w:rsid w:val="00CE578F"/>
    <w:rsid w:val="00CE5A6D"/>
    <w:rsid w:val="00CE5A6E"/>
    <w:rsid w:val="00CE5AF6"/>
    <w:rsid w:val="00CE5C14"/>
    <w:rsid w:val="00CE62F7"/>
    <w:rsid w:val="00CE634A"/>
    <w:rsid w:val="00CE66CE"/>
    <w:rsid w:val="00CE6C67"/>
    <w:rsid w:val="00CE6DCF"/>
    <w:rsid w:val="00CE7301"/>
    <w:rsid w:val="00CE768E"/>
    <w:rsid w:val="00CE769C"/>
    <w:rsid w:val="00CE794D"/>
    <w:rsid w:val="00CE7BE3"/>
    <w:rsid w:val="00CE7F0A"/>
    <w:rsid w:val="00CF00F9"/>
    <w:rsid w:val="00CF00FB"/>
    <w:rsid w:val="00CF04EE"/>
    <w:rsid w:val="00CF08EB"/>
    <w:rsid w:val="00CF0D24"/>
    <w:rsid w:val="00CF10F8"/>
    <w:rsid w:val="00CF1A55"/>
    <w:rsid w:val="00CF1D36"/>
    <w:rsid w:val="00CF22D7"/>
    <w:rsid w:val="00CF2320"/>
    <w:rsid w:val="00CF2471"/>
    <w:rsid w:val="00CF2872"/>
    <w:rsid w:val="00CF2B37"/>
    <w:rsid w:val="00CF2BD9"/>
    <w:rsid w:val="00CF2BE2"/>
    <w:rsid w:val="00CF2C54"/>
    <w:rsid w:val="00CF2D06"/>
    <w:rsid w:val="00CF35C9"/>
    <w:rsid w:val="00CF3CBE"/>
    <w:rsid w:val="00CF3CF6"/>
    <w:rsid w:val="00CF3E34"/>
    <w:rsid w:val="00CF45DC"/>
    <w:rsid w:val="00CF4716"/>
    <w:rsid w:val="00CF4741"/>
    <w:rsid w:val="00CF4AFA"/>
    <w:rsid w:val="00CF5159"/>
    <w:rsid w:val="00CF5C9B"/>
    <w:rsid w:val="00CF5E94"/>
    <w:rsid w:val="00CF61AD"/>
    <w:rsid w:val="00CF6B8C"/>
    <w:rsid w:val="00CF6BF0"/>
    <w:rsid w:val="00CF7534"/>
    <w:rsid w:val="00CF7AC9"/>
    <w:rsid w:val="00D000FC"/>
    <w:rsid w:val="00D00591"/>
    <w:rsid w:val="00D0062E"/>
    <w:rsid w:val="00D00742"/>
    <w:rsid w:val="00D01ACE"/>
    <w:rsid w:val="00D02472"/>
    <w:rsid w:val="00D0248D"/>
    <w:rsid w:val="00D02D66"/>
    <w:rsid w:val="00D02FC3"/>
    <w:rsid w:val="00D03046"/>
    <w:rsid w:val="00D03DFB"/>
    <w:rsid w:val="00D03E51"/>
    <w:rsid w:val="00D040AF"/>
    <w:rsid w:val="00D0414D"/>
    <w:rsid w:val="00D041B1"/>
    <w:rsid w:val="00D04731"/>
    <w:rsid w:val="00D04B5A"/>
    <w:rsid w:val="00D0505C"/>
    <w:rsid w:val="00D0514E"/>
    <w:rsid w:val="00D0535E"/>
    <w:rsid w:val="00D05631"/>
    <w:rsid w:val="00D056C7"/>
    <w:rsid w:val="00D05A8E"/>
    <w:rsid w:val="00D0640D"/>
    <w:rsid w:val="00D067D1"/>
    <w:rsid w:val="00D06A6F"/>
    <w:rsid w:val="00D06DA0"/>
    <w:rsid w:val="00D07CB2"/>
    <w:rsid w:val="00D07ECE"/>
    <w:rsid w:val="00D07F0A"/>
    <w:rsid w:val="00D07F14"/>
    <w:rsid w:val="00D07FF0"/>
    <w:rsid w:val="00D10133"/>
    <w:rsid w:val="00D1017B"/>
    <w:rsid w:val="00D102F5"/>
    <w:rsid w:val="00D103C2"/>
    <w:rsid w:val="00D1047D"/>
    <w:rsid w:val="00D1070B"/>
    <w:rsid w:val="00D1098A"/>
    <w:rsid w:val="00D10C81"/>
    <w:rsid w:val="00D11697"/>
    <w:rsid w:val="00D11A88"/>
    <w:rsid w:val="00D12421"/>
    <w:rsid w:val="00D12623"/>
    <w:rsid w:val="00D127C3"/>
    <w:rsid w:val="00D131E7"/>
    <w:rsid w:val="00D13256"/>
    <w:rsid w:val="00D1339E"/>
    <w:rsid w:val="00D1379F"/>
    <w:rsid w:val="00D13894"/>
    <w:rsid w:val="00D13895"/>
    <w:rsid w:val="00D13C92"/>
    <w:rsid w:val="00D13DE4"/>
    <w:rsid w:val="00D14609"/>
    <w:rsid w:val="00D14C2C"/>
    <w:rsid w:val="00D15896"/>
    <w:rsid w:val="00D15CB4"/>
    <w:rsid w:val="00D16C98"/>
    <w:rsid w:val="00D174BE"/>
    <w:rsid w:val="00D178FD"/>
    <w:rsid w:val="00D17E13"/>
    <w:rsid w:val="00D17E91"/>
    <w:rsid w:val="00D20114"/>
    <w:rsid w:val="00D20741"/>
    <w:rsid w:val="00D208A3"/>
    <w:rsid w:val="00D21B99"/>
    <w:rsid w:val="00D21C01"/>
    <w:rsid w:val="00D21D08"/>
    <w:rsid w:val="00D21FF9"/>
    <w:rsid w:val="00D221F6"/>
    <w:rsid w:val="00D223D0"/>
    <w:rsid w:val="00D2252E"/>
    <w:rsid w:val="00D2276C"/>
    <w:rsid w:val="00D2285C"/>
    <w:rsid w:val="00D236D0"/>
    <w:rsid w:val="00D2373A"/>
    <w:rsid w:val="00D23930"/>
    <w:rsid w:val="00D23ABF"/>
    <w:rsid w:val="00D23BE2"/>
    <w:rsid w:val="00D23C35"/>
    <w:rsid w:val="00D23C72"/>
    <w:rsid w:val="00D23D10"/>
    <w:rsid w:val="00D24182"/>
    <w:rsid w:val="00D245B9"/>
    <w:rsid w:val="00D246B9"/>
    <w:rsid w:val="00D24793"/>
    <w:rsid w:val="00D24DCA"/>
    <w:rsid w:val="00D24E0B"/>
    <w:rsid w:val="00D252C4"/>
    <w:rsid w:val="00D2546D"/>
    <w:rsid w:val="00D254D4"/>
    <w:rsid w:val="00D25CDC"/>
    <w:rsid w:val="00D25DAC"/>
    <w:rsid w:val="00D262BA"/>
    <w:rsid w:val="00D267A6"/>
    <w:rsid w:val="00D26816"/>
    <w:rsid w:val="00D26FDC"/>
    <w:rsid w:val="00D2704D"/>
    <w:rsid w:val="00D27082"/>
    <w:rsid w:val="00D2714A"/>
    <w:rsid w:val="00D27350"/>
    <w:rsid w:val="00D2771D"/>
    <w:rsid w:val="00D278D6"/>
    <w:rsid w:val="00D279E6"/>
    <w:rsid w:val="00D27CC4"/>
    <w:rsid w:val="00D27CE0"/>
    <w:rsid w:val="00D3049D"/>
    <w:rsid w:val="00D3097D"/>
    <w:rsid w:val="00D313D0"/>
    <w:rsid w:val="00D31404"/>
    <w:rsid w:val="00D315B1"/>
    <w:rsid w:val="00D31BE3"/>
    <w:rsid w:val="00D31E59"/>
    <w:rsid w:val="00D31E8D"/>
    <w:rsid w:val="00D32245"/>
    <w:rsid w:val="00D32A1C"/>
    <w:rsid w:val="00D32BC1"/>
    <w:rsid w:val="00D32CEF"/>
    <w:rsid w:val="00D32EE2"/>
    <w:rsid w:val="00D33535"/>
    <w:rsid w:val="00D335AB"/>
    <w:rsid w:val="00D34523"/>
    <w:rsid w:val="00D34BDA"/>
    <w:rsid w:val="00D34BE1"/>
    <w:rsid w:val="00D354D1"/>
    <w:rsid w:val="00D35CB6"/>
    <w:rsid w:val="00D361FD"/>
    <w:rsid w:val="00D374D5"/>
    <w:rsid w:val="00D37738"/>
    <w:rsid w:val="00D37A4E"/>
    <w:rsid w:val="00D37E71"/>
    <w:rsid w:val="00D4025A"/>
    <w:rsid w:val="00D402C6"/>
    <w:rsid w:val="00D40410"/>
    <w:rsid w:val="00D40517"/>
    <w:rsid w:val="00D4062A"/>
    <w:rsid w:val="00D40F8A"/>
    <w:rsid w:val="00D4110D"/>
    <w:rsid w:val="00D419D5"/>
    <w:rsid w:val="00D42347"/>
    <w:rsid w:val="00D423A4"/>
    <w:rsid w:val="00D4243A"/>
    <w:rsid w:val="00D425F7"/>
    <w:rsid w:val="00D42668"/>
    <w:rsid w:val="00D43042"/>
    <w:rsid w:val="00D436B9"/>
    <w:rsid w:val="00D43786"/>
    <w:rsid w:val="00D43A18"/>
    <w:rsid w:val="00D43E8B"/>
    <w:rsid w:val="00D44287"/>
    <w:rsid w:val="00D4557F"/>
    <w:rsid w:val="00D458D4"/>
    <w:rsid w:val="00D45953"/>
    <w:rsid w:val="00D45FC1"/>
    <w:rsid w:val="00D460A2"/>
    <w:rsid w:val="00D46459"/>
    <w:rsid w:val="00D46637"/>
    <w:rsid w:val="00D46843"/>
    <w:rsid w:val="00D46866"/>
    <w:rsid w:val="00D468AA"/>
    <w:rsid w:val="00D468B8"/>
    <w:rsid w:val="00D468FC"/>
    <w:rsid w:val="00D46C87"/>
    <w:rsid w:val="00D46CE2"/>
    <w:rsid w:val="00D46E1B"/>
    <w:rsid w:val="00D46ECF"/>
    <w:rsid w:val="00D47A43"/>
    <w:rsid w:val="00D47F0C"/>
    <w:rsid w:val="00D47FB2"/>
    <w:rsid w:val="00D50B99"/>
    <w:rsid w:val="00D50D06"/>
    <w:rsid w:val="00D50D3F"/>
    <w:rsid w:val="00D50E4C"/>
    <w:rsid w:val="00D51533"/>
    <w:rsid w:val="00D51A81"/>
    <w:rsid w:val="00D51E5D"/>
    <w:rsid w:val="00D523AC"/>
    <w:rsid w:val="00D525D3"/>
    <w:rsid w:val="00D53647"/>
    <w:rsid w:val="00D536E8"/>
    <w:rsid w:val="00D5393D"/>
    <w:rsid w:val="00D53C5C"/>
    <w:rsid w:val="00D53F10"/>
    <w:rsid w:val="00D540DC"/>
    <w:rsid w:val="00D54341"/>
    <w:rsid w:val="00D54D55"/>
    <w:rsid w:val="00D54DBB"/>
    <w:rsid w:val="00D54F1F"/>
    <w:rsid w:val="00D54F96"/>
    <w:rsid w:val="00D553DB"/>
    <w:rsid w:val="00D55E69"/>
    <w:rsid w:val="00D5627A"/>
    <w:rsid w:val="00D56BCB"/>
    <w:rsid w:val="00D571FF"/>
    <w:rsid w:val="00D57558"/>
    <w:rsid w:val="00D575E7"/>
    <w:rsid w:val="00D601C8"/>
    <w:rsid w:val="00D6025F"/>
    <w:rsid w:val="00D6044E"/>
    <w:rsid w:val="00D60B05"/>
    <w:rsid w:val="00D61443"/>
    <w:rsid w:val="00D61553"/>
    <w:rsid w:val="00D6193C"/>
    <w:rsid w:val="00D619BB"/>
    <w:rsid w:val="00D61B00"/>
    <w:rsid w:val="00D61DEB"/>
    <w:rsid w:val="00D61ECD"/>
    <w:rsid w:val="00D61F30"/>
    <w:rsid w:val="00D62D83"/>
    <w:rsid w:val="00D6358B"/>
    <w:rsid w:val="00D6370F"/>
    <w:rsid w:val="00D63EF7"/>
    <w:rsid w:val="00D648B3"/>
    <w:rsid w:val="00D64B36"/>
    <w:rsid w:val="00D64CD6"/>
    <w:rsid w:val="00D64CEB"/>
    <w:rsid w:val="00D64E67"/>
    <w:rsid w:val="00D6526E"/>
    <w:rsid w:val="00D6546A"/>
    <w:rsid w:val="00D65668"/>
    <w:rsid w:val="00D6576C"/>
    <w:rsid w:val="00D65979"/>
    <w:rsid w:val="00D65C0B"/>
    <w:rsid w:val="00D65CCA"/>
    <w:rsid w:val="00D66162"/>
    <w:rsid w:val="00D666DF"/>
    <w:rsid w:val="00D6683F"/>
    <w:rsid w:val="00D66A34"/>
    <w:rsid w:val="00D66D4A"/>
    <w:rsid w:val="00D66F1B"/>
    <w:rsid w:val="00D67088"/>
    <w:rsid w:val="00D670D7"/>
    <w:rsid w:val="00D672BE"/>
    <w:rsid w:val="00D677F3"/>
    <w:rsid w:val="00D67929"/>
    <w:rsid w:val="00D67968"/>
    <w:rsid w:val="00D67A75"/>
    <w:rsid w:val="00D70317"/>
    <w:rsid w:val="00D7062D"/>
    <w:rsid w:val="00D70B9F"/>
    <w:rsid w:val="00D70C47"/>
    <w:rsid w:val="00D70CF0"/>
    <w:rsid w:val="00D70F86"/>
    <w:rsid w:val="00D71037"/>
    <w:rsid w:val="00D71392"/>
    <w:rsid w:val="00D71544"/>
    <w:rsid w:val="00D715FE"/>
    <w:rsid w:val="00D71975"/>
    <w:rsid w:val="00D71EFB"/>
    <w:rsid w:val="00D72536"/>
    <w:rsid w:val="00D72EE2"/>
    <w:rsid w:val="00D73060"/>
    <w:rsid w:val="00D732C6"/>
    <w:rsid w:val="00D73511"/>
    <w:rsid w:val="00D73630"/>
    <w:rsid w:val="00D73992"/>
    <w:rsid w:val="00D739ED"/>
    <w:rsid w:val="00D73AE5"/>
    <w:rsid w:val="00D73B07"/>
    <w:rsid w:val="00D73BCC"/>
    <w:rsid w:val="00D73E49"/>
    <w:rsid w:val="00D740CE"/>
    <w:rsid w:val="00D746A6"/>
    <w:rsid w:val="00D74A20"/>
    <w:rsid w:val="00D74DAE"/>
    <w:rsid w:val="00D75830"/>
    <w:rsid w:val="00D76190"/>
    <w:rsid w:val="00D761F4"/>
    <w:rsid w:val="00D76513"/>
    <w:rsid w:val="00D766CF"/>
    <w:rsid w:val="00D76E2D"/>
    <w:rsid w:val="00D76FC4"/>
    <w:rsid w:val="00D77B9E"/>
    <w:rsid w:val="00D77E23"/>
    <w:rsid w:val="00D8020E"/>
    <w:rsid w:val="00D8036C"/>
    <w:rsid w:val="00D81630"/>
    <w:rsid w:val="00D82349"/>
    <w:rsid w:val="00D8237D"/>
    <w:rsid w:val="00D82892"/>
    <w:rsid w:val="00D82B93"/>
    <w:rsid w:val="00D83125"/>
    <w:rsid w:val="00D8315B"/>
    <w:rsid w:val="00D8332A"/>
    <w:rsid w:val="00D83763"/>
    <w:rsid w:val="00D837DC"/>
    <w:rsid w:val="00D83CB2"/>
    <w:rsid w:val="00D8407C"/>
    <w:rsid w:val="00D8457C"/>
    <w:rsid w:val="00D84659"/>
    <w:rsid w:val="00D8507A"/>
    <w:rsid w:val="00D85671"/>
    <w:rsid w:val="00D8572D"/>
    <w:rsid w:val="00D85828"/>
    <w:rsid w:val="00D85887"/>
    <w:rsid w:val="00D85CC0"/>
    <w:rsid w:val="00D85DAC"/>
    <w:rsid w:val="00D85F58"/>
    <w:rsid w:val="00D85F6F"/>
    <w:rsid w:val="00D86205"/>
    <w:rsid w:val="00D86415"/>
    <w:rsid w:val="00D87230"/>
    <w:rsid w:val="00D873DC"/>
    <w:rsid w:val="00D8781B"/>
    <w:rsid w:val="00D87F90"/>
    <w:rsid w:val="00D901D0"/>
    <w:rsid w:val="00D903A1"/>
    <w:rsid w:val="00D90541"/>
    <w:rsid w:val="00D90AF9"/>
    <w:rsid w:val="00D910CF"/>
    <w:rsid w:val="00D914EB"/>
    <w:rsid w:val="00D91828"/>
    <w:rsid w:val="00D91D57"/>
    <w:rsid w:val="00D91FEC"/>
    <w:rsid w:val="00D9205F"/>
    <w:rsid w:val="00D9225F"/>
    <w:rsid w:val="00D92454"/>
    <w:rsid w:val="00D9250E"/>
    <w:rsid w:val="00D925EA"/>
    <w:rsid w:val="00D92751"/>
    <w:rsid w:val="00D929CC"/>
    <w:rsid w:val="00D92B6E"/>
    <w:rsid w:val="00D92D16"/>
    <w:rsid w:val="00D931AF"/>
    <w:rsid w:val="00D9338F"/>
    <w:rsid w:val="00D933D5"/>
    <w:rsid w:val="00D936DD"/>
    <w:rsid w:val="00D9402E"/>
    <w:rsid w:val="00D94345"/>
    <w:rsid w:val="00D94919"/>
    <w:rsid w:val="00D94DA3"/>
    <w:rsid w:val="00D952F6"/>
    <w:rsid w:val="00D95C8A"/>
    <w:rsid w:val="00D95E69"/>
    <w:rsid w:val="00D95F9D"/>
    <w:rsid w:val="00D96419"/>
    <w:rsid w:val="00D96466"/>
    <w:rsid w:val="00D96FFF"/>
    <w:rsid w:val="00D972F9"/>
    <w:rsid w:val="00D97547"/>
    <w:rsid w:val="00D978DA"/>
    <w:rsid w:val="00D97CBE"/>
    <w:rsid w:val="00DA0CA0"/>
    <w:rsid w:val="00DA0D8F"/>
    <w:rsid w:val="00DA0E5A"/>
    <w:rsid w:val="00DA0EF8"/>
    <w:rsid w:val="00DA1197"/>
    <w:rsid w:val="00DA13B5"/>
    <w:rsid w:val="00DA1414"/>
    <w:rsid w:val="00DA1AA1"/>
    <w:rsid w:val="00DA1B2B"/>
    <w:rsid w:val="00DA1D0C"/>
    <w:rsid w:val="00DA23C2"/>
    <w:rsid w:val="00DA24C6"/>
    <w:rsid w:val="00DA26FF"/>
    <w:rsid w:val="00DA2732"/>
    <w:rsid w:val="00DA2B36"/>
    <w:rsid w:val="00DA2E48"/>
    <w:rsid w:val="00DA2F2C"/>
    <w:rsid w:val="00DA3B51"/>
    <w:rsid w:val="00DA3DA7"/>
    <w:rsid w:val="00DA3E82"/>
    <w:rsid w:val="00DA47BF"/>
    <w:rsid w:val="00DA4BBA"/>
    <w:rsid w:val="00DA4BF3"/>
    <w:rsid w:val="00DA4C39"/>
    <w:rsid w:val="00DA4D79"/>
    <w:rsid w:val="00DA4EDD"/>
    <w:rsid w:val="00DA5471"/>
    <w:rsid w:val="00DA59CE"/>
    <w:rsid w:val="00DA5C70"/>
    <w:rsid w:val="00DA61C5"/>
    <w:rsid w:val="00DA63C4"/>
    <w:rsid w:val="00DA6715"/>
    <w:rsid w:val="00DA6844"/>
    <w:rsid w:val="00DA69E2"/>
    <w:rsid w:val="00DA6B72"/>
    <w:rsid w:val="00DA6F11"/>
    <w:rsid w:val="00DA77C2"/>
    <w:rsid w:val="00DA7E09"/>
    <w:rsid w:val="00DB0204"/>
    <w:rsid w:val="00DB089A"/>
    <w:rsid w:val="00DB1160"/>
    <w:rsid w:val="00DB13BA"/>
    <w:rsid w:val="00DB19F0"/>
    <w:rsid w:val="00DB1A30"/>
    <w:rsid w:val="00DB1A59"/>
    <w:rsid w:val="00DB1F7C"/>
    <w:rsid w:val="00DB202E"/>
    <w:rsid w:val="00DB2302"/>
    <w:rsid w:val="00DB24ED"/>
    <w:rsid w:val="00DB28DA"/>
    <w:rsid w:val="00DB2D29"/>
    <w:rsid w:val="00DB2F26"/>
    <w:rsid w:val="00DB33F6"/>
    <w:rsid w:val="00DB389C"/>
    <w:rsid w:val="00DB3E94"/>
    <w:rsid w:val="00DB4004"/>
    <w:rsid w:val="00DB40FC"/>
    <w:rsid w:val="00DB4A26"/>
    <w:rsid w:val="00DB4AF2"/>
    <w:rsid w:val="00DB4B7B"/>
    <w:rsid w:val="00DB4F80"/>
    <w:rsid w:val="00DB59B9"/>
    <w:rsid w:val="00DB5D86"/>
    <w:rsid w:val="00DB611B"/>
    <w:rsid w:val="00DB7238"/>
    <w:rsid w:val="00DB74CC"/>
    <w:rsid w:val="00DC0917"/>
    <w:rsid w:val="00DC1367"/>
    <w:rsid w:val="00DC1451"/>
    <w:rsid w:val="00DC1963"/>
    <w:rsid w:val="00DC20FC"/>
    <w:rsid w:val="00DC2223"/>
    <w:rsid w:val="00DC25F8"/>
    <w:rsid w:val="00DC27CB"/>
    <w:rsid w:val="00DC33B7"/>
    <w:rsid w:val="00DC3B7D"/>
    <w:rsid w:val="00DC4180"/>
    <w:rsid w:val="00DC492D"/>
    <w:rsid w:val="00DC4AD2"/>
    <w:rsid w:val="00DC4AE8"/>
    <w:rsid w:val="00DC5266"/>
    <w:rsid w:val="00DC526D"/>
    <w:rsid w:val="00DC5505"/>
    <w:rsid w:val="00DC5770"/>
    <w:rsid w:val="00DC590F"/>
    <w:rsid w:val="00DC5AF4"/>
    <w:rsid w:val="00DC632E"/>
    <w:rsid w:val="00DC7D31"/>
    <w:rsid w:val="00DD001C"/>
    <w:rsid w:val="00DD02CB"/>
    <w:rsid w:val="00DD02F7"/>
    <w:rsid w:val="00DD04E4"/>
    <w:rsid w:val="00DD0B0F"/>
    <w:rsid w:val="00DD0B6E"/>
    <w:rsid w:val="00DD0E03"/>
    <w:rsid w:val="00DD108A"/>
    <w:rsid w:val="00DD1770"/>
    <w:rsid w:val="00DD18C0"/>
    <w:rsid w:val="00DD1F5B"/>
    <w:rsid w:val="00DD25BD"/>
    <w:rsid w:val="00DD2828"/>
    <w:rsid w:val="00DD2908"/>
    <w:rsid w:val="00DD2B2F"/>
    <w:rsid w:val="00DD2C4E"/>
    <w:rsid w:val="00DD2DE1"/>
    <w:rsid w:val="00DD31B5"/>
    <w:rsid w:val="00DD350A"/>
    <w:rsid w:val="00DD3B33"/>
    <w:rsid w:val="00DD3C77"/>
    <w:rsid w:val="00DD3CE9"/>
    <w:rsid w:val="00DD4852"/>
    <w:rsid w:val="00DD4E8E"/>
    <w:rsid w:val="00DD5401"/>
    <w:rsid w:val="00DD5715"/>
    <w:rsid w:val="00DD573E"/>
    <w:rsid w:val="00DD5B7A"/>
    <w:rsid w:val="00DD5BB3"/>
    <w:rsid w:val="00DD6223"/>
    <w:rsid w:val="00DD65D5"/>
    <w:rsid w:val="00DD673A"/>
    <w:rsid w:val="00DD688E"/>
    <w:rsid w:val="00DD6D42"/>
    <w:rsid w:val="00DD764B"/>
    <w:rsid w:val="00DD772B"/>
    <w:rsid w:val="00DE011D"/>
    <w:rsid w:val="00DE011E"/>
    <w:rsid w:val="00DE0609"/>
    <w:rsid w:val="00DE0D95"/>
    <w:rsid w:val="00DE1467"/>
    <w:rsid w:val="00DE1F70"/>
    <w:rsid w:val="00DE22C4"/>
    <w:rsid w:val="00DE2B57"/>
    <w:rsid w:val="00DE2B68"/>
    <w:rsid w:val="00DE3020"/>
    <w:rsid w:val="00DE330E"/>
    <w:rsid w:val="00DE3419"/>
    <w:rsid w:val="00DE395D"/>
    <w:rsid w:val="00DE4366"/>
    <w:rsid w:val="00DE44C1"/>
    <w:rsid w:val="00DE44E2"/>
    <w:rsid w:val="00DE4C63"/>
    <w:rsid w:val="00DE4C8D"/>
    <w:rsid w:val="00DE50CE"/>
    <w:rsid w:val="00DE5325"/>
    <w:rsid w:val="00DE56A3"/>
    <w:rsid w:val="00DE5721"/>
    <w:rsid w:val="00DE5A41"/>
    <w:rsid w:val="00DE5E02"/>
    <w:rsid w:val="00DE6AF1"/>
    <w:rsid w:val="00DE6B37"/>
    <w:rsid w:val="00DE6C01"/>
    <w:rsid w:val="00DE6D95"/>
    <w:rsid w:val="00DE6E3B"/>
    <w:rsid w:val="00DE7049"/>
    <w:rsid w:val="00DE7416"/>
    <w:rsid w:val="00DE7C26"/>
    <w:rsid w:val="00DE7C84"/>
    <w:rsid w:val="00DF00A2"/>
    <w:rsid w:val="00DF02AA"/>
    <w:rsid w:val="00DF0331"/>
    <w:rsid w:val="00DF10D5"/>
    <w:rsid w:val="00DF1575"/>
    <w:rsid w:val="00DF1BCB"/>
    <w:rsid w:val="00DF1D4C"/>
    <w:rsid w:val="00DF1D71"/>
    <w:rsid w:val="00DF20C3"/>
    <w:rsid w:val="00DF21A0"/>
    <w:rsid w:val="00DF21CB"/>
    <w:rsid w:val="00DF252A"/>
    <w:rsid w:val="00DF2B10"/>
    <w:rsid w:val="00DF2B20"/>
    <w:rsid w:val="00DF2F83"/>
    <w:rsid w:val="00DF3006"/>
    <w:rsid w:val="00DF34C6"/>
    <w:rsid w:val="00DF3A5F"/>
    <w:rsid w:val="00DF45BD"/>
    <w:rsid w:val="00DF4749"/>
    <w:rsid w:val="00DF4B15"/>
    <w:rsid w:val="00DF5225"/>
    <w:rsid w:val="00DF541F"/>
    <w:rsid w:val="00DF58ED"/>
    <w:rsid w:val="00DF5FB2"/>
    <w:rsid w:val="00DF5FE2"/>
    <w:rsid w:val="00DF61A4"/>
    <w:rsid w:val="00DF6316"/>
    <w:rsid w:val="00DF6317"/>
    <w:rsid w:val="00DF636B"/>
    <w:rsid w:val="00DF6B85"/>
    <w:rsid w:val="00DF6CAB"/>
    <w:rsid w:val="00DF6F85"/>
    <w:rsid w:val="00DF77F3"/>
    <w:rsid w:val="00DF79AC"/>
    <w:rsid w:val="00DF79BA"/>
    <w:rsid w:val="00DF7F63"/>
    <w:rsid w:val="00E002E0"/>
    <w:rsid w:val="00E0040A"/>
    <w:rsid w:val="00E009EA"/>
    <w:rsid w:val="00E00AB7"/>
    <w:rsid w:val="00E00EE8"/>
    <w:rsid w:val="00E015C5"/>
    <w:rsid w:val="00E016FE"/>
    <w:rsid w:val="00E018C4"/>
    <w:rsid w:val="00E01FCC"/>
    <w:rsid w:val="00E01FF9"/>
    <w:rsid w:val="00E026B0"/>
    <w:rsid w:val="00E02D20"/>
    <w:rsid w:val="00E03179"/>
    <w:rsid w:val="00E039BD"/>
    <w:rsid w:val="00E03AF5"/>
    <w:rsid w:val="00E03C4A"/>
    <w:rsid w:val="00E0442F"/>
    <w:rsid w:val="00E046BF"/>
    <w:rsid w:val="00E04831"/>
    <w:rsid w:val="00E0564E"/>
    <w:rsid w:val="00E057AB"/>
    <w:rsid w:val="00E05AA9"/>
    <w:rsid w:val="00E05B57"/>
    <w:rsid w:val="00E05ED6"/>
    <w:rsid w:val="00E06268"/>
    <w:rsid w:val="00E06C4F"/>
    <w:rsid w:val="00E06CEA"/>
    <w:rsid w:val="00E06EE3"/>
    <w:rsid w:val="00E0741E"/>
    <w:rsid w:val="00E10244"/>
    <w:rsid w:val="00E10F32"/>
    <w:rsid w:val="00E10FCF"/>
    <w:rsid w:val="00E110A4"/>
    <w:rsid w:val="00E111A1"/>
    <w:rsid w:val="00E115D3"/>
    <w:rsid w:val="00E11E50"/>
    <w:rsid w:val="00E11F49"/>
    <w:rsid w:val="00E1200D"/>
    <w:rsid w:val="00E121BE"/>
    <w:rsid w:val="00E12627"/>
    <w:rsid w:val="00E1269C"/>
    <w:rsid w:val="00E12779"/>
    <w:rsid w:val="00E12971"/>
    <w:rsid w:val="00E138CA"/>
    <w:rsid w:val="00E13995"/>
    <w:rsid w:val="00E13A2A"/>
    <w:rsid w:val="00E13A38"/>
    <w:rsid w:val="00E13CB5"/>
    <w:rsid w:val="00E14565"/>
    <w:rsid w:val="00E14603"/>
    <w:rsid w:val="00E1462E"/>
    <w:rsid w:val="00E148AE"/>
    <w:rsid w:val="00E15C51"/>
    <w:rsid w:val="00E15E30"/>
    <w:rsid w:val="00E16018"/>
    <w:rsid w:val="00E162A5"/>
    <w:rsid w:val="00E164DF"/>
    <w:rsid w:val="00E16A27"/>
    <w:rsid w:val="00E16BCD"/>
    <w:rsid w:val="00E16C1A"/>
    <w:rsid w:val="00E16D96"/>
    <w:rsid w:val="00E172C1"/>
    <w:rsid w:val="00E17805"/>
    <w:rsid w:val="00E17883"/>
    <w:rsid w:val="00E17997"/>
    <w:rsid w:val="00E17F9D"/>
    <w:rsid w:val="00E20174"/>
    <w:rsid w:val="00E20656"/>
    <w:rsid w:val="00E207EB"/>
    <w:rsid w:val="00E20B84"/>
    <w:rsid w:val="00E21135"/>
    <w:rsid w:val="00E2118F"/>
    <w:rsid w:val="00E2146C"/>
    <w:rsid w:val="00E21668"/>
    <w:rsid w:val="00E21C32"/>
    <w:rsid w:val="00E21F45"/>
    <w:rsid w:val="00E222BF"/>
    <w:rsid w:val="00E227FC"/>
    <w:rsid w:val="00E22B4B"/>
    <w:rsid w:val="00E22F74"/>
    <w:rsid w:val="00E2314A"/>
    <w:rsid w:val="00E23268"/>
    <w:rsid w:val="00E233D6"/>
    <w:rsid w:val="00E23552"/>
    <w:rsid w:val="00E23B9A"/>
    <w:rsid w:val="00E23BAD"/>
    <w:rsid w:val="00E23C9A"/>
    <w:rsid w:val="00E23D4D"/>
    <w:rsid w:val="00E24006"/>
    <w:rsid w:val="00E2497C"/>
    <w:rsid w:val="00E249E5"/>
    <w:rsid w:val="00E24C4E"/>
    <w:rsid w:val="00E24F9D"/>
    <w:rsid w:val="00E26002"/>
    <w:rsid w:val="00E26284"/>
    <w:rsid w:val="00E26336"/>
    <w:rsid w:val="00E26B53"/>
    <w:rsid w:val="00E26C4B"/>
    <w:rsid w:val="00E26E16"/>
    <w:rsid w:val="00E27336"/>
    <w:rsid w:val="00E2735A"/>
    <w:rsid w:val="00E277FC"/>
    <w:rsid w:val="00E27822"/>
    <w:rsid w:val="00E2785F"/>
    <w:rsid w:val="00E27942"/>
    <w:rsid w:val="00E27F09"/>
    <w:rsid w:val="00E301DF"/>
    <w:rsid w:val="00E306EC"/>
    <w:rsid w:val="00E30BCF"/>
    <w:rsid w:val="00E30EE0"/>
    <w:rsid w:val="00E30F65"/>
    <w:rsid w:val="00E31D84"/>
    <w:rsid w:val="00E320EF"/>
    <w:rsid w:val="00E32244"/>
    <w:rsid w:val="00E3242E"/>
    <w:rsid w:val="00E337B9"/>
    <w:rsid w:val="00E33AF7"/>
    <w:rsid w:val="00E33D36"/>
    <w:rsid w:val="00E341C7"/>
    <w:rsid w:val="00E34D47"/>
    <w:rsid w:val="00E34E06"/>
    <w:rsid w:val="00E353A9"/>
    <w:rsid w:val="00E35648"/>
    <w:rsid w:val="00E368B1"/>
    <w:rsid w:val="00E36B2B"/>
    <w:rsid w:val="00E36F33"/>
    <w:rsid w:val="00E36F54"/>
    <w:rsid w:val="00E3765F"/>
    <w:rsid w:val="00E37946"/>
    <w:rsid w:val="00E37A75"/>
    <w:rsid w:val="00E37BF6"/>
    <w:rsid w:val="00E402EC"/>
    <w:rsid w:val="00E40361"/>
    <w:rsid w:val="00E40DD3"/>
    <w:rsid w:val="00E40E8B"/>
    <w:rsid w:val="00E40F63"/>
    <w:rsid w:val="00E41B49"/>
    <w:rsid w:val="00E41C80"/>
    <w:rsid w:val="00E41C81"/>
    <w:rsid w:val="00E4224F"/>
    <w:rsid w:val="00E422BE"/>
    <w:rsid w:val="00E42C50"/>
    <w:rsid w:val="00E42F59"/>
    <w:rsid w:val="00E43123"/>
    <w:rsid w:val="00E4370E"/>
    <w:rsid w:val="00E43799"/>
    <w:rsid w:val="00E4389B"/>
    <w:rsid w:val="00E43BC6"/>
    <w:rsid w:val="00E43D86"/>
    <w:rsid w:val="00E440F3"/>
    <w:rsid w:val="00E4420E"/>
    <w:rsid w:val="00E448DE"/>
    <w:rsid w:val="00E449B5"/>
    <w:rsid w:val="00E44D04"/>
    <w:rsid w:val="00E44F6D"/>
    <w:rsid w:val="00E45207"/>
    <w:rsid w:val="00E45C03"/>
    <w:rsid w:val="00E4649E"/>
    <w:rsid w:val="00E468A0"/>
    <w:rsid w:val="00E46F04"/>
    <w:rsid w:val="00E4722F"/>
    <w:rsid w:val="00E474B7"/>
    <w:rsid w:val="00E47789"/>
    <w:rsid w:val="00E47856"/>
    <w:rsid w:val="00E478F4"/>
    <w:rsid w:val="00E500B9"/>
    <w:rsid w:val="00E5061F"/>
    <w:rsid w:val="00E506D1"/>
    <w:rsid w:val="00E50B75"/>
    <w:rsid w:val="00E51398"/>
    <w:rsid w:val="00E51897"/>
    <w:rsid w:val="00E51B47"/>
    <w:rsid w:val="00E51C18"/>
    <w:rsid w:val="00E51FA8"/>
    <w:rsid w:val="00E521AF"/>
    <w:rsid w:val="00E5237E"/>
    <w:rsid w:val="00E52781"/>
    <w:rsid w:val="00E52CBE"/>
    <w:rsid w:val="00E52EDC"/>
    <w:rsid w:val="00E5300B"/>
    <w:rsid w:val="00E53496"/>
    <w:rsid w:val="00E538DD"/>
    <w:rsid w:val="00E53934"/>
    <w:rsid w:val="00E53946"/>
    <w:rsid w:val="00E53AEC"/>
    <w:rsid w:val="00E54A65"/>
    <w:rsid w:val="00E54A78"/>
    <w:rsid w:val="00E54D58"/>
    <w:rsid w:val="00E55158"/>
    <w:rsid w:val="00E554DA"/>
    <w:rsid w:val="00E558F1"/>
    <w:rsid w:val="00E55972"/>
    <w:rsid w:val="00E564F6"/>
    <w:rsid w:val="00E56617"/>
    <w:rsid w:val="00E5666E"/>
    <w:rsid w:val="00E56727"/>
    <w:rsid w:val="00E5719D"/>
    <w:rsid w:val="00E5728B"/>
    <w:rsid w:val="00E57805"/>
    <w:rsid w:val="00E57EB7"/>
    <w:rsid w:val="00E57F35"/>
    <w:rsid w:val="00E6055D"/>
    <w:rsid w:val="00E6066A"/>
    <w:rsid w:val="00E608EB"/>
    <w:rsid w:val="00E60C72"/>
    <w:rsid w:val="00E60CDD"/>
    <w:rsid w:val="00E60DE8"/>
    <w:rsid w:val="00E61637"/>
    <w:rsid w:val="00E61D6B"/>
    <w:rsid w:val="00E61ECD"/>
    <w:rsid w:val="00E620C4"/>
    <w:rsid w:val="00E62618"/>
    <w:rsid w:val="00E62CF9"/>
    <w:rsid w:val="00E62E53"/>
    <w:rsid w:val="00E63115"/>
    <w:rsid w:val="00E63422"/>
    <w:rsid w:val="00E634F4"/>
    <w:rsid w:val="00E6351E"/>
    <w:rsid w:val="00E63CB6"/>
    <w:rsid w:val="00E63F58"/>
    <w:rsid w:val="00E6408B"/>
    <w:rsid w:val="00E6438C"/>
    <w:rsid w:val="00E646C9"/>
    <w:rsid w:val="00E64A13"/>
    <w:rsid w:val="00E65072"/>
    <w:rsid w:val="00E65A9A"/>
    <w:rsid w:val="00E660E8"/>
    <w:rsid w:val="00E67138"/>
    <w:rsid w:val="00E6764F"/>
    <w:rsid w:val="00E6767E"/>
    <w:rsid w:val="00E67693"/>
    <w:rsid w:val="00E678F7"/>
    <w:rsid w:val="00E67B75"/>
    <w:rsid w:val="00E67D27"/>
    <w:rsid w:val="00E67E35"/>
    <w:rsid w:val="00E7019E"/>
    <w:rsid w:val="00E70802"/>
    <w:rsid w:val="00E70E75"/>
    <w:rsid w:val="00E7193F"/>
    <w:rsid w:val="00E72733"/>
    <w:rsid w:val="00E72C7C"/>
    <w:rsid w:val="00E730FF"/>
    <w:rsid w:val="00E73100"/>
    <w:rsid w:val="00E73334"/>
    <w:rsid w:val="00E73770"/>
    <w:rsid w:val="00E73BEE"/>
    <w:rsid w:val="00E73D58"/>
    <w:rsid w:val="00E741E6"/>
    <w:rsid w:val="00E74360"/>
    <w:rsid w:val="00E746AE"/>
    <w:rsid w:val="00E7487E"/>
    <w:rsid w:val="00E74C64"/>
    <w:rsid w:val="00E75496"/>
    <w:rsid w:val="00E75918"/>
    <w:rsid w:val="00E759C1"/>
    <w:rsid w:val="00E75B9A"/>
    <w:rsid w:val="00E75F65"/>
    <w:rsid w:val="00E761E3"/>
    <w:rsid w:val="00E767D4"/>
    <w:rsid w:val="00E76C9C"/>
    <w:rsid w:val="00E771AA"/>
    <w:rsid w:val="00E77CAF"/>
    <w:rsid w:val="00E77E07"/>
    <w:rsid w:val="00E80667"/>
    <w:rsid w:val="00E80804"/>
    <w:rsid w:val="00E80B8D"/>
    <w:rsid w:val="00E80F9A"/>
    <w:rsid w:val="00E80F9D"/>
    <w:rsid w:val="00E81022"/>
    <w:rsid w:val="00E81208"/>
    <w:rsid w:val="00E81D89"/>
    <w:rsid w:val="00E82C69"/>
    <w:rsid w:val="00E82CC8"/>
    <w:rsid w:val="00E82DCB"/>
    <w:rsid w:val="00E83355"/>
    <w:rsid w:val="00E83586"/>
    <w:rsid w:val="00E8410E"/>
    <w:rsid w:val="00E8426F"/>
    <w:rsid w:val="00E842DD"/>
    <w:rsid w:val="00E84BB5"/>
    <w:rsid w:val="00E84EE3"/>
    <w:rsid w:val="00E84F3B"/>
    <w:rsid w:val="00E857CD"/>
    <w:rsid w:val="00E85BB8"/>
    <w:rsid w:val="00E85EBE"/>
    <w:rsid w:val="00E862DC"/>
    <w:rsid w:val="00E86698"/>
    <w:rsid w:val="00E86B86"/>
    <w:rsid w:val="00E86EED"/>
    <w:rsid w:val="00E87724"/>
    <w:rsid w:val="00E90193"/>
    <w:rsid w:val="00E90453"/>
    <w:rsid w:val="00E9074A"/>
    <w:rsid w:val="00E9111C"/>
    <w:rsid w:val="00E9142C"/>
    <w:rsid w:val="00E9156E"/>
    <w:rsid w:val="00E918DE"/>
    <w:rsid w:val="00E91BBA"/>
    <w:rsid w:val="00E926C7"/>
    <w:rsid w:val="00E92748"/>
    <w:rsid w:val="00E92951"/>
    <w:rsid w:val="00E92957"/>
    <w:rsid w:val="00E92C85"/>
    <w:rsid w:val="00E9312C"/>
    <w:rsid w:val="00E93353"/>
    <w:rsid w:val="00E934A4"/>
    <w:rsid w:val="00E93599"/>
    <w:rsid w:val="00E93741"/>
    <w:rsid w:val="00E939D0"/>
    <w:rsid w:val="00E93BD6"/>
    <w:rsid w:val="00E94341"/>
    <w:rsid w:val="00E94A4A"/>
    <w:rsid w:val="00E94A80"/>
    <w:rsid w:val="00E94E2B"/>
    <w:rsid w:val="00E9503E"/>
    <w:rsid w:val="00E95730"/>
    <w:rsid w:val="00E95EB2"/>
    <w:rsid w:val="00E95EFF"/>
    <w:rsid w:val="00E9627D"/>
    <w:rsid w:val="00E9699B"/>
    <w:rsid w:val="00E969DE"/>
    <w:rsid w:val="00E96C42"/>
    <w:rsid w:val="00E970C4"/>
    <w:rsid w:val="00E971C0"/>
    <w:rsid w:val="00E972F4"/>
    <w:rsid w:val="00E9743C"/>
    <w:rsid w:val="00E97578"/>
    <w:rsid w:val="00E976BF"/>
    <w:rsid w:val="00E97A15"/>
    <w:rsid w:val="00E97B78"/>
    <w:rsid w:val="00EA095E"/>
    <w:rsid w:val="00EA0A30"/>
    <w:rsid w:val="00EA0B8F"/>
    <w:rsid w:val="00EA0CBE"/>
    <w:rsid w:val="00EA0D14"/>
    <w:rsid w:val="00EA11CA"/>
    <w:rsid w:val="00EA13B7"/>
    <w:rsid w:val="00EA140D"/>
    <w:rsid w:val="00EA14D4"/>
    <w:rsid w:val="00EA1556"/>
    <w:rsid w:val="00EA1718"/>
    <w:rsid w:val="00EA1ADF"/>
    <w:rsid w:val="00EA1E82"/>
    <w:rsid w:val="00EA22DF"/>
    <w:rsid w:val="00EA2AC8"/>
    <w:rsid w:val="00EA2C0F"/>
    <w:rsid w:val="00EA2CB2"/>
    <w:rsid w:val="00EA2DBD"/>
    <w:rsid w:val="00EA31F5"/>
    <w:rsid w:val="00EA38DD"/>
    <w:rsid w:val="00EA3DA5"/>
    <w:rsid w:val="00EA42C6"/>
    <w:rsid w:val="00EA4A48"/>
    <w:rsid w:val="00EA4F29"/>
    <w:rsid w:val="00EA533B"/>
    <w:rsid w:val="00EA5758"/>
    <w:rsid w:val="00EA62AE"/>
    <w:rsid w:val="00EA669D"/>
    <w:rsid w:val="00EA6BDD"/>
    <w:rsid w:val="00EA6C39"/>
    <w:rsid w:val="00EA77F9"/>
    <w:rsid w:val="00EA7A22"/>
    <w:rsid w:val="00EA7AA8"/>
    <w:rsid w:val="00EB061C"/>
    <w:rsid w:val="00EB0946"/>
    <w:rsid w:val="00EB0AE1"/>
    <w:rsid w:val="00EB0C36"/>
    <w:rsid w:val="00EB0C8D"/>
    <w:rsid w:val="00EB14D2"/>
    <w:rsid w:val="00EB156D"/>
    <w:rsid w:val="00EB1951"/>
    <w:rsid w:val="00EB197B"/>
    <w:rsid w:val="00EB1C15"/>
    <w:rsid w:val="00EB1C6D"/>
    <w:rsid w:val="00EB2924"/>
    <w:rsid w:val="00EB2A7A"/>
    <w:rsid w:val="00EB2DFC"/>
    <w:rsid w:val="00EB30F3"/>
    <w:rsid w:val="00EB33FE"/>
    <w:rsid w:val="00EB37B7"/>
    <w:rsid w:val="00EB3EE2"/>
    <w:rsid w:val="00EB40B8"/>
    <w:rsid w:val="00EB57A7"/>
    <w:rsid w:val="00EB5A70"/>
    <w:rsid w:val="00EB60E6"/>
    <w:rsid w:val="00EB6578"/>
    <w:rsid w:val="00EB6817"/>
    <w:rsid w:val="00EB6AC8"/>
    <w:rsid w:val="00EB6FC7"/>
    <w:rsid w:val="00EB7663"/>
    <w:rsid w:val="00EB77F2"/>
    <w:rsid w:val="00EC01DC"/>
    <w:rsid w:val="00EC02CD"/>
    <w:rsid w:val="00EC053C"/>
    <w:rsid w:val="00EC0923"/>
    <w:rsid w:val="00EC1069"/>
    <w:rsid w:val="00EC1253"/>
    <w:rsid w:val="00EC1518"/>
    <w:rsid w:val="00EC1537"/>
    <w:rsid w:val="00EC1DCE"/>
    <w:rsid w:val="00EC31C4"/>
    <w:rsid w:val="00EC3651"/>
    <w:rsid w:val="00EC3776"/>
    <w:rsid w:val="00EC39D6"/>
    <w:rsid w:val="00EC4034"/>
    <w:rsid w:val="00EC40B0"/>
    <w:rsid w:val="00EC4A2F"/>
    <w:rsid w:val="00EC51A2"/>
    <w:rsid w:val="00EC52B4"/>
    <w:rsid w:val="00EC549A"/>
    <w:rsid w:val="00EC5736"/>
    <w:rsid w:val="00EC655E"/>
    <w:rsid w:val="00EC6A7D"/>
    <w:rsid w:val="00EC7256"/>
    <w:rsid w:val="00EC75F0"/>
    <w:rsid w:val="00EC77AB"/>
    <w:rsid w:val="00ED14F3"/>
    <w:rsid w:val="00ED185C"/>
    <w:rsid w:val="00ED219B"/>
    <w:rsid w:val="00ED22DA"/>
    <w:rsid w:val="00ED2796"/>
    <w:rsid w:val="00ED2937"/>
    <w:rsid w:val="00ED2CF9"/>
    <w:rsid w:val="00ED3176"/>
    <w:rsid w:val="00ED3431"/>
    <w:rsid w:val="00ED37AC"/>
    <w:rsid w:val="00ED39CF"/>
    <w:rsid w:val="00ED39D8"/>
    <w:rsid w:val="00ED3F85"/>
    <w:rsid w:val="00ED4243"/>
    <w:rsid w:val="00ED4802"/>
    <w:rsid w:val="00ED4B4E"/>
    <w:rsid w:val="00ED4E13"/>
    <w:rsid w:val="00ED550D"/>
    <w:rsid w:val="00ED566C"/>
    <w:rsid w:val="00ED586A"/>
    <w:rsid w:val="00ED5B46"/>
    <w:rsid w:val="00ED667C"/>
    <w:rsid w:val="00ED675F"/>
    <w:rsid w:val="00ED678E"/>
    <w:rsid w:val="00EE04F4"/>
    <w:rsid w:val="00EE0877"/>
    <w:rsid w:val="00EE14D2"/>
    <w:rsid w:val="00EE1ACE"/>
    <w:rsid w:val="00EE2115"/>
    <w:rsid w:val="00EE24FA"/>
    <w:rsid w:val="00EE25A0"/>
    <w:rsid w:val="00EE2631"/>
    <w:rsid w:val="00EE28F1"/>
    <w:rsid w:val="00EE2AF9"/>
    <w:rsid w:val="00EE365D"/>
    <w:rsid w:val="00EE3CE6"/>
    <w:rsid w:val="00EE3DDC"/>
    <w:rsid w:val="00EE546E"/>
    <w:rsid w:val="00EE552A"/>
    <w:rsid w:val="00EE57EF"/>
    <w:rsid w:val="00EE5800"/>
    <w:rsid w:val="00EE5864"/>
    <w:rsid w:val="00EE593F"/>
    <w:rsid w:val="00EE6058"/>
    <w:rsid w:val="00EE60D2"/>
    <w:rsid w:val="00EE68C6"/>
    <w:rsid w:val="00EE6B08"/>
    <w:rsid w:val="00EE6E99"/>
    <w:rsid w:val="00EE6F23"/>
    <w:rsid w:val="00EE77AB"/>
    <w:rsid w:val="00EF06F9"/>
    <w:rsid w:val="00EF0852"/>
    <w:rsid w:val="00EF17AA"/>
    <w:rsid w:val="00EF1A9F"/>
    <w:rsid w:val="00EF1D82"/>
    <w:rsid w:val="00EF1F61"/>
    <w:rsid w:val="00EF218F"/>
    <w:rsid w:val="00EF2A5F"/>
    <w:rsid w:val="00EF3031"/>
    <w:rsid w:val="00EF351D"/>
    <w:rsid w:val="00EF35B1"/>
    <w:rsid w:val="00EF36BC"/>
    <w:rsid w:val="00EF36D3"/>
    <w:rsid w:val="00EF3FC9"/>
    <w:rsid w:val="00EF5A6A"/>
    <w:rsid w:val="00EF5FA1"/>
    <w:rsid w:val="00EF60F0"/>
    <w:rsid w:val="00EF61B3"/>
    <w:rsid w:val="00EF640E"/>
    <w:rsid w:val="00EF68BB"/>
    <w:rsid w:val="00EF6A20"/>
    <w:rsid w:val="00EF723C"/>
    <w:rsid w:val="00EF7467"/>
    <w:rsid w:val="00EF757C"/>
    <w:rsid w:val="00EF7FB7"/>
    <w:rsid w:val="00F004D9"/>
    <w:rsid w:val="00F00DD7"/>
    <w:rsid w:val="00F010F3"/>
    <w:rsid w:val="00F01235"/>
    <w:rsid w:val="00F015F5"/>
    <w:rsid w:val="00F01B6D"/>
    <w:rsid w:val="00F01DB3"/>
    <w:rsid w:val="00F021C6"/>
    <w:rsid w:val="00F0272F"/>
    <w:rsid w:val="00F0273B"/>
    <w:rsid w:val="00F02C45"/>
    <w:rsid w:val="00F03182"/>
    <w:rsid w:val="00F037EA"/>
    <w:rsid w:val="00F04318"/>
    <w:rsid w:val="00F043CA"/>
    <w:rsid w:val="00F048AD"/>
    <w:rsid w:val="00F04C4D"/>
    <w:rsid w:val="00F04DF2"/>
    <w:rsid w:val="00F04EB6"/>
    <w:rsid w:val="00F0574C"/>
    <w:rsid w:val="00F05757"/>
    <w:rsid w:val="00F05E63"/>
    <w:rsid w:val="00F06169"/>
    <w:rsid w:val="00F06401"/>
    <w:rsid w:val="00F06677"/>
    <w:rsid w:val="00F06D9F"/>
    <w:rsid w:val="00F06E1E"/>
    <w:rsid w:val="00F0713F"/>
    <w:rsid w:val="00F07CED"/>
    <w:rsid w:val="00F1084A"/>
    <w:rsid w:val="00F10913"/>
    <w:rsid w:val="00F10A07"/>
    <w:rsid w:val="00F10C99"/>
    <w:rsid w:val="00F110A6"/>
    <w:rsid w:val="00F11294"/>
    <w:rsid w:val="00F11A1A"/>
    <w:rsid w:val="00F11AFD"/>
    <w:rsid w:val="00F11D20"/>
    <w:rsid w:val="00F11DDF"/>
    <w:rsid w:val="00F11E02"/>
    <w:rsid w:val="00F126E1"/>
    <w:rsid w:val="00F12C55"/>
    <w:rsid w:val="00F12E83"/>
    <w:rsid w:val="00F12F3A"/>
    <w:rsid w:val="00F1353E"/>
    <w:rsid w:val="00F13A56"/>
    <w:rsid w:val="00F14F33"/>
    <w:rsid w:val="00F15223"/>
    <w:rsid w:val="00F15563"/>
    <w:rsid w:val="00F15831"/>
    <w:rsid w:val="00F15875"/>
    <w:rsid w:val="00F15E2A"/>
    <w:rsid w:val="00F15F55"/>
    <w:rsid w:val="00F16252"/>
    <w:rsid w:val="00F168B7"/>
    <w:rsid w:val="00F16AC6"/>
    <w:rsid w:val="00F16FAF"/>
    <w:rsid w:val="00F17194"/>
    <w:rsid w:val="00F172FE"/>
    <w:rsid w:val="00F175C1"/>
    <w:rsid w:val="00F17713"/>
    <w:rsid w:val="00F178A7"/>
    <w:rsid w:val="00F1790C"/>
    <w:rsid w:val="00F17C36"/>
    <w:rsid w:val="00F200B6"/>
    <w:rsid w:val="00F20DF5"/>
    <w:rsid w:val="00F20FBA"/>
    <w:rsid w:val="00F21033"/>
    <w:rsid w:val="00F211CB"/>
    <w:rsid w:val="00F21329"/>
    <w:rsid w:val="00F213DA"/>
    <w:rsid w:val="00F215BB"/>
    <w:rsid w:val="00F2193A"/>
    <w:rsid w:val="00F21A55"/>
    <w:rsid w:val="00F21CD5"/>
    <w:rsid w:val="00F21E20"/>
    <w:rsid w:val="00F220F7"/>
    <w:rsid w:val="00F22151"/>
    <w:rsid w:val="00F22411"/>
    <w:rsid w:val="00F2276B"/>
    <w:rsid w:val="00F22A1C"/>
    <w:rsid w:val="00F22D9B"/>
    <w:rsid w:val="00F22F6D"/>
    <w:rsid w:val="00F23012"/>
    <w:rsid w:val="00F2335F"/>
    <w:rsid w:val="00F23632"/>
    <w:rsid w:val="00F23BFA"/>
    <w:rsid w:val="00F23C04"/>
    <w:rsid w:val="00F241E9"/>
    <w:rsid w:val="00F24372"/>
    <w:rsid w:val="00F24660"/>
    <w:rsid w:val="00F24AB3"/>
    <w:rsid w:val="00F24EE5"/>
    <w:rsid w:val="00F257F6"/>
    <w:rsid w:val="00F2595B"/>
    <w:rsid w:val="00F277BB"/>
    <w:rsid w:val="00F27DB1"/>
    <w:rsid w:val="00F30060"/>
    <w:rsid w:val="00F30157"/>
    <w:rsid w:val="00F3065A"/>
    <w:rsid w:val="00F30772"/>
    <w:rsid w:val="00F30873"/>
    <w:rsid w:val="00F30A5F"/>
    <w:rsid w:val="00F30B6D"/>
    <w:rsid w:val="00F30C1B"/>
    <w:rsid w:val="00F31011"/>
    <w:rsid w:val="00F31178"/>
    <w:rsid w:val="00F3193E"/>
    <w:rsid w:val="00F31B6E"/>
    <w:rsid w:val="00F31D44"/>
    <w:rsid w:val="00F31D9E"/>
    <w:rsid w:val="00F32433"/>
    <w:rsid w:val="00F325E7"/>
    <w:rsid w:val="00F333A0"/>
    <w:rsid w:val="00F3354B"/>
    <w:rsid w:val="00F33C6F"/>
    <w:rsid w:val="00F33F59"/>
    <w:rsid w:val="00F33F93"/>
    <w:rsid w:val="00F3417D"/>
    <w:rsid w:val="00F34208"/>
    <w:rsid w:val="00F3425F"/>
    <w:rsid w:val="00F34383"/>
    <w:rsid w:val="00F34667"/>
    <w:rsid w:val="00F3540A"/>
    <w:rsid w:val="00F3554F"/>
    <w:rsid w:val="00F3577C"/>
    <w:rsid w:val="00F3588E"/>
    <w:rsid w:val="00F35963"/>
    <w:rsid w:val="00F35ADE"/>
    <w:rsid w:val="00F36796"/>
    <w:rsid w:val="00F367C5"/>
    <w:rsid w:val="00F37313"/>
    <w:rsid w:val="00F3735E"/>
    <w:rsid w:val="00F37B9A"/>
    <w:rsid w:val="00F37EC0"/>
    <w:rsid w:val="00F413FD"/>
    <w:rsid w:val="00F41888"/>
    <w:rsid w:val="00F42313"/>
    <w:rsid w:val="00F4237E"/>
    <w:rsid w:val="00F427D1"/>
    <w:rsid w:val="00F42915"/>
    <w:rsid w:val="00F429AF"/>
    <w:rsid w:val="00F42AA0"/>
    <w:rsid w:val="00F42CAE"/>
    <w:rsid w:val="00F42CB3"/>
    <w:rsid w:val="00F42F76"/>
    <w:rsid w:val="00F42F77"/>
    <w:rsid w:val="00F4319B"/>
    <w:rsid w:val="00F43219"/>
    <w:rsid w:val="00F4369B"/>
    <w:rsid w:val="00F44218"/>
    <w:rsid w:val="00F44640"/>
    <w:rsid w:val="00F446D4"/>
    <w:rsid w:val="00F44C8D"/>
    <w:rsid w:val="00F452E4"/>
    <w:rsid w:val="00F45A0D"/>
    <w:rsid w:val="00F46577"/>
    <w:rsid w:val="00F46A7F"/>
    <w:rsid w:val="00F46C96"/>
    <w:rsid w:val="00F46E12"/>
    <w:rsid w:val="00F46EEA"/>
    <w:rsid w:val="00F472A5"/>
    <w:rsid w:val="00F47C1B"/>
    <w:rsid w:val="00F47C2E"/>
    <w:rsid w:val="00F50289"/>
    <w:rsid w:val="00F50369"/>
    <w:rsid w:val="00F50541"/>
    <w:rsid w:val="00F50688"/>
    <w:rsid w:val="00F5071E"/>
    <w:rsid w:val="00F509AF"/>
    <w:rsid w:val="00F50A28"/>
    <w:rsid w:val="00F50C60"/>
    <w:rsid w:val="00F50EDB"/>
    <w:rsid w:val="00F51438"/>
    <w:rsid w:val="00F51A1F"/>
    <w:rsid w:val="00F52591"/>
    <w:rsid w:val="00F52898"/>
    <w:rsid w:val="00F52BB2"/>
    <w:rsid w:val="00F52D53"/>
    <w:rsid w:val="00F53800"/>
    <w:rsid w:val="00F539AE"/>
    <w:rsid w:val="00F543FE"/>
    <w:rsid w:val="00F54D07"/>
    <w:rsid w:val="00F54EB8"/>
    <w:rsid w:val="00F54FCF"/>
    <w:rsid w:val="00F55523"/>
    <w:rsid w:val="00F5580F"/>
    <w:rsid w:val="00F55880"/>
    <w:rsid w:val="00F55BB5"/>
    <w:rsid w:val="00F5646E"/>
    <w:rsid w:val="00F56634"/>
    <w:rsid w:val="00F56A8F"/>
    <w:rsid w:val="00F57419"/>
    <w:rsid w:val="00F5795C"/>
    <w:rsid w:val="00F57B16"/>
    <w:rsid w:val="00F57E3B"/>
    <w:rsid w:val="00F6055A"/>
    <w:rsid w:val="00F613CD"/>
    <w:rsid w:val="00F613F4"/>
    <w:rsid w:val="00F618D1"/>
    <w:rsid w:val="00F61C3D"/>
    <w:rsid w:val="00F61D39"/>
    <w:rsid w:val="00F61D9D"/>
    <w:rsid w:val="00F621C8"/>
    <w:rsid w:val="00F6276D"/>
    <w:rsid w:val="00F62CBB"/>
    <w:rsid w:val="00F62E90"/>
    <w:rsid w:val="00F63096"/>
    <w:rsid w:val="00F63577"/>
    <w:rsid w:val="00F63C21"/>
    <w:rsid w:val="00F63C79"/>
    <w:rsid w:val="00F63CF0"/>
    <w:rsid w:val="00F63F9A"/>
    <w:rsid w:val="00F64880"/>
    <w:rsid w:val="00F64DD8"/>
    <w:rsid w:val="00F654C7"/>
    <w:rsid w:val="00F6558C"/>
    <w:rsid w:val="00F65AD3"/>
    <w:rsid w:val="00F667F4"/>
    <w:rsid w:val="00F66F7D"/>
    <w:rsid w:val="00F67BBB"/>
    <w:rsid w:val="00F67D44"/>
    <w:rsid w:val="00F67ECB"/>
    <w:rsid w:val="00F67F6B"/>
    <w:rsid w:val="00F701C8"/>
    <w:rsid w:val="00F702E9"/>
    <w:rsid w:val="00F7094C"/>
    <w:rsid w:val="00F715B9"/>
    <w:rsid w:val="00F71B57"/>
    <w:rsid w:val="00F71B7B"/>
    <w:rsid w:val="00F724CD"/>
    <w:rsid w:val="00F72D05"/>
    <w:rsid w:val="00F737D5"/>
    <w:rsid w:val="00F742A5"/>
    <w:rsid w:val="00F75717"/>
    <w:rsid w:val="00F7597E"/>
    <w:rsid w:val="00F759BB"/>
    <w:rsid w:val="00F75CC0"/>
    <w:rsid w:val="00F761D8"/>
    <w:rsid w:val="00F762E4"/>
    <w:rsid w:val="00F767A3"/>
    <w:rsid w:val="00F76A99"/>
    <w:rsid w:val="00F77148"/>
    <w:rsid w:val="00F773EF"/>
    <w:rsid w:val="00F774A7"/>
    <w:rsid w:val="00F774B3"/>
    <w:rsid w:val="00F77DDC"/>
    <w:rsid w:val="00F80BFB"/>
    <w:rsid w:val="00F80C31"/>
    <w:rsid w:val="00F814F8"/>
    <w:rsid w:val="00F819CF"/>
    <w:rsid w:val="00F81D2B"/>
    <w:rsid w:val="00F81F27"/>
    <w:rsid w:val="00F82876"/>
    <w:rsid w:val="00F82AC6"/>
    <w:rsid w:val="00F82B56"/>
    <w:rsid w:val="00F82CCF"/>
    <w:rsid w:val="00F83926"/>
    <w:rsid w:val="00F83949"/>
    <w:rsid w:val="00F83C07"/>
    <w:rsid w:val="00F83D16"/>
    <w:rsid w:val="00F83D3C"/>
    <w:rsid w:val="00F8428C"/>
    <w:rsid w:val="00F8449F"/>
    <w:rsid w:val="00F844A0"/>
    <w:rsid w:val="00F844DE"/>
    <w:rsid w:val="00F84680"/>
    <w:rsid w:val="00F851A6"/>
    <w:rsid w:val="00F851E1"/>
    <w:rsid w:val="00F85CA3"/>
    <w:rsid w:val="00F866F0"/>
    <w:rsid w:val="00F86FB1"/>
    <w:rsid w:val="00F870A2"/>
    <w:rsid w:val="00F872E3"/>
    <w:rsid w:val="00F87428"/>
    <w:rsid w:val="00F8751C"/>
    <w:rsid w:val="00F90275"/>
    <w:rsid w:val="00F902BC"/>
    <w:rsid w:val="00F905A3"/>
    <w:rsid w:val="00F906C1"/>
    <w:rsid w:val="00F909FD"/>
    <w:rsid w:val="00F90D4C"/>
    <w:rsid w:val="00F91366"/>
    <w:rsid w:val="00F91569"/>
    <w:rsid w:val="00F9221E"/>
    <w:rsid w:val="00F922B8"/>
    <w:rsid w:val="00F929BA"/>
    <w:rsid w:val="00F92C4F"/>
    <w:rsid w:val="00F933FC"/>
    <w:rsid w:val="00F93F5E"/>
    <w:rsid w:val="00F93F8C"/>
    <w:rsid w:val="00F942EC"/>
    <w:rsid w:val="00F947CD"/>
    <w:rsid w:val="00F9488F"/>
    <w:rsid w:val="00F94A7E"/>
    <w:rsid w:val="00F94D6E"/>
    <w:rsid w:val="00F950F0"/>
    <w:rsid w:val="00F9567C"/>
    <w:rsid w:val="00F95E3D"/>
    <w:rsid w:val="00F96040"/>
    <w:rsid w:val="00F96270"/>
    <w:rsid w:val="00F96CA9"/>
    <w:rsid w:val="00F96E14"/>
    <w:rsid w:val="00F9708D"/>
    <w:rsid w:val="00F9716C"/>
    <w:rsid w:val="00F971CE"/>
    <w:rsid w:val="00F97255"/>
    <w:rsid w:val="00F9762A"/>
    <w:rsid w:val="00F97991"/>
    <w:rsid w:val="00F97BE8"/>
    <w:rsid w:val="00F97DEE"/>
    <w:rsid w:val="00F97EBF"/>
    <w:rsid w:val="00FA00B4"/>
    <w:rsid w:val="00FA032D"/>
    <w:rsid w:val="00FA05B2"/>
    <w:rsid w:val="00FA05F4"/>
    <w:rsid w:val="00FA07A8"/>
    <w:rsid w:val="00FA0B0F"/>
    <w:rsid w:val="00FA0B36"/>
    <w:rsid w:val="00FA0C2D"/>
    <w:rsid w:val="00FA0DB3"/>
    <w:rsid w:val="00FA0F70"/>
    <w:rsid w:val="00FA0F90"/>
    <w:rsid w:val="00FA104A"/>
    <w:rsid w:val="00FA1162"/>
    <w:rsid w:val="00FA15C7"/>
    <w:rsid w:val="00FA1825"/>
    <w:rsid w:val="00FA18ED"/>
    <w:rsid w:val="00FA1D27"/>
    <w:rsid w:val="00FA1E44"/>
    <w:rsid w:val="00FA2F4D"/>
    <w:rsid w:val="00FA30AB"/>
    <w:rsid w:val="00FA31EB"/>
    <w:rsid w:val="00FA3470"/>
    <w:rsid w:val="00FA3C57"/>
    <w:rsid w:val="00FA40FB"/>
    <w:rsid w:val="00FA4609"/>
    <w:rsid w:val="00FA5340"/>
    <w:rsid w:val="00FA57D0"/>
    <w:rsid w:val="00FA581E"/>
    <w:rsid w:val="00FA58D8"/>
    <w:rsid w:val="00FA5D75"/>
    <w:rsid w:val="00FA5EC0"/>
    <w:rsid w:val="00FA6098"/>
    <w:rsid w:val="00FA612B"/>
    <w:rsid w:val="00FA62A9"/>
    <w:rsid w:val="00FA642E"/>
    <w:rsid w:val="00FA6988"/>
    <w:rsid w:val="00FA6C32"/>
    <w:rsid w:val="00FA6C71"/>
    <w:rsid w:val="00FA6CD9"/>
    <w:rsid w:val="00FA6E05"/>
    <w:rsid w:val="00FA7840"/>
    <w:rsid w:val="00FA7B4D"/>
    <w:rsid w:val="00FB0109"/>
    <w:rsid w:val="00FB07CA"/>
    <w:rsid w:val="00FB082A"/>
    <w:rsid w:val="00FB0CD9"/>
    <w:rsid w:val="00FB105E"/>
    <w:rsid w:val="00FB146E"/>
    <w:rsid w:val="00FB1537"/>
    <w:rsid w:val="00FB1836"/>
    <w:rsid w:val="00FB19FC"/>
    <w:rsid w:val="00FB1C68"/>
    <w:rsid w:val="00FB20FD"/>
    <w:rsid w:val="00FB241F"/>
    <w:rsid w:val="00FB27B8"/>
    <w:rsid w:val="00FB2936"/>
    <w:rsid w:val="00FB2C85"/>
    <w:rsid w:val="00FB32EE"/>
    <w:rsid w:val="00FB33F5"/>
    <w:rsid w:val="00FB3539"/>
    <w:rsid w:val="00FB35A8"/>
    <w:rsid w:val="00FB3986"/>
    <w:rsid w:val="00FB3A4E"/>
    <w:rsid w:val="00FB3BB1"/>
    <w:rsid w:val="00FB3D13"/>
    <w:rsid w:val="00FB3F34"/>
    <w:rsid w:val="00FB3F58"/>
    <w:rsid w:val="00FB42CF"/>
    <w:rsid w:val="00FB4402"/>
    <w:rsid w:val="00FB49FE"/>
    <w:rsid w:val="00FB4BD7"/>
    <w:rsid w:val="00FB4DFC"/>
    <w:rsid w:val="00FB50FB"/>
    <w:rsid w:val="00FB539A"/>
    <w:rsid w:val="00FB5624"/>
    <w:rsid w:val="00FB5964"/>
    <w:rsid w:val="00FB5997"/>
    <w:rsid w:val="00FB59F1"/>
    <w:rsid w:val="00FB5C03"/>
    <w:rsid w:val="00FB66E5"/>
    <w:rsid w:val="00FB6C49"/>
    <w:rsid w:val="00FB6DBF"/>
    <w:rsid w:val="00FB6ECA"/>
    <w:rsid w:val="00FB6F5F"/>
    <w:rsid w:val="00FB73DA"/>
    <w:rsid w:val="00FB7BF8"/>
    <w:rsid w:val="00FC00DF"/>
    <w:rsid w:val="00FC0259"/>
    <w:rsid w:val="00FC0281"/>
    <w:rsid w:val="00FC047B"/>
    <w:rsid w:val="00FC05FF"/>
    <w:rsid w:val="00FC084D"/>
    <w:rsid w:val="00FC096A"/>
    <w:rsid w:val="00FC119A"/>
    <w:rsid w:val="00FC1216"/>
    <w:rsid w:val="00FC125E"/>
    <w:rsid w:val="00FC17BC"/>
    <w:rsid w:val="00FC17E1"/>
    <w:rsid w:val="00FC1A97"/>
    <w:rsid w:val="00FC1AEF"/>
    <w:rsid w:val="00FC206B"/>
    <w:rsid w:val="00FC242A"/>
    <w:rsid w:val="00FC2899"/>
    <w:rsid w:val="00FC2B95"/>
    <w:rsid w:val="00FC3D8D"/>
    <w:rsid w:val="00FC3F14"/>
    <w:rsid w:val="00FC4079"/>
    <w:rsid w:val="00FC4324"/>
    <w:rsid w:val="00FC4506"/>
    <w:rsid w:val="00FC4AD6"/>
    <w:rsid w:val="00FC4D69"/>
    <w:rsid w:val="00FC4DCD"/>
    <w:rsid w:val="00FC4DFE"/>
    <w:rsid w:val="00FC4EAA"/>
    <w:rsid w:val="00FC4FB1"/>
    <w:rsid w:val="00FC50EA"/>
    <w:rsid w:val="00FC5D69"/>
    <w:rsid w:val="00FC5FFD"/>
    <w:rsid w:val="00FC60B6"/>
    <w:rsid w:val="00FC6477"/>
    <w:rsid w:val="00FC6DD5"/>
    <w:rsid w:val="00FC72A7"/>
    <w:rsid w:val="00FC7CE7"/>
    <w:rsid w:val="00FC7FEC"/>
    <w:rsid w:val="00FD0628"/>
    <w:rsid w:val="00FD06F3"/>
    <w:rsid w:val="00FD076F"/>
    <w:rsid w:val="00FD0FB1"/>
    <w:rsid w:val="00FD13DB"/>
    <w:rsid w:val="00FD14B0"/>
    <w:rsid w:val="00FD21D3"/>
    <w:rsid w:val="00FD225D"/>
    <w:rsid w:val="00FD231F"/>
    <w:rsid w:val="00FD2768"/>
    <w:rsid w:val="00FD3A40"/>
    <w:rsid w:val="00FD41AD"/>
    <w:rsid w:val="00FD45F9"/>
    <w:rsid w:val="00FD4BB2"/>
    <w:rsid w:val="00FD4C26"/>
    <w:rsid w:val="00FD4F2A"/>
    <w:rsid w:val="00FD528E"/>
    <w:rsid w:val="00FD538C"/>
    <w:rsid w:val="00FD54C9"/>
    <w:rsid w:val="00FD5C89"/>
    <w:rsid w:val="00FD6294"/>
    <w:rsid w:val="00FD67F5"/>
    <w:rsid w:val="00FD684B"/>
    <w:rsid w:val="00FD69C5"/>
    <w:rsid w:val="00FD75EF"/>
    <w:rsid w:val="00FD7789"/>
    <w:rsid w:val="00FD7A3E"/>
    <w:rsid w:val="00FD7A3F"/>
    <w:rsid w:val="00FD7B8A"/>
    <w:rsid w:val="00FD7B93"/>
    <w:rsid w:val="00FD7DB3"/>
    <w:rsid w:val="00FD7F3E"/>
    <w:rsid w:val="00FE0119"/>
    <w:rsid w:val="00FE037A"/>
    <w:rsid w:val="00FE0918"/>
    <w:rsid w:val="00FE0B04"/>
    <w:rsid w:val="00FE0EB0"/>
    <w:rsid w:val="00FE10D6"/>
    <w:rsid w:val="00FE131D"/>
    <w:rsid w:val="00FE1324"/>
    <w:rsid w:val="00FE1533"/>
    <w:rsid w:val="00FE1826"/>
    <w:rsid w:val="00FE209B"/>
    <w:rsid w:val="00FE2AE4"/>
    <w:rsid w:val="00FE2EF6"/>
    <w:rsid w:val="00FE2FBB"/>
    <w:rsid w:val="00FE33E2"/>
    <w:rsid w:val="00FE364D"/>
    <w:rsid w:val="00FE3789"/>
    <w:rsid w:val="00FE3834"/>
    <w:rsid w:val="00FE3EA9"/>
    <w:rsid w:val="00FE3F7C"/>
    <w:rsid w:val="00FE3FA7"/>
    <w:rsid w:val="00FE423E"/>
    <w:rsid w:val="00FE458D"/>
    <w:rsid w:val="00FE4C98"/>
    <w:rsid w:val="00FE4DE9"/>
    <w:rsid w:val="00FE4E6A"/>
    <w:rsid w:val="00FE527E"/>
    <w:rsid w:val="00FE530B"/>
    <w:rsid w:val="00FE5B23"/>
    <w:rsid w:val="00FE5BF6"/>
    <w:rsid w:val="00FE5EAC"/>
    <w:rsid w:val="00FE5F9F"/>
    <w:rsid w:val="00FE631A"/>
    <w:rsid w:val="00FE6400"/>
    <w:rsid w:val="00FE687C"/>
    <w:rsid w:val="00FE7360"/>
    <w:rsid w:val="00FE790F"/>
    <w:rsid w:val="00FE7D0E"/>
    <w:rsid w:val="00FE7E80"/>
    <w:rsid w:val="00FF006E"/>
    <w:rsid w:val="00FF09AA"/>
    <w:rsid w:val="00FF0B56"/>
    <w:rsid w:val="00FF16F8"/>
    <w:rsid w:val="00FF24BD"/>
    <w:rsid w:val="00FF25D7"/>
    <w:rsid w:val="00FF2848"/>
    <w:rsid w:val="00FF377F"/>
    <w:rsid w:val="00FF3DB7"/>
    <w:rsid w:val="00FF40C3"/>
    <w:rsid w:val="00FF4631"/>
    <w:rsid w:val="00FF489E"/>
    <w:rsid w:val="00FF4AC6"/>
    <w:rsid w:val="00FF5334"/>
    <w:rsid w:val="00FF5471"/>
    <w:rsid w:val="00FF5596"/>
    <w:rsid w:val="00FF58CA"/>
    <w:rsid w:val="00FF5B11"/>
    <w:rsid w:val="00FF611E"/>
    <w:rsid w:val="00FF63A9"/>
    <w:rsid w:val="00FF69B5"/>
    <w:rsid w:val="00FF6C46"/>
    <w:rsid w:val="00FF6EA8"/>
    <w:rsid w:val="00FF6F23"/>
    <w:rsid w:val="00FF6F63"/>
    <w:rsid w:val="00FF7399"/>
    <w:rsid w:val="00FF745D"/>
    <w:rsid w:val="00FF7819"/>
    <w:rsid w:val="00FF7E0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0A261"/>
  <w14:defaultImageDpi w14:val="330"/>
  <w15:chartTrackingRefBased/>
  <w15:docId w15:val="{C1F7C084-83DB-4D5A-8011-C443BFC44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2"/>
        <w:szCs w:val="22"/>
        <w:lang w:val="en-AU" w:eastAsia="en-US" w:bidi="ar-SA"/>
      </w:rPr>
    </w:rPrDefault>
    <w:pPrDefault>
      <w:pPr>
        <w:spacing w:before="120" w:line="26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FC4"/>
    <w:pPr>
      <w:spacing w:before="0" w:after="160" w:line="240" w:lineRule="auto"/>
    </w:pPr>
    <w:rPr>
      <w:rFonts w:ascii="Calibri Light" w:hAnsi="Calibri Light"/>
      <w:sz w:val="20"/>
    </w:rPr>
  </w:style>
  <w:style w:type="paragraph" w:styleId="Heading1">
    <w:name w:val="heading 1"/>
    <w:aliases w:val="Annual Report Heading (1) 46pts"/>
    <w:basedOn w:val="Normal"/>
    <w:next w:val="Normal"/>
    <w:link w:val="Heading1Char"/>
    <w:autoRedefine/>
    <w:qFormat/>
    <w:rsid w:val="006D51E2"/>
    <w:pPr>
      <w:keepNext/>
      <w:keepLines/>
      <w:spacing w:after="880"/>
      <w:outlineLvl w:val="0"/>
    </w:pPr>
    <w:rPr>
      <w:rFonts w:eastAsiaTheme="majorEastAsia" w:cstheme="majorBidi"/>
      <w:color w:val="414042" w:themeColor="text1"/>
      <w:sz w:val="92"/>
      <w:szCs w:val="32"/>
    </w:rPr>
  </w:style>
  <w:style w:type="paragraph" w:styleId="Heading2">
    <w:name w:val="heading 2"/>
    <w:aliases w:val="Annual Report Heading (2) 30 pts"/>
    <w:basedOn w:val="Normal"/>
    <w:next w:val="Normal"/>
    <w:link w:val="Heading2Char"/>
    <w:uiPriority w:val="9"/>
    <w:unhideWhenUsed/>
    <w:qFormat/>
    <w:rsid w:val="006D51E2"/>
    <w:pPr>
      <w:keepNext/>
      <w:keepLines/>
      <w:pageBreakBefore/>
      <w:spacing w:after="720"/>
      <w:outlineLvl w:val="1"/>
    </w:pPr>
    <w:rPr>
      <w:rFonts w:eastAsiaTheme="majorEastAsia" w:cstheme="majorBidi"/>
      <w:color w:val="414042" w:themeColor="text1"/>
      <w:sz w:val="60"/>
      <w:szCs w:val="26"/>
    </w:rPr>
  </w:style>
  <w:style w:type="paragraph" w:styleId="Heading3">
    <w:name w:val="heading 3"/>
    <w:aliases w:val="Annual report heading (3) 14 pts"/>
    <w:basedOn w:val="Normal"/>
    <w:next w:val="Normal"/>
    <w:link w:val="Heading3Char"/>
    <w:autoRedefine/>
    <w:uiPriority w:val="9"/>
    <w:unhideWhenUsed/>
    <w:qFormat/>
    <w:rsid w:val="00C903A2"/>
    <w:pPr>
      <w:widowControl w:val="0"/>
      <w:spacing w:before="300" w:after="120"/>
      <w:ind w:right="-427"/>
      <w:outlineLvl w:val="2"/>
    </w:pPr>
    <w:rPr>
      <w:rFonts w:asciiTheme="minorHAnsi" w:eastAsia="Times New Roman" w:hAnsiTheme="minorHAnsi" w:cstheme="minorHAnsi"/>
      <w:b/>
      <w:bCs/>
      <w:noProof/>
      <w:color w:val="414042" w:themeColor="text1"/>
      <w:sz w:val="28"/>
      <w:szCs w:val="28"/>
      <w:lang w:eastAsia="en-AU"/>
    </w:rPr>
  </w:style>
  <w:style w:type="paragraph" w:styleId="Heading4">
    <w:name w:val="heading 4"/>
    <w:aliases w:val="Annual Report heading 10pts"/>
    <w:basedOn w:val="Heading4Annualreport2019-20"/>
    <w:next w:val="Normal"/>
    <w:link w:val="Heading4Char"/>
    <w:autoRedefine/>
    <w:uiPriority w:val="9"/>
    <w:unhideWhenUsed/>
    <w:qFormat/>
    <w:rsid w:val="00B02BC4"/>
    <w:pPr>
      <w:widowControl w:val="0"/>
      <w:spacing w:before="120" w:after="120" w:line="240" w:lineRule="auto"/>
      <w:ind w:firstLine="11"/>
      <w:outlineLvl w:val="3"/>
    </w:pPr>
    <w:rPr>
      <w:rFonts w:asciiTheme="minorHAnsi" w:eastAsia="Times New Roman" w:hAnsiTheme="minorHAnsi" w:cstheme="minorHAnsi"/>
      <w:noProof/>
      <w:color w:val="414042" w:themeColor="text1"/>
      <w:lang w:val="en-AU" w:eastAsia="en-AU"/>
    </w:rPr>
  </w:style>
  <w:style w:type="paragraph" w:styleId="Heading5">
    <w:name w:val="heading 5"/>
    <w:basedOn w:val="Heading4"/>
    <w:next w:val="Normal"/>
    <w:link w:val="Heading5Char"/>
    <w:uiPriority w:val="9"/>
    <w:unhideWhenUsed/>
    <w:qFormat/>
    <w:rsid w:val="00B46573"/>
    <w:pPr>
      <w:outlineLvl w:val="4"/>
    </w:pPr>
    <w:rPr>
      <w:b w:val="0"/>
      <w:bCs w:val="0"/>
    </w:rPr>
  </w:style>
  <w:style w:type="paragraph" w:styleId="Heading6">
    <w:name w:val="heading 6"/>
    <w:basedOn w:val="Normal"/>
    <w:next w:val="Normal"/>
    <w:link w:val="Heading6Char"/>
    <w:uiPriority w:val="9"/>
    <w:unhideWhenUsed/>
    <w:qFormat/>
    <w:rsid w:val="00CA7F44"/>
    <w:pPr>
      <w:keepNext/>
      <w:keepLines/>
      <w:spacing w:before="40" w:after="0"/>
      <w:outlineLvl w:val="5"/>
    </w:pPr>
    <w:rPr>
      <w:rFonts w:asciiTheme="majorHAnsi" w:eastAsiaTheme="majorEastAsia" w:hAnsiTheme="majorHAnsi" w:cstheme="majorBidi"/>
      <w:color w:val="000000" w:themeColor="accent1" w:themeShade="7F"/>
    </w:rPr>
  </w:style>
  <w:style w:type="paragraph" w:styleId="Heading7">
    <w:name w:val="heading 7"/>
    <w:basedOn w:val="Normal"/>
    <w:next w:val="Normal"/>
    <w:link w:val="Heading7Char"/>
    <w:uiPriority w:val="9"/>
    <w:unhideWhenUsed/>
    <w:qFormat/>
    <w:rsid w:val="00CA7F44"/>
    <w:pPr>
      <w:keepNext/>
      <w:keepLines/>
      <w:spacing w:before="40" w:after="0"/>
      <w:outlineLvl w:val="6"/>
    </w:pPr>
    <w:rPr>
      <w:rFonts w:asciiTheme="majorHAnsi" w:eastAsiaTheme="majorEastAsia" w:hAnsiTheme="majorHAnsi" w:cstheme="majorBidi"/>
      <w:i/>
      <w:iCs/>
      <w:color w:val="000000" w:themeColor="accent1" w:themeShade="7F"/>
    </w:rPr>
  </w:style>
  <w:style w:type="paragraph" w:styleId="Heading8">
    <w:name w:val="heading 8"/>
    <w:basedOn w:val="Normal"/>
    <w:next w:val="Normal"/>
    <w:link w:val="Heading8Char"/>
    <w:uiPriority w:val="9"/>
    <w:semiHidden/>
    <w:unhideWhenUsed/>
    <w:qFormat/>
    <w:rsid w:val="00CA7F44"/>
    <w:pPr>
      <w:keepNext/>
      <w:keepLines/>
      <w:spacing w:before="40" w:after="0"/>
      <w:outlineLvl w:val="7"/>
    </w:pPr>
    <w:rPr>
      <w:rFonts w:asciiTheme="majorHAnsi" w:eastAsiaTheme="majorEastAsia" w:hAnsiTheme="majorHAnsi" w:cstheme="majorBidi"/>
      <w:color w:val="5D5C5F" w:themeColor="text1" w:themeTint="D8"/>
      <w:sz w:val="21"/>
      <w:szCs w:val="21"/>
    </w:rPr>
  </w:style>
  <w:style w:type="paragraph" w:styleId="Heading9">
    <w:name w:val="heading 9"/>
    <w:basedOn w:val="Normal"/>
    <w:next w:val="Normal"/>
    <w:link w:val="Heading9Char"/>
    <w:uiPriority w:val="9"/>
    <w:semiHidden/>
    <w:unhideWhenUsed/>
    <w:qFormat/>
    <w:rsid w:val="00CA7F44"/>
    <w:pPr>
      <w:keepNext/>
      <w:keepLines/>
      <w:spacing w:before="40" w:after="0"/>
      <w:outlineLvl w:val="8"/>
    </w:pPr>
    <w:rPr>
      <w:rFonts w:asciiTheme="majorHAnsi" w:eastAsiaTheme="majorEastAsia" w:hAnsiTheme="majorHAnsi" w:cstheme="majorBidi"/>
      <w:i/>
      <w:iCs/>
      <w:color w:val="5D5C5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qFormat/>
    <w:rsid w:val="003433D8"/>
    <w:pPr>
      <w:spacing w:before="0" w:line="240" w:lineRule="auto"/>
      <w:jc w:val="center"/>
    </w:pPr>
    <w:rPr>
      <w:rFonts w:eastAsia="Calibri" w:cs="Times New Roman"/>
      <w:color w:val="414042" w:themeColor="text1"/>
      <w:sz w:val="20"/>
    </w:rPr>
  </w:style>
  <w:style w:type="paragraph" w:styleId="Header">
    <w:name w:val="header"/>
    <w:basedOn w:val="Normal"/>
    <w:link w:val="HeaderChar"/>
    <w:uiPriority w:val="99"/>
    <w:unhideWhenUsed/>
    <w:rsid w:val="008F384A"/>
    <w:pPr>
      <w:tabs>
        <w:tab w:val="center" w:pos="4513"/>
        <w:tab w:val="right" w:pos="9026"/>
      </w:tabs>
    </w:pPr>
  </w:style>
  <w:style w:type="character" w:customStyle="1" w:styleId="HeaderChar">
    <w:name w:val="Header Char"/>
    <w:basedOn w:val="DefaultParagraphFont"/>
    <w:link w:val="Header"/>
    <w:uiPriority w:val="99"/>
    <w:rsid w:val="008F384A"/>
  </w:style>
  <w:style w:type="paragraph" w:styleId="Footer">
    <w:name w:val="footer"/>
    <w:basedOn w:val="Normal"/>
    <w:link w:val="FooterChar"/>
    <w:uiPriority w:val="99"/>
    <w:unhideWhenUsed/>
    <w:rsid w:val="008F384A"/>
    <w:pPr>
      <w:tabs>
        <w:tab w:val="center" w:pos="4513"/>
        <w:tab w:val="right" w:pos="9026"/>
      </w:tabs>
    </w:pPr>
  </w:style>
  <w:style w:type="character" w:customStyle="1" w:styleId="FooterChar">
    <w:name w:val="Footer Char"/>
    <w:basedOn w:val="DefaultParagraphFont"/>
    <w:link w:val="Footer"/>
    <w:uiPriority w:val="99"/>
    <w:rsid w:val="008F384A"/>
  </w:style>
  <w:style w:type="paragraph" w:customStyle="1" w:styleId="BasicParagraph">
    <w:name w:val="[Basic Paragraph]"/>
    <w:basedOn w:val="Normal"/>
    <w:link w:val="BasicParagraphChar"/>
    <w:uiPriority w:val="99"/>
    <w:rsid w:val="008F384A"/>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Bulletlist">
    <w:name w:val="Bullet list"/>
    <w:basedOn w:val="Normal"/>
    <w:link w:val="BulletlistChar"/>
    <w:autoRedefine/>
    <w:qFormat/>
    <w:rsid w:val="00E046BF"/>
    <w:pPr>
      <w:framePr w:hSpace="180" w:wrap="around" w:vAnchor="text" w:hAnchor="margin" w:y="196"/>
      <w:widowControl w:val="0"/>
      <w:numPr>
        <w:numId w:val="51"/>
      </w:numPr>
      <w:autoSpaceDE w:val="0"/>
      <w:autoSpaceDN w:val="0"/>
      <w:adjustRightInd w:val="0"/>
      <w:spacing w:after="120"/>
      <w:textAlignment w:val="center"/>
    </w:pPr>
    <w:rPr>
      <w:rFonts w:cs="Calibri Light"/>
      <w:bCs/>
      <w:spacing w:val="-4"/>
      <w:szCs w:val="20"/>
      <w:u w:color="E6E7E8" w:themeColor="background2"/>
      <w:shd w:val="clear" w:color="auto" w:fill="FFFFFF"/>
    </w:rPr>
  </w:style>
  <w:style w:type="character" w:customStyle="1" w:styleId="Heading2Char">
    <w:name w:val="Heading 2 Char"/>
    <w:aliases w:val="Annual Report Heading (2) 30 pts Char"/>
    <w:basedOn w:val="DefaultParagraphFont"/>
    <w:link w:val="Heading2"/>
    <w:uiPriority w:val="9"/>
    <w:rsid w:val="006D51E2"/>
    <w:rPr>
      <w:rFonts w:ascii="Calibri Light" w:eastAsiaTheme="majorEastAsia" w:hAnsi="Calibri Light" w:cstheme="majorBidi"/>
      <w:color w:val="414042" w:themeColor="text1"/>
      <w:sz w:val="60"/>
      <w:szCs w:val="26"/>
    </w:rPr>
  </w:style>
  <w:style w:type="character" w:customStyle="1" w:styleId="BulletlistChar">
    <w:name w:val="Bullet list Char"/>
    <w:basedOn w:val="DefaultParagraphFont"/>
    <w:link w:val="Bulletlist"/>
    <w:rsid w:val="00E046BF"/>
    <w:rPr>
      <w:rFonts w:ascii="Calibri Light" w:hAnsi="Calibri Light" w:cs="Calibri Light"/>
      <w:bCs/>
      <w:spacing w:val="-4"/>
      <w:sz w:val="20"/>
      <w:szCs w:val="20"/>
      <w:u w:color="E6E7E8" w:themeColor="background2"/>
    </w:rPr>
  </w:style>
  <w:style w:type="character" w:styleId="Hyperlink">
    <w:name w:val="Hyperlink"/>
    <w:basedOn w:val="DefaultParagraphFont"/>
    <w:uiPriority w:val="99"/>
    <w:unhideWhenUsed/>
    <w:qFormat/>
    <w:rsid w:val="00D17E13"/>
    <w:rPr>
      <w:color w:val="58595B" w:themeColor="text2"/>
      <w:u w:val="single"/>
    </w:rPr>
  </w:style>
  <w:style w:type="character" w:styleId="UnresolvedMention">
    <w:name w:val="Unresolved Mention"/>
    <w:basedOn w:val="DefaultParagraphFont"/>
    <w:uiPriority w:val="99"/>
    <w:semiHidden/>
    <w:unhideWhenUsed/>
    <w:rsid w:val="00A25F9B"/>
    <w:rPr>
      <w:color w:val="605E5C"/>
      <w:shd w:val="clear" w:color="auto" w:fill="E1DFDD"/>
    </w:rPr>
  </w:style>
  <w:style w:type="character" w:customStyle="1" w:styleId="Heading1Char">
    <w:name w:val="Heading 1 Char"/>
    <w:aliases w:val="Annual Report Heading (1) 46pts Char"/>
    <w:basedOn w:val="DefaultParagraphFont"/>
    <w:link w:val="Heading1"/>
    <w:rsid w:val="006D51E2"/>
    <w:rPr>
      <w:rFonts w:ascii="Calibri Light" w:eastAsiaTheme="majorEastAsia" w:hAnsi="Calibri Light" w:cstheme="majorBidi"/>
      <w:color w:val="414042" w:themeColor="text1"/>
      <w:sz w:val="92"/>
      <w:szCs w:val="32"/>
    </w:rPr>
  </w:style>
  <w:style w:type="character" w:customStyle="1" w:styleId="Heading4Char">
    <w:name w:val="Heading 4 Char"/>
    <w:aliases w:val="Annual Report heading 10pts Char"/>
    <w:basedOn w:val="DefaultParagraphFont"/>
    <w:link w:val="Heading4"/>
    <w:uiPriority w:val="9"/>
    <w:rsid w:val="00B02BC4"/>
    <w:rPr>
      <w:rFonts w:asciiTheme="minorHAnsi" w:eastAsia="Times New Roman" w:hAnsiTheme="minorHAnsi" w:cstheme="minorHAnsi"/>
      <w:b/>
      <w:bCs/>
      <w:noProof/>
      <w:color w:val="414042" w:themeColor="text1"/>
      <w:lang w:eastAsia="en-AU"/>
    </w:rPr>
  </w:style>
  <w:style w:type="character" w:customStyle="1" w:styleId="Heading3Char">
    <w:name w:val="Heading 3 Char"/>
    <w:aliases w:val="Annual report heading (3) 14 pts Char"/>
    <w:basedOn w:val="DefaultParagraphFont"/>
    <w:link w:val="Heading3"/>
    <w:uiPriority w:val="9"/>
    <w:rsid w:val="00C903A2"/>
    <w:rPr>
      <w:rFonts w:asciiTheme="minorHAnsi" w:eastAsia="Times New Roman" w:hAnsiTheme="minorHAnsi" w:cstheme="minorHAnsi"/>
      <w:b/>
      <w:bCs/>
      <w:noProof/>
      <w:color w:val="414042" w:themeColor="text1"/>
      <w:sz w:val="28"/>
      <w:szCs w:val="28"/>
      <w:lang w:eastAsia="en-AU"/>
    </w:rPr>
  </w:style>
  <w:style w:type="paragraph" w:customStyle="1" w:styleId="Figuretext9ptAnnualreport2018-19">
    <w:name w:val="Figure text 9pt (Annual report 2018-19)"/>
    <w:basedOn w:val="Normal"/>
    <w:uiPriority w:val="99"/>
    <w:rsid w:val="002E36C7"/>
    <w:pPr>
      <w:autoSpaceDE w:val="0"/>
      <w:autoSpaceDN w:val="0"/>
      <w:adjustRightInd w:val="0"/>
      <w:spacing w:after="0" w:line="180" w:lineRule="atLeast"/>
      <w:textAlignment w:val="center"/>
    </w:pPr>
    <w:rPr>
      <w:rFonts w:cs="Calibri Light"/>
      <w:color w:val="58585B"/>
      <w:spacing w:val="-4"/>
      <w:sz w:val="18"/>
      <w:szCs w:val="18"/>
      <w:lang w:val="en-GB"/>
    </w:rPr>
  </w:style>
  <w:style w:type="paragraph" w:customStyle="1" w:styleId="Bulletpoints">
    <w:name w:val="Bullet points"/>
    <w:basedOn w:val="Heading4"/>
    <w:link w:val="BulletpointsChar"/>
    <w:qFormat/>
    <w:rsid w:val="001E33A3"/>
    <w:pPr>
      <w:numPr>
        <w:numId w:val="1"/>
      </w:numPr>
    </w:pPr>
    <w:rPr>
      <w:rFonts w:ascii="Calibri Light" w:hAnsi="Calibri Light"/>
      <w:b w:val="0"/>
      <w:color w:val="58595B" w:themeColor="text2"/>
    </w:rPr>
  </w:style>
  <w:style w:type="character" w:customStyle="1" w:styleId="BulletpointsChar">
    <w:name w:val="Bullet points Char"/>
    <w:basedOn w:val="Heading4Char"/>
    <w:link w:val="Bulletpoints"/>
    <w:rsid w:val="001E33A3"/>
    <w:rPr>
      <w:rFonts w:ascii="Calibri Light" w:eastAsia="Times New Roman" w:hAnsi="Calibri Light" w:cstheme="minorHAnsi"/>
      <w:b w:val="0"/>
      <w:bCs/>
      <w:noProof/>
      <w:color w:val="58595B" w:themeColor="text2"/>
      <w:lang w:eastAsia="en-AU"/>
    </w:rPr>
  </w:style>
  <w:style w:type="paragraph" w:customStyle="1" w:styleId="FigureTablenameAnnualreport2018-19">
    <w:name w:val="Figure/Table name  (Annual report 2018-19)"/>
    <w:basedOn w:val="Normal"/>
    <w:uiPriority w:val="99"/>
    <w:rsid w:val="00A4412D"/>
    <w:pPr>
      <w:suppressAutoHyphens/>
      <w:autoSpaceDE w:val="0"/>
      <w:autoSpaceDN w:val="0"/>
      <w:adjustRightInd w:val="0"/>
      <w:spacing w:after="0" w:line="288" w:lineRule="auto"/>
      <w:textAlignment w:val="center"/>
    </w:pPr>
    <w:rPr>
      <w:rFonts w:ascii="Calibri" w:hAnsi="Calibri" w:cs="Calibri"/>
      <w:b/>
      <w:bCs/>
      <w:color w:val="404041"/>
      <w:sz w:val="22"/>
      <w:lang w:val="en-GB"/>
    </w:rPr>
  </w:style>
  <w:style w:type="character" w:customStyle="1" w:styleId="Heading5Char">
    <w:name w:val="Heading 5 Char"/>
    <w:basedOn w:val="DefaultParagraphFont"/>
    <w:link w:val="Heading5"/>
    <w:uiPriority w:val="9"/>
    <w:rsid w:val="00B46573"/>
    <w:rPr>
      <w:rFonts w:cs="Calibri"/>
      <w:color w:val="58595B" w:themeColor="accent2"/>
      <w:sz w:val="20"/>
      <w:szCs w:val="20"/>
    </w:rPr>
  </w:style>
  <w:style w:type="paragraph" w:customStyle="1" w:styleId="Openingparagraph">
    <w:name w:val="Opening paragraph"/>
    <w:basedOn w:val="Normal"/>
    <w:link w:val="OpeningparagraphChar"/>
    <w:qFormat/>
    <w:rsid w:val="00E52781"/>
    <w:pPr>
      <w:suppressAutoHyphens/>
      <w:autoSpaceDE w:val="0"/>
      <w:autoSpaceDN w:val="0"/>
      <w:adjustRightInd w:val="0"/>
      <w:spacing w:after="240"/>
      <w:textAlignment w:val="center"/>
    </w:pPr>
    <w:rPr>
      <w:rFonts w:ascii="Calibri" w:hAnsi="Calibri" w:cs="Calibri"/>
      <w:b/>
      <w:bCs/>
      <w:color w:val="414042" w:themeColor="text1"/>
      <w:spacing w:val="-6"/>
      <w:sz w:val="24"/>
      <w:szCs w:val="24"/>
      <w:lang w:val="en-US"/>
    </w:rPr>
  </w:style>
  <w:style w:type="table" w:styleId="TableGrid">
    <w:name w:val="Table Grid"/>
    <w:basedOn w:val="TableNormal"/>
    <w:uiPriority w:val="39"/>
    <w:rsid w:val="00D715FE"/>
    <w:pPr>
      <w:spacing w:before="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eningparagraphChar">
    <w:name w:val="Opening paragraph Char"/>
    <w:basedOn w:val="DefaultParagraphFont"/>
    <w:link w:val="Openingparagraph"/>
    <w:rsid w:val="00E52781"/>
    <w:rPr>
      <w:rFonts w:cs="Calibri"/>
      <w:b/>
      <w:bCs/>
      <w:color w:val="414042" w:themeColor="text1"/>
      <w:spacing w:val="-6"/>
      <w:sz w:val="24"/>
      <w:szCs w:val="24"/>
      <w:lang w:val="en-US"/>
    </w:rPr>
  </w:style>
  <w:style w:type="paragraph" w:customStyle="1" w:styleId="Normal1stparagraph">
    <w:name w:val="Normal 1st paragraph"/>
    <w:basedOn w:val="Normal"/>
    <w:link w:val="Normal1stparagraphChar"/>
    <w:rsid w:val="000E151C"/>
    <w:rPr>
      <w:lang w:val="en-US"/>
    </w:rPr>
  </w:style>
  <w:style w:type="character" w:customStyle="1" w:styleId="Normal1stparagraphChar">
    <w:name w:val="Normal 1st paragraph Char"/>
    <w:basedOn w:val="DefaultParagraphFont"/>
    <w:link w:val="Normal1stparagraph"/>
    <w:rsid w:val="000E151C"/>
    <w:rPr>
      <w:rFonts w:asciiTheme="majorHAnsi" w:hAnsiTheme="majorHAnsi"/>
      <w:color w:val="58595B" w:themeColor="accent2"/>
      <w:sz w:val="20"/>
      <w:lang w:val="en-US"/>
    </w:rPr>
  </w:style>
  <w:style w:type="paragraph" w:customStyle="1" w:styleId="Mainbodytext10ptAnnualreport2019-20">
    <w:name w:val="Main body text 10pt (Annual report 2019-20)"/>
    <w:basedOn w:val="Normal"/>
    <w:uiPriority w:val="99"/>
    <w:rsid w:val="000A4FC4"/>
    <w:pPr>
      <w:suppressAutoHyphens/>
      <w:autoSpaceDE w:val="0"/>
      <w:autoSpaceDN w:val="0"/>
      <w:adjustRightInd w:val="0"/>
      <w:spacing w:before="227" w:after="0" w:line="288" w:lineRule="auto"/>
      <w:textAlignment w:val="center"/>
    </w:pPr>
    <w:rPr>
      <w:rFonts w:cs="Calibri Light"/>
      <w:color w:val="6D6E70"/>
      <w:szCs w:val="20"/>
      <w:lang w:val="en-GB"/>
    </w:rPr>
  </w:style>
  <w:style w:type="character" w:customStyle="1" w:styleId="bodytextbold">
    <w:name w:val="body text bold"/>
    <w:uiPriority w:val="99"/>
    <w:rsid w:val="000A4FC4"/>
    <w:rPr>
      <w:rFonts w:ascii="Dax-Bold Regular" w:hAnsi="Dax-Bold Regular" w:cs="Dax-Bold Regular"/>
    </w:rPr>
  </w:style>
  <w:style w:type="paragraph" w:customStyle="1" w:styleId="Notes">
    <w:name w:val="Notes"/>
    <w:basedOn w:val="Openingparagraph"/>
    <w:link w:val="NotesChar"/>
    <w:qFormat/>
    <w:rsid w:val="00AB7528"/>
    <w:pPr>
      <w:spacing w:after="0"/>
    </w:pPr>
    <w:rPr>
      <w:rFonts w:ascii="Calibri Light" w:hAnsi="Calibri Light"/>
      <w:b w:val="0"/>
      <w:bCs w:val="0"/>
      <w:spacing w:val="-5"/>
      <w:sz w:val="16"/>
      <w:szCs w:val="16"/>
    </w:rPr>
  </w:style>
  <w:style w:type="character" w:customStyle="1" w:styleId="NotesChar">
    <w:name w:val="Notes Char"/>
    <w:basedOn w:val="OpeningparagraphChar"/>
    <w:link w:val="Notes"/>
    <w:rsid w:val="00AB7528"/>
    <w:rPr>
      <w:rFonts w:ascii="Calibri Light" w:hAnsi="Calibri Light" w:cs="Calibri"/>
      <w:b w:val="0"/>
      <w:bCs w:val="0"/>
      <w:color w:val="404041"/>
      <w:spacing w:val="-5"/>
      <w:sz w:val="16"/>
      <w:szCs w:val="16"/>
      <w:lang w:val="en-US"/>
    </w:rPr>
  </w:style>
  <w:style w:type="paragraph" w:customStyle="1" w:styleId="Heading4Annualreport2019-20">
    <w:name w:val="Heading 4 (Annual report 2019-20)"/>
    <w:basedOn w:val="Mainbodytext10ptAnnualreport2019-20"/>
    <w:uiPriority w:val="99"/>
    <w:rsid w:val="00913637"/>
    <w:rPr>
      <w:rFonts w:ascii="Calibri" w:hAnsi="Calibri" w:cs="Calibri"/>
      <w:b/>
      <w:bCs/>
      <w:color w:val="58585B"/>
      <w:sz w:val="22"/>
      <w:szCs w:val="22"/>
    </w:rPr>
  </w:style>
  <w:style w:type="paragraph" w:customStyle="1" w:styleId="TableheaderAnnualreport2019-20">
    <w:name w:val="Table header (Annual report 2019-20)"/>
    <w:basedOn w:val="Normal"/>
    <w:uiPriority w:val="99"/>
    <w:rsid w:val="001E2409"/>
    <w:pPr>
      <w:suppressAutoHyphens/>
      <w:autoSpaceDE w:val="0"/>
      <w:autoSpaceDN w:val="0"/>
      <w:adjustRightInd w:val="0"/>
      <w:spacing w:after="0" w:line="288" w:lineRule="auto"/>
      <w:textAlignment w:val="center"/>
    </w:pPr>
    <w:rPr>
      <w:rFonts w:ascii="Calibri" w:hAnsi="Calibri" w:cs="Calibri"/>
      <w:b/>
      <w:bCs/>
      <w:color w:val="6D6E70"/>
      <w:szCs w:val="20"/>
      <w:lang w:val="en-US"/>
    </w:rPr>
  </w:style>
  <w:style w:type="paragraph" w:customStyle="1" w:styleId="TabletextAnnualreport2019-20">
    <w:name w:val="Table text (Annual report 2019-20)"/>
    <w:basedOn w:val="Normal"/>
    <w:uiPriority w:val="99"/>
    <w:rsid w:val="001E2409"/>
    <w:pPr>
      <w:autoSpaceDE w:val="0"/>
      <w:autoSpaceDN w:val="0"/>
      <w:adjustRightInd w:val="0"/>
      <w:spacing w:after="0" w:line="288" w:lineRule="auto"/>
      <w:textAlignment w:val="center"/>
    </w:pPr>
    <w:rPr>
      <w:rFonts w:cs="Calibri Light"/>
      <w:color w:val="6D6E70"/>
      <w:szCs w:val="20"/>
      <w:lang w:val="en-US"/>
    </w:rPr>
  </w:style>
  <w:style w:type="character" w:customStyle="1" w:styleId="Whitetext">
    <w:name w:val="White text"/>
    <w:uiPriority w:val="99"/>
    <w:rsid w:val="001E2409"/>
    <w:rPr>
      <w:outline/>
    </w:rPr>
  </w:style>
  <w:style w:type="paragraph" w:styleId="Caption">
    <w:name w:val="caption"/>
    <w:basedOn w:val="Normal"/>
    <w:next w:val="Normal"/>
    <w:autoRedefine/>
    <w:unhideWhenUsed/>
    <w:qFormat/>
    <w:rsid w:val="00777BD6"/>
    <w:pPr>
      <w:pBdr>
        <w:top w:val="single" w:sz="8" w:space="4" w:color="auto"/>
      </w:pBdr>
      <w:spacing w:before="400" w:after="200"/>
    </w:pPr>
    <w:rPr>
      <w:rFonts w:ascii="Calibri" w:hAnsi="Calibri"/>
      <w:iCs/>
      <w:color w:val="414042" w:themeColor="text1"/>
      <w:szCs w:val="18"/>
    </w:rPr>
  </w:style>
  <w:style w:type="paragraph" w:customStyle="1" w:styleId="1stParaAnnualreport2019-20">
    <w:name w:val="1st Para (Annual report 2019-20)"/>
    <w:basedOn w:val="Normal"/>
    <w:uiPriority w:val="99"/>
    <w:rsid w:val="00444307"/>
    <w:pPr>
      <w:suppressAutoHyphens/>
      <w:autoSpaceDE w:val="0"/>
      <w:autoSpaceDN w:val="0"/>
      <w:adjustRightInd w:val="0"/>
      <w:spacing w:after="0" w:line="240" w:lineRule="atLeast"/>
      <w:textAlignment w:val="center"/>
    </w:pPr>
    <w:rPr>
      <w:rFonts w:cs="Calibri Light"/>
      <w:color w:val="6D6E70"/>
      <w:szCs w:val="20"/>
      <w:lang w:val="en-GB"/>
    </w:rPr>
  </w:style>
  <w:style w:type="table" w:customStyle="1" w:styleId="Annualreport2020-21">
    <w:name w:val="Annual report 2020-21"/>
    <w:basedOn w:val="TableNormal"/>
    <w:uiPriority w:val="99"/>
    <w:rsid w:val="00BE57E9"/>
    <w:pPr>
      <w:spacing w:before="0" w:line="240" w:lineRule="auto"/>
    </w:pPr>
    <w:rPr>
      <w:color w:val="414042" w:themeColor="text1"/>
      <w:sz w:val="20"/>
    </w:rPr>
    <w:tblPr>
      <w:tblBorders>
        <w:bottom w:val="single" w:sz="8" w:space="0" w:color="auto"/>
        <w:insideH w:val="single" w:sz="8" w:space="0" w:color="414042" w:themeColor="text1"/>
        <w:insideV w:val="single" w:sz="8" w:space="0" w:color="414042" w:themeColor="text1"/>
      </w:tblBorders>
      <w:tblCellMar>
        <w:top w:w="28" w:type="dxa"/>
        <w:bottom w:w="28" w:type="dxa"/>
      </w:tblCellMar>
    </w:tblPr>
    <w:tcPr>
      <w:shd w:val="clear" w:color="auto" w:fill="FFFFFF" w:themeFill="background1"/>
      <w:vAlign w:val="center"/>
    </w:tcPr>
    <w:tblStylePr w:type="firstRow">
      <w:pPr>
        <w:jc w:val="center"/>
      </w:pPr>
      <w:rPr>
        <w:rFonts w:ascii="Calibri" w:hAnsi="Calibri"/>
        <w:b/>
        <w:color w:val="414042" w:themeColor="text1"/>
        <w:sz w:val="20"/>
      </w:rPr>
      <w:tblPr/>
      <w:tcPr>
        <w:shd w:val="clear" w:color="auto" w:fill="E6E7E8" w:themeFill="accent6"/>
      </w:tcPr>
    </w:tblStylePr>
    <w:tblStylePr w:type="lastRow">
      <w:pPr>
        <w:jc w:val="center"/>
      </w:pPr>
      <w:rPr>
        <w:rFonts w:ascii="Calibri" w:hAnsi="Calibri"/>
        <w:sz w:val="20"/>
      </w:rPr>
      <w:tblPr/>
      <w:tcPr>
        <w:shd w:val="clear" w:color="auto" w:fill="FFFFFF" w:themeFill="background1"/>
      </w:tcPr>
    </w:tblStylePr>
  </w:style>
  <w:style w:type="table" w:styleId="PlainTable1">
    <w:name w:val="Plain Table 1"/>
    <w:basedOn w:val="TableNormal"/>
    <w:uiPriority w:val="41"/>
    <w:rsid w:val="0084676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4676F"/>
    <w:pPr>
      <w:spacing w:line="240" w:lineRule="auto"/>
    </w:pPr>
    <w:tblPr>
      <w:tblStyleRowBandSize w:val="1"/>
      <w:tblStyleColBandSize w:val="1"/>
      <w:tblBorders>
        <w:top w:val="single" w:sz="4" w:space="0" w:color="9F9EA1" w:themeColor="text1" w:themeTint="80"/>
        <w:bottom w:val="single" w:sz="4" w:space="0" w:color="9F9EA1" w:themeColor="text1" w:themeTint="80"/>
      </w:tblBorders>
    </w:tblPr>
    <w:tblStylePr w:type="firstRow">
      <w:rPr>
        <w:b/>
        <w:bCs/>
      </w:rPr>
      <w:tblPr/>
      <w:tcPr>
        <w:tcBorders>
          <w:bottom w:val="single" w:sz="4" w:space="0" w:color="9F9EA1" w:themeColor="text1" w:themeTint="80"/>
        </w:tcBorders>
      </w:tcPr>
    </w:tblStylePr>
    <w:tblStylePr w:type="lastRow">
      <w:rPr>
        <w:b/>
        <w:bCs/>
      </w:rPr>
      <w:tblPr/>
      <w:tcPr>
        <w:tcBorders>
          <w:top w:val="single" w:sz="4" w:space="0" w:color="9F9EA1" w:themeColor="text1" w:themeTint="80"/>
        </w:tcBorders>
      </w:tcPr>
    </w:tblStylePr>
    <w:tblStylePr w:type="firstCol">
      <w:rPr>
        <w:b/>
        <w:bCs/>
      </w:rPr>
    </w:tblStylePr>
    <w:tblStylePr w:type="lastCol">
      <w:rPr>
        <w:b/>
        <w:bCs/>
      </w:rPr>
    </w:tblStylePr>
    <w:tblStylePr w:type="band1Vert">
      <w:tblPr/>
      <w:tcPr>
        <w:tcBorders>
          <w:left w:val="single" w:sz="4" w:space="0" w:color="9F9EA1" w:themeColor="text1" w:themeTint="80"/>
          <w:right w:val="single" w:sz="4" w:space="0" w:color="9F9EA1" w:themeColor="text1" w:themeTint="80"/>
        </w:tcBorders>
      </w:tcPr>
    </w:tblStylePr>
    <w:tblStylePr w:type="band2Vert">
      <w:tblPr/>
      <w:tcPr>
        <w:tcBorders>
          <w:left w:val="single" w:sz="4" w:space="0" w:color="9F9EA1" w:themeColor="text1" w:themeTint="80"/>
          <w:right w:val="single" w:sz="4" w:space="0" w:color="9F9EA1" w:themeColor="text1" w:themeTint="80"/>
        </w:tcBorders>
      </w:tcPr>
    </w:tblStylePr>
    <w:tblStylePr w:type="band1Horz">
      <w:tblPr/>
      <w:tcPr>
        <w:tcBorders>
          <w:top w:val="single" w:sz="4" w:space="0" w:color="9F9EA1" w:themeColor="text1" w:themeTint="80"/>
          <w:bottom w:val="single" w:sz="4" w:space="0" w:color="9F9EA1" w:themeColor="text1" w:themeTint="80"/>
        </w:tcBorders>
      </w:tcPr>
    </w:tblStylePr>
  </w:style>
  <w:style w:type="table" w:styleId="PlainTable3">
    <w:name w:val="Plain Table 3"/>
    <w:basedOn w:val="TableNormal"/>
    <w:uiPriority w:val="43"/>
    <w:rsid w:val="0084676F"/>
    <w:pPr>
      <w:spacing w:line="240" w:lineRule="auto"/>
    </w:pPr>
    <w:tblPr>
      <w:tblStyleRowBandSize w:val="1"/>
      <w:tblStyleColBandSize w:val="1"/>
    </w:tblPr>
    <w:tblStylePr w:type="firstRow">
      <w:rPr>
        <w:b/>
        <w:bCs/>
        <w:caps/>
      </w:rPr>
      <w:tblPr/>
      <w:tcPr>
        <w:tcBorders>
          <w:bottom w:val="single" w:sz="4" w:space="0" w:color="9F9EA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F9EA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121613"/>
    <w:pPr>
      <w:spacing w:line="240" w:lineRule="auto"/>
    </w:pPr>
    <w:tblPr>
      <w:tblStyleRowBandSize w:val="1"/>
      <w:tblStyleColBandSize w:val="1"/>
      <w:tblBorders>
        <w:top w:val="single" w:sz="4" w:space="0" w:color="E4E4E5" w:themeColor="accent5" w:themeTint="66"/>
        <w:left w:val="single" w:sz="4" w:space="0" w:color="E4E4E5" w:themeColor="accent5" w:themeTint="66"/>
        <w:bottom w:val="single" w:sz="4" w:space="0" w:color="E4E4E5" w:themeColor="accent5" w:themeTint="66"/>
        <w:right w:val="single" w:sz="4" w:space="0" w:color="E4E4E5" w:themeColor="accent5" w:themeTint="66"/>
        <w:insideH w:val="single" w:sz="4" w:space="0" w:color="E4E4E5" w:themeColor="accent5" w:themeTint="66"/>
        <w:insideV w:val="single" w:sz="4" w:space="0" w:color="E4E4E5" w:themeColor="accent5" w:themeTint="66"/>
      </w:tblBorders>
    </w:tblPr>
    <w:tblStylePr w:type="firstRow">
      <w:rPr>
        <w:b/>
        <w:bCs/>
      </w:rPr>
      <w:tblPr/>
      <w:tcPr>
        <w:tcBorders>
          <w:bottom w:val="single" w:sz="12" w:space="0" w:color="D6D7D9" w:themeColor="accent5" w:themeTint="99"/>
        </w:tcBorders>
      </w:tcPr>
    </w:tblStylePr>
    <w:tblStylePr w:type="lastRow">
      <w:rPr>
        <w:b/>
        <w:bCs/>
      </w:rPr>
      <w:tblPr/>
      <w:tcPr>
        <w:tcBorders>
          <w:top w:val="double" w:sz="2" w:space="0" w:color="D6D7D9" w:themeColor="accent5" w:themeTint="99"/>
        </w:tcBorders>
      </w:tcPr>
    </w:tblStylePr>
    <w:tblStylePr w:type="firstCol">
      <w:rPr>
        <w:b/>
        <w:bCs/>
      </w:rPr>
    </w:tblStylePr>
    <w:tblStylePr w:type="lastCol">
      <w:rPr>
        <w:b/>
        <w:bCs/>
      </w:rPr>
    </w:tblStylePr>
  </w:style>
  <w:style w:type="paragraph" w:customStyle="1" w:styleId="Tableheading">
    <w:name w:val="Table heading"/>
    <w:qFormat/>
    <w:rsid w:val="003433D8"/>
    <w:pPr>
      <w:spacing w:before="0" w:after="160" w:line="259" w:lineRule="auto"/>
    </w:pPr>
    <w:rPr>
      <w:rFonts w:eastAsia="Calibri" w:cs="Times New Roman"/>
      <w:b/>
      <w:color w:val="FFFFFF" w:themeColor="background1"/>
      <w:sz w:val="20"/>
    </w:rPr>
  </w:style>
  <w:style w:type="paragraph" w:customStyle="1" w:styleId="Noteslist">
    <w:name w:val="Notes list"/>
    <w:basedOn w:val="Bulletpoints"/>
    <w:link w:val="NoteslistChar"/>
    <w:uiPriority w:val="99"/>
    <w:rsid w:val="003433D8"/>
    <w:pPr>
      <w:numPr>
        <w:numId w:val="2"/>
      </w:numPr>
      <w:suppressAutoHyphens w:val="0"/>
      <w:autoSpaceDE/>
      <w:autoSpaceDN/>
      <w:adjustRightInd/>
      <w:textAlignment w:val="auto"/>
    </w:pPr>
    <w:rPr>
      <w:rFonts w:eastAsiaTheme="majorEastAsia" w:cstheme="majorBidi"/>
      <w:bCs w:val="0"/>
      <w:iCs/>
    </w:rPr>
  </w:style>
  <w:style w:type="character" w:customStyle="1" w:styleId="NoteslistChar">
    <w:name w:val="Notes list Char"/>
    <w:basedOn w:val="BulletpointsChar"/>
    <w:link w:val="Noteslist"/>
    <w:uiPriority w:val="99"/>
    <w:rsid w:val="003433D8"/>
    <w:rPr>
      <w:rFonts w:ascii="Calibri Light" w:eastAsiaTheme="majorEastAsia" w:hAnsi="Calibri Light" w:cstheme="majorBidi"/>
      <w:b w:val="0"/>
      <w:bCs w:val="0"/>
      <w:iCs/>
      <w:noProof/>
      <w:color w:val="58595B" w:themeColor="text2"/>
      <w:lang w:eastAsia="en-AU"/>
    </w:rPr>
  </w:style>
  <w:style w:type="paragraph" w:customStyle="1" w:styleId="TableheaderAnnualreport2018-19">
    <w:name w:val="Table header (Annual report 2018-19)"/>
    <w:basedOn w:val="Normal"/>
    <w:uiPriority w:val="99"/>
    <w:rsid w:val="00E448DE"/>
    <w:pPr>
      <w:suppressAutoHyphens/>
      <w:autoSpaceDE w:val="0"/>
      <w:autoSpaceDN w:val="0"/>
      <w:adjustRightInd w:val="0"/>
      <w:spacing w:after="0" w:line="288" w:lineRule="auto"/>
      <w:textAlignment w:val="center"/>
    </w:pPr>
    <w:rPr>
      <w:rFonts w:ascii="Calibri" w:hAnsi="Calibri" w:cs="Calibri"/>
      <w:b/>
      <w:bCs/>
      <w:color w:val="58585B"/>
      <w:sz w:val="22"/>
      <w:lang w:val="en-US"/>
    </w:rPr>
  </w:style>
  <w:style w:type="paragraph" w:customStyle="1" w:styleId="Tableheader">
    <w:name w:val="Table header"/>
    <w:basedOn w:val="Normal"/>
    <w:link w:val="TableheaderChar"/>
    <w:qFormat/>
    <w:rsid w:val="003433D8"/>
    <w:pPr>
      <w:suppressAutoHyphens/>
      <w:autoSpaceDE w:val="0"/>
      <w:autoSpaceDN w:val="0"/>
      <w:adjustRightInd w:val="0"/>
      <w:spacing w:after="0"/>
      <w:jc w:val="center"/>
      <w:textAlignment w:val="center"/>
    </w:pPr>
    <w:rPr>
      <w:rFonts w:ascii="Calibri" w:hAnsi="Calibri" w:cs="Calibri"/>
      <w:b/>
      <w:bCs/>
      <w:color w:val="404041"/>
      <w:szCs w:val="20"/>
      <w:lang w:val="en-US"/>
    </w:rPr>
  </w:style>
  <w:style w:type="paragraph" w:customStyle="1" w:styleId="TabletextAnnualreport2018-19">
    <w:name w:val="Table text (Annual report 2018-19)"/>
    <w:basedOn w:val="Normal"/>
    <w:uiPriority w:val="99"/>
    <w:rsid w:val="00E448DE"/>
    <w:pPr>
      <w:autoSpaceDE w:val="0"/>
      <w:autoSpaceDN w:val="0"/>
      <w:adjustRightInd w:val="0"/>
      <w:spacing w:after="0" w:line="288" w:lineRule="auto"/>
      <w:textAlignment w:val="center"/>
    </w:pPr>
    <w:rPr>
      <w:rFonts w:cs="Calibri Light"/>
      <w:color w:val="58585B"/>
      <w:szCs w:val="20"/>
      <w:lang w:val="en-US"/>
    </w:rPr>
  </w:style>
  <w:style w:type="character" w:customStyle="1" w:styleId="TableheaderChar">
    <w:name w:val="Table header Char"/>
    <w:basedOn w:val="DefaultParagraphFont"/>
    <w:link w:val="Tableheader"/>
    <w:rsid w:val="003433D8"/>
    <w:rPr>
      <w:rFonts w:cs="Calibri"/>
      <w:b/>
      <w:bCs/>
      <w:color w:val="404041"/>
      <w:sz w:val="20"/>
      <w:szCs w:val="20"/>
      <w:lang w:val="en-US"/>
    </w:rPr>
  </w:style>
  <w:style w:type="paragraph" w:customStyle="1" w:styleId="Mainbodytext10ptAnnualreport2018-19">
    <w:name w:val="Main body text 10pt (Annual report 2018-19)"/>
    <w:basedOn w:val="Normal"/>
    <w:uiPriority w:val="99"/>
    <w:rsid w:val="009F5E9C"/>
    <w:pPr>
      <w:suppressAutoHyphens/>
      <w:autoSpaceDE w:val="0"/>
      <w:autoSpaceDN w:val="0"/>
      <w:adjustRightInd w:val="0"/>
      <w:spacing w:before="227" w:after="0" w:line="288" w:lineRule="auto"/>
      <w:textAlignment w:val="center"/>
    </w:pPr>
    <w:rPr>
      <w:rFonts w:cs="Calibri Light"/>
      <w:color w:val="58585B"/>
      <w:szCs w:val="20"/>
      <w:lang w:val="en-GB"/>
    </w:rPr>
  </w:style>
  <w:style w:type="paragraph" w:styleId="BalloonText">
    <w:name w:val="Balloon Text"/>
    <w:basedOn w:val="Normal"/>
    <w:link w:val="BalloonTextChar"/>
    <w:uiPriority w:val="99"/>
    <w:semiHidden/>
    <w:unhideWhenUsed/>
    <w:rsid w:val="005968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8AA"/>
    <w:rPr>
      <w:rFonts w:ascii="Segoe UI" w:hAnsi="Segoe UI" w:cs="Segoe UI"/>
      <w:color w:val="58595B" w:themeColor="accent2"/>
      <w:sz w:val="18"/>
      <w:szCs w:val="18"/>
    </w:rPr>
  </w:style>
  <w:style w:type="paragraph" w:styleId="ListParagraph">
    <w:name w:val="List Paragraph"/>
    <w:aliases w:val="Numbered list,Bullet,List Paragraph1,List Paragraph11,Recommendation,Bullet point,NAST Quote,L,CV text,F5 List Paragraph,Dot pt,List Paragraph111,Medium Grid 1 - Accent 21,Numbered Paragraph,List Paragraph2,NFP GP Bulleted List,列"/>
    <w:basedOn w:val="Normal"/>
    <w:link w:val="ListParagraphChar"/>
    <w:uiPriority w:val="1"/>
    <w:qFormat/>
    <w:rsid w:val="005D43CE"/>
    <w:pPr>
      <w:ind w:firstLine="357"/>
      <w:contextualSpacing/>
    </w:pPr>
  </w:style>
  <w:style w:type="table" w:styleId="TableGridLight">
    <w:name w:val="Grid Table Light"/>
    <w:aliases w:val="Blue Table style,Table 1 style"/>
    <w:basedOn w:val="TableNormal"/>
    <w:uiPriority w:val="40"/>
    <w:rsid w:val="00D8312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rsid w:val="000D476E"/>
    <w:rPr>
      <w:szCs w:val="20"/>
    </w:rPr>
  </w:style>
  <w:style w:type="character" w:customStyle="1" w:styleId="CommentTextChar">
    <w:name w:val="Comment Text Char"/>
    <w:basedOn w:val="DefaultParagraphFont"/>
    <w:link w:val="CommentText"/>
    <w:uiPriority w:val="99"/>
    <w:rsid w:val="000D476E"/>
    <w:rPr>
      <w:rFonts w:ascii="Calibri Light" w:hAnsi="Calibri Light"/>
      <w:color w:val="58595B" w:themeColor="accent2"/>
      <w:sz w:val="20"/>
      <w:szCs w:val="20"/>
    </w:rPr>
  </w:style>
  <w:style w:type="character" w:styleId="CommentReference">
    <w:name w:val="annotation reference"/>
    <w:basedOn w:val="DefaultParagraphFont"/>
    <w:uiPriority w:val="99"/>
    <w:unhideWhenUsed/>
    <w:rsid w:val="00D6358B"/>
    <w:rPr>
      <w:sz w:val="16"/>
      <w:szCs w:val="16"/>
    </w:rPr>
  </w:style>
  <w:style w:type="paragraph" w:styleId="CommentSubject">
    <w:name w:val="annotation subject"/>
    <w:basedOn w:val="CommentText"/>
    <w:next w:val="CommentText"/>
    <w:link w:val="CommentSubjectChar"/>
    <w:uiPriority w:val="99"/>
    <w:semiHidden/>
    <w:unhideWhenUsed/>
    <w:rsid w:val="00D6358B"/>
    <w:rPr>
      <w:b/>
      <w:bCs/>
    </w:rPr>
  </w:style>
  <w:style w:type="character" w:customStyle="1" w:styleId="CommentSubjectChar">
    <w:name w:val="Comment Subject Char"/>
    <w:basedOn w:val="CommentTextChar"/>
    <w:link w:val="CommentSubject"/>
    <w:uiPriority w:val="99"/>
    <w:semiHidden/>
    <w:rsid w:val="00D6358B"/>
    <w:rPr>
      <w:rFonts w:ascii="Calibri Light" w:hAnsi="Calibri Light"/>
      <w:b/>
      <w:bCs/>
      <w:color w:val="58595B" w:themeColor="accent2"/>
      <w:sz w:val="20"/>
      <w:szCs w:val="20"/>
    </w:rPr>
  </w:style>
  <w:style w:type="paragraph" w:customStyle="1" w:styleId="Text">
    <w:name w:val="Text"/>
    <w:basedOn w:val="Normal"/>
    <w:rsid w:val="00F83949"/>
    <w:pPr>
      <w:tabs>
        <w:tab w:val="num" w:pos="1713"/>
      </w:tabs>
      <w:spacing w:before="120" w:after="120"/>
    </w:pPr>
    <w:rPr>
      <w:rFonts w:ascii="Arial" w:eastAsia="Times New Roman" w:hAnsi="Arial" w:cs="Times New Roman"/>
      <w:szCs w:val="20"/>
      <w:lang w:eastAsia="en-AU"/>
    </w:rPr>
  </w:style>
  <w:style w:type="paragraph" w:customStyle="1" w:styleId="Briefbulletpoints">
    <w:name w:val="Brief bullet points"/>
    <w:basedOn w:val="ListParagraph"/>
    <w:qFormat/>
    <w:rsid w:val="000D0827"/>
    <w:pPr>
      <w:numPr>
        <w:numId w:val="3"/>
      </w:numPr>
      <w:spacing w:after="120" w:line="259" w:lineRule="auto"/>
      <w:contextualSpacing w:val="0"/>
    </w:pPr>
    <w:rPr>
      <w:rFonts w:ascii="Arial" w:hAnsi="Arial" w:cs="Arial"/>
      <w:sz w:val="24"/>
      <w:szCs w:val="24"/>
    </w:rPr>
  </w:style>
  <w:style w:type="character" w:styleId="IntenseEmphasis">
    <w:name w:val="Intense Emphasis"/>
    <w:basedOn w:val="DefaultParagraphFont"/>
    <w:uiPriority w:val="21"/>
    <w:qFormat/>
    <w:rsid w:val="0011162B"/>
    <w:rPr>
      <w:i/>
      <w:iCs/>
      <w:color w:val="000000" w:themeColor="accent1"/>
    </w:rPr>
  </w:style>
  <w:style w:type="character" w:customStyle="1" w:styleId="ListParagraphChar">
    <w:name w:val="List Paragraph Char"/>
    <w:aliases w:val="Numbered list Char,Bullet Char,List Paragraph1 Char,List Paragraph11 Char,Recommendation Char,Bullet point Char,NAST Quote Char,L Char,CV text Char,F5 List Paragraph Char,Dot pt Char,List Paragraph111 Char,Numbered Paragraph Char"/>
    <w:link w:val="ListParagraph"/>
    <w:uiPriority w:val="34"/>
    <w:rsid w:val="005D43CE"/>
    <w:rPr>
      <w:rFonts w:ascii="Calibri Light" w:hAnsi="Calibri Light"/>
      <w:color w:val="58595B" w:themeColor="accent2"/>
      <w:sz w:val="20"/>
    </w:rPr>
  </w:style>
  <w:style w:type="character" w:styleId="FollowedHyperlink">
    <w:name w:val="FollowedHyperlink"/>
    <w:basedOn w:val="DefaultParagraphFont"/>
    <w:uiPriority w:val="99"/>
    <w:semiHidden/>
    <w:unhideWhenUsed/>
    <w:rsid w:val="00E2735A"/>
    <w:rPr>
      <w:color w:val="954F72" w:themeColor="followedHyperlink"/>
      <w:u w:val="single"/>
    </w:rPr>
  </w:style>
  <w:style w:type="paragraph" w:styleId="NormalWeb">
    <w:name w:val="Normal (Web)"/>
    <w:basedOn w:val="Normal"/>
    <w:uiPriority w:val="99"/>
    <w:semiHidden/>
    <w:unhideWhenUsed/>
    <w:rsid w:val="002732BE"/>
    <w:pPr>
      <w:spacing w:before="100" w:beforeAutospacing="1" w:after="100" w:afterAutospacing="1"/>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unhideWhenUsed/>
    <w:rsid w:val="000B331F"/>
    <w:pPr>
      <w:spacing w:after="0"/>
    </w:pPr>
    <w:rPr>
      <w:szCs w:val="20"/>
    </w:rPr>
  </w:style>
  <w:style w:type="character" w:customStyle="1" w:styleId="FootnoteTextChar">
    <w:name w:val="Footnote Text Char"/>
    <w:basedOn w:val="DefaultParagraphFont"/>
    <w:link w:val="FootnoteText"/>
    <w:uiPriority w:val="99"/>
    <w:rsid w:val="000B331F"/>
    <w:rPr>
      <w:rFonts w:ascii="Calibri Light" w:hAnsi="Calibri Light"/>
      <w:color w:val="58595B" w:themeColor="accent2"/>
      <w:sz w:val="20"/>
      <w:szCs w:val="20"/>
    </w:rPr>
  </w:style>
  <w:style w:type="character" w:styleId="FootnoteReference">
    <w:name w:val="footnote reference"/>
    <w:basedOn w:val="DefaultParagraphFont"/>
    <w:uiPriority w:val="99"/>
    <w:semiHidden/>
    <w:unhideWhenUsed/>
    <w:rsid w:val="000B331F"/>
    <w:rPr>
      <w:vertAlign w:val="superscript"/>
    </w:rPr>
  </w:style>
  <w:style w:type="paragraph" w:styleId="Revision">
    <w:name w:val="Revision"/>
    <w:hidden/>
    <w:uiPriority w:val="99"/>
    <w:semiHidden/>
    <w:rsid w:val="00152132"/>
    <w:pPr>
      <w:spacing w:before="0" w:line="240" w:lineRule="auto"/>
    </w:pPr>
    <w:rPr>
      <w:rFonts w:ascii="Calibri Light" w:hAnsi="Calibri Light"/>
      <w:color w:val="58595B" w:themeColor="accent2"/>
      <w:sz w:val="20"/>
    </w:rPr>
  </w:style>
  <w:style w:type="paragraph" w:customStyle="1" w:styleId="Responsedotpoint">
    <w:name w:val="Response dot point"/>
    <w:basedOn w:val="ListParagraph"/>
    <w:link w:val="ResponsedotpointChar"/>
    <w:qFormat/>
    <w:rsid w:val="00412B84"/>
    <w:pPr>
      <w:numPr>
        <w:numId w:val="4"/>
      </w:numPr>
      <w:spacing w:after="0"/>
      <w:contextualSpacing w:val="0"/>
      <w:jc w:val="both"/>
    </w:pPr>
    <w:rPr>
      <w:rFonts w:ascii="Arial" w:eastAsia="Times New Roman" w:hAnsi="Arial" w:cs="Arial"/>
      <w:spacing w:val="-3"/>
      <w:sz w:val="36"/>
      <w:szCs w:val="36"/>
      <w:lang w:eastAsia="en-AU"/>
    </w:rPr>
  </w:style>
  <w:style w:type="character" w:customStyle="1" w:styleId="ResponsedotpointChar">
    <w:name w:val="Response dot point Char"/>
    <w:link w:val="Responsedotpoint"/>
    <w:rsid w:val="00412B84"/>
    <w:rPr>
      <w:rFonts w:ascii="Arial" w:eastAsia="Times New Roman" w:hAnsi="Arial" w:cs="Arial"/>
      <w:spacing w:val="-3"/>
      <w:sz w:val="36"/>
      <w:szCs w:val="36"/>
      <w:lang w:eastAsia="en-AU"/>
    </w:rPr>
  </w:style>
  <w:style w:type="paragraph" w:customStyle="1" w:styleId="Normancondensed25pt">
    <w:name w:val="Norman condensed .25pt"/>
    <w:basedOn w:val="Normal"/>
    <w:uiPriority w:val="99"/>
    <w:qFormat/>
    <w:rsid w:val="00E976BF"/>
    <w:pPr>
      <w:spacing w:before="120" w:after="0"/>
    </w:pPr>
    <w:rPr>
      <w:spacing w:val="-5"/>
    </w:rPr>
  </w:style>
  <w:style w:type="paragraph" w:customStyle="1" w:styleId="Footnote">
    <w:name w:val="Footnote"/>
    <w:basedOn w:val="Normal"/>
    <w:link w:val="FootnoteChar"/>
    <w:qFormat/>
    <w:rsid w:val="00C571FA"/>
    <w:pPr>
      <w:numPr>
        <w:numId w:val="46"/>
      </w:numPr>
      <w:spacing w:before="20" w:after="20"/>
    </w:pPr>
    <w:rPr>
      <w:sz w:val="16"/>
      <w:szCs w:val="16"/>
    </w:rPr>
  </w:style>
  <w:style w:type="character" w:customStyle="1" w:styleId="FootnoteChar">
    <w:name w:val="Footnote Char"/>
    <w:basedOn w:val="DefaultParagraphFont"/>
    <w:link w:val="Footnote"/>
    <w:rsid w:val="00C571FA"/>
    <w:rPr>
      <w:rFonts w:ascii="Calibri Light" w:hAnsi="Calibri Light"/>
      <w:sz w:val="16"/>
      <w:szCs w:val="16"/>
    </w:rPr>
  </w:style>
  <w:style w:type="character" w:styleId="PlaceholderText">
    <w:name w:val="Placeholder Text"/>
    <w:basedOn w:val="DefaultParagraphFont"/>
    <w:uiPriority w:val="99"/>
    <w:semiHidden/>
    <w:rsid w:val="00473D99"/>
    <w:rPr>
      <w:color w:val="808080"/>
    </w:rPr>
  </w:style>
  <w:style w:type="paragraph" w:customStyle="1" w:styleId="Default">
    <w:name w:val="Default"/>
    <w:rsid w:val="00AB4163"/>
    <w:pPr>
      <w:autoSpaceDE w:val="0"/>
      <w:autoSpaceDN w:val="0"/>
      <w:adjustRightInd w:val="0"/>
      <w:spacing w:before="0" w:line="240" w:lineRule="auto"/>
    </w:pPr>
    <w:rPr>
      <w:rFonts w:ascii="Calibri Light" w:hAnsi="Calibri Light" w:cs="Calibri Light"/>
      <w:color w:val="000000"/>
      <w:sz w:val="24"/>
      <w:szCs w:val="24"/>
    </w:rPr>
  </w:style>
  <w:style w:type="paragraph" w:styleId="NoSpacing">
    <w:name w:val="No Spacing"/>
    <w:link w:val="NoSpacingChar"/>
    <w:uiPriority w:val="1"/>
    <w:qFormat/>
    <w:rsid w:val="00250030"/>
    <w:pPr>
      <w:spacing w:before="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250030"/>
    <w:rPr>
      <w:rFonts w:asciiTheme="minorHAnsi" w:eastAsiaTheme="minorEastAsia" w:hAnsiTheme="minorHAnsi"/>
      <w:lang w:val="en-US"/>
    </w:rPr>
  </w:style>
  <w:style w:type="paragraph" w:styleId="TOC1">
    <w:name w:val="toc 1"/>
    <w:basedOn w:val="Normal"/>
    <w:next w:val="Normal"/>
    <w:link w:val="TOC1Char"/>
    <w:autoRedefine/>
    <w:uiPriority w:val="39"/>
    <w:unhideWhenUsed/>
    <w:rsid w:val="00F34383"/>
    <w:pPr>
      <w:spacing w:before="120" w:after="120"/>
    </w:pPr>
    <w:rPr>
      <w:rFonts w:asciiTheme="minorHAnsi" w:hAnsiTheme="minorHAnsi" w:cstheme="minorHAnsi"/>
      <w:b/>
      <w:bCs/>
      <w:caps/>
      <w:szCs w:val="20"/>
    </w:rPr>
  </w:style>
  <w:style w:type="paragraph" w:customStyle="1" w:styleId="Mainbodytext10pt">
    <w:name w:val="Main body text 10pt"/>
    <w:basedOn w:val="Normal"/>
    <w:uiPriority w:val="99"/>
    <w:rsid w:val="00F34383"/>
    <w:pPr>
      <w:suppressAutoHyphens/>
      <w:autoSpaceDE w:val="0"/>
      <w:autoSpaceDN w:val="0"/>
      <w:adjustRightInd w:val="0"/>
      <w:spacing w:before="120" w:after="0" w:line="240" w:lineRule="atLeast"/>
      <w:textAlignment w:val="center"/>
    </w:pPr>
    <w:rPr>
      <w:rFonts w:ascii="Calibri" w:eastAsia="Calibri" w:hAnsi="Calibri" w:cs="Calibri Light"/>
      <w:color w:val="404041"/>
      <w:szCs w:val="20"/>
      <w:lang w:val="en-GB" w:eastAsia="en-AU"/>
    </w:rPr>
  </w:style>
  <w:style w:type="paragraph" w:customStyle="1" w:styleId="Contentsheader">
    <w:name w:val="Contents header"/>
    <w:link w:val="ContentsheaderChar"/>
    <w:rsid w:val="00F34383"/>
    <w:pPr>
      <w:spacing w:before="0" w:after="160" w:line="259" w:lineRule="auto"/>
    </w:pPr>
    <w:rPr>
      <w:rFonts w:asciiTheme="minorHAnsi" w:eastAsia="Times New Roman" w:hAnsiTheme="minorHAnsi" w:cs="Times New Roman"/>
      <w:noProof/>
      <w:color w:val="414042" w:themeColor="text1"/>
      <w:sz w:val="36"/>
      <w:szCs w:val="20"/>
    </w:rPr>
  </w:style>
  <w:style w:type="paragraph" w:customStyle="1" w:styleId="Righthandpagefooter">
    <w:name w:val="Right hand page footer"/>
    <w:qFormat/>
    <w:rsid w:val="00F34383"/>
    <w:pPr>
      <w:tabs>
        <w:tab w:val="right" w:pos="8448"/>
        <w:tab w:val="right" w:pos="9015"/>
      </w:tabs>
      <w:spacing w:before="0" w:line="210" w:lineRule="exact"/>
      <w:jc w:val="right"/>
    </w:pPr>
    <w:rPr>
      <w:rFonts w:eastAsia="Calibri" w:cs="Times New Roman"/>
      <w:caps/>
      <w:sz w:val="15"/>
    </w:rPr>
  </w:style>
  <w:style w:type="character" w:customStyle="1" w:styleId="ContentsheaderChar">
    <w:name w:val="Contents header Char"/>
    <w:basedOn w:val="Heading1Char"/>
    <w:link w:val="Contentsheader"/>
    <w:rsid w:val="00F34383"/>
    <w:rPr>
      <w:rFonts w:asciiTheme="minorHAnsi" w:eastAsia="Times New Roman" w:hAnsiTheme="minorHAnsi" w:cs="Times New Roman"/>
      <w:noProof/>
      <w:color w:val="414042" w:themeColor="text1"/>
      <w:sz w:val="36"/>
      <w:szCs w:val="20"/>
    </w:rPr>
  </w:style>
  <w:style w:type="table" w:customStyle="1" w:styleId="TonalBox">
    <w:name w:val="Tonal Box"/>
    <w:basedOn w:val="TableNormal"/>
    <w:next w:val="TableGrid"/>
    <w:uiPriority w:val="59"/>
    <w:rsid w:val="00F34383"/>
    <w:pPr>
      <w:spacing w:before="0" w:line="240" w:lineRule="auto"/>
    </w:pPr>
    <w:rPr>
      <w:rFonts w:eastAsia="Calibri" w:cs="Times New Roman"/>
      <w:sz w:val="20"/>
      <w:szCs w:val="20"/>
      <w:lang w:eastAsia="en-AU"/>
    </w:rPr>
    <w:tblPr>
      <w:tblCellMar>
        <w:top w:w="142" w:type="dxa"/>
        <w:left w:w="142" w:type="dxa"/>
        <w:bottom w:w="142" w:type="dxa"/>
        <w:right w:w="142" w:type="dxa"/>
      </w:tblCellMar>
    </w:tblPr>
    <w:tcPr>
      <w:shd w:val="clear" w:color="auto" w:fill="000000" w:themeFill="accent1"/>
    </w:tcPr>
  </w:style>
  <w:style w:type="paragraph" w:customStyle="1" w:styleId="Contents">
    <w:name w:val="Contents"/>
    <w:basedOn w:val="TOC1"/>
    <w:link w:val="ContentsChar"/>
    <w:rsid w:val="00F34383"/>
    <w:pPr>
      <w:tabs>
        <w:tab w:val="right" w:leader="dot" w:pos="9016"/>
      </w:tabs>
    </w:pPr>
    <w:rPr>
      <w:bCs w:val="0"/>
    </w:rPr>
  </w:style>
  <w:style w:type="paragraph" w:customStyle="1" w:styleId="CCCDetails">
    <w:name w:val="CCC Details"/>
    <w:basedOn w:val="Normal"/>
    <w:link w:val="CCCDetailsChar"/>
    <w:rsid w:val="00F34383"/>
    <w:pPr>
      <w:framePr w:hSpace="181" w:wrap="around" w:vAnchor="text" w:hAnchor="margin" w:y="9804"/>
      <w:spacing w:before="120" w:after="0" w:line="400" w:lineRule="exact"/>
    </w:pPr>
    <w:rPr>
      <w:rFonts w:ascii="Calibri" w:eastAsia="Calibri" w:hAnsi="Calibri" w:cs="Times New Roman"/>
      <w:b/>
      <w:color w:val="939598" w:themeColor="accent4"/>
      <w:sz w:val="36"/>
      <w:szCs w:val="36"/>
      <w:lang w:eastAsia="en-AU"/>
    </w:rPr>
  </w:style>
  <w:style w:type="character" w:customStyle="1" w:styleId="TOC1Char">
    <w:name w:val="TOC 1 Char"/>
    <w:basedOn w:val="DefaultParagraphFont"/>
    <w:link w:val="TOC1"/>
    <w:uiPriority w:val="39"/>
    <w:rsid w:val="00F34383"/>
    <w:rPr>
      <w:rFonts w:asciiTheme="minorHAnsi" w:hAnsiTheme="minorHAnsi" w:cstheme="minorHAnsi"/>
      <w:b/>
      <w:bCs/>
      <w:caps/>
      <w:color w:val="58595B" w:themeColor="accent2"/>
      <w:sz w:val="20"/>
      <w:szCs w:val="20"/>
    </w:rPr>
  </w:style>
  <w:style w:type="character" w:customStyle="1" w:styleId="ContentsChar">
    <w:name w:val="Contents Char"/>
    <w:basedOn w:val="TOC1Char"/>
    <w:link w:val="Contents"/>
    <w:rsid w:val="00F34383"/>
    <w:rPr>
      <w:rFonts w:asciiTheme="minorHAnsi" w:eastAsia="Times New Roman" w:hAnsiTheme="minorHAnsi" w:cs="Times New Roman"/>
      <w:b/>
      <w:bCs w:val="0"/>
      <w:caps/>
      <w:noProof/>
      <w:color w:val="58595B" w:themeColor="accent2"/>
      <w:sz w:val="20"/>
      <w:szCs w:val="20"/>
    </w:rPr>
  </w:style>
  <w:style w:type="character" w:customStyle="1" w:styleId="CCCDetailsChar">
    <w:name w:val="CCC Details Char"/>
    <w:basedOn w:val="DefaultParagraphFont"/>
    <w:link w:val="CCCDetails"/>
    <w:rsid w:val="00F34383"/>
    <w:rPr>
      <w:rFonts w:eastAsia="Calibri" w:cs="Times New Roman"/>
      <w:b/>
      <w:color w:val="939598" w:themeColor="accent4"/>
      <w:sz w:val="36"/>
      <w:szCs w:val="36"/>
      <w:lang w:eastAsia="en-AU"/>
    </w:rPr>
  </w:style>
  <w:style w:type="paragraph" w:customStyle="1" w:styleId="Reporttitle">
    <w:name w:val="Report title"/>
    <w:basedOn w:val="Normal"/>
    <w:link w:val="ReporttitleChar"/>
    <w:qFormat/>
    <w:rsid w:val="00F34383"/>
    <w:pPr>
      <w:spacing w:after="0" w:line="920" w:lineRule="exact"/>
    </w:pPr>
    <w:rPr>
      <w:rFonts w:ascii="Calibri" w:hAnsi="Calibri" w:cs="Calibri"/>
      <w:b/>
      <w:color w:val="939598" w:themeColor="accent4"/>
      <w:sz w:val="88"/>
      <w:szCs w:val="88"/>
    </w:rPr>
  </w:style>
  <w:style w:type="paragraph" w:customStyle="1" w:styleId="Reportsubtitle">
    <w:name w:val="Report subtitle"/>
    <w:basedOn w:val="Normal"/>
    <w:link w:val="ReportsubtitleChar"/>
    <w:qFormat/>
    <w:rsid w:val="00F34383"/>
    <w:pPr>
      <w:spacing w:after="0" w:line="400" w:lineRule="exact"/>
    </w:pPr>
    <w:rPr>
      <w:rFonts w:ascii="Calibri" w:hAnsi="Calibri" w:cs="Calibri"/>
      <w:sz w:val="36"/>
    </w:rPr>
  </w:style>
  <w:style w:type="character" w:customStyle="1" w:styleId="ReporttitleChar">
    <w:name w:val="Report title Char"/>
    <w:basedOn w:val="DefaultParagraphFont"/>
    <w:link w:val="Reporttitle"/>
    <w:rsid w:val="00F34383"/>
    <w:rPr>
      <w:rFonts w:cs="Calibri"/>
      <w:b/>
      <w:color w:val="939598" w:themeColor="accent4"/>
      <w:sz w:val="88"/>
      <w:szCs w:val="88"/>
    </w:rPr>
  </w:style>
  <w:style w:type="character" w:customStyle="1" w:styleId="ReportsubtitleChar">
    <w:name w:val="Report subtitle Char"/>
    <w:basedOn w:val="DefaultParagraphFont"/>
    <w:link w:val="Reportsubtitle"/>
    <w:rsid w:val="00F34383"/>
    <w:rPr>
      <w:rFonts w:cs="Calibri"/>
      <w:sz w:val="36"/>
    </w:rPr>
  </w:style>
  <w:style w:type="paragraph" w:customStyle="1" w:styleId="Headerclassification">
    <w:name w:val="Header classification"/>
    <w:rsid w:val="00F34383"/>
    <w:pPr>
      <w:spacing w:before="0" w:line="300" w:lineRule="exact"/>
      <w:jc w:val="center"/>
    </w:pPr>
    <w:rPr>
      <w:rFonts w:eastAsia="Times New Roman" w:cs="Times New Roman"/>
      <w:color w:val="73182C"/>
      <w:sz w:val="26"/>
      <w:lang w:val="en-US" w:bidi="en-US"/>
    </w:rPr>
  </w:style>
  <w:style w:type="paragraph" w:customStyle="1" w:styleId="Reportdate">
    <w:name w:val="Report date"/>
    <w:basedOn w:val="Normal"/>
    <w:link w:val="ReportdateChar"/>
    <w:qFormat/>
    <w:rsid w:val="00F34383"/>
    <w:pPr>
      <w:spacing w:after="0"/>
    </w:pPr>
    <w:rPr>
      <w:rFonts w:ascii="Calibri" w:hAnsi="Calibri"/>
      <w:sz w:val="28"/>
      <w:szCs w:val="28"/>
    </w:rPr>
  </w:style>
  <w:style w:type="paragraph" w:styleId="Quote">
    <w:name w:val="Quote"/>
    <w:basedOn w:val="Normal"/>
    <w:next w:val="Normal"/>
    <w:link w:val="QuoteChar"/>
    <w:uiPriority w:val="29"/>
    <w:qFormat/>
    <w:rsid w:val="00F34383"/>
    <w:pPr>
      <w:spacing w:before="180" w:after="0" w:line="260" w:lineRule="exact"/>
      <w:ind w:left="1134" w:right="567"/>
    </w:pPr>
    <w:rPr>
      <w:rFonts w:ascii="Calibri" w:hAnsi="Calibri"/>
      <w:iCs/>
      <w:sz w:val="22"/>
    </w:rPr>
  </w:style>
  <w:style w:type="character" w:customStyle="1" w:styleId="QuoteChar">
    <w:name w:val="Quote Char"/>
    <w:basedOn w:val="DefaultParagraphFont"/>
    <w:link w:val="Quote"/>
    <w:uiPriority w:val="29"/>
    <w:rsid w:val="00F34383"/>
    <w:rPr>
      <w:iCs/>
    </w:rPr>
  </w:style>
  <w:style w:type="character" w:customStyle="1" w:styleId="ReportdateChar">
    <w:name w:val="Report date Char"/>
    <w:basedOn w:val="DefaultParagraphFont"/>
    <w:link w:val="Reportdate"/>
    <w:rsid w:val="00F34383"/>
    <w:rPr>
      <w:sz w:val="28"/>
      <w:szCs w:val="28"/>
    </w:rPr>
  </w:style>
  <w:style w:type="paragraph" w:customStyle="1" w:styleId="Tabletext9pt1stpara">
    <w:name w:val="Table text 9pt 1st para"/>
    <w:rsid w:val="00F34383"/>
    <w:pPr>
      <w:spacing w:before="0" w:line="240" w:lineRule="exact"/>
    </w:pPr>
    <w:rPr>
      <w:rFonts w:eastAsia="Calibri" w:cs="Times New Roman"/>
    </w:rPr>
  </w:style>
  <w:style w:type="paragraph" w:styleId="TOCHeading">
    <w:name w:val="TOC Heading"/>
    <w:basedOn w:val="Heading1"/>
    <w:next w:val="Normal"/>
    <w:uiPriority w:val="39"/>
    <w:unhideWhenUsed/>
    <w:qFormat/>
    <w:rsid w:val="00F34383"/>
    <w:pPr>
      <w:spacing w:before="240" w:beforeAutospacing="1" w:after="480" w:line="259" w:lineRule="auto"/>
      <w:outlineLvl w:val="9"/>
    </w:pPr>
    <w:rPr>
      <w:rFonts w:asciiTheme="minorHAnsi" w:hAnsiTheme="minorHAnsi"/>
      <w:b/>
      <w:sz w:val="32"/>
      <w:lang w:val="en-US"/>
    </w:rPr>
  </w:style>
  <w:style w:type="paragraph" w:styleId="TOC2">
    <w:name w:val="toc 2"/>
    <w:basedOn w:val="Normal"/>
    <w:next w:val="Normal"/>
    <w:link w:val="TOC2Char"/>
    <w:autoRedefine/>
    <w:uiPriority w:val="39"/>
    <w:unhideWhenUsed/>
    <w:rsid w:val="00F34383"/>
    <w:pPr>
      <w:spacing w:after="0"/>
      <w:ind w:left="200"/>
    </w:pPr>
    <w:rPr>
      <w:rFonts w:asciiTheme="minorHAnsi" w:hAnsiTheme="minorHAnsi" w:cstheme="minorHAnsi"/>
      <w:smallCaps/>
      <w:szCs w:val="20"/>
    </w:rPr>
  </w:style>
  <w:style w:type="paragraph" w:customStyle="1" w:styleId="Tableofcontents-heading1">
    <w:name w:val="Table of contents - heading 1"/>
    <w:basedOn w:val="TOC1"/>
    <w:link w:val="Tableofcontents-heading1Char"/>
    <w:rsid w:val="00F34383"/>
    <w:pPr>
      <w:tabs>
        <w:tab w:val="right" w:leader="dot" w:pos="9016"/>
      </w:tabs>
    </w:pPr>
    <w:rPr>
      <w:b w:val="0"/>
      <w:bCs w:val="0"/>
    </w:rPr>
  </w:style>
  <w:style w:type="paragraph" w:customStyle="1" w:styleId="Tableofcontents2">
    <w:name w:val="Table of contents 2"/>
    <w:basedOn w:val="TOC2"/>
    <w:link w:val="Tableofcontents2Char"/>
    <w:rsid w:val="00F34383"/>
  </w:style>
  <w:style w:type="character" w:customStyle="1" w:styleId="Tableofcontents-heading1Char">
    <w:name w:val="Table of contents - heading 1 Char"/>
    <w:basedOn w:val="TOC1Char"/>
    <w:link w:val="Tableofcontents-heading1"/>
    <w:rsid w:val="00F34383"/>
    <w:rPr>
      <w:rFonts w:asciiTheme="minorHAnsi" w:eastAsia="Times New Roman" w:hAnsiTheme="minorHAnsi" w:cs="Times New Roman"/>
      <w:b w:val="0"/>
      <w:bCs w:val="0"/>
      <w:caps/>
      <w:noProof/>
      <w:color w:val="58595B" w:themeColor="accent2"/>
      <w:sz w:val="20"/>
      <w:szCs w:val="20"/>
    </w:rPr>
  </w:style>
  <w:style w:type="paragraph" w:customStyle="1" w:styleId="Contentsheading1">
    <w:name w:val="Contents heading 1"/>
    <w:rsid w:val="00F34383"/>
    <w:pPr>
      <w:pBdr>
        <w:bottom w:val="single" w:sz="4" w:space="10" w:color="auto"/>
      </w:pBdr>
      <w:spacing w:before="0" w:after="720" w:line="400" w:lineRule="exact"/>
    </w:pPr>
    <w:rPr>
      <w:rFonts w:eastAsia="Times New Roman" w:cs="Times New Roman"/>
      <w:b/>
      <w:bCs/>
      <w:kern w:val="32"/>
      <w:sz w:val="36"/>
      <w:szCs w:val="32"/>
    </w:rPr>
  </w:style>
  <w:style w:type="character" w:customStyle="1" w:styleId="TOC2Char">
    <w:name w:val="TOC 2 Char"/>
    <w:basedOn w:val="DefaultParagraphFont"/>
    <w:link w:val="TOC2"/>
    <w:uiPriority w:val="39"/>
    <w:rsid w:val="00F34383"/>
    <w:rPr>
      <w:rFonts w:asciiTheme="minorHAnsi" w:hAnsiTheme="minorHAnsi" w:cstheme="minorHAnsi"/>
      <w:smallCaps/>
      <w:color w:val="58595B" w:themeColor="accent2"/>
      <w:sz w:val="20"/>
      <w:szCs w:val="20"/>
    </w:rPr>
  </w:style>
  <w:style w:type="character" w:customStyle="1" w:styleId="Tableofcontents2Char">
    <w:name w:val="Table of contents 2 Char"/>
    <w:basedOn w:val="TOC2Char"/>
    <w:link w:val="Tableofcontents2"/>
    <w:rsid w:val="00F34383"/>
    <w:rPr>
      <w:rFonts w:asciiTheme="minorHAnsi" w:hAnsiTheme="minorHAnsi" w:cstheme="minorHAnsi"/>
      <w:smallCaps/>
      <w:noProof/>
      <w:color w:val="58595B" w:themeColor="accent2"/>
      <w:sz w:val="20"/>
      <w:szCs w:val="20"/>
    </w:rPr>
  </w:style>
  <w:style w:type="paragraph" w:customStyle="1" w:styleId="Sourceandnotes">
    <w:name w:val="Source and notes"/>
    <w:qFormat/>
    <w:rsid w:val="00F34383"/>
    <w:pPr>
      <w:spacing w:line="220" w:lineRule="exact"/>
    </w:pPr>
    <w:rPr>
      <w:rFonts w:eastAsia="Calibri" w:cs="Times New Roman"/>
      <w:sz w:val="16"/>
    </w:rPr>
  </w:style>
  <w:style w:type="paragraph" w:customStyle="1" w:styleId="Normal1stpara">
    <w:name w:val="Normal 1st para"/>
    <w:basedOn w:val="Normal"/>
    <w:link w:val="Normal1stparaChar"/>
    <w:qFormat/>
    <w:rsid w:val="00F34383"/>
    <w:pPr>
      <w:spacing w:before="60" w:after="0" w:line="260" w:lineRule="exact"/>
    </w:pPr>
    <w:rPr>
      <w:rFonts w:ascii="Calibri" w:eastAsia="Calibri" w:hAnsi="Calibri" w:cs="Times New Roman"/>
      <w:sz w:val="22"/>
    </w:rPr>
  </w:style>
  <w:style w:type="paragraph" w:customStyle="1" w:styleId="NormalbulletlistL10">
    <w:name w:val="Normal bullet list L1"/>
    <w:basedOn w:val="Normal"/>
    <w:link w:val="NormalbulletlistL1Char"/>
    <w:rsid w:val="00F34383"/>
    <w:pPr>
      <w:numPr>
        <w:numId w:val="5"/>
      </w:numPr>
      <w:tabs>
        <w:tab w:val="left" w:pos="924"/>
      </w:tabs>
      <w:spacing w:before="60" w:after="0" w:line="260" w:lineRule="exact"/>
      <w:ind w:left="924" w:hanging="357"/>
    </w:pPr>
    <w:rPr>
      <w:rFonts w:ascii="Calibri" w:eastAsia="Calibri" w:hAnsi="Calibri" w:cs="Times New Roman"/>
    </w:rPr>
  </w:style>
  <w:style w:type="paragraph" w:customStyle="1" w:styleId="NormalbulletlistL2">
    <w:name w:val="Normal bullet list L2"/>
    <w:basedOn w:val="NormalbulletlistL10"/>
    <w:link w:val="NormalbulletlistL2Char"/>
    <w:qFormat/>
    <w:rsid w:val="00F34383"/>
    <w:pPr>
      <w:numPr>
        <w:numId w:val="6"/>
      </w:numPr>
      <w:tabs>
        <w:tab w:val="clear" w:pos="924"/>
        <w:tab w:val="left" w:pos="1281"/>
      </w:tabs>
    </w:pPr>
  </w:style>
  <w:style w:type="paragraph" w:customStyle="1" w:styleId="NormalnumberedlistL1">
    <w:name w:val="Normal numbered list L1"/>
    <w:basedOn w:val="NormalbulletlistL10"/>
    <w:qFormat/>
    <w:rsid w:val="00F34383"/>
    <w:pPr>
      <w:numPr>
        <w:numId w:val="7"/>
      </w:numPr>
      <w:ind w:left="360"/>
    </w:pPr>
    <w:rPr>
      <w:sz w:val="22"/>
    </w:rPr>
  </w:style>
  <w:style w:type="paragraph" w:customStyle="1" w:styleId="NormalilistL1">
    <w:name w:val="Normal (i) list L1"/>
    <w:qFormat/>
    <w:rsid w:val="00F34383"/>
    <w:pPr>
      <w:numPr>
        <w:numId w:val="8"/>
      </w:numPr>
      <w:tabs>
        <w:tab w:val="left" w:pos="924"/>
      </w:tabs>
      <w:spacing w:before="60"/>
    </w:pPr>
    <w:rPr>
      <w:rFonts w:eastAsia="Calibri" w:cs="Times New Roman"/>
    </w:rPr>
  </w:style>
  <w:style w:type="paragraph" w:customStyle="1" w:styleId="NormalilistL10">
    <w:name w:val="Normal i. list L1"/>
    <w:qFormat/>
    <w:rsid w:val="00F34383"/>
    <w:pPr>
      <w:numPr>
        <w:numId w:val="9"/>
      </w:numPr>
      <w:tabs>
        <w:tab w:val="left" w:pos="924"/>
      </w:tabs>
      <w:spacing w:before="60"/>
    </w:pPr>
    <w:rPr>
      <w:rFonts w:eastAsia="Calibri" w:cs="Times New Roman"/>
    </w:rPr>
  </w:style>
  <w:style w:type="paragraph" w:customStyle="1" w:styleId="NormalalistL10">
    <w:name w:val="Normal a. list L1"/>
    <w:qFormat/>
    <w:rsid w:val="00F34383"/>
    <w:pPr>
      <w:numPr>
        <w:numId w:val="10"/>
      </w:numPr>
      <w:tabs>
        <w:tab w:val="left" w:pos="924"/>
      </w:tabs>
      <w:spacing w:before="60"/>
    </w:pPr>
    <w:rPr>
      <w:rFonts w:eastAsia="Calibri" w:cs="Times New Roman"/>
    </w:rPr>
  </w:style>
  <w:style w:type="character" w:customStyle="1" w:styleId="BoxheadingL1Char">
    <w:name w:val="Box heading L1 Char"/>
    <w:basedOn w:val="DefaultParagraphFont"/>
    <w:link w:val="BoxheadingL1"/>
    <w:locked/>
    <w:rsid w:val="00F34383"/>
    <w:rPr>
      <w:rFonts w:eastAsia="Times New Roman" w:cs="Times New Roman"/>
      <w:b/>
      <w:bCs/>
      <w:sz w:val="28"/>
      <w:szCs w:val="26"/>
    </w:rPr>
  </w:style>
  <w:style w:type="paragraph" w:customStyle="1" w:styleId="BoxheadingL1">
    <w:name w:val="Box heading L1"/>
    <w:link w:val="BoxheadingL1Char"/>
    <w:qFormat/>
    <w:rsid w:val="00F34383"/>
    <w:pPr>
      <w:spacing w:before="60" w:after="60" w:line="240" w:lineRule="exact"/>
    </w:pPr>
    <w:rPr>
      <w:rFonts w:eastAsia="Times New Roman" w:cs="Times New Roman"/>
      <w:b/>
      <w:bCs/>
      <w:sz w:val="28"/>
      <w:szCs w:val="26"/>
    </w:rPr>
  </w:style>
  <w:style w:type="paragraph" w:customStyle="1" w:styleId="BoxheadingL2">
    <w:name w:val="Box heading L2"/>
    <w:qFormat/>
    <w:rsid w:val="00F34383"/>
    <w:pPr>
      <w:spacing w:before="180"/>
    </w:pPr>
    <w:rPr>
      <w:rFonts w:eastAsia="Times New Roman" w:cs="Times New Roman"/>
      <w:b/>
      <w:bCs/>
      <w:sz w:val="24"/>
      <w:szCs w:val="26"/>
    </w:rPr>
  </w:style>
  <w:style w:type="paragraph" w:customStyle="1" w:styleId="BoxtextbulletlistL1">
    <w:name w:val="Box text bullet list L1"/>
    <w:qFormat/>
    <w:rsid w:val="00F34383"/>
    <w:pPr>
      <w:numPr>
        <w:numId w:val="11"/>
      </w:numPr>
      <w:tabs>
        <w:tab w:val="left" w:pos="357"/>
      </w:tabs>
      <w:spacing w:before="60" w:line="240" w:lineRule="exact"/>
      <w:ind w:left="357" w:hanging="357"/>
    </w:pPr>
    <w:rPr>
      <w:rFonts w:eastAsia="Calibri" w:cs="Times New Roman"/>
    </w:rPr>
  </w:style>
  <w:style w:type="paragraph" w:customStyle="1" w:styleId="BoxtextbulletlistL2">
    <w:name w:val="Box text  bullet list L2"/>
    <w:qFormat/>
    <w:rsid w:val="00F34383"/>
    <w:pPr>
      <w:numPr>
        <w:numId w:val="12"/>
      </w:numPr>
      <w:tabs>
        <w:tab w:val="left" w:pos="714"/>
      </w:tabs>
      <w:spacing w:before="60" w:line="240" w:lineRule="exact"/>
      <w:ind w:left="714" w:hanging="357"/>
    </w:pPr>
    <w:rPr>
      <w:rFonts w:eastAsia="Calibri" w:cs="Times New Roman"/>
    </w:rPr>
  </w:style>
  <w:style w:type="paragraph" w:customStyle="1" w:styleId="BoxtextnumberedlistL1">
    <w:name w:val="Box text numbered list L1"/>
    <w:qFormat/>
    <w:rsid w:val="00F34383"/>
    <w:pPr>
      <w:numPr>
        <w:numId w:val="13"/>
      </w:numPr>
      <w:spacing w:before="60" w:line="240" w:lineRule="exact"/>
      <w:ind w:left="357" w:hanging="357"/>
    </w:pPr>
    <w:rPr>
      <w:rFonts w:eastAsia="Calibri" w:cs="Times New Roman"/>
    </w:rPr>
  </w:style>
  <w:style w:type="paragraph" w:customStyle="1" w:styleId="BoxtextilistL10">
    <w:name w:val="Box text (i) list L1"/>
    <w:qFormat/>
    <w:rsid w:val="00F34383"/>
    <w:pPr>
      <w:numPr>
        <w:numId w:val="14"/>
      </w:numPr>
      <w:spacing w:before="60" w:line="240" w:lineRule="exact"/>
    </w:pPr>
    <w:rPr>
      <w:rFonts w:eastAsia="Calibri" w:cs="Times New Roman"/>
    </w:rPr>
  </w:style>
  <w:style w:type="paragraph" w:customStyle="1" w:styleId="BoxtextilistL1">
    <w:name w:val="Box text i. list L1"/>
    <w:qFormat/>
    <w:rsid w:val="00F34383"/>
    <w:pPr>
      <w:numPr>
        <w:numId w:val="15"/>
      </w:numPr>
      <w:spacing w:before="60" w:line="240" w:lineRule="exact"/>
      <w:ind w:left="357" w:hanging="357"/>
    </w:pPr>
    <w:rPr>
      <w:rFonts w:eastAsia="Calibri" w:cs="Times New Roman"/>
    </w:rPr>
  </w:style>
  <w:style w:type="paragraph" w:customStyle="1" w:styleId="BoxtextalistL1">
    <w:name w:val="Box text a. list L1"/>
    <w:qFormat/>
    <w:rsid w:val="00F34383"/>
    <w:pPr>
      <w:numPr>
        <w:numId w:val="16"/>
      </w:numPr>
      <w:spacing w:before="60" w:line="240" w:lineRule="exact"/>
      <w:ind w:left="357" w:hanging="357"/>
    </w:pPr>
    <w:rPr>
      <w:rFonts w:eastAsia="Calibri" w:cs="Times New Roman"/>
    </w:rPr>
  </w:style>
  <w:style w:type="paragraph" w:customStyle="1" w:styleId="Figuretableheading">
    <w:name w:val="Figure/table heading"/>
    <w:qFormat/>
    <w:rsid w:val="00F34383"/>
    <w:pPr>
      <w:spacing w:before="360" w:after="180"/>
      <w:ind w:left="567"/>
    </w:pPr>
    <w:rPr>
      <w:rFonts w:eastAsia="Calibri" w:cs="Times New Roman"/>
      <w:sz w:val="20"/>
    </w:rPr>
  </w:style>
  <w:style w:type="paragraph" w:customStyle="1" w:styleId="TabletextbulletlistL1">
    <w:name w:val="Table text bullet list L1"/>
    <w:qFormat/>
    <w:rsid w:val="00F34383"/>
    <w:pPr>
      <w:numPr>
        <w:numId w:val="17"/>
      </w:numPr>
      <w:tabs>
        <w:tab w:val="left" w:pos="357"/>
      </w:tabs>
      <w:spacing w:before="60" w:line="240" w:lineRule="exact"/>
      <w:ind w:left="357" w:hanging="357"/>
    </w:pPr>
    <w:rPr>
      <w:rFonts w:eastAsia="Calibri" w:cs="Times New Roman"/>
    </w:rPr>
  </w:style>
  <w:style w:type="paragraph" w:customStyle="1" w:styleId="Sourceandnotebullets">
    <w:name w:val="Source and note bullets"/>
    <w:qFormat/>
    <w:rsid w:val="00F34383"/>
    <w:pPr>
      <w:numPr>
        <w:numId w:val="18"/>
      </w:numPr>
      <w:tabs>
        <w:tab w:val="left" w:pos="924"/>
      </w:tabs>
      <w:spacing w:before="60" w:line="220" w:lineRule="exact"/>
      <w:ind w:left="357" w:hanging="357"/>
    </w:pPr>
    <w:rPr>
      <w:rFonts w:eastAsia="Calibri" w:cs="Times New Roman"/>
      <w:sz w:val="16"/>
    </w:rPr>
  </w:style>
  <w:style w:type="paragraph" w:customStyle="1" w:styleId="NormalnumberedlistL2">
    <w:name w:val="Normal numbered list L2"/>
    <w:basedOn w:val="Normal"/>
    <w:qFormat/>
    <w:rsid w:val="00F34383"/>
    <w:pPr>
      <w:numPr>
        <w:numId w:val="19"/>
      </w:numPr>
      <w:spacing w:before="60" w:after="0" w:line="260" w:lineRule="exact"/>
    </w:pPr>
    <w:rPr>
      <w:rFonts w:ascii="Calibri" w:eastAsia="Calibri" w:hAnsi="Calibri" w:cs="Times New Roman"/>
      <w:sz w:val="22"/>
    </w:rPr>
  </w:style>
  <w:style w:type="paragraph" w:customStyle="1" w:styleId="Normal1listL1">
    <w:name w:val="Normal (1) list L1"/>
    <w:basedOn w:val="Normal"/>
    <w:qFormat/>
    <w:rsid w:val="00F34383"/>
    <w:pPr>
      <w:numPr>
        <w:numId w:val="20"/>
      </w:numPr>
      <w:spacing w:before="60" w:after="0" w:line="260" w:lineRule="exact"/>
      <w:ind w:left="924" w:hanging="357"/>
    </w:pPr>
    <w:rPr>
      <w:rFonts w:ascii="Calibri" w:eastAsia="Calibri" w:hAnsi="Calibri" w:cs="Times New Roman"/>
      <w:sz w:val="22"/>
    </w:rPr>
  </w:style>
  <w:style w:type="paragraph" w:customStyle="1" w:styleId="Normal1listL2">
    <w:name w:val="Normal (1) list L2"/>
    <w:basedOn w:val="Normal"/>
    <w:qFormat/>
    <w:rsid w:val="00F34383"/>
    <w:pPr>
      <w:numPr>
        <w:numId w:val="21"/>
      </w:numPr>
      <w:spacing w:before="60" w:after="0" w:line="260" w:lineRule="exact"/>
    </w:pPr>
    <w:rPr>
      <w:rFonts w:ascii="Calibri" w:eastAsia="Calibri" w:hAnsi="Calibri" w:cs="Times New Roman"/>
      <w:sz w:val="22"/>
    </w:rPr>
  </w:style>
  <w:style w:type="paragraph" w:customStyle="1" w:styleId="NormalilistL20">
    <w:name w:val="Normal i. list L2"/>
    <w:basedOn w:val="Normal"/>
    <w:qFormat/>
    <w:rsid w:val="00F34383"/>
    <w:pPr>
      <w:numPr>
        <w:numId w:val="22"/>
      </w:numPr>
      <w:spacing w:before="60" w:after="0" w:line="260" w:lineRule="exact"/>
    </w:pPr>
    <w:rPr>
      <w:rFonts w:ascii="Calibri" w:eastAsia="Calibri" w:hAnsi="Calibri" w:cs="Times New Roman"/>
      <w:sz w:val="22"/>
    </w:rPr>
  </w:style>
  <w:style w:type="paragraph" w:customStyle="1" w:styleId="NormalilistL2">
    <w:name w:val="Normal (i) list L2"/>
    <w:basedOn w:val="Normal"/>
    <w:qFormat/>
    <w:rsid w:val="00F34383"/>
    <w:pPr>
      <w:numPr>
        <w:numId w:val="23"/>
      </w:numPr>
      <w:spacing w:before="60" w:after="0" w:line="260" w:lineRule="exact"/>
    </w:pPr>
    <w:rPr>
      <w:rFonts w:ascii="Calibri" w:eastAsia="Calibri" w:hAnsi="Calibri" w:cs="Times New Roman"/>
      <w:sz w:val="22"/>
    </w:rPr>
  </w:style>
  <w:style w:type="paragraph" w:customStyle="1" w:styleId="NormalalistL20">
    <w:name w:val="Normal a. list L2"/>
    <w:basedOn w:val="Normal"/>
    <w:qFormat/>
    <w:rsid w:val="00F34383"/>
    <w:pPr>
      <w:numPr>
        <w:numId w:val="24"/>
      </w:numPr>
      <w:spacing w:before="60" w:after="0" w:line="260" w:lineRule="exact"/>
    </w:pPr>
    <w:rPr>
      <w:rFonts w:ascii="Calibri" w:eastAsia="Calibri" w:hAnsi="Calibri" w:cs="Times New Roman"/>
      <w:sz w:val="22"/>
    </w:rPr>
  </w:style>
  <w:style w:type="paragraph" w:customStyle="1" w:styleId="NormalalistL1">
    <w:name w:val="Normal (a) list L1"/>
    <w:basedOn w:val="Normal"/>
    <w:qFormat/>
    <w:rsid w:val="00F34383"/>
    <w:pPr>
      <w:numPr>
        <w:numId w:val="25"/>
      </w:numPr>
      <w:spacing w:before="60" w:after="0" w:line="260" w:lineRule="exact"/>
    </w:pPr>
    <w:rPr>
      <w:rFonts w:ascii="Calibri" w:eastAsia="Calibri" w:hAnsi="Calibri" w:cs="Times New Roman"/>
      <w:sz w:val="22"/>
    </w:rPr>
  </w:style>
  <w:style w:type="paragraph" w:customStyle="1" w:styleId="NormalalistL2">
    <w:name w:val="Normal (a) list L2"/>
    <w:basedOn w:val="Normal"/>
    <w:qFormat/>
    <w:rsid w:val="00F34383"/>
    <w:pPr>
      <w:numPr>
        <w:numId w:val="26"/>
      </w:numPr>
      <w:spacing w:before="60" w:after="0" w:line="260" w:lineRule="exact"/>
    </w:pPr>
    <w:rPr>
      <w:rFonts w:ascii="Calibri" w:eastAsia="Calibri" w:hAnsi="Calibri" w:cs="Times New Roman"/>
      <w:sz w:val="22"/>
    </w:rPr>
  </w:style>
  <w:style w:type="paragraph" w:customStyle="1" w:styleId="Boxtext1stpara">
    <w:name w:val="Box text 1st para"/>
    <w:basedOn w:val="Normal"/>
    <w:link w:val="Boxtext1stparaChar"/>
    <w:rsid w:val="00F34383"/>
    <w:pPr>
      <w:spacing w:before="120" w:after="0" w:line="260" w:lineRule="exact"/>
    </w:pPr>
    <w:rPr>
      <w:rFonts w:ascii="Calibri" w:eastAsia="Calibri" w:hAnsi="Calibri" w:cs="Times New Roman"/>
      <w:sz w:val="22"/>
      <w:szCs w:val="20"/>
      <w:lang w:eastAsia="en-AU"/>
    </w:rPr>
  </w:style>
  <w:style w:type="paragraph" w:customStyle="1" w:styleId="Boxtext">
    <w:name w:val="Box text"/>
    <w:qFormat/>
    <w:rsid w:val="00F34383"/>
    <w:pPr>
      <w:spacing w:line="240" w:lineRule="exact"/>
    </w:pPr>
    <w:rPr>
      <w:rFonts w:eastAsia="Calibri" w:cs="Times New Roman"/>
    </w:rPr>
  </w:style>
  <w:style w:type="paragraph" w:customStyle="1" w:styleId="Boxtext1listL1">
    <w:name w:val="Box text (1) list L1"/>
    <w:qFormat/>
    <w:rsid w:val="00F34383"/>
    <w:pPr>
      <w:numPr>
        <w:numId w:val="27"/>
      </w:numPr>
      <w:spacing w:before="60" w:line="240" w:lineRule="exact"/>
      <w:ind w:left="357" w:hanging="357"/>
    </w:pPr>
    <w:rPr>
      <w:rFonts w:eastAsia="Calibri" w:cs="Times New Roman"/>
    </w:rPr>
  </w:style>
  <w:style w:type="paragraph" w:customStyle="1" w:styleId="BoxtextalistL10">
    <w:name w:val="Box text (a) list L1"/>
    <w:qFormat/>
    <w:rsid w:val="00F34383"/>
    <w:pPr>
      <w:numPr>
        <w:numId w:val="28"/>
      </w:numPr>
      <w:spacing w:before="60" w:line="240" w:lineRule="auto"/>
      <w:ind w:left="357" w:hanging="357"/>
    </w:pPr>
    <w:rPr>
      <w:rFonts w:eastAsia="Calibri" w:cs="Times New Roman"/>
    </w:rPr>
  </w:style>
  <w:style w:type="paragraph" w:customStyle="1" w:styleId="ReferencesL1">
    <w:name w:val="References L1"/>
    <w:qFormat/>
    <w:rsid w:val="00F34383"/>
    <w:pPr>
      <w:spacing w:line="240" w:lineRule="auto"/>
      <w:ind w:left="567" w:hanging="567"/>
    </w:pPr>
    <w:rPr>
      <w:rFonts w:eastAsia="Calibri" w:cs="Times New Roman"/>
    </w:rPr>
  </w:style>
  <w:style w:type="paragraph" w:customStyle="1" w:styleId="ReferencesL2">
    <w:name w:val="References L2"/>
    <w:qFormat/>
    <w:rsid w:val="00F34383"/>
    <w:pPr>
      <w:spacing w:before="60" w:line="240" w:lineRule="auto"/>
      <w:ind w:left="567" w:hanging="567"/>
    </w:pPr>
    <w:rPr>
      <w:rFonts w:eastAsia="Calibri" w:cs="Times New Roman"/>
    </w:rPr>
  </w:style>
  <w:style w:type="paragraph" w:styleId="TOC3">
    <w:name w:val="toc 3"/>
    <w:basedOn w:val="Normal"/>
    <w:next w:val="Normal"/>
    <w:link w:val="TOC3Char"/>
    <w:autoRedefine/>
    <w:uiPriority w:val="39"/>
    <w:unhideWhenUsed/>
    <w:rsid w:val="00F34383"/>
    <w:pPr>
      <w:spacing w:after="0"/>
      <w:ind w:left="400"/>
    </w:pPr>
    <w:rPr>
      <w:rFonts w:asciiTheme="minorHAnsi" w:hAnsiTheme="minorHAnsi" w:cstheme="minorHAnsi"/>
      <w:i/>
      <w:iCs/>
      <w:szCs w:val="20"/>
    </w:rPr>
  </w:style>
  <w:style w:type="paragraph" w:customStyle="1" w:styleId="TOC1Style">
    <w:name w:val="TOC 1 Style"/>
    <w:basedOn w:val="TOC1"/>
    <w:link w:val="TOC1StyleChar"/>
    <w:qFormat/>
    <w:rsid w:val="00F34383"/>
  </w:style>
  <w:style w:type="paragraph" w:customStyle="1" w:styleId="TOC2style">
    <w:name w:val="TOC 2 style"/>
    <w:basedOn w:val="TOC2"/>
    <w:link w:val="TOC2styleChar"/>
    <w:qFormat/>
    <w:rsid w:val="00F34383"/>
  </w:style>
  <w:style w:type="character" w:customStyle="1" w:styleId="TOC1StyleChar">
    <w:name w:val="TOC 1 Style Char"/>
    <w:basedOn w:val="TOC1Char"/>
    <w:link w:val="TOC1Style"/>
    <w:rsid w:val="00F34383"/>
    <w:rPr>
      <w:rFonts w:asciiTheme="minorHAnsi" w:eastAsia="Times New Roman" w:hAnsiTheme="minorHAnsi" w:cs="Times New Roman"/>
      <w:b/>
      <w:bCs/>
      <w:caps/>
      <w:noProof/>
      <w:color w:val="58595B" w:themeColor="accent2"/>
      <w:sz w:val="20"/>
      <w:szCs w:val="20"/>
    </w:rPr>
  </w:style>
  <w:style w:type="paragraph" w:customStyle="1" w:styleId="TOC3Style">
    <w:name w:val="TOC 3 Style"/>
    <w:basedOn w:val="TOC3"/>
    <w:link w:val="TOC3StyleChar"/>
    <w:qFormat/>
    <w:rsid w:val="00F34383"/>
    <w:pPr>
      <w:tabs>
        <w:tab w:val="right" w:leader="dot" w:pos="9060"/>
      </w:tabs>
    </w:pPr>
    <w:rPr>
      <w:noProof/>
    </w:rPr>
  </w:style>
  <w:style w:type="character" w:customStyle="1" w:styleId="TOC2styleChar">
    <w:name w:val="TOC 2 style Char"/>
    <w:basedOn w:val="TOC2Char"/>
    <w:link w:val="TOC2style"/>
    <w:rsid w:val="00F34383"/>
    <w:rPr>
      <w:rFonts w:asciiTheme="minorHAnsi" w:hAnsiTheme="minorHAnsi" w:cstheme="minorHAnsi"/>
      <w:smallCaps/>
      <w:noProof/>
      <w:color w:val="58595B" w:themeColor="accent2"/>
      <w:sz w:val="20"/>
      <w:szCs w:val="20"/>
    </w:rPr>
  </w:style>
  <w:style w:type="paragraph" w:customStyle="1" w:styleId="Footnotestyle">
    <w:name w:val="Footnote style"/>
    <w:basedOn w:val="FootnoteText"/>
    <w:link w:val="FootnotestyleChar"/>
    <w:qFormat/>
    <w:rsid w:val="00697C54"/>
    <w:pPr>
      <w:tabs>
        <w:tab w:val="left" w:pos="0"/>
      </w:tabs>
      <w:spacing w:line="220" w:lineRule="exact"/>
      <w:ind w:left="113" w:hanging="113"/>
    </w:pPr>
    <w:rPr>
      <w:rFonts w:eastAsia="Calibri" w:cs="Times New Roman"/>
      <w:color w:val="414042" w:themeColor="text1"/>
      <w:sz w:val="16"/>
    </w:rPr>
  </w:style>
  <w:style w:type="character" w:customStyle="1" w:styleId="TOC3Char">
    <w:name w:val="TOC 3 Char"/>
    <w:basedOn w:val="DefaultParagraphFont"/>
    <w:link w:val="TOC3"/>
    <w:uiPriority w:val="39"/>
    <w:rsid w:val="00F34383"/>
    <w:rPr>
      <w:rFonts w:asciiTheme="minorHAnsi" w:hAnsiTheme="minorHAnsi" w:cstheme="minorHAnsi"/>
      <w:i/>
      <w:iCs/>
      <w:color w:val="58595B" w:themeColor="accent2"/>
      <w:sz w:val="20"/>
      <w:szCs w:val="20"/>
    </w:rPr>
  </w:style>
  <w:style w:type="character" w:customStyle="1" w:styleId="TOC3StyleChar">
    <w:name w:val="TOC 3 Style Char"/>
    <w:basedOn w:val="TOC3Char"/>
    <w:link w:val="TOC3Style"/>
    <w:rsid w:val="00F34383"/>
    <w:rPr>
      <w:rFonts w:asciiTheme="minorHAnsi" w:hAnsiTheme="minorHAnsi" w:cstheme="minorHAnsi"/>
      <w:i/>
      <w:iCs/>
      <w:noProof/>
      <w:color w:val="58595B" w:themeColor="accent2"/>
      <w:sz w:val="20"/>
      <w:szCs w:val="20"/>
    </w:rPr>
  </w:style>
  <w:style w:type="paragraph" w:customStyle="1" w:styleId="Normaltext">
    <w:name w:val="Normal text"/>
    <w:basedOn w:val="Normal"/>
    <w:link w:val="NormaltextChar"/>
    <w:qFormat/>
    <w:rsid w:val="00F34383"/>
    <w:pPr>
      <w:spacing w:before="180" w:after="0" w:line="260" w:lineRule="exact"/>
    </w:pPr>
    <w:rPr>
      <w:rFonts w:ascii="Calibri" w:hAnsi="Calibri"/>
      <w:sz w:val="22"/>
    </w:rPr>
  </w:style>
  <w:style w:type="character" w:customStyle="1" w:styleId="FootnotestyleChar">
    <w:name w:val="Footnote style Char"/>
    <w:basedOn w:val="FootnoteTextChar"/>
    <w:link w:val="Footnotestyle"/>
    <w:rsid w:val="00697C54"/>
    <w:rPr>
      <w:rFonts w:ascii="Calibri Light" w:eastAsia="Calibri" w:hAnsi="Calibri Light" w:cs="Times New Roman"/>
      <w:color w:val="414042" w:themeColor="text1"/>
      <w:sz w:val="16"/>
      <w:szCs w:val="20"/>
    </w:rPr>
  </w:style>
  <w:style w:type="character" w:customStyle="1" w:styleId="NormaltextChar">
    <w:name w:val="Normal text Char"/>
    <w:basedOn w:val="DefaultParagraphFont"/>
    <w:link w:val="Normaltext"/>
    <w:rsid w:val="00F34383"/>
  </w:style>
  <w:style w:type="paragraph" w:customStyle="1" w:styleId="NormalBulletlistL1">
    <w:name w:val="Normal Bullet list L1"/>
    <w:basedOn w:val="NormalbulletlistL10"/>
    <w:link w:val="NormalBulletlistL1Char0"/>
    <w:qFormat/>
    <w:rsid w:val="00F34383"/>
    <w:pPr>
      <w:numPr>
        <w:numId w:val="29"/>
      </w:numPr>
      <w:ind w:left="357" w:hanging="357"/>
    </w:pPr>
  </w:style>
  <w:style w:type="character" w:customStyle="1" w:styleId="Normal1stparaChar">
    <w:name w:val="Normal 1st para Char"/>
    <w:basedOn w:val="DefaultParagraphFont"/>
    <w:link w:val="Normal1stpara"/>
    <w:rsid w:val="00F34383"/>
    <w:rPr>
      <w:rFonts w:eastAsia="Calibri" w:cs="Times New Roman"/>
    </w:rPr>
  </w:style>
  <w:style w:type="paragraph" w:customStyle="1" w:styleId="Style1">
    <w:name w:val="Style1"/>
    <w:basedOn w:val="NormalbulletlistL2"/>
    <w:link w:val="Style1Char"/>
    <w:rsid w:val="00F34383"/>
    <w:pPr>
      <w:ind w:left="714"/>
    </w:pPr>
  </w:style>
  <w:style w:type="character" w:customStyle="1" w:styleId="NormalbulletlistL1Char">
    <w:name w:val="Normal bullet list L1 Char"/>
    <w:basedOn w:val="DefaultParagraphFont"/>
    <w:link w:val="NormalbulletlistL10"/>
    <w:rsid w:val="00F34383"/>
    <w:rPr>
      <w:rFonts w:eastAsia="Calibri" w:cs="Times New Roman"/>
      <w:sz w:val="20"/>
    </w:rPr>
  </w:style>
  <w:style w:type="character" w:customStyle="1" w:styleId="NormalBulletlistL1Char0">
    <w:name w:val="Normal Bullet list L1 Char"/>
    <w:basedOn w:val="NormalbulletlistL1Char"/>
    <w:link w:val="NormalBulletlistL1"/>
    <w:rsid w:val="00F34383"/>
    <w:rPr>
      <w:rFonts w:eastAsia="Calibri" w:cs="Times New Roman"/>
      <w:sz w:val="20"/>
    </w:rPr>
  </w:style>
  <w:style w:type="table" w:styleId="GridTable4-Accent5">
    <w:name w:val="Grid Table 4 Accent 5"/>
    <w:basedOn w:val="TableNormal"/>
    <w:uiPriority w:val="49"/>
    <w:rsid w:val="00F34383"/>
    <w:pPr>
      <w:spacing w:before="0" w:line="240" w:lineRule="auto"/>
    </w:pPr>
    <w:rPr>
      <w:rFonts w:asciiTheme="minorHAnsi" w:hAnsiTheme="minorHAnsi"/>
    </w:rPr>
    <w:tblPr>
      <w:tblStyleRowBandSize w:val="1"/>
      <w:tblStyleColBandSize w:val="1"/>
      <w:tblBorders>
        <w:top w:val="single" w:sz="8" w:space="0" w:color="BCBEC0" w:themeColor="accent5"/>
        <w:left w:val="single" w:sz="8" w:space="0" w:color="BCBEC0" w:themeColor="accent5"/>
        <w:bottom w:val="single" w:sz="8" w:space="0" w:color="BCBEC0" w:themeColor="accent5"/>
        <w:right w:val="single" w:sz="8" w:space="0" w:color="BCBEC0" w:themeColor="accent5"/>
        <w:insideH w:val="single" w:sz="8" w:space="0" w:color="BCBEC0" w:themeColor="accent5"/>
        <w:insideV w:val="single" w:sz="8" w:space="0" w:color="BCBEC0" w:themeColor="accent5"/>
      </w:tblBorders>
    </w:tblPr>
    <w:tblStylePr w:type="firstRow">
      <w:rPr>
        <w:b/>
        <w:bCs/>
        <w:color w:val="FFFFFF" w:themeColor="background1"/>
      </w:rPr>
      <w:tblPr/>
      <w:tcPr>
        <w:tcBorders>
          <w:top w:val="single" w:sz="4" w:space="0" w:color="BCBEC0" w:themeColor="accent5"/>
          <w:left w:val="single" w:sz="4" w:space="0" w:color="BCBEC0" w:themeColor="accent5"/>
          <w:bottom w:val="single" w:sz="4" w:space="0" w:color="BCBEC0" w:themeColor="accent5"/>
          <w:right w:val="single" w:sz="4" w:space="0" w:color="BCBEC0" w:themeColor="accent5"/>
          <w:insideH w:val="nil"/>
          <w:insideV w:val="nil"/>
        </w:tcBorders>
        <w:shd w:val="clear" w:color="auto" w:fill="BCBEC0" w:themeFill="accent5"/>
      </w:tcPr>
    </w:tblStylePr>
    <w:tblStylePr w:type="lastRow">
      <w:rPr>
        <w:b/>
        <w:bCs/>
      </w:rPr>
      <w:tblPr/>
      <w:tcPr>
        <w:tcBorders>
          <w:top w:val="double" w:sz="4" w:space="0" w:color="BCBEC0" w:themeColor="accent5"/>
        </w:tcBorders>
      </w:tcPr>
    </w:tblStylePr>
    <w:tblStylePr w:type="firstCol">
      <w:rPr>
        <w:b/>
        <w:bCs/>
      </w:rPr>
    </w:tblStylePr>
    <w:tblStylePr w:type="lastCol">
      <w:rPr>
        <w:b/>
        <w:bCs/>
      </w:rPr>
    </w:tblStylePr>
    <w:tblStylePr w:type="band1Vert">
      <w:tblPr/>
      <w:tcPr>
        <w:shd w:val="clear" w:color="auto" w:fill="F1F1F2" w:themeFill="accent5" w:themeFillTint="33"/>
      </w:tcPr>
    </w:tblStylePr>
    <w:tblStylePr w:type="band1Horz">
      <w:tblPr/>
      <w:tcPr>
        <w:shd w:val="clear" w:color="auto" w:fill="F1F1F2" w:themeFill="accent5" w:themeFillTint="33"/>
      </w:tcPr>
    </w:tblStylePr>
  </w:style>
  <w:style w:type="character" w:customStyle="1" w:styleId="NormalbulletlistL2Char">
    <w:name w:val="Normal bullet list L2 Char"/>
    <w:basedOn w:val="NormalbulletlistL1Char"/>
    <w:link w:val="NormalbulletlistL2"/>
    <w:rsid w:val="00F34383"/>
    <w:rPr>
      <w:rFonts w:eastAsia="Calibri" w:cs="Times New Roman"/>
      <w:sz w:val="20"/>
    </w:rPr>
  </w:style>
  <w:style w:type="character" w:customStyle="1" w:styleId="Style1Char">
    <w:name w:val="Style1 Char"/>
    <w:basedOn w:val="NormalbulletlistL2Char"/>
    <w:link w:val="Style1"/>
    <w:rsid w:val="00F34383"/>
    <w:rPr>
      <w:rFonts w:eastAsia="Calibri" w:cs="Times New Roman"/>
      <w:sz w:val="20"/>
    </w:rPr>
  </w:style>
  <w:style w:type="table" w:styleId="ListTable4-Accent6">
    <w:name w:val="List Table 4 Accent 6"/>
    <w:basedOn w:val="TableNormal"/>
    <w:uiPriority w:val="49"/>
    <w:rsid w:val="00F34383"/>
    <w:pPr>
      <w:spacing w:before="0" w:line="240" w:lineRule="auto"/>
    </w:pPr>
    <w:rPr>
      <w:rFonts w:asciiTheme="minorHAnsi" w:hAnsiTheme="minorHAnsi"/>
    </w:rPr>
    <w:tblPr>
      <w:tblStyleRowBandSize w:val="1"/>
      <w:tblStyleColBandSize w:val="1"/>
      <w:tblBorders>
        <w:top w:val="single" w:sz="4" w:space="0" w:color="EFF0F1" w:themeColor="accent6" w:themeTint="99"/>
        <w:left w:val="single" w:sz="4" w:space="0" w:color="EFF0F1" w:themeColor="accent6" w:themeTint="99"/>
        <w:bottom w:val="single" w:sz="4" w:space="0" w:color="EFF0F1" w:themeColor="accent6" w:themeTint="99"/>
        <w:right w:val="single" w:sz="4" w:space="0" w:color="EFF0F1" w:themeColor="accent6" w:themeTint="99"/>
        <w:insideH w:val="single" w:sz="4" w:space="0" w:color="EFF0F1" w:themeColor="accent6" w:themeTint="99"/>
      </w:tblBorders>
    </w:tblPr>
    <w:tblStylePr w:type="firstRow">
      <w:rPr>
        <w:b/>
        <w:bCs/>
        <w:color w:val="FFFFFF" w:themeColor="background1"/>
      </w:rPr>
      <w:tblPr/>
      <w:tcPr>
        <w:shd w:val="clear" w:color="auto" w:fill="6D6E71" w:themeFill="accent3"/>
      </w:tcPr>
    </w:tblStylePr>
    <w:tblStylePr w:type="lastRow">
      <w:rPr>
        <w:b/>
        <w:bCs/>
      </w:rPr>
      <w:tblPr/>
      <w:tcPr>
        <w:tcBorders>
          <w:top w:val="double" w:sz="4" w:space="0" w:color="EFF0F1" w:themeColor="accent6" w:themeTint="99"/>
        </w:tcBorders>
      </w:tcPr>
    </w:tblStylePr>
    <w:tblStylePr w:type="firstCol">
      <w:rPr>
        <w:b/>
        <w:bCs/>
      </w:rPr>
    </w:tblStylePr>
    <w:tblStylePr w:type="lastCol">
      <w:rPr>
        <w:b/>
        <w:bCs/>
      </w:rPr>
    </w:tblStylePr>
    <w:tblStylePr w:type="band1Vert">
      <w:tblPr/>
      <w:tcPr>
        <w:shd w:val="clear" w:color="auto" w:fill="F9FAFA" w:themeFill="accent6" w:themeFillTint="33"/>
      </w:tcPr>
    </w:tblStylePr>
    <w:tblStylePr w:type="band1Horz">
      <w:tblPr/>
      <w:tcPr>
        <w:shd w:val="clear" w:color="auto" w:fill="F9FAFA" w:themeFill="accent6" w:themeFillTint="33"/>
      </w:tcPr>
    </w:tblStylePr>
  </w:style>
  <w:style w:type="table" w:styleId="GridTable1Light-Accent3">
    <w:name w:val="Grid Table 1 Light Accent 3"/>
    <w:basedOn w:val="TableNormal"/>
    <w:uiPriority w:val="46"/>
    <w:rsid w:val="00F34383"/>
    <w:pPr>
      <w:spacing w:before="0" w:line="240" w:lineRule="auto"/>
    </w:pPr>
    <w:rPr>
      <w:rFonts w:asciiTheme="minorHAnsi" w:hAnsiTheme="minorHAnsi"/>
    </w:rPr>
    <w:tblPr>
      <w:tblStyleRowBandSize w:val="1"/>
      <w:tblStyleColBandSize w:val="1"/>
      <w:tblBorders>
        <w:top w:val="single" w:sz="8" w:space="0" w:color="6D6E71" w:themeColor="accent3"/>
        <w:left w:val="single" w:sz="8" w:space="0" w:color="6D6E71" w:themeColor="accent3"/>
        <w:bottom w:val="single" w:sz="8" w:space="0" w:color="6D6E71" w:themeColor="accent3"/>
        <w:right w:val="single" w:sz="8" w:space="0" w:color="6D6E71" w:themeColor="accent3"/>
        <w:insideH w:val="single" w:sz="8" w:space="0" w:color="6D6E71" w:themeColor="accent3"/>
        <w:insideV w:val="single" w:sz="8" w:space="0" w:color="6D6E71" w:themeColor="accent3"/>
      </w:tblBorders>
    </w:tblPr>
    <w:tblStylePr w:type="firstRow">
      <w:rPr>
        <w:b/>
        <w:bCs/>
      </w:rPr>
      <w:tblPr/>
      <w:tcPr>
        <w:tcBorders>
          <w:bottom w:val="single" w:sz="12" w:space="0" w:color="A6A7AA" w:themeColor="accent3" w:themeTint="99"/>
        </w:tcBorders>
      </w:tcPr>
    </w:tblStylePr>
    <w:tblStylePr w:type="lastRow">
      <w:rPr>
        <w:b/>
        <w:bCs/>
      </w:rPr>
      <w:tblPr/>
      <w:tcPr>
        <w:tcBorders>
          <w:top w:val="double" w:sz="2" w:space="0" w:color="A6A7AA" w:themeColor="accent3" w:themeTint="99"/>
        </w:tcBorders>
      </w:tcPr>
    </w:tblStylePr>
    <w:tblStylePr w:type="firstCol">
      <w:rPr>
        <w:b/>
        <w:bCs/>
      </w:rPr>
    </w:tblStylePr>
    <w:tblStylePr w:type="lastCol">
      <w:rPr>
        <w:b/>
        <w:bCs/>
      </w:rPr>
    </w:tblStylePr>
  </w:style>
  <w:style w:type="table" w:customStyle="1" w:styleId="Keylinebox">
    <w:name w:val="Keyline box"/>
    <w:basedOn w:val="TableNormal"/>
    <w:uiPriority w:val="99"/>
    <w:rsid w:val="00F34383"/>
    <w:pPr>
      <w:spacing w:before="0" w:line="240" w:lineRule="auto"/>
    </w:pPr>
    <w:rPr>
      <w:rFonts w:asciiTheme="minorHAnsi" w:hAnsiTheme="minorHAnsi"/>
    </w:rPr>
    <w:tblPr>
      <w:tblStyleRowBandSize w:val="1"/>
      <w:tblBorders>
        <w:top w:val="single" w:sz="12" w:space="0" w:color="6D6E71" w:themeColor="accent3"/>
        <w:left w:val="single" w:sz="12" w:space="0" w:color="6D6E71" w:themeColor="accent3"/>
        <w:bottom w:val="single" w:sz="12" w:space="0" w:color="6D6E71" w:themeColor="accent3"/>
        <w:right w:val="single" w:sz="12" w:space="0" w:color="6D6E71" w:themeColor="accent3"/>
      </w:tblBorders>
      <w:tblCellMar>
        <w:top w:w="142" w:type="dxa"/>
        <w:left w:w="142" w:type="dxa"/>
        <w:bottom w:w="142" w:type="dxa"/>
        <w:right w:w="142" w:type="dxa"/>
      </w:tblCellMar>
    </w:tblPr>
    <w:tcPr>
      <w:shd w:val="clear" w:color="auto" w:fill="auto"/>
    </w:tcPr>
    <w:tblStylePr w:type="band1Horz">
      <w:rPr>
        <w:rFonts w:ascii="Calibri" w:hAnsi="Calibri"/>
        <w:sz w:val="22"/>
      </w:rPr>
    </w:tblStylePr>
    <w:tblStylePr w:type="band2Horz">
      <w:rPr>
        <w:rFonts w:ascii="Calibri" w:hAnsi="Calibri"/>
        <w:sz w:val="22"/>
      </w:rPr>
    </w:tblStylePr>
  </w:style>
  <w:style w:type="paragraph" w:customStyle="1" w:styleId="Boxtext1">
    <w:name w:val="Box text 1"/>
    <w:basedOn w:val="Boxtext1stpara"/>
    <w:link w:val="Boxtext1Char"/>
    <w:rsid w:val="00F34383"/>
    <w:pPr>
      <w:spacing w:before="60"/>
    </w:pPr>
  </w:style>
  <w:style w:type="character" w:customStyle="1" w:styleId="Boxtext1stparaChar">
    <w:name w:val="Box text 1st para Char"/>
    <w:basedOn w:val="DefaultParagraphFont"/>
    <w:link w:val="Boxtext1stpara"/>
    <w:rsid w:val="00F34383"/>
    <w:rPr>
      <w:rFonts w:eastAsia="Calibri" w:cs="Times New Roman"/>
      <w:szCs w:val="20"/>
      <w:lang w:eastAsia="en-AU"/>
    </w:rPr>
  </w:style>
  <w:style w:type="character" w:customStyle="1" w:styleId="Boxtext1Char">
    <w:name w:val="Box text 1 Char"/>
    <w:basedOn w:val="Boxtext1stparaChar"/>
    <w:link w:val="Boxtext1"/>
    <w:rsid w:val="00F34383"/>
    <w:rPr>
      <w:rFonts w:eastAsia="Calibri" w:cs="Times New Roman"/>
      <w:szCs w:val="20"/>
      <w:lang w:eastAsia="en-AU"/>
    </w:rPr>
  </w:style>
  <w:style w:type="paragraph" w:customStyle="1" w:styleId="NormallistofNotes">
    <w:name w:val="Normal list of Notes"/>
    <w:basedOn w:val="Normal"/>
    <w:qFormat/>
    <w:rsid w:val="00F34383"/>
    <w:pPr>
      <w:spacing w:before="120" w:after="0" w:line="250" w:lineRule="exact"/>
      <w:ind w:left="1134" w:hanging="1134"/>
    </w:pPr>
    <w:rPr>
      <w:rFonts w:asciiTheme="minorHAnsi" w:eastAsia="Times New Roman" w:hAnsiTheme="minorHAnsi" w:cs="Times New Roman"/>
      <w:szCs w:val="20"/>
    </w:rPr>
  </w:style>
  <w:style w:type="paragraph" w:customStyle="1" w:styleId="Normal115pttext">
    <w:name w:val="Normal 11.5 pt text"/>
    <w:basedOn w:val="Normal"/>
    <w:qFormat/>
    <w:rsid w:val="00F34383"/>
    <w:pPr>
      <w:spacing w:before="120" w:after="0" w:line="280" w:lineRule="exact"/>
      <w:outlineLvl w:val="0"/>
    </w:pPr>
    <w:rPr>
      <w:rFonts w:asciiTheme="minorHAnsi" w:eastAsia="Times New Roman" w:hAnsiTheme="minorHAnsi" w:cs="Arial"/>
      <w:b/>
      <w:sz w:val="23"/>
      <w:szCs w:val="20"/>
    </w:rPr>
  </w:style>
  <w:style w:type="paragraph" w:customStyle="1" w:styleId="Normalhanginglist105pt">
    <w:name w:val="Normal hanging list 10.5 pt"/>
    <w:basedOn w:val="Normal"/>
    <w:qFormat/>
    <w:rsid w:val="00F34383"/>
    <w:pPr>
      <w:spacing w:before="120" w:after="0" w:line="260" w:lineRule="exact"/>
      <w:ind w:left="454" w:hanging="454"/>
    </w:pPr>
    <w:rPr>
      <w:rFonts w:asciiTheme="minorHAnsi" w:eastAsia="Times New Roman" w:hAnsiTheme="minorHAnsi" w:cs="Arial"/>
      <w:b/>
      <w:bCs/>
      <w:sz w:val="21"/>
      <w:szCs w:val="18"/>
      <w:lang w:eastAsia="en-AU"/>
    </w:rPr>
  </w:style>
  <w:style w:type="paragraph" w:customStyle="1" w:styleId="Normalindent1stpara">
    <w:name w:val="Normal indent 1st para"/>
    <w:basedOn w:val="Normal"/>
    <w:qFormat/>
    <w:rsid w:val="00F34383"/>
    <w:pPr>
      <w:spacing w:before="40" w:after="0" w:line="250" w:lineRule="exact"/>
      <w:ind w:left="454"/>
    </w:pPr>
    <w:rPr>
      <w:rFonts w:asciiTheme="minorHAnsi" w:eastAsia="Times New Roman" w:hAnsiTheme="minorHAnsi" w:cs="Arial"/>
      <w:szCs w:val="18"/>
    </w:rPr>
  </w:style>
  <w:style w:type="paragraph" w:customStyle="1" w:styleId="NormalIndent1">
    <w:name w:val="Normal Indent1"/>
    <w:basedOn w:val="Normalindent1stpara"/>
    <w:qFormat/>
    <w:rsid w:val="00F34383"/>
    <w:pPr>
      <w:spacing w:before="120"/>
    </w:pPr>
    <w:rPr>
      <w:lang w:eastAsia="en-AU"/>
    </w:rPr>
  </w:style>
  <w:style w:type="paragraph" w:customStyle="1" w:styleId="NormalindentbulletsL1">
    <w:name w:val="Normal indent bullets L1"/>
    <w:basedOn w:val="ListParagraph"/>
    <w:qFormat/>
    <w:rsid w:val="00F34383"/>
    <w:pPr>
      <w:numPr>
        <w:numId w:val="30"/>
      </w:numPr>
      <w:spacing w:before="60" w:after="0" w:line="250" w:lineRule="exact"/>
      <w:contextualSpacing w:val="0"/>
    </w:pPr>
    <w:rPr>
      <w:rFonts w:asciiTheme="minorHAnsi" w:eastAsia="Times New Roman" w:hAnsiTheme="minorHAnsi" w:cs="Arial"/>
      <w:szCs w:val="18"/>
      <w:lang w:eastAsia="en-AU"/>
    </w:rPr>
  </w:style>
  <w:style w:type="paragraph" w:customStyle="1" w:styleId="Normal105pttext">
    <w:name w:val="Normal 10.5 pt text"/>
    <w:basedOn w:val="Normal"/>
    <w:qFormat/>
    <w:rsid w:val="00F34383"/>
    <w:pPr>
      <w:spacing w:before="120" w:after="0" w:line="260" w:lineRule="exact"/>
    </w:pPr>
    <w:rPr>
      <w:rFonts w:asciiTheme="minorHAnsi" w:eastAsia="Times New Roman" w:hAnsiTheme="minorHAnsi" w:cs="Times New Roman"/>
      <w:sz w:val="21"/>
      <w:szCs w:val="20"/>
    </w:rPr>
  </w:style>
  <w:style w:type="paragraph" w:customStyle="1" w:styleId="Policyheading">
    <w:name w:val="Policy heading"/>
    <w:basedOn w:val="Normal"/>
    <w:qFormat/>
    <w:rsid w:val="00F34383"/>
    <w:pPr>
      <w:spacing w:after="0" w:line="250" w:lineRule="exact"/>
    </w:pPr>
    <w:rPr>
      <w:rFonts w:asciiTheme="minorHAnsi" w:eastAsia="Times New Roman" w:hAnsiTheme="minorHAnsi" w:cs="Arial"/>
      <w:b/>
      <w:bCs/>
      <w:sz w:val="21"/>
      <w:szCs w:val="20"/>
    </w:rPr>
  </w:style>
  <w:style w:type="paragraph" w:customStyle="1" w:styleId="Policy1stpara">
    <w:name w:val="Policy 1st para"/>
    <w:basedOn w:val="Normal"/>
    <w:qFormat/>
    <w:rsid w:val="00F34383"/>
    <w:pPr>
      <w:spacing w:before="120" w:after="0" w:line="250" w:lineRule="exact"/>
    </w:pPr>
    <w:rPr>
      <w:rFonts w:asciiTheme="minorHAnsi" w:eastAsia="Times New Roman" w:hAnsiTheme="minorHAnsi" w:cs="Times New Roman"/>
      <w:szCs w:val="20"/>
    </w:rPr>
  </w:style>
  <w:style w:type="paragraph" w:customStyle="1" w:styleId="Normaltabletextleft">
    <w:name w:val="Normal table text left"/>
    <w:basedOn w:val="Normal"/>
    <w:qFormat/>
    <w:rsid w:val="00F34383"/>
    <w:pPr>
      <w:spacing w:after="0" w:line="250" w:lineRule="exact"/>
    </w:pPr>
    <w:rPr>
      <w:rFonts w:asciiTheme="minorHAnsi" w:eastAsia="Times New Roman" w:hAnsiTheme="minorHAnsi" w:cs="Arial"/>
      <w:bCs/>
      <w:szCs w:val="18"/>
    </w:rPr>
  </w:style>
  <w:style w:type="paragraph" w:customStyle="1" w:styleId="Normaltabletextcentred">
    <w:name w:val="Normal table text centred"/>
    <w:basedOn w:val="Normal"/>
    <w:qFormat/>
    <w:rsid w:val="00F34383"/>
    <w:pPr>
      <w:spacing w:after="0" w:line="250" w:lineRule="exact"/>
      <w:jc w:val="center"/>
    </w:pPr>
    <w:rPr>
      <w:rFonts w:asciiTheme="minorHAnsi" w:eastAsia="Times New Roman" w:hAnsiTheme="minorHAnsi" w:cs="Arial"/>
      <w:bCs/>
      <w:szCs w:val="18"/>
    </w:rPr>
  </w:style>
  <w:style w:type="paragraph" w:customStyle="1" w:styleId="Normaltabletext1stpararight">
    <w:name w:val="Normal table text 1st para right"/>
    <w:basedOn w:val="Normal"/>
    <w:qFormat/>
    <w:rsid w:val="00F34383"/>
    <w:pPr>
      <w:spacing w:after="0" w:line="250" w:lineRule="exact"/>
      <w:jc w:val="right"/>
    </w:pPr>
    <w:rPr>
      <w:rFonts w:asciiTheme="minorHAnsi" w:eastAsia="Times New Roman" w:hAnsiTheme="minorHAnsi" w:cs="Arial"/>
      <w:bCs/>
      <w:szCs w:val="18"/>
    </w:rPr>
  </w:style>
  <w:style w:type="paragraph" w:customStyle="1" w:styleId="Noteswithhangingindent">
    <w:name w:val="Notes with hanging indent"/>
    <w:basedOn w:val="Notes"/>
    <w:qFormat/>
    <w:rsid w:val="00F34383"/>
    <w:pPr>
      <w:suppressAutoHyphens w:val="0"/>
      <w:autoSpaceDE/>
      <w:autoSpaceDN/>
      <w:adjustRightInd/>
      <w:spacing w:before="60" w:line="230" w:lineRule="exact"/>
      <w:ind w:left="284" w:hanging="284"/>
      <w:textAlignment w:val="auto"/>
    </w:pPr>
    <w:rPr>
      <w:rFonts w:asciiTheme="minorHAnsi" w:eastAsia="Times New Roman" w:hAnsiTheme="minorHAnsi" w:cs="Arial"/>
      <w:spacing w:val="0"/>
      <w:sz w:val="17"/>
      <w:lang w:val="en-AU" w:eastAsia="en-AU"/>
    </w:rPr>
  </w:style>
  <w:style w:type="paragraph" w:customStyle="1" w:styleId="Policyfollowingparas">
    <w:name w:val="Policy following paras"/>
    <w:basedOn w:val="Policy1stpara"/>
    <w:qFormat/>
    <w:rsid w:val="00F34383"/>
    <w:pPr>
      <w:spacing w:before="80"/>
    </w:pPr>
    <w:rPr>
      <w:lang w:eastAsia="en-AU"/>
    </w:rPr>
  </w:style>
  <w:style w:type="paragraph" w:customStyle="1" w:styleId="NormalhangingllistL2">
    <w:name w:val="Normal hangingl list L2"/>
    <w:basedOn w:val="Normal"/>
    <w:qFormat/>
    <w:rsid w:val="00F34383"/>
    <w:pPr>
      <w:spacing w:before="120" w:after="0" w:line="250" w:lineRule="exact"/>
      <w:ind w:left="811" w:hanging="357"/>
    </w:pPr>
    <w:rPr>
      <w:rFonts w:asciiTheme="minorHAnsi" w:eastAsia="Times New Roman" w:hAnsiTheme="minorHAnsi" w:cs="Arial"/>
      <w:b/>
      <w:bCs/>
      <w:i/>
      <w:szCs w:val="18"/>
      <w:lang w:eastAsia="en-AU"/>
    </w:rPr>
  </w:style>
  <w:style w:type="paragraph" w:customStyle="1" w:styleId="NormalindentbulletsL2">
    <w:name w:val="Normal indent bullets L2"/>
    <w:basedOn w:val="Normal"/>
    <w:qFormat/>
    <w:rsid w:val="00F34383"/>
    <w:pPr>
      <w:numPr>
        <w:ilvl w:val="1"/>
        <w:numId w:val="31"/>
      </w:numPr>
      <w:tabs>
        <w:tab w:val="left" w:pos="361"/>
      </w:tabs>
      <w:spacing w:before="30" w:after="0" w:line="250" w:lineRule="exact"/>
    </w:pPr>
    <w:rPr>
      <w:rFonts w:asciiTheme="minorHAnsi" w:eastAsia="Times New Roman" w:hAnsiTheme="minorHAnsi" w:cs="Arial"/>
      <w:szCs w:val="18"/>
      <w:lang w:eastAsia="en-AU"/>
    </w:rPr>
  </w:style>
  <w:style w:type="paragraph" w:customStyle="1" w:styleId="Policyindented">
    <w:name w:val="Policy indented"/>
    <w:basedOn w:val="Policy1stpara"/>
    <w:qFormat/>
    <w:rsid w:val="00F34383"/>
    <w:pPr>
      <w:tabs>
        <w:tab w:val="left" w:pos="4536"/>
      </w:tabs>
      <w:spacing w:before="40"/>
      <w:ind w:left="454"/>
    </w:pPr>
  </w:style>
  <w:style w:type="table" w:styleId="GridTable2">
    <w:name w:val="Grid Table 2"/>
    <w:basedOn w:val="TableNormal"/>
    <w:uiPriority w:val="47"/>
    <w:rsid w:val="00F34383"/>
    <w:pPr>
      <w:spacing w:before="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8C8B8E" w:themeColor="text1" w:themeTint="99"/>
        <w:bottom w:val="single" w:sz="2" w:space="0" w:color="8C8B8E" w:themeColor="text1" w:themeTint="99"/>
        <w:insideH w:val="single" w:sz="2" w:space="0" w:color="8C8B8E" w:themeColor="text1" w:themeTint="99"/>
        <w:insideV w:val="single" w:sz="2" w:space="0" w:color="8C8B8E" w:themeColor="text1" w:themeTint="99"/>
      </w:tblBorders>
    </w:tblPr>
    <w:tblStylePr w:type="firstRow">
      <w:rPr>
        <w:b/>
        <w:bCs/>
      </w:rPr>
      <w:tblPr/>
      <w:tcPr>
        <w:tcBorders>
          <w:top w:val="nil"/>
          <w:bottom w:val="single" w:sz="12" w:space="0" w:color="8C8B8E" w:themeColor="text1" w:themeTint="99"/>
          <w:insideH w:val="nil"/>
          <w:insideV w:val="nil"/>
        </w:tcBorders>
        <w:shd w:val="clear" w:color="auto" w:fill="FFFFFF" w:themeFill="background1"/>
      </w:tcPr>
    </w:tblStylePr>
    <w:tblStylePr w:type="lastRow">
      <w:rPr>
        <w:b/>
        <w:bCs/>
      </w:rPr>
      <w:tblPr/>
      <w:tcPr>
        <w:tcBorders>
          <w:top w:val="double" w:sz="2" w:space="0" w:color="8C8B8E"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paragraph" w:customStyle="1" w:styleId="Normal115pttextnospacebefore">
    <w:name w:val="Normal 11.5 pt text no space before"/>
    <w:basedOn w:val="Normal115pttext"/>
    <w:qFormat/>
    <w:rsid w:val="00F34383"/>
    <w:pPr>
      <w:spacing w:before="0"/>
    </w:pPr>
    <w:rPr>
      <w:lang w:eastAsia="en-AU"/>
    </w:rPr>
  </w:style>
  <w:style w:type="table" w:styleId="Table3Deffects1">
    <w:name w:val="Table 3D effects 1"/>
    <w:basedOn w:val="TableNormal"/>
    <w:rsid w:val="00F34383"/>
    <w:pPr>
      <w:spacing w:before="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Variences">
    <w:name w:val="Variences"/>
    <w:qFormat/>
    <w:rsid w:val="00F34383"/>
    <w:pPr>
      <w:ind w:left="567" w:hanging="567"/>
    </w:pPr>
    <w:rPr>
      <w:rFonts w:asciiTheme="minorHAnsi" w:eastAsia="Times New Roman" w:hAnsiTheme="minorHAnsi" w:cs="Arial"/>
      <w:bCs/>
      <w:sz w:val="20"/>
      <w:szCs w:val="18"/>
      <w:lang w:eastAsia="en-AU"/>
    </w:rPr>
  </w:style>
  <w:style w:type="paragraph" w:styleId="BodyText">
    <w:name w:val="Body Text"/>
    <w:basedOn w:val="Normal"/>
    <w:link w:val="BodyTextChar"/>
    <w:uiPriority w:val="1"/>
    <w:qFormat/>
    <w:rsid w:val="00D2285C"/>
    <w:pPr>
      <w:widowControl w:val="0"/>
      <w:autoSpaceDE w:val="0"/>
      <w:autoSpaceDN w:val="0"/>
      <w:spacing w:after="0"/>
    </w:pPr>
    <w:rPr>
      <w:rFonts w:ascii="Arial" w:eastAsia="Arial" w:hAnsi="Arial" w:cs="Arial"/>
      <w:sz w:val="21"/>
      <w:szCs w:val="21"/>
      <w:lang w:val="en-US"/>
    </w:rPr>
  </w:style>
  <w:style w:type="character" w:customStyle="1" w:styleId="BodyTextChar">
    <w:name w:val="Body Text Char"/>
    <w:basedOn w:val="DefaultParagraphFont"/>
    <w:link w:val="BodyText"/>
    <w:uiPriority w:val="1"/>
    <w:rsid w:val="00D2285C"/>
    <w:rPr>
      <w:rFonts w:ascii="Arial" w:eastAsia="Arial" w:hAnsi="Arial" w:cs="Arial"/>
      <w:sz w:val="21"/>
      <w:szCs w:val="21"/>
      <w:lang w:val="en-US"/>
    </w:rPr>
  </w:style>
  <w:style w:type="paragraph" w:styleId="Title">
    <w:name w:val="Title"/>
    <w:basedOn w:val="Normal"/>
    <w:link w:val="TitleChar"/>
    <w:uiPriority w:val="10"/>
    <w:qFormat/>
    <w:rsid w:val="00D2285C"/>
    <w:pPr>
      <w:widowControl w:val="0"/>
      <w:autoSpaceDE w:val="0"/>
      <w:autoSpaceDN w:val="0"/>
      <w:spacing w:before="98" w:after="0"/>
      <w:ind w:left="155"/>
    </w:pPr>
    <w:rPr>
      <w:rFonts w:ascii="Arial" w:eastAsia="Arial" w:hAnsi="Arial" w:cs="Arial"/>
      <w:b/>
      <w:bCs/>
      <w:sz w:val="22"/>
      <w:lang w:val="en-US"/>
    </w:rPr>
  </w:style>
  <w:style w:type="character" w:customStyle="1" w:styleId="TitleChar">
    <w:name w:val="Title Char"/>
    <w:basedOn w:val="DefaultParagraphFont"/>
    <w:link w:val="Title"/>
    <w:uiPriority w:val="10"/>
    <w:rsid w:val="00D2285C"/>
    <w:rPr>
      <w:rFonts w:ascii="Arial" w:eastAsia="Arial" w:hAnsi="Arial" w:cs="Arial"/>
      <w:b/>
      <w:bCs/>
      <w:lang w:val="en-US"/>
    </w:rPr>
  </w:style>
  <w:style w:type="paragraph" w:styleId="Bibliography">
    <w:name w:val="Bibliography"/>
    <w:basedOn w:val="Normal"/>
    <w:next w:val="Normal"/>
    <w:uiPriority w:val="37"/>
    <w:semiHidden/>
    <w:unhideWhenUsed/>
    <w:rsid w:val="00CA7F44"/>
  </w:style>
  <w:style w:type="paragraph" w:styleId="BlockText">
    <w:name w:val="Block Text"/>
    <w:basedOn w:val="Normal"/>
    <w:uiPriority w:val="99"/>
    <w:semiHidden/>
    <w:unhideWhenUsed/>
    <w:rsid w:val="00CA7F44"/>
    <w:pPr>
      <w:pBdr>
        <w:top w:val="single" w:sz="2" w:space="10" w:color="000000" w:themeColor="accent1"/>
        <w:left w:val="single" w:sz="2" w:space="10" w:color="000000" w:themeColor="accent1"/>
        <w:bottom w:val="single" w:sz="2" w:space="10" w:color="000000" w:themeColor="accent1"/>
        <w:right w:val="single" w:sz="2" w:space="10" w:color="000000" w:themeColor="accent1"/>
      </w:pBdr>
      <w:ind w:left="1152" w:right="1152"/>
    </w:pPr>
    <w:rPr>
      <w:rFonts w:asciiTheme="minorHAnsi" w:eastAsiaTheme="minorEastAsia" w:hAnsiTheme="minorHAnsi"/>
      <w:i/>
      <w:iCs/>
      <w:color w:val="000000" w:themeColor="accent1"/>
    </w:rPr>
  </w:style>
  <w:style w:type="paragraph" w:styleId="BodyText2">
    <w:name w:val="Body Text 2"/>
    <w:basedOn w:val="Normal"/>
    <w:link w:val="BodyText2Char"/>
    <w:uiPriority w:val="99"/>
    <w:semiHidden/>
    <w:unhideWhenUsed/>
    <w:rsid w:val="00CA7F44"/>
    <w:pPr>
      <w:spacing w:after="120" w:line="480" w:lineRule="auto"/>
    </w:pPr>
  </w:style>
  <w:style w:type="character" w:customStyle="1" w:styleId="BodyText2Char">
    <w:name w:val="Body Text 2 Char"/>
    <w:basedOn w:val="DefaultParagraphFont"/>
    <w:link w:val="BodyText2"/>
    <w:uiPriority w:val="99"/>
    <w:semiHidden/>
    <w:rsid w:val="00CA7F44"/>
    <w:rPr>
      <w:rFonts w:ascii="Calibri Light" w:hAnsi="Calibri Light"/>
      <w:color w:val="58595B" w:themeColor="accent2"/>
      <w:sz w:val="20"/>
    </w:rPr>
  </w:style>
  <w:style w:type="paragraph" w:styleId="BodyText3">
    <w:name w:val="Body Text 3"/>
    <w:basedOn w:val="Normal"/>
    <w:link w:val="BodyText3Char"/>
    <w:uiPriority w:val="99"/>
    <w:semiHidden/>
    <w:unhideWhenUsed/>
    <w:rsid w:val="00CA7F44"/>
    <w:pPr>
      <w:spacing w:after="120"/>
    </w:pPr>
    <w:rPr>
      <w:sz w:val="16"/>
      <w:szCs w:val="16"/>
    </w:rPr>
  </w:style>
  <w:style w:type="character" w:customStyle="1" w:styleId="BodyText3Char">
    <w:name w:val="Body Text 3 Char"/>
    <w:basedOn w:val="DefaultParagraphFont"/>
    <w:link w:val="BodyText3"/>
    <w:uiPriority w:val="99"/>
    <w:semiHidden/>
    <w:rsid w:val="00CA7F44"/>
    <w:rPr>
      <w:rFonts w:ascii="Calibri Light" w:hAnsi="Calibri Light"/>
      <w:color w:val="58595B" w:themeColor="accent2"/>
      <w:sz w:val="16"/>
      <w:szCs w:val="16"/>
    </w:rPr>
  </w:style>
  <w:style w:type="paragraph" w:styleId="BodyTextFirstIndent">
    <w:name w:val="Body Text First Indent"/>
    <w:basedOn w:val="BodyText"/>
    <w:link w:val="BodyTextFirstIndentChar"/>
    <w:uiPriority w:val="99"/>
    <w:semiHidden/>
    <w:unhideWhenUsed/>
    <w:rsid w:val="00CA7F44"/>
    <w:pPr>
      <w:widowControl/>
      <w:autoSpaceDE/>
      <w:autoSpaceDN/>
      <w:spacing w:after="160"/>
      <w:ind w:firstLine="360"/>
    </w:pPr>
    <w:rPr>
      <w:rFonts w:ascii="Calibri Light" w:eastAsiaTheme="minorHAnsi" w:hAnsi="Calibri Light" w:cstheme="minorBidi"/>
      <w:color w:val="58595B" w:themeColor="accent2"/>
      <w:sz w:val="20"/>
      <w:szCs w:val="22"/>
      <w:lang w:val="en-AU"/>
    </w:rPr>
  </w:style>
  <w:style w:type="character" w:customStyle="1" w:styleId="BodyTextFirstIndentChar">
    <w:name w:val="Body Text First Indent Char"/>
    <w:basedOn w:val="BodyTextChar"/>
    <w:link w:val="BodyTextFirstIndent"/>
    <w:uiPriority w:val="99"/>
    <w:semiHidden/>
    <w:rsid w:val="00CA7F44"/>
    <w:rPr>
      <w:rFonts w:ascii="Calibri Light" w:eastAsia="Arial" w:hAnsi="Calibri Light" w:cs="Arial"/>
      <w:color w:val="58595B" w:themeColor="accent2"/>
      <w:sz w:val="20"/>
      <w:szCs w:val="21"/>
      <w:lang w:val="en-US"/>
    </w:rPr>
  </w:style>
  <w:style w:type="paragraph" w:styleId="BodyTextIndent">
    <w:name w:val="Body Text Indent"/>
    <w:basedOn w:val="Normal"/>
    <w:link w:val="BodyTextIndentChar"/>
    <w:uiPriority w:val="99"/>
    <w:semiHidden/>
    <w:unhideWhenUsed/>
    <w:rsid w:val="00CA7F44"/>
    <w:pPr>
      <w:spacing w:after="120"/>
      <w:ind w:left="283"/>
    </w:pPr>
  </w:style>
  <w:style w:type="character" w:customStyle="1" w:styleId="BodyTextIndentChar">
    <w:name w:val="Body Text Indent Char"/>
    <w:basedOn w:val="DefaultParagraphFont"/>
    <w:link w:val="BodyTextIndent"/>
    <w:uiPriority w:val="99"/>
    <w:semiHidden/>
    <w:rsid w:val="00CA7F44"/>
    <w:rPr>
      <w:rFonts w:ascii="Calibri Light" w:hAnsi="Calibri Light"/>
      <w:color w:val="58595B" w:themeColor="accent2"/>
      <w:sz w:val="20"/>
    </w:rPr>
  </w:style>
  <w:style w:type="paragraph" w:styleId="BodyTextFirstIndent2">
    <w:name w:val="Body Text First Indent 2"/>
    <w:basedOn w:val="BodyTextIndent"/>
    <w:link w:val="BodyTextFirstIndent2Char"/>
    <w:uiPriority w:val="99"/>
    <w:semiHidden/>
    <w:unhideWhenUsed/>
    <w:rsid w:val="00CA7F4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A7F44"/>
    <w:rPr>
      <w:rFonts w:ascii="Calibri Light" w:hAnsi="Calibri Light"/>
      <w:color w:val="58595B" w:themeColor="accent2"/>
      <w:sz w:val="20"/>
    </w:rPr>
  </w:style>
  <w:style w:type="paragraph" w:styleId="BodyTextIndent2">
    <w:name w:val="Body Text Indent 2"/>
    <w:basedOn w:val="Normal"/>
    <w:link w:val="BodyTextIndent2Char"/>
    <w:uiPriority w:val="99"/>
    <w:semiHidden/>
    <w:unhideWhenUsed/>
    <w:rsid w:val="00CA7F44"/>
    <w:pPr>
      <w:spacing w:after="120" w:line="480" w:lineRule="auto"/>
      <w:ind w:left="283"/>
    </w:pPr>
  </w:style>
  <w:style w:type="character" w:customStyle="1" w:styleId="BodyTextIndent2Char">
    <w:name w:val="Body Text Indent 2 Char"/>
    <w:basedOn w:val="DefaultParagraphFont"/>
    <w:link w:val="BodyTextIndent2"/>
    <w:uiPriority w:val="99"/>
    <w:semiHidden/>
    <w:rsid w:val="00CA7F44"/>
    <w:rPr>
      <w:rFonts w:ascii="Calibri Light" w:hAnsi="Calibri Light"/>
      <w:color w:val="58595B" w:themeColor="accent2"/>
      <w:sz w:val="20"/>
    </w:rPr>
  </w:style>
  <w:style w:type="paragraph" w:styleId="BodyTextIndent3">
    <w:name w:val="Body Text Indent 3"/>
    <w:basedOn w:val="Normal"/>
    <w:link w:val="BodyTextIndent3Char"/>
    <w:uiPriority w:val="99"/>
    <w:semiHidden/>
    <w:unhideWhenUsed/>
    <w:rsid w:val="00CA7F4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7F44"/>
    <w:rPr>
      <w:rFonts w:ascii="Calibri Light" w:hAnsi="Calibri Light"/>
      <w:color w:val="58595B" w:themeColor="accent2"/>
      <w:sz w:val="16"/>
      <w:szCs w:val="16"/>
    </w:rPr>
  </w:style>
  <w:style w:type="paragraph" w:styleId="Closing">
    <w:name w:val="Closing"/>
    <w:basedOn w:val="Normal"/>
    <w:link w:val="ClosingChar"/>
    <w:uiPriority w:val="99"/>
    <w:semiHidden/>
    <w:unhideWhenUsed/>
    <w:rsid w:val="00CA7F44"/>
    <w:pPr>
      <w:spacing w:after="0"/>
      <w:ind w:left="4252"/>
    </w:pPr>
  </w:style>
  <w:style w:type="character" w:customStyle="1" w:styleId="ClosingChar">
    <w:name w:val="Closing Char"/>
    <w:basedOn w:val="DefaultParagraphFont"/>
    <w:link w:val="Closing"/>
    <w:uiPriority w:val="99"/>
    <w:semiHidden/>
    <w:rsid w:val="00CA7F44"/>
    <w:rPr>
      <w:rFonts w:ascii="Calibri Light" w:hAnsi="Calibri Light"/>
      <w:color w:val="58595B" w:themeColor="accent2"/>
      <w:sz w:val="20"/>
    </w:rPr>
  </w:style>
  <w:style w:type="paragraph" w:styleId="Date">
    <w:name w:val="Date"/>
    <w:basedOn w:val="Normal"/>
    <w:next w:val="Normal"/>
    <w:link w:val="DateChar"/>
    <w:uiPriority w:val="99"/>
    <w:semiHidden/>
    <w:unhideWhenUsed/>
    <w:rsid w:val="00CA7F44"/>
  </w:style>
  <w:style w:type="character" w:customStyle="1" w:styleId="DateChar">
    <w:name w:val="Date Char"/>
    <w:basedOn w:val="DefaultParagraphFont"/>
    <w:link w:val="Date"/>
    <w:uiPriority w:val="99"/>
    <w:semiHidden/>
    <w:rsid w:val="00CA7F44"/>
    <w:rPr>
      <w:rFonts w:ascii="Calibri Light" w:hAnsi="Calibri Light"/>
      <w:color w:val="58595B" w:themeColor="accent2"/>
      <w:sz w:val="20"/>
    </w:rPr>
  </w:style>
  <w:style w:type="paragraph" w:styleId="DocumentMap">
    <w:name w:val="Document Map"/>
    <w:basedOn w:val="Normal"/>
    <w:link w:val="DocumentMapChar"/>
    <w:uiPriority w:val="99"/>
    <w:semiHidden/>
    <w:unhideWhenUsed/>
    <w:rsid w:val="00CA7F44"/>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A7F44"/>
    <w:rPr>
      <w:rFonts w:ascii="Segoe UI" w:hAnsi="Segoe UI" w:cs="Segoe UI"/>
      <w:color w:val="58595B" w:themeColor="accent2"/>
      <w:sz w:val="16"/>
      <w:szCs w:val="16"/>
    </w:rPr>
  </w:style>
  <w:style w:type="paragraph" w:styleId="E-mailSignature">
    <w:name w:val="E-mail Signature"/>
    <w:basedOn w:val="Normal"/>
    <w:link w:val="E-mailSignatureChar"/>
    <w:uiPriority w:val="99"/>
    <w:semiHidden/>
    <w:unhideWhenUsed/>
    <w:rsid w:val="00CA7F44"/>
    <w:pPr>
      <w:spacing w:after="0"/>
    </w:pPr>
  </w:style>
  <w:style w:type="character" w:customStyle="1" w:styleId="E-mailSignatureChar">
    <w:name w:val="E-mail Signature Char"/>
    <w:basedOn w:val="DefaultParagraphFont"/>
    <w:link w:val="E-mailSignature"/>
    <w:uiPriority w:val="99"/>
    <w:semiHidden/>
    <w:rsid w:val="00CA7F44"/>
    <w:rPr>
      <w:rFonts w:ascii="Calibri Light" w:hAnsi="Calibri Light"/>
      <w:color w:val="58595B" w:themeColor="accent2"/>
      <w:sz w:val="20"/>
    </w:rPr>
  </w:style>
  <w:style w:type="paragraph" w:styleId="EndnoteText">
    <w:name w:val="endnote text"/>
    <w:basedOn w:val="Normal"/>
    <w:link w:val="EndnoteTextChar"/>
    <w:uiPriority w:val="99"/>
    <w:semiHidden/>
    <w:unhideWhenUsed/>
    <w:rsid w:val="00CA7F44"/>
    <w:pPr>
      <w:spacing w:after="0"/>
    </w:pPr>
    <w:rPr>
      <w:szCs w:val="20"/>
    </w:rPr>
  </w:style>
  <w:style w:type="character" w:customStyle="1" w:styleId="EndnoteTextChar">
    <w:name w:val="Endnote Text Char"/>
    <w:basedOn w:val="DefaultParagraphFont"/>
    <w:link w:val="EndnoteText"/>
    <w:uiPriority w:val="99"/>
    <w:semiHidden/>
    <w:rsid w:val="00CA7F44"/>
    <w:rPr>
      <w:rFonts w:ascii="Calibri Light" w:hAnsi="Calibri Light"/>
      <w:color w:val="58595B" w:themeColor="accent2"/>
      <w:sz w:val="20"/>
      <w:szCs w:val="20"/>
    </w:rPr>
  </w:style>
  <w:style w:type="paragraph" w:styleId="EnvelopeAddress">
    <w:name w:val="envelope address"/>
    <w:basedOn w:val="Normal"/>
    <w:uiPriority w:val="99"/>
    <w:semiHidden/>
    <w:unhideWhenUsed/>
    <w:rsid w:val="00CA7F4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A7F44"/>
    <w:pPr>
      <w:spacing w:after="0"/>
    </w:pPr>
    <w:rPr>
      <w:rFonts w:asciiTheme="majorHAnsi" w:eastAsiaTheme="majorEastAsia" w:hAnsiTheme="majorHAnsi" w:cstheme="majorBidi"/>
      <w:szCs w:val="20"/>
    </w:rPr>
  </w:style>
  <w:style w:type="character" w:customStyle="1" w:styleId="Heading6Char">
    <w:name w:val="Heading 6 Char"/>
    <w:basedOn w:val="DefaultParagraphFont"/>
    <w:link w:val="Heading6"/>
    <w:uiPriority w:val="9"/>
    <w:rsid w:val="00CA7F44"/>
    <w:rPr>
      <w:rFonts w:asciiTheme="majorHAnsi" w:eastAsiaTheme="majorEastAsia" w:hAnsiTheme="majorHAnsi" w:cstheme="majorBidi"/>
      <w:color w:val="000000" w:themeColor="accent1" w:themeShade="7F"/>
      <w:sz w:val="20"/>
    </w:rPr>
  </w:style>
  <w:style w:type="character" w:customStyle="1" w:styleId="Heading7Char">
    <w:name w:val="Heading 7 Char"/>
    <w:basedOn w:val="DefaultParagraphFont"/>
    <w:link w:val="Heading7"/>
    <w:uiPriority w:val="9"/>
    <w:rsid w:val="00CA7F44"/>
    <w:rPr>
      <w:rFonts w:asciiTheme="majorHAnsi" w:eastAsiaTheme="majorEastAsia" w:hAnsiTheme="majorHAnsi" w:cstheme="majorBidi"/>
      <w:i/>
      <w:iCs/>
      <w:color w:val="000000" w:themeColor="accent1" w:themeShade="7F"/>
      <w:sz w:val="20"/>
    </w:rPr>
  </w:style>
  <w:style w:type="character" w:customStyle="1" w:styleId="Heading8Char">
    <w:name w:val="Heading 8 Char"/>
    <w:basedOn w:val="DefaultParagraphFont"/>
    <w:link w:val="Heading8"/>
    <w:uiPriority w:val="9"/>
    <w:semiHidden/>
    <w:rsid w:val="00CA7F44"/>
    <w:rPr>
      <w:rFonts w:asciiTheme="majorHAnsi" w:eastAsiaTheme="majorEastAsia" w:hAnsiTheme="majorHAnsi" w:cstheme="majorBidi"/>
      <w:color w:val="5D5C5F" w:themeColor="text1" w:themeTint="D8"/>
      <w:sz w:val="21"/>
      <w:szCs w:val="21"/>
    </w:rPr>
  </w:style>
  <w:style w:type="character" w:customStyle="1" w:styleId="Heading9Char">
    <w:name w:val="Heading 9 Char"/>
    <w:basedOn w:val="DefaultParagraphFont"/>
    <w:link w:val="Heading9"/>
    <w:uiPriority w:val="9"/>
    <w:semiHidden/>
    <w:rsid w:val="00CA7F44"/>
    <w:rPr>
      <w:rFonts w:asciiTheme="majorHAnsi" w:eastAsiaTheme="majorEastAsia" w:hAnsiTheme="majorHAnsi" w:cstheme="majorBidi"/>
      <w:i/>
      <w:iCs/>
      <w:color w:val="5D5C5F" w:themeColor="text1" w:themeTint="D8"/>
      <w:sz w:val="21"/>
      <w:szCs w:val="21"/>
    </w:rPr>
  </w:style>
  <w:style w:type="paragraph" w:styleId="HTMLAddress">
    <w:name w:val="HTML Address"/>
    <w:basedOn w:val="Normal"/>
    <w:link w:val="HTMLAddressChar"/>
    <w:uiPriority w:val="99"/>
    <w:semiHidden/>
    <w:unhideWhenUsed/>
    <w:rsid w:val="00CA7F44"/>
    <w:pPr>
      <w:spacing w:after="0"/>
    </w:pPr>
    <w:rPr>
      <w:i/>
      <w:iCs/>
    </w:rPr>
  </w:style>
  <w:style w:type="character" w:customStyle="1" w:styleId="HTMLAddressChar">
    <w:name w:val="HTML Address Char"/>
    <w:basedOn w:val="DefaultParagraphFont"/>
    <w:link w:val="HTMLAddress"/>
    <w:uiPriority w:val="99"/>
    <w:semiHidden/>
    <w:rsid w:val="00CA7F44"/>
    <w:rPr>
      <w:rFonts w:ascii="Calibri Light" w:hAnsi="Calibri Light"/>
      <w:i/>
      <w:iCs/>
      <w:color w:val="58595B" w:themeColor="accent2"/>
      <w:sz w:val="20"/>
    </w:rPr>
  </w:style>
  <w:style w:type="paragraph" w:styleId="HTMLPreformatted">
    <w:name w:val="HTML Preformatted"/>
    <w:basedOn w:val="Normal"/>
    <w:link w:val="HTMLPreformattedChar"/>
    <w:uiPriority w:val="99"/>
    <w:semiHidden/>
    <w:unhideWhenUsed/>
    <w:rsid w:val="00CA7F44"/>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A7F44"/>
    <w:rPr>
      <w:rFonts w:ascii="Consolas" w:hAnsi="Consolas"/>
      <w:color w:val="58595B" w:themeColor="accent2"/>
      <w:sz w:val="20"/>
      <w:szCs w:val="20"/>
    </w:rPr>
  </w:style>
  <w:style w:type="paragraph" w:styleId="Index1">
    <w:name w:val="index 1"/>
    <w:basedOn w:val="Normal"/>
    <w:next w:val="Normal"/>
    <w:autoRedefine/>
    <w:uiPriority w:val="99"/>
    <w:semiHidden/>
    <w:unhideWhenUsed/>
    <w:rsid w:val="00CA7F44"/>
    <w:pPr>
      <w:spacing w:after="0"/>
      <w:ind w:left="200" w:hanging="200"/>
    </w:pPr>
  </w:style>
  <w:style w:type="paragraph" w:styleId="Index2">
    <w:name w:val="index 2"/>
    <w:basedOn w:val="Normal"/>
    <w:next w:val="Normal"/>
    <w:autoRedefine/>
    <w:uiPriority w:val="99"/>
    <w:semiHidden/>
    <w:unhideWhenUsed/>
    <w:rsid w:val="00CA7F44"/>
    <w:pPr>
      <w:spacing w:after="0"/>
      <w:ind w:left="400" w:hanging="200"/>
    </w:pPr>
  </w:style>
  <w:style w:type="paragraph" w:styleId="Index3">
    <w:name w:val="index 3"/>
    <w:basedOn w:val="Normal"/>
    <w:next w:val="Normal"/>
    <w:autoRedefine/>
    <w:uiPriority w:val="99"/>
    <w:semiHidden/>
    <w:unhideWhenUsed/>
    <w:rsid w:val="00CA7F44"/>
    <w:pPr>
      <w:spacing w:after="0"/>
      <w:ind w:left="600" w:hanging="200"/>
    </w:pPr>
  </w:style>
  <w:style w:type="paragraph" w:styleId="Index4">
    <w:name w:val="index 4"/>
    <w:basedOn w:val="Normal"/>
    <w:next w:val="Normal"/>
    <w:autoRedefine/>
    <w:uiPriority w:val="99"/>
    <w:semiHidden/>
    <w:unhideWhenUsed/>
    <w:rsid w:val="00CA7F44"/>
    <w:pPr>
      <w:spacing w:after="0"/>
      <w:ind w:left="800" w:hanging="200"/>
    </w:pPr>
  </w:style>
  <w:style w:type="paragraph" w:styleId="Index5">
    <w:name w:val="index 5"/>
    <w:basedOn w:val="Normal"/>
    <w:next w:val="Normal"/>
    <w:autoRedefine/>
    <w:uiPriority w:val="99"/>
    <w:semiHidden/>
    <w:unhideWhenUsed/>
    <w:rsid w:val="00CA7F44"/>
    <w:pPr>
      <w:spacing w:after="0"/>
      <w:ind w:left="1000" w:hanging="200"/>
    </w:pPr>
  </w:style>
  <w:style w:type="paragraph" w:styleId="Index6">
    <w:name w:val="index 6"/>
    <w:basedOn w:val="Normal"/>
    <w:next w:val="Normal"/>
    <w:autoRedefine/>
    <w:uiPriority w:val="99"/>
    <w:semiHidden/>
    <w:unhideWhenUsed/>
    <w:rsid w:val="00CA7F44"/>
    <w:pPr>
      <w:spacing w:after="0"/>
      <w:ind w:left="1200" w:hanging="200"/>
    </w:pPr>
  </w:style>
  <w:style w:type="paragraph" w:styleId="Index7">
    <w:name w:val="index 7"/>
    <w:basedOn w:val="Normal"/>
    <w:next w:val="Normal"/>
    <w:autoRedefine/>
    <w:uiPriority w:val="99"/>
    <w:semiHidden/>
    <w:unhideWhenUsed/>
    <w:rsid w:val="00CA7F44"/>
    <w:pPr>
      <w:spacing w:after="0"/>
      <w:ind w:left="1400" w:hanging="200"/>
    </w:pPr>
  </w:style>
  <w:style w:type="paragraph" w:styleId="Index8">
    <w:name w:val="index 8"/>
    <w:basedOn w:val="Normal"/>
    <w:next w:val="Normal"/>
    <w:autoRedefine/>
    <w:uiPriority w:val="99"/>
    <w:semiHidden/>
    <w:unhideWhenUsed/>
    <w:rsid w:val="00CA7F44"/>
    <w:pPr>
      <w:spacing w:after="0"/>
      <w:ind w:left="1600" w:hanging="200"/>
    </w:pPr>
  </w:style>
  <w:style w:type="paragraph" w:styleId="Index9">
    <w:name w:val="index 9"/>
    <w:basedOn w:val="Normal"/>
    <w:next w:val="Normal"/>
    <w:autoRedefine/>
    <w:uiPriority w:val="99"/>
    <w:semiHidden/>
    <w:unhideWhenUsed/>
    <w:rsid w:val="00CA7F44"/>
    <w:pPr>
      <w:spacing w:after="0"/>
      <w:ind w:left="1800" w:hanging="200"/>
    </w:pPr>
  </w:style>
  <w:style w:type="paragraph" w:styleId="IndexHeading">
    <w:name w:val="index heading"/>
    <w:basedOn w:val="Normal"/>
    <w:next w:val="Index1"/>
    <w:uiPriority w:val="99"/>
    <w:semiHidden/>
    <w:unhideWhenUsed/>
    <w:rsid w:val="00CA7F4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A7F44"/>
    <w:pPr>
      <w:pBdr>
        <w:top w:val="single" w:sz="4" w:space="10" w:color="000000" w:themeColor="accent1"/>
        <w:bottom w:val="single" w:sz="4" w:space="10" w:color="000000" w:themeColor="accent1"/>
      </w:pBdr>
      <w:spacing w:before="360" w:after="360"/>
      <w:ind w:left="864" w:right="864"/>
      <w:jc w:val="center"/>
    </w:pPr>
    <w:rPr>
      <w:i/>
      <w:iCs/>
      <w:color w:val="000000" w:themeColor="accent1"/>
    </w:rPr>
  </w:style>
  <w:style w:type="character" w:customStyle="1" w:styleId="IntenseQuoteChar">
    <w:name w:val="Intense Quote Char"/>
    <w:basedOn w:val="DefaultParagraphFont"/>
    <w:link w:val="IntenseQuote"/>
    <w:uiPriority w:val="30"/>
    <w:rsid w:val="00CA7F44"/>
    <w:rPr>
      <w:rFonts w:ascii="Calibri Light" w:hAnsi="Calibri Light"/>
      <w:i/>
      <w:iCs/>
      <w:color w:val="000000" w:themeColor="accent1"/>
      <w:sz w:val="20"/>
    </w:rPr>
  </w:style>
  <w:style w:type="paragraph" w:styleId="List">
    <w:name w:val="List"/>
    <w:basedOn w:val="Normal"/>
    <w:uiPriority w:val="99"/>
    <w:semiHidden/>
    <w:unhideWhenUsed/>
    <w:rsid w:val="00CA7F44"/>
    <w:pPr>
      <w:ind w:left="283" w:hanging="283"/>
      <w:contextualSpacing/>
    </w:pPr>
  </w:style>
  <w:style w:type="paragraph" w:styleId="List2">
    <w:name w:val="List 2"/>
    <w:basedOn w:val="Normal"/>
    <w:uiPriority w:val="99"/>
    <w:semiHidden/>
    <w:unhideWhenUsed/>
    <w:rsid w:val="00CA7F44"/>
    <w:pPr>
      <w:ind w:left="566" w:hanging="283"/>
      <w:contextualSpacing/>
    </w:pPr>
  </w:style>
  <w:style w:type="paragraph" w:styleId="List3">
    <w:name w:val="List 3"/>
    <w:basedOn w:val="Normal"/>
    <w:uiPriority w:val="99"/>
    <w:semiHidden/>
    <w:unhideWhenUsed/>
    <w:rsid w:val="00CA7F44"/>
    <w:pPr>
      <w:ind w:left="849" w:hanging="283"/>
      <w:contextualSpacing/>
    </w:pPr>
  </w:style>
  <w:style w:type="paragraph" w:styleId="List4">
    <w:name w:val="List 4"/>
    <w:basedOn w:val="Normal"/>
    <w:uiPriority w:val="99"/>
    <w:semiHidden/>
    <w:unhideWhenUsed/>
    <w:rsid w:val="00CA7F44"/>
    <w:pPr>
      <w:ind w:left="1132" w:hanging="283"/>
      <w:contextualSpacing/>
    </w:pPr>
  </w:style>
  <w:style w:type="paragraph" w:styleId="List5">
    <w:name w:val="List 5"/>
    <w:basedOn w:val="Normal"/>
    <w:uiPriority w:val="99"/>
    <w:semiHidden/>
    <w:unhideWhenUsed/>
    <w:rsid w:val="00CA7F44"/>
    <w:pPr>
      <w:ind w:left="1415" w:hanging="283"/>
      <w:contextualSpacing/>
    </w:pPr>
  </w:style>
  <w:style w:type="paragraph" w:styleId="ListBullet">
    <w:name w:val="List Bullet"/>
    <w:basedOn w:val="Normal"/>
    <w:uiPriority w:val="99"/>
    <w:semiHidden/>
    <w:unhideWhenUsed/>
    <w:rsid w:val="00CA7F44"/>
    <w:pPr>
      <w:numPr>
        <w:numId w:val="32"/>
      </w:numPr>
      <w:contextualSpacing/>
    </w:pPr>
  </w:style>
  <w:style w:type="paragraph" w:styleId="ListBullet2">
    <w:name w:val="List Bullet 2"/>
    <w:basedOn w:val="Normal"/>
    <w:uiPriority w:val="99"/>
    <w:semiHidden/>
    <w:unhideWhenUsed/>
    <w:rsid w:val="00CA7F44"/>
    <w:pPr>
      <w:numPr>
        <w:numId w:val="33"/>
      </w:numPr>
      <w:contextualSpacing/>
    </w:pPr>
  </w:style>
  <w:style w:type="paragraph" w:styleId="ListBullet3">
    <w:name w:val="List Bullet 3"/>
    <w:basedOn w:val="Normal"/>
    <w:uiPriority w:val="99"/>
    <w:semiHidden/>
    <w:unhideWhenUsed/>
    <w:rsid w:val="00CA7F44"/>
    <w:pPr>
      <w:numPr>
        <w:numId w:val="34"/>
      </w:numPr>
      <w:contextualSpacing/>
    </w:pPr>
  </w:style>
  <w:style w:type="paragraph" w:styleId="ListBullet4">
    <w:name w:val="List Bullet 4"/>
    <w:basedOn w:val="Normal"/>
    <w:uiPriority w:val="99"/>
    <w:semiHidden/>
    <w:unhideWhenUsed/>
    <w:rsid w:val="00CA7F44"/>
    <w:pPr>
      <w:numPr>
        <w:numId w:val="35"/>
      </w:numPr>
      <w:contextualSpacing/>
    </w:pPr>
  </w:style>
  <w:style w:type="paragraph" w:styleId="ListBullet5">
    <w:name w:val="List Bullet 5"/>
    <w:basedOn w:val="Normal"/>
    <w:uiPriority w:val="99"/>
    <w:semiHidden/>
    <w:unhideWhenUsed/>
    <w:rsid w:val="00CA7F44"/>
    <w:pPr>
      <w:numPr>
        <w:numId w:val="36"/>
      </w:numPr>
      <w:contextualSpacing/>
    </w:pPr>
  </w:style>
  <w:style w:type="paragraph" w:styleId="ListContinue">
    <w:name w:val="List Continue"/>
    <w:basedOn w:val="Normal"/>
    <w:uiPriority w:val="99"/>
    <w:semiHidden/>
    <w:unhideWhenUsed/>
    <w:rsid w:val="00CA7F44"/>
    <w:pPr>
      <w:spacing w:after="120"/>
      <w:ind w:left="283"/>
      <w:contextualSpacing/>
    </w:pPr>
  </w:style>
  <w:style w:type="paragraph" w:styleId="ListContinue2">
    <w:name w:val="List Continue 2"/>
    <w:basedOn w:val="Normal"/>
    <w:uiPriority w:val="99"/>
    <w:semiHidden/>
    <w:unhideWhenUsed/>
    <w:rsid w:val="00CA7F44"/>
    <w:pPr>
      <w:spacing w:after="120"/>
      <w:ind w:left="566"/>
      <w:contextualSpacing/>
    </w:pPr>
  </w:style>
  <w:style w:type="paragraph" w:styleId="ListContinue3">
    <w:name w:val="List Continue 3"/>
    <w:basedOn w:val="Normal"/>
    <w:uiPriority w:val="99"/>
    <w:semiHidden/>
    <w:unhideWhenUsed/>
    <w:rsid w:val="00CA7F44"/>
    <w:pPr>
      <w:spacing w:after="120"/>
      <w:ind w:left="849"/>
      <w:contextualSpacing/>
    </w:pPr>
  </w:style>
  <w:style w:type="paragraph" w:styleId="ListContinue4">
    <w:name w:val="List Continue 4"/>
    <w:basedOn w:val="Normal"/>
    <w:uiPriority w:val="99"/>
    <w:semiHidden/>
    <w:unhideWhenUsed/>
    <w:rsid w:val="00CA7F44"/>
    <w:pPr>
      <w:spacing w:after="120"/>
      <w:ind w:left="1132"/>
      <w:contextualSpacing/>
    </w:pPr>
  </w:style>
  <w:style w:type="paragraph" w:styleId="ListContinue5">
    <w:name w:val="List Continue 5"/>
    <w:basedOn w:val="Normal"/>
    <w:uiPriority w:val="99"/>
    <w:semiHidden/>
    <w:unhideWhenUsed/>
    <w:rsid w:val="00CA7F44"/>
    <w:pPr>
      <w:spacing w:after="120"/>
      <w:ind w:left="1415"/>
      <w:contextualSpacing/>
    </w:pPr>
  </w:style>
  <w:style w:type="paragraph" w:styleId="ListNumber">
    <w:name w:val="List Number"/>
    <w:basedOn w:val="Normal"/>
    <w:uiPriority w:val="99"/>
    <w:semiHidden/>
    <w:unhideWhenUsed/>
    <w:rsid w:val="00CA7F44"/>
    <w:pPr>
      <w:numPr>
        <w:numId w:val="37"/>
      </w:numPr>
      <w:contextualSpacing/>
    </w:pPr>
  </w:style>
  <w:style w:type="paragraph" w:styleId="ListNumber2">
    <w:name w:val="List Number 2"/>
    <w:basedOn w:val="Normal"/>
    <w:uiPriority w:val="99"/>
    <w:semiHidden/>
    <w:unhideWhenUsed/>
    <w:rsid w:val="00CA7F44"/>
    <w:pPr>
      <w:numPr>
        <w:numId w:val="38"/>
      </w:numPr>
      <w:contextualSpacing/>
    </w:pPr>
  </w:style>
  <w:style w:type="paragraph" w:styleId="ListNumber3">
    <w:name w:val="List Number 3"/>
    <w:basedOn w:val="Normal"/>
    <w:uiPriority w:val="99"/>
    <w:semiHidden/>
    <w:unhideWhenUsed/>
    <w:rsid w:val="00CA7F44"/>
    <w:pPr>
      <w:numPr>
        <w:numId w:val="39"/>
      </w:numPr>
      <w:contextualSpacing/>
    </w:pPr>
  </w:style>
  <w:style w:type="paragraph" w:styleId="ListNumber4">
    <w:name w:val="List Number 4"/>
    <w:basedOn w:val="Normal"/>
    <w:uiPriority w:val="99"/>
    <w:semiHidden/>
    <w:unhideWhenUsed/>
    <w:rsid w:val="00CA7F44"/>
    <w:pPr>
      <w:numPr>
        <w:numId w:val="40"/>
      </w:numPr>
      <w:contextualSpacing/>
    </w:pPr>
  </w:style>
  <w:style w:type="paragraph" w:styleId="ListNumber5">
    <w:name w:val="List Number 5"/>
    <w:basedOn w:val="Normal"/>
    <w:uiPriority w:val="99"/>
    <w:semiHidden/>
    <w:unhideWhenUsed/>
    <w:rsid w:val="00CA7F44"/>
    <w:pPr>
      <w:numPr>
        <w:numId w:val="41"/>
      </w:numPr>
      <w:contextualSpacing/>
    </w:pPr>
  </w:style>
  <w:style w:type="paragraph" w:styleId="MacroText">
    <w:name w:val="macro"/>
    <w:link w:val="MacroTextChar"/>
    <w:uiPriority w:val="99"/>
    <w:semiHidden/>
    <w:unhideWhenUsed/>
    <w:rsid w:val="00CA7F44"/>
    <w:pPr>
      <w:tabs>
        <w:tab w:val="left" w:pos="480"/>
        <w:tab w:val="left" w:pos="960"/>
        <w:tab w:val="left" w:pos="1440"/>
        <w:tab w:val="left" w:pos="1920"/>
        <w:tab w:val="left" w:pos="2400"/>
        <w:tab w:val="left" w:pos="2880"/>
        <w:tab w:val="left" w:pos="3360"/>
        <w:tab w:val="left" w:pos="3840"/>
        <w:tab w:val="left" w:pos="4320"/>
      </w:tabs>
      <w:spacing w:before="0" w:line="240" w:lineRule="auto"/>
    </w:pPr>
    <w:rPr>
      <w:rFonts w:ascii="Consolas" w:hAnsi="Consolas"/>
      <w:color w:val="58595B" w:themeColor="accent2"/>
      <w:sz w:val="20"/>
      <w:szCs w:val="20"/>
    </w:rPr>
  </w:style>
  <w:style w:type="character" w:customStyle="1" w:styleId="MacroTextChar">
    <w:name w:val="Macro Text Char"/>
    <w:basedOn w:val="DefaultParagraphFont"/>
    <w:link w:val="MacroText"/>
    <w:uiPriority w:val="99"/>
    <w:semiHidden/>
    <w:rsid w:val="00CA7F44"/>
    <w:rPr>
      <w:rFonts w:ascii="Consolas" w:hAnsi="Consolas"/>
      <w:color w:val="58595B" w:themeColor="accent2"/>
      <w:sz w:val="20"/>
      <w:szCs w:val="20"/>
    </w:rPr>
  </w:style>
  <w:style w:type="paragraph" w:styleId="MessageHeader">
    <w:name w:val="Message Header"/>
    <w:basedOn w:val="Normal"/>
    <w:link w:val="MessageHeaderChar"/>
    <w:uiPriority w:val="99"/>
    <w:semiHidden/>
    <w:unhideWhenUsed/>
    <w:rsid w:val="00CA7F4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A7F44"/>
    <w:rPr>
      <w:rFonts w:asciiTheme="majorHAnsi" w:eastAsiaTheme="majorEastAsia" w:hAnsiTheme="majorHAnsi" w:cstheme="majorBidi"/>
      <w:color w:val="58595B" w:themeColor="accent2"/>
      <w:sz w:val="24"/>
      <w:szCs w:val="24"/>
      <w:shd w:val="pct20" w:color="auto" w:fill="auto"/>
    </w:rPr>
  </w:style>
  <w:style w:type="paragraph" w:styleId="NormalIndent">
    <w:name w:val="Normal Indent"/>
    <w:basedOn w:val="Normal"/>
    <w:uiPriority w:val="99"/>
    <w:semiHidden/>
    <w:unhideWhenUsed/>
    <w:rsid w:val="00CA7F44"/>
    <w:pPr>
      <w:ind w:left="720"/>
    </w:pPr>
  </w:style>
  <w:style w:type="paragraph" w:styleId="NoteHeading">
    <w:name w:val="Note Heading"/>
    <w:basedOn w:val="Normal"/>
    <w:next w:val="Normal"/>
    <w:link w:val="NoteHeadingChar"/>
    <w:uiPriority w:val="99"/>
    <w:semiHidden/>
    <w:unhideWhenUsed/>
    <w:rsid w:val="00CA7F44"/>
    <w:pPr>
      <w:spacing w:after="0"/>
    </w:pPr>
  </w:style>
  <w:style w:type="character" w:customStyle="1" w:styleId="NoteHeadingChar">
    <w:name w:val="Note Heading Char"/>
    <w:basedOn w:val="DefaultParagraphFont"/>
    <w:link w:val="NoteHeading"/>
    <w:uiPriority w:val="99"/>
    <w:semiHidden/>
    <w:rsid w:val="00CA7F44"/>
    <w:rPr>
      <w:rFonts w:ascii="Calibri Light" w:hAnsi="Calibri Light"/>
      <w:color w:val="58595B" w:themeColor="accent2"/>
      <w:sz w:val="20"/>
    </w:rPr>
  </w:style>
  <w:style w:type="paragraph" w:styleId="PlainText">
    <w:name w:val="Plain Text"/>
    <w:basedOn w:val="Normal"/>
    <w:link w:val="PlainTextChar"/>
    <w:uiPriority w:val="99"/>
    <w:semiHidden/>
    <w:unhideWhenUsed/>
    <w:rsid w:val="00CA7F44"/>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CA7F44"/>
    <w:rPr>
      <w:rFonts w:ascii="Consolas" w:hAnsi="Consolas"/>
      <w:color w:val="58595B" w:themeColor="accent2"/>
      <w:sz w:val="21"/>
      <w:szCs w:val="21"/>
    </w:rPr>
  </w:style>
  <w:style w:type="paragraph" w:styleId="Salutation">
    <w:name w:val="Salutation"/>
    <w:basedOn w:val="Normal"/>
    <w:next w:val="Normal"/>
    <w:link w:val="SalutationChar"/>
    <w:uiPriority w:val="99"/>
    <w:semiHidden/>
    <w:unhideWhenUsed/>
    <w:rsid w:val="00CA7F44"/>
  </w:style>
  <w:style w:type="character" w:customStyle="1" w:styleId="SalutationChar">
    <w:name w:val="Salutation Char"/>
    <w:basedOn w:val="DefaultParagraphFont"/>
    <w:link w:val="Salutation"/>
    <w:uiPriority w:val="99"/>
    <w:semiHidden/>
    <w:rsid w:val="00CA7F44"/>
    <w:rPr>
      <w:rFonts w:ascii="Calibri Light" w:hAnsi="Calibri Light"/>
      <w:color w:val="58595B" w:themeColor="accent2"/>
      <w:sz w:val="20"/>
    </w:rPr>
  </w:style>
  <w:style w:type="paragraph" w:styleId="Signature">
    <w:name w:val="Signature"/>
    <w:basedOn w:val="Normal"/>
    <w:link w:val="SignatureChar"/>
    <w:uiPriority w:val="99"/>
    <w:semiHidden/>
    <w:unhideWhenUsed/>
    <w:rsid w:val="00CA7F44"/>
    <w:pPr>
      <w:spacing w:after="0"/>
      <w:ind w:left="4252"/>
    </w:pPr>
  </w:style>
  <w:style w:type="character" w:customStyle="1" w:styleId="SignatureChar">
    <w:name w:val="Signature Char"/>
    <w:basedOn w:val="DefaultParagraphFont"/>
    <w:link w:val="Signature"/>
    <w:uiPriority w:val="99"/>
    <w:semiHidden/>
    <w:rsid w:val="00CA7F44"/>
    <w:rPr>
      <w:rFonts w:ascii="Calibri Light" w:hAnsi="Calibri Light"/>
      <w:color w:val="58595B" w:themeColor="accent2"/>
      <w:sz w:val="20"/>
    </w:rPr>
  </w:style>
  <w:style w:type="paragraph" w:styleId="Subtitle">
    <w:name w:val="Subtitle"/>
    <w:basedOn w:val="Normal"/>
    <w:next w:val="Normal"/>
    <w:link w:val="SubtitleChar"/>
    <w:uiPriority w:val="11"/>
    <w:qFormat/>
    <w:rsid w:val="00CA7F44"/>
    <w:pPr>
      <w:numPr>
        <w:ilvl w:val="1"/>
      </w:numPr>
    </w:pPr>
    <w:rPr>
      <w:rFonts w:asciiTheme="minorHAnsi" w:eastAsiaTheme="minorEastAsia" w:hAnsiTheme="minorHAnsi"/>
      <w:color w:val="838286" w:themeColor="text1" w:themeTint="A5"/>
      <w:spacing w:val="15"/>
      <w:sz w:val="22"/>
    </w:rPr>
  </w:style>
  <w:style w:type="character" w:customStyle="1" w:styleId="SubtitleChar">
    <w:name w:val="Subtitle Char"/>
    <w:basedOn w:val="DefaultParagraphFont"/>
    <w:link w:val="Subtitle"/>
    <w:uiPriority w:val="11"/>
    <w:rsid w:val="00CA7F44"/>
    <w:rPr>
      <w:rFonts w:asciiTheme="minorHAnsi" w:eastAsiaTheme="minorEastAsia" w:hAnsiTheme="minorHAnsi"/>
      <w:color w:val="838286" w:themeColor="text1" w:themeTint="A5"/>
      <w:spacing w:val="15"/>
    </w:rPr>
  </w:style>
  <w:style w:type="paragraph" w:styleId="TableofAuthorities">
    <w:name w:val="table of authorities"/>
    <w:basedOn w:val="Normal"/>
    <w:next w:val="Normal"/>
    <w:uiPriority w:val="99"/>
    <w:semiHidden/>
    <w:unhideWhenUsed/>
    <w:rsid w:val="00CA7F44"/>
    <w:pPr>
      <w:spacing w:after="0"/>
      <w:ind w:left="200" w:hanging="200"/>
    </w:pPr>
  </w:style>
  <w:style w:type="paragraph" w:styleId="TableofFigures">
    <w:name w:val="table of figures"/>
    <w:basedOn w:val="Normal"/>
    <w:next w:val="Normal"/>
    <w:uiPriority w:val="99"/>
    <w:semiHidden/>
    <w:unhideWhenUsed/>
    <w:rsid w:val="00CA7F44"/>
    <w:pPr>
      <w:spacing w:after="0"/>
    </w:pPr>
  </w:style>
  <w:style w:type="paragraph" w:styleId="TOAHeading">
    <w:name w:val="toa heading"/>
    <w:basedOn w:val="Normal"/>
    <w:next w:val="Normal"/>
    <w:uiPriority w:val="99"/>
    <w:semiHidden/>
    <w:unhideWhenUsed/>
    <w:rsid w:val="00CA7F44"/>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CA7F44"/>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CA7F44"/>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CA7F44"/>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CA7F44"/>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CA7F44"/>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CA7F44"/>
    <w:pPr>
      <w:spacing w:after="0"/>
      <w:ind w:left="1600"/>
    </w:pPr>
    <w:rPr>
      <w:rFonts w:asciiTheme="minorHAnsi" w:hAnsiTheme="minorHAnsi" w:cstheme="minorHAnsi"/>
      <w:sz w:val="18"/>
      <w:szCs w:val="18"/>
    </w:rPr>
  </w:style>
  <w:style w:type="table" w:customStyle="1" w:styleId="TableGrid1">
    <w:name w:val="Table Grid1"/>
    <w:basedOn w:val="TableNormal"/>
    <w:next w:val="TableGrid"/>
    <w:uiPriority w:val="59"/>
    <w:rsid w:val="00CA7F44"/>
    <w:pPr>
      <w:widowControl w:val="0"/>
      <w:spacing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b">
    <w:name w:val="Heading 4b"/>
    <w:basedOn w:val="Heading4"/>
    <w:next w:val="Normal"/>
    <w:link w:val="Heading4bChar"/>
    <w:qFormat/>
    <w:rsid w:val="00F215BB"/>
    <w:pPr>
      <w:pBdr>
        <w:top w:val="single" w:sz="4" w:space="1" w:color="auto"/>
      </w:pBdr>
    </w:pPr>
  </w:style>
  <w:style w:type="paragraph" w:customStyle="1" w:styleId="Heading3white">
    <w:name w:val="Heading 3 white"/>
    <w:basedOn w:val="Heading3"/>
    <w:next w:val="Default"/>
    <w:uiPriority w:val="99"/>
    <w:qFormat/>
    <w:rsid w:val="008D6E15"/>
    <w:rPr>
      <w:b w:val="0"/>
      <w:bCs w:val="0"/>
      <w:color w:val="FFFFFF" w:themeColor="background1"/>
    </w:rPr>
  </w:style>
  <w:style w:type="character" w:customStyle="1" w:styleId="Heading4bChar">
    <w:name w:val="Heading 4b Char"/>
    <w:basedOn w:val="TableheaderChar"/>
    <w:link w:val="Heading4b"/>
    <w:rsid w:val="00F215BB"/>
    <w:rPr>
      <w:rFonts w:cs="Calibri"/>
      <w:b/>
      <w:bCs/>
      <w:noProof/>
      <w:color w:val="414042" w:themeColor="text1"/>
      <w:sz w:val="20"/>
      <w:szCs w:val="18"/>
      <w:lang w:val="en-US"/>
    </w:rPr>
  </w:style>
  <w:style w:type="paragraph" w:customStyle="1" w:styleId="Headingthreewhite">
    <w:name w:val="Heading three white"/>
    <w:basedOn w:val="Heading3"/>
    <w:uiPriority w:val="99"/>
    <w:qFormat/>
    <w:rsid w:val="008D6E15"/>
    <w:rPr>
      <w:color w:val="FFFFFF" w:themeColor="background1"/>
      <w:sz w:val="20"/>
      <w:szCs w:val="20"/>
    </w:rPr>
  </w:style>
  <w:style w:type="table" w:styleId="GridTable1Light-Accent6">
    <w:name w:val="Grid Table 1 Light Accent 6"/>
    <w:basedOn w:val="TableNormal"/>
    <w:uiPriority w:val="46"/>
    <w:rsid w:val="00C40331"/>
    <w:pPr>
      <w:spacing w:line="240" w:lineRule="auto"/>
    </w:pPr>
    <w:tblPr>
      <w:tblStyleRowBandSize w:val="1"/>
      <w:tblStyleColBandSize w:val="1"/>
      <w:tblBorders>
        <w:top w:val="single" w:sz="4" w:space="0" w:color="F4F5F5" w:themeColor="accent6" w:themeTint="66"/>
        <w:left w:val="single" w:sz="4" w:space="0" w:color="F4F5F5" w:themeColor="accent6" w:themeTint="66"/>
        <w:bottom w:val="single" w:sz="4" w:space="0" w:color="F4F5F5" w:themeColor="accent6" w:themeTint="66"/>
        <w:right w:val="single" w:sz="4" w:space="0" w:color="F4F5F5" w:themeColor="accent6" w:themeTint="66"/>
        <w:insideH w:val="single" w:sz="4" w:space="0" w:color="F4F5F5" w:themeColor="accent6" w:themeTint="66"/>
        <w:insideV w:val="single" w:sz="4" w:space="0" w:color="F4F5F5" w:themeColor="accent6" w:themeTint="66"/>
      </w:tblBorders>
    </w:tblPr>
    <w:tblStylePr w:type="firstRow">
      <w:rPr>
        <w:b/>
        <w:bCs/>
      </w:rPr>
      <w:tblPr/>
      <w:tcPr>
        <w:tcBorders>
          <w:bottom w:val="single" w:sz="12" w:space="0" w:color="EFF0F1" w:themeColor="accent6" w:themeTint="99"/>
        </w:tcBorders>
      </w:tcPr>
    </w:tblStylePr>
    <w:tblStylePr w:type="lastRow">
      <w:rPr>
        <w:b/>
        <w:bCs/>
      </w:rPr>
      <w:tblPr/>
      <w:tcPr>
        <w:tcBorders>
          <w:top w:val="double" w:sz="2" w:space="0" w:color="EFF0F1" w:themeColor="accent6" w:themeTint="99"/>
        </w:tcBorders>
      </w:tcPr>
    </w:tblStylePr>
    <w:tblStylePr w:type="firstCol">
      <w:rPr>
        <w:b/>
        <w:bCs/>
      </w:rPr>
    </w:tblStylePr>
    <w:tblStylePr w:type="lastCol">
      <w:rPr>
        <w:b/>
        <w:bCs/>
      </w:rPr>
    </w:tblStylePr>
  </w:style>
  <w:style w:type="paragraph" w:customStyle="1" w:styleId="msonormal0">
    <w:name w:val="msonormal"/>
    <w:basedOn w:val="Normal"/>
    <w:uiPriority w:val="99"/>
    <w:semiHidden/>
    <w:rsid w:val="003834F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field">
    <w:name w:val="field"/>
    <w:basedOn w:val="DefaultParagraphFont"/>
    <w:rsid w:val="009418D0"/>
  </w:style>
  <w:style w:type="paragraph" w:customStyle="1" w:styleId="TalkingPoints">
    <w:name w:val="Talking Points"/>
    <w:basedOn w:val="ListParagraph"/>
    <w:qFormat/>
    <w:rsid w:val="00E24006"/>
    <w:pPr>
      <w:spacing w:after="120" w:line="259" w:lineRule="auto"/>
      <w:contextualSpacing w:val="0"/>
    </w:pPr>
    <w:rPr>
      <w:rFonts w:ascii="Arial" w:hAnsi="Arial" w:cs="Arial"/>
      <w:sz w:val="24"/>
      <w:szCs w:val="24"/>
    </w:rPr>
  </w:style>
  <w:style w:type="table" w:customStyle="1" w:styleId="Sectiontable">
    <w:name w:val="Section table"/>
    <w:basedOn w:val="TableNormal"/>
    <w:uiPriority w:val="99"/>
    <w:rsid w:val="0028234C"/>
    <w:pPr>
      <w:spacing w:before="0" w:line="240" w:lineRule="auto"/>
    </w:pPr>
    <w:rPr>
      <w:rFonts w:asciiTheme="minorHAnsi" w:hAnsiTheme="minorHAnsi"/>
    </w:rPr>
    <w:tblPr>
      <w:tblStyleRowBandSize w:val="1"/>
    </w:tblPr>
    <w:tblStylePr w:type="band1Horz">
      <w:tblPr/>
      <w:tcPr>
        <w:shd w:val="clear" w:color="auto" w:fill="E6E7E8" w:themeFill="background2"/>
      </w:tcPr>
    </w:tblStylePr>
  </w:style>
  <w:style w:type="paragraph" w:customStyle="1" w:styleId="BODY">
    <w:name w:val="BODY"/>
    <w:basedOn w:val="Normal"/>
    <w:link w:val="BODYChar"/>
    <w:qFormat/>
    <w:rsid w:val="00ED2CF9"/>
    <w:pPr>
      <w:spacing w:before="120" w:after="120" w:line="260" w:lineRule="exact"/>
      <w:jc w:val="both"/>
    </w:pPr>
    <w:rPr>
      <w:rFonts w:eastAsia="Times New Roman" w:cs="Calibri Light"/>
      <w:snapToGrid w:val="0"/>
      <w:sz w:val="19"/>
      <w:szCs w:val="18"/>
    </w:rPr>
  </w:style>
  <w:style w:type="character" w:customStyle="1" w:styleId="BODYChar">
    <w:name w:val="BODY Char"/>
    <w:basedOn w:val="DefaultParagraphFont"/>
    <w:link w:val="BODY"/>
    <w:rsid w:val="00ED2CF9"/>
    <w:rPr>
      <w:rFonts w:ascii="Calibri Light" w:eastAsia="Times New Roman" w:hAnsi="Calibri Light" w:cs="Calibri Light"/>
      <w:snapToGrid w:val="0"/>
      <w:sz w:val="19"/>
      <w:szCs w:val="18"/>
    </w:rPr>
  </w:style>
  <w:style w:type="paragraph" w:customStyle="1" w:styleId="xmsonormal">
    <w:name w:val="x_msonormal"/>
    <w:basedOn w:val="Normal"/>
    <w:rsid w:val="00CC231A"/>
    <w:pPr>
      <w:spacing w:after="0"/>
    </w:pPr>
    <w:rPr>
      <w:rFonts w:ascii="Calibri" w:eastAsiaTheme="minorEastAsia" w:hAnsi="Calibri" w:cs="Calibri"/>
      <w:sz w:val="22"/>
      <w:lang w:eastAsia="zh-CN"/>
    </w:rPr>
  </w:style>
  <w:style w:type="paragraph" w:customStyle="1" w:styleId="PageNumber1">
    <w:name w:val="Page Number1"/>
    <w:basedOn w:val="BasicParagraph"/>
    <w:link w:val="PagenumberChar"/>
    <w:qFormat/>
    <w:rsid w:val="009846B4"/>
    <w:pPr>
      <w:spacing w:after="0" w:line="240" w:lineRule="auto"/>
      <w:jc w:val="center"/>
    </w:pPr>
    <w:rPr>
      <w:rFonts w:asciiTheme="minorHAnsi" w:hAnsiTheme="minorHAnsi" w:cstheme="minorHAnsi"/>
      <w:b/>
      <w:bCs/>
      <w:color w:val="414042" w:themeColor="text1"/>
      <w:sz w:val="20"/>
      <w:szCs w:val="20"/>
      <w:lang w:val="en-AU"/>
    </w:rPr>
  </w:style>
  <w:style w:type="paragraph" w:customStyle="1" w:styleId="Bullets2">
    <w:name w:val="Bullets 2"/>
    <w:basedOn w:val="Bulletlist"/>
    <w:link w:val="Bullets2Char"/>
    <w:qFormat/>
    <w:rsid w:val="001E33A3"/>
    <w:pPr>
      <w:framePr w:wrap="around"/>
      <w:numPr>
        <w:numId w:val="45"/>
      </w:numPr>
      <w:spacing w:after="80"/>
    </w:pPr>
  </w:style>
  <w:style w:type="character" w:customStyle="1" w:styleId="BasicParagraphChar">
    <w:name w:val="[Basic Paragraph] Char"/>
    <w:basedOn w:val="DefaultParagraphFont"/>
    <w:link w:val="BasicParagraph"/>
    <w:uiPriority w:val="99"/>
    <w:rsid w:val="009846B4"/>
    <w:rPr>
      <w:rFonts w:ascii="MinionPro-Regular" w:hAnsi="MinionPro-Regular" w:cs="MinionPro-Regular"/>
      <w:color w:val="000000"/>
      <w:sz w:val="24"/>
      <w:szCs w:val="24"/>
      <w:lang w:val="en-US"/>
    </w:rPr>
  </w:style>
  <w:style w:type="character" w:customStyle="1" w:styleId="PagenumberChar">
    <w:name w:val="Page number Char"/>
    <w:basedOn w:val="BasicParagraphChar"/>
    <w:link w:val="PageNumber1"/>
    <w:rsid w:val="009846B4"/>
    <w:rPr>
      <w:rFonts w:asciiTheme="minorHAnsi" w:hAnsiTheme="minorHAnsi" w:cstheme="minorHAnsi"/>
      <w:b/>
      <w:bCs/>
      <w:color w:val="414042" w:themeColor="text1"/>
      <w:sz w:val="20"/>
      <w:szCs w:val="20"/>
      <w:lang w:val="en-US"/>
    </w:rPr>
  </w:style>
  <w:style w:type="paragraph" w:customStyle="1" w:styleId="Bulletscondensed">
    <w:name w:val="Bullets condensed"/>
    <w:basedOn w:val="Bulletlist"/>
    <w:qFormat/>
    <w:rsid w:val="001267E4"/>
    <w:pPr>
      <w:framePr w:wrap="around"/>
      <w:spacing w:before="80" w:after="60"/>
    </w:pPr>
  </w:style>
  <w:style w:type="character" w:customStyle="1" w:styleId="Bullets2Char">
    <w:name w:val="Bullets 2 Char"/>
    <w:basedOn w:val="BulletlistChar"/>
    <w:link w:val="Bullets2"/>
    <w:rsid w:val="001E33A3"/>
    <w:rPr>
      <w:rFonts w:ascii="Calibri Light" w:hAnsi="Calibri Light" w:cs="Calibri Light"/>
      <w:bCs/>
      <w:spacing w:val="-4"/>
      <w:sz w:val="20"/>
      <w:szCs w:val="20"/>
      <w:u w:color="E6E7E8" w:themeColor="background2"/>
    </w:rPr>
  </w:style>
  <w:style w:type="paragraph" w:customStyle="1" w:styleId="NormalItalics">
    <w:name w:val="Normal Italics"/>
    <w:basedOn w:val="Bulletlist"/>
    <w:qFormat/>
    <w:rsid w:val="00333242"/>
    <w:pPr>
      <w:framePr w:wrap="around"/>
    </w:pPr>
    <w:rPr>
      <w:i/>
    </w:rPr>
  </w:style>
  <w:style w:type="paragraph" w:customStyle="1" w:styleId="Bulletlist3">
    <w:name w:val="Bullet list 3"/>
    <w:basedOn w:val="Bulletscondensed"/>
    <w:next w:val="Bullets"/>
    <w:autoRedefine/>
    <w:rsid w:val="00BD5534"/>
    <w:pPr>
      <w:framePr w:wrap="around"/>
      <w:spacing w:before="0" w:after="20"/>
    </w:pPr>
  </w:style>
  <w:style w:type="paragraph" w:customStyle="1" w:styleId="Heading42">
    <w:name w:val="Heading 4 2"/>
    <w:basedOn w:val="Heading4"/>
    <w:qFormat/>
    <w:rsid w:val="00BD5534"/>
  </w:style>
  <w:style w:type="paragraph" w:customStyle="1" w:styleId="Bulletlist1">
    <w:name w:val="Bullet list 1"/>
    <w:basedOn w:val="Bulletlist"/>
    <w:autoRedefine/>
    <w:rsid w:val="00DA63C4"/>
    <w:pPr>
      <w:framePr w:wrap="around"/>
    </w:pPr>
    <w:rPr>
      <w:bCs w:val="0"/>
    </w:rPr>
  </w:style>
  <w:style w:type="paragraph" w:customStyle="1" w:styleId="Bullets">
    <w:name w:val="Bullets"/>
    <w:basedOn w:val="Normal"/>
    <w:link w:val="BulletsChar"/>
    <w:qFormat/>
    <w:rsid w:val="00DA63C4"/>
    <w:pPr>
      <w:spacing w:after="120"/>
    </w:pPr>
  </w:style>
  <w:style w:type="paragraph" w:customStyle="1" w:styleId="Bullets3">
    <w:name w:val="Bullets 3"/>
    <w:basedOn w:val="Bullets"/>
    <w:qFormat/>
    <w:rsid w:val="00C571FA"/>
    <w:pPr>
      <w:spacing w:after="20"/>
    </w:pPr>
    <w:rPr>
      <w:sz w:val="18"/>
    </w:rPr>
  </w:style>
  <w:style w:type="paragraph" w:customStyle="1" w:styleId="Bulletlistcondensed">
    <w:name w:val="Bullet list condensed"/>
    <w:basedOn w:val="Bulletlist"/>
    <w:rsid w:val="00C571FA"/>
    <w:pPr>
      <w:framePr w:wrap="around"/>
    </w:pPr>
  </w:style>
  <w:style w:type="table" w:customStyle="1" w:styleId="TableGrid2">
    <w:name w:val="Table Grid2"/>
    <w:basedOn w:val="TableNormal"/>
    <w:next w:val="TableGrid"/>
    <w:rsid w:val="000A31FB"/>
    <w:pPr>
      <w:widowControl w:val="0"/>
      <w:spacing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style1">
    <w:name w:val="Table 1 style1"/>
    <w:basedOn w:val="TableNormal"/>
    <w:next w:val="TableGridLight"/>
    <w:uiPriority w:val="40"/>
    <w:rsid w:val="001535C1"/>
    <w:pPr>
      <w:spacing w:before="0" w:line="240" w:lineRule="auto"/>
    </w:pPr>
    <w:rPr>
      <w:b/>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cPr>
      <w:shd w:val="clear" w:color="auto" w:fill="FFFFFF"/>
    </w:tcPr>
    <w:tblStylePr w:type="firstRow">
      <w:pPr>
        <w:jc w:val="left"/>
      </w:pPr>
      <w:rPr>
        <w:rFonts w:ascii="Calibri" w:hAnsi="Calibri"/>
        <w:b/>
        <w:sz w:val="22"/>
      </w:rPr>
      <w:tblPr/>
      <w:tcPr>
        <w:shd w:val="clear" w:color="auto" w:fill="BDE6F5"/>
      </w:tcPr>
    </w:tblStylePr>
    <w:tblStylePr w:type="lastRow">
      <w:rPr>
        <w:rFonts w:ascii="Calibri" w:hAnsi="Calibri"/>
        <w:b/>
        <w:sz w:val="22"/>
      </w:rPr>
    </w:tblStylePr>
    <w:tblStylePr w:type="band1Horz">
      <w:rPr>
        <w:rFonts w:ascii="Calibri" w:hAnsi="Calibri"/>
        <w:b w:val="0"/>
        <w:sz w:val="22"/>
      </w:rPr>
      <w:tblPr/>
      <w:tcPr>
        <w:shd w:val="clear" w:color="auto" w:fill="F2F2F2"/>
      </w:tcPr>
    </w:tblStylePr>
    <w:tblStylePr w:type="band2Horz">
      <w:rPr>
        <w:rFonts w:ascii="Calibri" w:hAnsi="Calibri"/>
        <w:b w:val="0"/>
        <w:sz w:val="22"/>
      </w:rPr>
      <w:tblPr/>
      <w:tcPr>
        <w:shd w:val="clear" w:color="auto" w:fill="D9D9D9"/>
      </w:tcPr>
    </w:tblStylePr>
  </w:style>
  <w:style w:type="table" w:customStyle="1" w:styleId="TableGrid3">
    <w:name w:val="Table Grid3"/>
    <w:basedOn w:val="TableNormal"/>
    <w:next w:val="TableGrid"/>
    <w:rsid w:val="00554EA5"/>
    <w:pPr>
      <w:widowControl w:val="0"/>
      <w:spacing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532DA"/>
    <w:pPr>
      <w:widowControl w:val="0"/>
      <w:autoSpaceDE w:val="0"/>
      <w:autoSpaceDN w:val="0"/>
      <w:adjustRightInd w:val="0"/>
      <w:spacing w:after="0"/>
      <w:jc w:val="right"/>
    </w:pPr>
    <w:rPr>
      <w:rFonts w:ascii="Calibri" w:eastAsiaTheme="minorEastAsia" w:hAnsi="Calibri" w:cs="Calibri"/>
      <w:sz w:val="24"/>
      <w:szCs w:val="24"/>
      <w:lang w:eastAsia="en-AU"/>
    </w:rPr>
  </w:style>
  <w:style w:type="paragraph" w:customStyle="1" w:styleId="Bullets2b">
    <w:name w:val="Bullets 2b"/>
    <w:basedOn w:val="Bullets2"/>
    <w:rsid w:val="00143E30"/>
    <w:pPr>
      <w:framePr w:wrap="around"/>
    </w:pPr>
  </w:style>
  <w:style w:type="paragraph" w:customStyle="1" w:styleId="Bullets2c">
    <w:name w:val="Bullets 2c"/>
    <w:basedOn w:val="Normal"/>
    <w:qFormat/>
    <w:rsid w:val="001E33A3"/>
    <w:pPr>
      <w:numPr>
        <w:numId w:val="47"/>
      </w:numPr>
      <w:spacing w:after="80"/>
    </w:pPr>
  </w:style>
  <w:style w:type="paragraph" w:customStyle="1" w:styleId="Heading4b0">
    <w:name w:val="Heading 4 b"/>
    <w:basedOn w:val="Heading4"/>
    <w:link w:val="Heading4bChar0"/>
    <w:qFormat/>
    <w:rsid w:val="00B01FF4"/>
  </w:style>
  <w:style w:type="character" w:customStyle="1" w:styleId="Heading4bChar0">
    <w:name w:val="Heading 4 b Char"/>
    <w:basedOn w:val="Heading4Char"/>
    <w:link w:val="Heading4b0"/>
    <w:rsid w:val="00B01FF4"/>
    <w:rPr>
      <w:rFonts w:asciiTheme="majorHAnsi" w:eastAsia="Times New Roman" w:hAnsiTheme="majorHAnsi" w:cs="Calibri"/>
      <w:b/>
      <w:bCs/>
      <w:noProof/>
      <w:color w:val="414042" w:themeColor="text1"/>
      <w:spacing w:val="6"/>
      <w:sz w:val="20"/>
      <w:szCs w:val="20"/>
      <w:lang w:eastAsia="en-AU"/>
    </w:rPr>
  </w:style>
  <w:style w:type="paragraph" w:customStyle="1" w:styleId="Bullets4">
    <w:name w:val="Bullets 4"/>
    <w:basedOn w:val="Bullets"/>
    <w:qFormat/>
    <w:rsid w:val="007357E9"/>
    <w:pPr>
      <w:spacing w:after="80"/>
    </w:pPr>
    <w:rPr>
      <w:spacing w:val="-4"/>
    </w:rPr>
  </w:style>
  <w:style w:type="paragraph" w:customStyle="1" w:styleId="Heading4leftaligned">
    <w:name w:val="Heading 4 left aligned"/>
    <w:basedOn w:val="Heading4"/>
    <w:link w:val="Heading4leftalignedChar"/>
    <w:autoRedefine/>
    <w:qFormat/>
    <w:rsid w:val="00BE57E9"/>
    <w:pPr>
      <w:outlineLvl w:val="9"/>
    </w:pPr>
    <w:rPr>
      <w:b w:val="0"/>
      <w:bCs w:val="0"/>
    </w:rPr>
  </w:style>
  <w:style w:type="character" w:customStyle="1" w:styleId="Heading4leftalignedChar">
    <w:name w:val="Heading 4 left aligned Char"/>
    <w:basedOn w:val="Heading4Char"/>
    <w:link w:val="Heading4leftaligned"/>
    <w:rsid w:val="00BE57E9"/>
    <w:rPr>
      <w:rFonts w:asciiTheme="majorHAnsi" w:eastAsia="Times New Roman" w:hAnsiTheme="majorHAnsi" w:cs="Calibri"/>
      <w:b w:val="0"/>
      <w:bCs w:val="0"/>
      <w:noProof/>
      <w:color w:val="414042" w:themeColor="text1"/>
      <w:sz w:val="20"/>
      <w:szCs w:val="18"/>
      <w:lang w:eastAsia="en-AU"/>
    </w:rPr>
  </w:style>
  <w:style w:type="paragraph" w:customStyle="1" w:styleId="Pa5">
    <w:name w:val="Pa5"/>
    <w:basedOn w:val="Default"/>
    <w:next w:val="Default"/>
    <w:uiPriority w:val="99"/>
    <w:rsid w:val="008A0EA3"/>
    <w:pPr>
      <w:spacing w:line="281" w:lineRule="atLeast"/>
    </w:pPr>
    <w:rPr>
      <w:rFonts w:ascii="Calibri" w:hAnsi="Calibri" w:cs="Calibri"/>
      <w:color w:val="auto"/>
      <w14:ligatures w14:val="standardContextual"/>
    </w:rPr>
  </w:style>
  <w:style w:type="paragraph" w:customStyle="1" w:styleId="Pa19">
    <w:name w:val="Pa19"/>
    <w:basedOn w:val="Default"/>
    <w:next w:val="Default"/>
    <w:uiPriority w:val="99"/>
    <w:rsid w:val="008A0EA3"/>
    <w:pPr>
      <w:spacing w:line="221" w:lineRule="atLeast"/>
    </w:pPr>
    <w:rPr>
      <w:rFonts w:ascii="Calibri" w:hAnsi="Calibri" w:cs="Calibri"/>
      <w:color w:val="auto"/>
      <w14:ligatures w14:val="standardContextual"/>
    </w:rPr>
  </w:style>
  <w:style w:type="table" w:customStyle="1" w:styleId="Annualreport2020-211">
    <w:name w:val="Annual report 2020-211"/>
    <w:basedOn w:val="TableNormal"/>
    <w:uiPriority w:val="99"/>
    <w:rsid w:val="005C2096"/>
    <w:pPr>
      <w:spacing w:before="0" w:line="240" w:lineRule="auto"/>
      <w:jc w:val="center"/>
    </w:pPr>
    <w:rPr>
      <w:color w:val="414042"/>
      <w:sz w:val="20"/>
    </w:rPr>
    <w:tblPr>
      <w:tblBorders>
        <w:bottom w:val="single" w:sz="8" w:space="0" w:color="auto"/>
        <w:insideH w:val="single" w:sz="8" w:space="0" w:color="414042"/>
        <w:insideV w:val="single" w:sz="8" w:space="0" w:color="414042"/>
      </w:tblBorders>
      <w:tblCellMar>
        <w:top w:w="28" w:type="dxa"/>
        <w:bottom w:w="28" w:type="dxa"/>
      </w:tblCellMar>
    </w:tblPr>
    <w:tcPr>
      <w:shd w:val="clear" w:color="auto" w:fill="FFFFFF"/>
      <w:vAlign w:val="center"/>
    </w:tcPr>
    <w:tblStylePr w:type="firstRow">
      <w:pPr>
        <w:jc w:val="center"/>
      </w:pPr>
      <w:rPr>
        <w:rFonts w:ascii="Calibri" w:hAnsi="Calibri"/>
        <w:b/>
        <w:color w:val="414042"/>
        <w:sz w:val="20"/>
      </w:rPr>
      <w:tblPr/>
      <w:tcPr>
        <w:shd w:val="clear" w:color="auto" w:fill="E6E7E8"/>
      </w:tcPr>
    </w:tblStylePr>
    <w:tblStylePr w:type="lastRow">
      <w:pPr>
        <w:jc w:val="center"/>
      </w:pPr>
      <w:rPr>
        <w:rFonts w:ascii="Calibri" w:hAnsi="Calibri"/>
        <w:sz w:val="20"/>
      </w:rPr>
      <w:tblPr/>
      <w:tcPr>
        <w:shd w:val="clear" w:color="auto" w:fill="FFFFFF"/>
      </w:tcPr>
    </w:tblStylePr>
  </w:style>
  <w:style w:type="table" w:customStyle="1" w:styleId="GridTable1Light-Accent61">
    <w:name w:val="Grid Table 1 Light - Accent 61"/>
    <w:basedOn w:val="TableNormal"/>
    <w:next w:val="GridTable1Light-Accent6"/>
    <w:uiPriority w:val="46"/>
    <w:rsid w:val="00F844DE"/>
    <w:pPr>
      <w:spacing w:line="240" w:lineRule="auto"/>
    </w:pPr>
    <w:tblPr>
      <w:tblStyleRowBandSize w:val="1"/>
      <w:tblStyleColBandSize w:val="1"/>
      <w:tblBorders>
        <w:top w:val="single" w:sz="4" w:space="0" w:color="F4F5F5" w:themeColor="accent6" w:themeTint="66"/>
        <w:left w:val="single" w:sz="4" w:space="0" w:color="F4F5F5" w:themeColor="accent6" w:themeTint="66"/>
        <w:bottom w:val="single" w:sz="4" w:space="0" w:color="F4F5F5" w:themeColor="accent6" w:themeTint="66"/>
        <w:right w:val="single" w:sz="4" w:space="0" w:color="F4F5F5" w:themeColor="accent6" w:themeTint="66"/>
        <w:insideH w:val="single" w:sz="4" w:space="0" w:color="F4F5F5" w:themeColor="accent6" w:themeTint="66"/>
        <w:insideV w:val="single" w:sz="4" w:space="0" w:color="F4F5F5" w:themeColor="accent6" w:themeTint="66"/>
      </w:tblBorders>
    </w:tblPr>
    <w:tblStylePr w:type="firstRow">
      <w:rPr>
        <w:b/>
        <w:bCs/>
      </w:rPr>
      <w:tblPr/>
      <w:tcPr>
        <w:tcBorders>
          <w:bottom w:val="single" w:sz="12" w:space="0" w:color="EFF0F1" w:themeColor="accent6" w:themeTint="99"/>
        </w:tcBorders>
      </w:tcPr>
    </w:tblStylePr>
    <w:tblStylePr w:type="lastRow">
      <w:rPr>
        <w:b/>
        <w:bCs/>
      </w:rPr>
      <w:tblPr/>
      <w:tcPr>
        <w:tcBorders>
          <w:top w:val="double" w:sz="2" w:space="0" w:color="EFF0F1" w:themeColor="accent6"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36712A"/>
  </w:style>
  <w:style w:type="character" w:customStyle="1" w:styleId="cf01">
    <w:name w:val="cf01"/>
    <w:basedOn w:val="DefaultParagraphFont"/>
    <w:rsid w:val="00E61D6B"/>
    <w:rPr>
      <w:rFonts w:ascii="Segoe UI" w:hAnsi="Segoe UI" w:cs="Segoe UI" w:hint="default"/>
      <w:color w:val="58595B"/>
      <w:sz w:val="18"/>
      <w:szCs w:val="18"/>
    </w:rPr>
  </w:style>
  <w:style w:type="character" w:customStyle="1" w:styleId="cf11">
    <w:name w:val="cf11"/>
    <w:basedOn w:val="DefaultParagraphFont"/>
    <w:rsid w:val="00E61D6B"/>
    <w:rPr>
      <w:rFonts w:ascii="Segoe UI" w:hAnsi="Segoe UI" w:cs="Segoe UI" w:hint="default"/>
      <w:b/>
      <w:bCs/>
      <w:i/>
      <w:iCs/>
      <w:color w:val="58595B"/>
      <w:sz w:val="18"/>
      <w:szCs w:val="18"/>
    </w:rPr>
  </w:style>
  <w:style w:type="character" w:customStyle="1" w:styleId="cf21">
    <w:name w:val="cf21"/>
    <w:basedOn w:val="DefaultParagraphFont"/>
    <w:rsid w:val="00E61D6B"/>
    <w:rPr>
      <w:rFonts w:ascii="Segoe UI" w:hAnsi="Segoe UI" w:cs="Segoe UI" w:hint="default"/>
      <w:i/>
      <w:iCs/>
      <w:color w:val="58595B"/>
      <w:sz w:val="18"/>
      <w:szCs w:val="18"/>
    </w:rPr>
  </w:style>
  <w:style w:type="character" w:styleId="Strong">
    <w:name w:val="Strong"/>
    <w:basedOn w:val="DefaultParagraphFont"/>
    <w:uiPriority w:val="22"/>
    <w:qFormat/>
    <w:rsid w:val="00FD0FB1"/>
    <w:rPr>
      <w:b/>
      <w:bCs/>
    </w:rPr>
  </w:style>
  <w:style w:type="paragraph" w:customStyle="1" w:styleId="Objectivesubs">
    <w:name w:val="Objective subs"/>
    <w:basedOn w:val="Heading4"/>
    <w:link w:val="ObjectivesubsChar"/>
    <w:qFormat/>
    <w:rsid w:val="00533BB5"/>
  </w:style>
  <w:style w:type="character" w:customStyle="1" w:styleId="ObjectivesubsChar">
    <w:name w:val="Objective subs Char"/>
    <w:basedOn w:val="Heading4Char"/>
    <w:link w:val="Objectivesubs"/>
    <w:rsid w:val="00533BB5"/>
    <w:rPr>
      <w:rFonts w:asciiTheme="majorHAnsi" w:eastAsia="Times New Roman" w:hAnsiTheme="majorHAnsi" w:cs="Calibri"/>
      <w:b/>
      <w:bCs/>
      <w:noProof/>
      <w:color w:val="414042" w:themeColor="text1"/>
      <w:sz w:val="20"/>
      <w:szCs w:val="18"/>
      <w:lang w:eastAsia="en-AU"/>
    </w:rPr>
  </w:style>
  <w:style w:type="character" w:styleId="Emphasis">
    <w:name w:val="Emphasis"/>
    <w:aliases w:val="Focus Area Title"/>
    <w:basedOn w:val="DefaultParagraphFont"/>
    <w:uiPriority w:val="20"/>
    <w:qFormat/>
    <w:rsid w:val="006A0CD6"/>
    <w:rPr>
      <w:bCs/>
      <w:color w:val="414042" w:themeColor="text1"/>
      <w:sz w:val="28"/>
      <w:szCs w:val="24"/>
    </w:rPr>
  </w:style>
  <w:style w:type="paragraph" w:customStyle="1" w:styleId="Bluebulletpoint">
    <w:name w:val="Blue bullet point"/>
    <w:basedOn w:val="ListParagraph"/>
    <w:qFormat/>
    <w:rsid w:val="00B7611D"/>
    <w:pPr>
      <w:spacing w:before="60" w:after="0" w:line="276" w:lineRule="auto"/>
      <w:ind w:left="785" w:hanging="360"/>
      <w:contextualSpacing w:val="0"/>
      <w:jc w:val="both"/>
    </w:pPr>
    <w:rPr>
      <w:rFonts w:cs="Calibri Light"/>
      <w:sz w:val="19"/>
      <w:szCs w:val="18"/>
      <w:lang w:eastAsia="en-AU"/>
    </w:rPr>
  </w:style>
  <w:style w:type="table" w:customStyle="1" w:styleId="TableGrid6">
    <w:name w:val="Table Grid6"/>
    <w:basedOn w:val="TableNormal"/>
    <w:next w:val="TableGrid"/>
    <w:uiPriority w:val="59"/>
    <w:rsid w:val="00B7611D"/>
    <w:pPr>
      <w:spacing w:before="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624FDA"/>
    <w:rPr>
      <w:vertAlign w:val="superscript"/>
    </w:rPr>
  </w:style>
  <w:style w:type="paragraph" w:customStyle="1" w:styleId="AnnualReportHeading16pts">
    <w:name w:val="Annual Report Heading 16pts"/>
    <w:basedOn w:val="Normal"/>
    <w:link w:val="AnnualReportHeading16ptsChar"/>
    <w:qFormat/>
    <w:rsid w:val="0037340D"/>
    <w:pPr>
      <w:spacing w:after="240"/>
      <w:ind w:left="-42"/>
    </w:pPr>
    <w:rPr>
      <w:rFonts w:ascii="Calibri" w:hAnsi="Calibri" w:cs="Calibri"/>
      <w:b/>
      <w:bCs/>
      <w:color w:val="414042" w:themeColor="text1"/>
      <w:sz w:val="32"/>
      <w:szCs w:val="32"/>
    </w:rPr>
  </w:style>
  <w:style w:type="character" w:customStyle="1" w:styleId="AnnualReportHeading16ptsChar">
    <w:name w:val="Annual Report Heading 16pts Char"/>
    <w:basedOn w:val="DefaultParagraphFont"/>
    <w:link w:val="AnnualReportHeading16pts"/>
    <w:rsid w:val="0037340D"/>
    <w:rPr>
      <w:rFonts w:cs="Calibri"/>
      <w:b/>
      <w:bCs/>
      <w:color w:val="414042" w:themeColor="text1"/>
      <w:sz w:val="32"/>
      <w:szCs w:val="32"/>
    </w:rPr>
  </w:style>
  <w:style w:type="paragraph" w:customStyle="1" w:styleId="AnnualReportBulletpoint">
    <w:name w:val="Annual Report Bullet point"/>
    <w:basedOn w:val="Bullets"/>
    <w:link w:val="AnnualReportBulletpointChar"/>
    <w:rsid w:val="009017AB"/>
    <w:rPr>
      <w:color w:val="414042" w:themeColor="text1"/>
    </w:rPr>
  </w:style>
  <w:style w:type="character" w:customStyle="1" w:styleId="BulletsChar">
    <w:name w:val="Bullets Char"/>
    <w:basedOn w:val="DefaultParagraphFont"/>
    <w:link w:val="Bullets"/>
    <w:rsid w:val="009017AB"/>
    <w:rPr>
      <w:rFonts w:ascii="Calibri Light" w:hAnsi="Calibri Light"/>
      <w:color w:val="58595B" w:themeColor="accent2"/>
      <w:sz w:val="20"/>
    </w:rPr>
  </w:style>
  <w:style w:type="character" w:customStyle="1" w:styleId="AnnualReportBulletpointChar">
    <w:name w:val="Annual Report Bullet point Char"/>
    <w:basedOn w:val="BulletsChar"/>
    <w:link w:val="AnnualReportBulletpoint"/>
    <w:rsid w:val="009017AB"/>
    <w:rPr>
      <w:rFonts w:ascii="Calibri Light" w:hAnsi="Calibri Light"/>
      <w:color w:val="414042" w:themeColor="text1"/>
      <w:sz w:val="20"/>
    </w:rPr>
  </w:style>
  <w:style w:type="paragraph" w:customStyle="1" w:styleId="Bulletpoints0">
    <w:name w:val="*Bullet points"/>
    <w:basedOn w:val="AnnualReportBulletpoint"/>
    <w:link w:val="BulletpointsChar0"/>
    <w:qFormat/>
    <w:rsid w:val="006900F6"/>
    <w:pPr>
      <w:numPr>
        <w:numId w:val="66"/>
      </w:numPr>
      <w:ind w:left="426" w:right="140" w:hanging="284"/>
    </w:pPr>
  </w:style>
  <w:style w:type="character" w:customStyle="1" w:styleId="BulletpointsChar0">
    <w:name w:val="*Bullet points Char"/>
    <w:basedOn w:val="AnnualReportBulletpointChar"/>
    <w:link w:val="Bulletpoints0"/>
    <w:rsid w:val="006900F6"/>
    <w:rPr>
      <w:rFonts w:ascii="Calibri Light" w:hAnsi="Calibri Light"/>
      <w:color w:val="414042" w:themeColor="text1"/>
      <w:sz w:val="20"/>
    </w:rPr>
  </w:style>
  <w:style w:type="paragraph" w:customStyle="1" w:styleId="AnnualReportsecondlevelbulletpoint">
    <w:name w:val="Annual Report second level bullet point"/>
    <w:basedOn w:val="Bulletpoints0"/>
    <w:link w:val="AnnualReportsecondlevelbulletpointChar"/>
    <w:qFormat/>
    <w:rsid w:val="002E5F8D"/>
    <w:pPr>
      <w:numPr>
        <w:ilvl w:val="1"/>
        <w:numId w:val="58"/>
      </w:numPr>
    </w:pPr>
  </w:style>
  <w:style w:type="character" w:customStyle="1" w:styleId="AnnualReportsecondlevelbulletpointChar">
    <w:name w:val="Annual Report second level bullet point Char"/>
    <w:basedOn w:val="BulletpointsChar0"/>
    <w:link w:val="AnnualReportsecondlevelbulletpoint"/>
    <w:rsid w:val="002E5F8D"/>
    <w:rPr>
      <w:rFonts w:ascii="Calibri Light" w:hAnsi="Calibri Light"/>
      <w:color w:val="414042" w:themeColor="text1"/>
      <w:sz w:val="20"/>
    </w:rPr>
  </w:style>
  <w:style w:type="paragraph" w:customStyle="1" w:styleId="AnnualReportHeading2a16pts">
    <w:name w:val="Annual Report Heading 2 (a) 16 pts"/>
    <w:basedOn w:val="AnnualReportHeading16pts"/>
    <w:link w:val="AnnualReportHeading2a16ptsChar"/>
    <w:qFormat/>
    <w:rsid w:val="00FC125E"/>
    <w:rPr>
      <w:color w:val="auto"/>
    </w:rPr>
  </w:style>
  <w:style w:type="character" w:customStyle="1" w:styleId="AnnualReportHeading2a16ptsChar">
    <w:name w:val="Annual Report Heading 2 (a) 16 pts Char"/>
    <w:basedOn w:val="AnnualReportHeading16ptsChar"/>
    <w:link w:val="AnnualReportHeading2a16pts"/>
    <w:rsid w:val="00FC125E"/>
    <w:rPr>
      <w:rFonts w:cs="Calibri"/>
      <w:b/>
      <w:bCs/>
      <w:color w:val="414042" w:themeColor="text1"/>
      <w:sz w:val="32"/>
      <w:szCs w:val="32"/>
    </w:rPr>
  </w:style>
  <w:style w:type="paragraph" w:customStyle="1" w:styleId="FOOTNOTE0">
    <w:name w:val="FOOTNOTE"/>
    <w:basedOn w:val="Footnote"/>
    <w:link w:val="FOOTNOTEChar0"/>
    <w:qFormat/>
    <w:rsid w:val="00777BD6"/>
    <w:pPr>
      <w:numPr>
        <w:numId w:val="0"/>
      </w:numPr>
      <w:ind w:left="357" w:hanging="357"/>
    </w:pPr>
    <w:rPr>
      <w:color w:val="414042" w:themeColor="text1"/>
    </w:rPr>
  </w:style>
  <w:style w:type="character" w:customStyle="1" w:styleId="FOOTNOTEChar0">
    <w:name w:val="FOOTNOTE Char"/>
    <w:basedOn w:val="FootnoteChar"/>
    <w:link w:val="FOOTNOTE0"/>
    <w:rsid w:val="00777BD6"/>
    <w:rPr>
      <w:rFonts w:ascii="Calibri Light" w:hAnsi="Calibri Light"/>
      <w:color w:val="414042" w:themeColor="text1"/>
      <w:sz w:val="16"/>
      <w:szCs w:val="16"/>
    </w:rPr>
  </w:style>
  <w:style w:type="paragraph" w:customStyle="1" w:styleId="Formoreinformation">
    <w:name w:val="For more information"/>
    <w:basedOn w:val="Bulletpoints0"/>
    <w:link w:val="FormoreinformationChar"/>
    <w:qFormat/>
    <w:rsid w:val="006D1DBB"/>
    <w:pPr>
      <w:numPr>
        <w:numId w:val="0"/>
      </w:numPr>
      <w:spacing w:before="480"/>
    </w:pPr>
    <w:rPr>
      <w:i/>
      <w:szCs w:val="20"/>
    </w:rPr>
  </w:style>
  <w:style w:type="character" w:customStyle="1" w:styleId="FormoreinformationChar">
    <w:name w:val="For more information Char"/>
    <w:basedOn w:val="BulletpointsChar0"/>
    <w:link w:val="Formoreinformation"/>
    <w:rsid w:val="006D1DBB"/>
    <w:rPr>
      <w:rFonts w:ascii="Calibri Light" w:hAnsi="Calibri Light"/>
      <w:i/>
      <w:color w:val="414042" w:themeColor="text1"/>
      <w:sz w:val="20"/>
      <w:szCs w:val="20"/>
    </w:rPr>
  </w:style>
  <w:style w:type="paragraph" w:customStyle="1" w:styleId="NOTES0">
    <w:name w:val="NOTES"/>
    <w:basedOn w:val="Normal"/>
    <w:link w:val="NOTESChar0"/>
    <w:qFormat/>
    <w:rsid w:val="00777BD6"/>
    <w:pPr>
      <w:suppressAutoHyphens/>
      <w:autoSpaceDE w:val="0"/>
      <w:autoSpaceDN w:val="0"/>
      <w:adjustRightInd w:val="0"/>
      <w:spacing w:after="0"/>
      <w:ind w:right="284"/>
      <w:textAlignment w:val="center"/>
    </w:pPr>
    <w:rPr>
      <w:rFonts w:cs="Calibri"/>
      <w:color w:val="414042" w:themeColor="text1"/>
      <w:sz w:val="14"/>
      <w:szCs w:val="14"/>
      <w:lang w:val="en-US"/>
    </w:rPr>
  </w:style>
  <w:style w:type="character" w:customStyle="1" w:styleId="NOTESChar0">
    <w:name w:val="NOTES Char"/>
    <w:basedOn w:val="DefaultParagraphFont"/>
    <w:link w:val="NOTES0"/>
    <w:rsid w:val="00777BD6"/>
    <w:rPr>
      <w:rFonts w:ascii="Calibri Light" w:hAnsi="Calibri Light" w:cs="Calibri"/>
      <w:color w:val="414042" w:themeColor="text1"/>
      <w:sz w:val="14"/>
      <w:szCs w:val="14"/>
      <w:lang w:val="en-US"/>
    </w:rPr>
  </w:style>
  <w:style w:type="paragraph" w:customStyle="1" w:styleId="Headingunderboldintro">
    <w:name w:val="Heading under bold intro"/>
    <w:basedOn w:val="Heading3"/>
    <w:link w:val="HeadingunderboldintroChar"/>
    <w:qFormat/>
    <w:rsid w:val="00C16D5B"/>
    <w:rPr>
      <w:color w:val="58595B" w:themeColor="accent2"/>
    </w:rPr>
  </w:style>
  <w:style w:type="character" w:customStyle="1" w:styleId="HeadingunderboldintroChar">
    <w:name w:val="Heading under bold intro Char"/>
    <w:basedOn w:val="Heading3Char"/>
    <w:link w:val="Headingunderboldintro"/>
    <w:rsid w:val="00C16D5B"/>
    <w:rPr>
      <w:rFonts w:asciiTheme="minorHAnsi" w:eastAsia="Times New Roman" w:hAnsiTheme="minorHAnsi" w:cstheme="minorHAnsi"/>
      <w:b/>
      <w:bCs/>
      <w:noProof/>
      <w:color w:val="58595B" w:themeColor="accent2"/>
      <w:sz w:val="28"/>
      <w:szCs w:val="28"/>
      <w:lang w:eastAsia="en-AU"/>
    </w:rPr>
  </w:style>
  <w:style w:type="paragraph" w:customStyle="1" w:styleId="1Heading">
    <w:name w:val="1. Heading"/>
    <w:basedOn w:val="Heading1"/>
    <w:link w:val="1HeadingChar"/>
    <w:qFormat/>
    <w:rsid w:val="00FB32EE"/>
  </w:style>
  <w:style w:type="character" w:customStyle="1" w:styleId="1HeadingChar">
    <w:name w:val="1. Heading Char"/>
    <w:basedOn w:val="Heading1Char"/>
    <w:link w:val="1Heading"/>
    <w:rsid w:val="00FB32EE"/>
    <w:rPr>
      <w:rFonts w:ascii="Calibri Light" w:eastAsiaTheme="majorEastAsia" w:hAnsi="Calibri Light" w:cstheme="majorBidi"/>
      <w:color w:val="414042" w:themeColor="text1"/>
      <w:sz w:val="92"/>
      <w:szCs w:val="32"/>
    </w:rPr>
  </w:style>
  <w:style w:type="paragraph" w:customStyle="1" w:styleId="2Heading">
    <w:name w:val="2. Heading"/>
    <w:basedOn w:val="Heading2"/>
    <w:link w:val="2HeadingChar"/>
    <w:qFormat/>
    <w:rsid w:val="00FB32EE"/>
  </w:style>
  <w:style w:type="character" w:customStyle="1" w:styleId="2HeadingChar">
    <w:name w:val="2. Heading Char"/>
    <w:basedOn w:val="Heading2Char"/>
    <w:link w:val="2Heading"/>
    <w:rsid w:val="00FB32EE"/>
    <w:rPr>
      <w:rFonts w:ascii="Calibri Light" w:eastAsiaTheme="majorEastAsia" w:hAnsi="Calibri Light" w:cstheme="majorBidi"/>
      <w:color w:val="414042" w:themeColor="text1"/>
      <w:sz w:val="60"/>
      <w:szCs w:val="26"/>
    </w:rPr>
  </w:style>
  <w:style w:type="paragraph" w:customStyle="1" w:styleId="4H-Intro">
    <w:name w:val="4. H - Intro"/>
    <w:basedOn w:val="Normal"/>
    <w:link w:val="4H-IntroChar"/>
    <w:qFormat/>
    <w:rsid w:val="00B82BCB"/>
    <w:pPr>
      <w:spacing w:after="0"/>
    </w:pPr>
    <w:rPr>
      <w:rFonts w:ascii="Calibri" w:hAnsi="Calibri" w:cs="Calibri"/>
      <w:b/>
      <w:bCs/>
      <w:color w:val="414042" w:themeColor="text1"/>
      <w:spacing w:val="-6"/>
      <w:sz w:val="24"/>
      <w:szCs w:val="24"/>
      <w:lang w:val="en-US"/>
    </w:rPr>
  </w:style>
  <w:style w:type="character" w:customStyle="1" w:styleId="4H-IntroChar">
    <w:name w:val="4. H - Intro Char"/>
    <w:basedOn w:val="DefaultParagraphFont"/>
    <w:link w:val="4H-Intro"/>
    <w:rsid w:val="00B82BCB"/>
    <w:rPr>
      <w:rFonts w:cs="Calibri"/>
      <w:b/>
      <w:bCs/>
      <w:color w:val="414042" w:themeColor="text1"/>
      <w:spacing w:val="-6"/>
      <w:sz w:val="24"/>
      <w:szCs w:val="24"/>
      <w:lang w:val="en-US"/>
    </w:rPr>
  </w:style>
  <w:style w:type="paragraph" w:customStyle="1" w:styleId="4Heading-GreyafterIntro">
    <w:name w:val="4. Heading - Grey after Intro"/>
    <w:basedOn w:val="Headingunderboldintro"/>
    <w:link w:val="4Heading-GreyafterIntroChar"/>
    <w:rsid w:val="00FB32EE"/>
    <w:rPr>
      <w:sz w:val="22"/>
      <w:szCs w:val="22"/>
    </w:rPr>
  </w:style>
  <w:style w:type="character" w:customStyle="1" w:styleId="4Heading-GreyafterIntroChar">
    <w:name w:val="4. Heading - Grey after Intro Char"/>
    <w:basedOn w:val="HeadingunderboldintroChar"/>
    <w:link w:val="4Heading-GreyafterIntro"/>
    <w:rsid w:val="00FB32EE"/>
    <w:rPr>
      <w:rFonts w:asciiTheme="minorHAnsi" w:eastAsia="Times New Roman" w:hAnsiTheme="minorHAnsi" w:cstheme="minorHAnsi"/>
      <w:b/>
      <w:bCs/>
      <w:noProof/>
      <w:color w:val="58595B" w:themeColor="accent2"/>
      <w:sz w:val="28"/>
      <w:szCs w:val="28"/>
      <w:lang w:eastAsia="en-AU"/>
    </w:rPr>
  </w:style>
  <w:style w:type="paragraph" w:customStyle="1" w:styleId="3Heading-highlight">
    <w:name w:val="3. Heading - highlight"/>
    <w:basedOn w:val="Heading3"/>
    <w:link w:val="3Heading-highlightChar"/>
    <w:qFormat/>
    <w:rsid w:val="00FB32EE"/>
  </w:style>
  <w:style w:type="character" w:customStyle="1" w:styleId="3Heading-highlightChar">
    <w:name w:val="3. Heading - highlight Char"/>
    <w:basedOn w:val="Heading3Char"/>
    <w:link w:val="3Heading-highlight"/>
    <w:rsid w:val="00FB32EE"/>
    <w:rPr>
      <w:rFonts w:asciiTheme="minorHAnsi" w:eastAsia="Times New Roman" w:hAnsiTheme="minorHAnsi" w:cstheme="minorHAnsi"/>
      <w:b/>
      <w:bCs/>
      <w:noProof/>
      <w:color w:val="414042" w:themeColor="text1"/>
      <w:sz w:val="28"/>
      <w:szCs w:val="28"/>
      <w:lang w:eastAsia="en-AU"/>
    </w:rPr>
  </w:style>
  <w:style w:type="paragraph" w:customStyle="1" w:styleId="5BHeadinglight">
    <w:name w:val="5. B Heading light"/>
    <w:basedOn w:val="Heading4"/>
    <w:link w:val="5BHeadinglightChar"/>
    <w:qFormat/>
    <w:rsid w:val="000739A8"/>
    <w:rPr>
      <w:rFonts w:asciiTheme="majorHAnsi" w:hAnsiTheme="majorHAnsi" w:cstheme="majorHAnsi"/>
      <w:b w:val="0"/>
      <w:bCs w:val="0"/>
      <w:sz w:val="26"/>
      <w:szCs w:val="26"/>
    </w:rPr>
  </w:style>
  <w:style w:type="character" w:customStyle="1" w:styleId="5BHeadinglightChar">
    <w:name w:val="5. B Heading light Char"/>
    <w:basedOn w:val="Heading4Char"/>
    <w:link w:val="5BHeadinglight"/>
    <w:rsid w:val="000739A8"/>
    <w:rPr>
      <w:rFonts w:asciiTheme="majorHAnsi" w:eastAsia="Times New Roman" w:hAnsiTheme="majorHAnsi" w:cstheme="majorHAnsi"/>
      <w:b w:val="0"/>
      <w:bCs w:val="0"/>
      <w:noProof/>
      <w:color w:val="414042" w:themeColor="text1"/>
      <w:sz w:val="26"/>
      <w:szCs w:val="26"/>
      <w:lang w:eastAsia="en-AU"/>
    </w:rPr>
  </w:style>
  <w:style w:type="paragraph" w:customStyle="1" w:styleId="6Bold11">
    <w:name w:val="6. Bold 11"/>
    <w:basedOn w:val="Normal"/>
    <w:link w:val="6Bold11Char"/>
    <w:qFormat/>
    <w:rsid w:val="000739A8"/>
    <w:rPr>
      <w:rFonts w:asciiTheme="minorHAnsi" w:hAnsiTheme="minorHAnsi" w:cstheme="minorHAnsi"/>
      <w:b/>
      <w:bCs/>
      <w:iCs/>
      <w:color w:val="414042" w:themeColor="text1"/>
      <w:sz w:val="22"/>
    </w:rPr>
  </w:style>
  <w:style w:type="character" w:customStyle="1" w:styleId="6Bold11Char">
    <w:name w:val="6. Bold 11 Char"/>
    <w:basedOn w:val="DefaultParagraphFont"/>
    <w:link w:val="6Bold11"/>
    <w:rsid w:val="000739A8"/>
    <w:rPr>
      <w:rFonts w:asciiTheme="minorHAnsi" w:hAnsiTheme="minorHAnsi" w:cstheme="minorHAnsi"/>
      <w:b/>
      <w:bCs/>
      <w:iCs/>
      <w:color w:val="414042" w:themeColor="text1"/>
    </w:rPr>
  </w:style>
  <w:style w:type="paragraph" w:customStyle="1" w:styleId="8Crossref">
    <w:name w:val="8. Cross ref"/>
    <w:basedOn w:val="Normal"/>
    <w:link w:val="8CrossrefChar"/>
    <w:qFormat/>
    <w:rsid w:val="000739A8"/>
    <w:pPr>
      <w:spacing w:before="140"/>
    </w:pPr>
    <w:rPr>
      <w:i/>
      <w:color w:val="414042" w:themeColor="text1"/>
      <w:szCs w:val="20"/>
    </w:rPr>
  </w:style>
  <w:style w:type="character" w:customStyle="1" w:styleId="8CrossrefChar">
    <w:name w:val="8. Cross ref Char"/>
    <w:basedOn w:val="DefaultParagraphFont"/>
    <w:link w:val="8Crossref"/>
    <w:rsid w:val="000739A8"/>
    <w:rPr>
      <w:rFonts w:ascii="Calibri Light" w:hAnsi="Calibri Light"/>
      <w:i/>
      <w:color w:val="414042" w:themeColor="text1"/>
      <w:sz w:val="20"/>
      <w:szCs w:val="20"/>
    </w:rPr>
  </w:style>
  <w:style w:type="paragraph" w:customStyle="1" w:styleId="7Sectionpage-text">
    <w:name w:val="7. Section page - text"/>
    <w:basedOn w:val="Normal"/>
    <w:link w:val="7Sectionpage-textChar"/>
    <w:qFormat/>
    <w:rsid w:val="00DD31B5"/>
    <w:pPr>
      <w:framePr w:hSpace="180" w:wrap="around" w:vAnchor="text" w:hAnchor="margin" w:y="350"/>
      <w:suppressAutoHyphens/>
      <w:autoSpaceDE w:val="0"/>
      <w:autoSpaceDN w:val="0"/>
      <w:adjustRightInd w:val="0"/>
      <w:spacing w:before="120" w:after="240"/>
      <w:textAlignment w:val="center"/>
    </w:pPr>
    <w:rPr>
      <w:sz w:val="28"/>
      <w:szCs w:val="32"/>
    </w:rPr>
  </w:style>
  <w:style w:type="character" w:customStyle="1" w:styleId="7Sectionpage-textChar">
    <w:name w:val="7. Section page - text Char"/>
    <w:basedOn w:val="DefaultParagraphFont"/>
    <w:link w:val="7Sectionpage-text"/>
    <w:rsid w:val="00DD31B5"/>
    <w:rPr>
      <w:rFonts w:ascii="Calibri Light" w:hAnsi="Calibri Light"/>
      <w:sz w:val="28"/>
      <w:szCs w:val="32"/>
    </w:rPr>
  </w:style>
  <w:style w:type="paragraph" w:customStyle="1" w:styleId="71Sectionnumbering">
    <w:name w:val="7. 1 Section numbering"/>
    <w:basedOn w:val="7Sectionpage-text"/>
    <w:link w:val="71SectionnumberingChar"/>
    <w:qFormat/>
    <w:rsid w:val="00DD31B5"/>
    <w:pPr>
      <w:framePr w:wrap="around"/>
    </w:pPr>
    <w:rPr>
      <w:sz w:val="24"/>
      <w:szCs w:val="24"/>
    </w:rPr>
  </w:style>
  <w:style w:type="character" w:customStyle="1" w:styleId="71SectionnumberingChar">
    <w:name w:val="7. 1 Section numbering Char"/>
    <w:basedOn w:val="7Sectionpage-textChar"/>
    <w:link w:val="71Sectionnumbering"/>
    <w:rsid w:val="00DD31B5"/>
    <w:rPr>
      <w:rFonts w:ascii="Calibri Light" w:hAnsi="Calibri Light"/>
      <w:sz w:val="24"/>
      <w:szCs w:val="24"/>
    </w:rPr>
  </w:style>
  <w:style w:type="paragraph" w:customStyle="1" w:styleId="5A-Headingintext">
    <w:name w:val="5. A - Heading in text"/>
    <w:basedOn w:val="4H-Intro"/>
    <w:link w:val="5A-HeadingintextChar"/>
    <w:qFormat/>
    <w:rsid w:val="001417B5"/>
    <w:pPr>
      <w:spacing w:after="120"/>
    </w:pPr>
    <w:rPr>
      <w:sz w:val="22"/>
      <w:szCs w:val="22"/>
    </w:rPr>
  </w:style>
  <w:style w:type="character" w:customStyle="1" w:styleId="5A-HeadingintextChar">
    <w:name w:val="5. A - Heading in text Char"/>
    <w:basedOn w:val="4H-IntroChar"/>
    <w:link w:val="5A-Headingintext"/>
    <w:rsid w:val="001417B5"/>
    <w:rPr>
      <w:rFonts w:cs="Calibri"/>
      <w:b/>
      <w:bCs/>
      <w:color w:val="414042" w:themeColor="text1"/>
      <w:spacing w:val="-6"/>
      <w:sz w:val="24"/>
      <w:szCs w:val="24"/>
      <w:lang w:val="en-US"/>
    </w:rPr>
  </w:style>
  <w:style w:type="paragraph" w:customStyle="1" w:styleId="newBODYTEXT">
    <w:name w:val="*new* BODY TEXT"/>
    <w:basedOn w:val="Normal"/>
    <w:link w:val="newBODYTEXTChar"/>
    <w:qFormat/>
    <w:rsid w:val="001417B5"/>
    <w:rPr>
      <w:rFonts w:asciiTheme="majorHAnsi" w:hAnsiTheme="majorHAnsi" w:cstheme="majorHAnsi"/>
      <w:color w:val="414042" w:themeColor="text1"/>
      <w:szCs w:val="20"/>
    </w:rPr>
  </w:style>
  <w:style w:type="character" w:customStyle="1" w:styleId="newBODYTEXTChar">
    <w:name w:val="*new* BODY TEXT Char"/>
    <w:basedOn w:val="DefaultParagraphFont"/>
    <w:link w:val="newBODYTEXT"/>
    <w:rsid w:val="001417B5"/>
    <w:rPr>
      <w:rFonts w:asciiTheme="majorHAnsi" w:hAnsiTheme="majorHAnsi" w:cstheme="majorHAnsi"/>
      <w:color w:val="414042" w:themeColor="text1"/>
      <w:sz w:val="20"/>
      <w:szCs w:val="20"/>
    </w:rPr>
  </w:style>
  <w:style w:type="paragraph" w:customStyle="1" w:styleId="Bulletbox">
    <w:name w:val="*Bullet box"/>
    <w:basedOn w:val="Normal"/>
    <w:link w:val="BulletboxChar"/>
    <w:qFormat/>
    <w:rsid w:val="006900F6"/>
    <w:pPr>
      <w:numPr>
        <w:numId w:val="57"/>
      </w:numPr>
      <w:spacing w:after="120"/>
      <w:ind w:left="746" w:right="178" w:hanging="425"/>
    </w:pPr>
    <w:rPr>
      <w:color w:val="414042" w:themeColor="text1"/>
    </w:rPr>
  </w:style>
  <w:style w:type="character" w:customStyle="1" w:styleId="BulletboxChar">
    <w:name w:val="*Bullet box Char"/>
    <w:basedOn w:val="DefaultParagraphFont"/>
    <w:link w:val="Bulletbox"/>
    <w:rsid w:val="006900F6"/>
    <w:rPr>
      <w:rFonts w:ascii="Calibri Light" w:hAnsi="Calibri Light"/>
      <w:color w:val="414042" w:themeColor="text1"/>
      <w:sz w:val="20"/>
    </w:rPr>
  </w:style>
  <w:style w:type="paragraph" w:customStyle="1" w:styleId="Figuretableheading0">
    <w:name w:val="*Figure/table heading"/>
    <w:basedOn w:val="Heading4"/>
    <w:link w:val="FiguretableheadingChar"/>
    <w:autoRedefine/>
    <w:qFormat/>
    <w:rsid w:val="00E41B49"/>
    <w:pPr>
      <w:pBdr>
        <w:top w:val="single" w:sz="4" w:space="1" w:color="BCBEC0" w:themeColor="accent5"/>
      </w:pBdr>
      <w:ind w:firstLine="0"/>
      <w:jc w:val="both"/>
    </w:pPr>
    <w:rPr>
      <w:sz w:val="20"/>
      <w:szCs w:val="20"/>
      <w:lang w:val="en-US"/>
    </w:rPr>
  </w:style>
  <w:style w:type="character" w:customStyle="1" w:styleId="FiguretableheadingChar">
    <w:name w:val="*Figure/table heading Char"/>
    <w:basedOn w:val="Heading4Char"/>
    <w:link w:val="Figuretableheading0"/>
    <w:rsid w:val="00E41B49"/>
    <w:rPr>
      <w:rFonts w:asciiTheme="minorHAnsi" w:eastAsia="Times New Roman" w:hAnsiTheme="minorHAnsi" w:cstheme="minorHAnsi"/>
      <w:b/>
      <w:bCs/>
      <w:noProof/>
      <w:color w:val="414042" w:themeColor="text1"/>
      <w:sz w:val="20"/>
      <w:szCs w:val="20"/>
      <w:lang w:val="en-US" w:eastAsia="en-AU"/>
    </w:rPr>
  </w:style>
  <w:style w:type="paragraph" w:customStyle="1" w:styleId="BoxHeading">
    <w:name w:val="*Box Heading"/>
    <w:basedOn w:val="3Heading-highlight"/>
    <w:link w:val="BoxHeadingChar"/>
    <w:qFormat/>
    <w:rsid w:val="00284C4A"/>
    <w:pPr>
      <w:ind w:hanging="3"/>
    </w:pPr>
  </w:style>
  <w:style w:type="character" w:customStyle="1" w:styleId="BoxHeadingChar">
    <w:name w:val="*Box Heading Char"/>
    <w:basedOn w:val="3Heading-highlightChar"/>
    <w:link w:val="BoxHeading"/>
    <w:rsid w:val="00284C4A"/>
    <w:rPr>
      <w:rFonts w:asciiTheme="minorHAnsi" w:eastAsia="Times New Roman" w:hAnsiTheme="minorHAnsi" w:cstheme="minorHAnsi"/>
      <w:b/>
      <w:bCs/>
      <w:noProof/>
      <w:color w:val="414042" w:themeColor="text1"/>
      <w:sz w:val="28"/>
      <w:szCs w:val="28"/>
      <w:lang w:eastAsia="en-AU"/>
    </w:rPr>
  </w:style>
  <w:style w:type="paragraph" w:customStyle="1" w:styleId="Recommend">
    <w:name w:val="*Recommend...."/>
    <w:basedOn w:val="Normal"/>
    <w:link w:val="RecommendChar"/>
    <w:qFormat/>
    <w:rsid w:val="00135FF8"/>
    <w:rPr>
      <w:rFonts w:asciiTheme="minorHAnsi" w:hAnsiTheme="minorHAnsi" w:cstheme="minorHAnsi"/>
      <w:b/>
      <w:color w:val="414042" w:themeColor="text1"/>
      <w:u w:color="E6E7E8" w:themeColor="background2"/>
    </w:rPr>
  </w:style>
  <w:style w:type="character" w:customStyle="1" w:styleId="RecommendChar">
    <w:name w:val="*Recommend.... Char"/>
    <w:basedOn w:val="DefaultParagraphFont"/>
    <w:link w:val="Recommend"/>
    <w:rsid w:val="00135FF8"/>
    <w:rPr>
      <w:rFonts w:asciiTheme="minorHAnsi" w:hAnsiTheme="minorHAnsi" w:cstheme="minorHAnsi"/>
      <w:b/>
      <w:color w:val="414042" w:themeColor="text1"/>
      <w:sz w:val="20"/>
      <w:u w:color="E6E7E8" w:themeColor="background2"/>
    </w:rPr>
  </w:style>
  <w:style w:type="paragraph" w:customStyle="1" w:styleId="Objectiveitalics">
    <w:name w:val="*Objective italics"/>
    <w:basedOn w:val="4H-Intro"/>
    <w:link w:val="ObjectiveitalicsChar"/>
    <w:qFormat/>
    <w:rsid w:val="005563CF"/>
    <w:rPr>
      <w:rFonts w:asciiTheme="minorHAnsi" w:hAnsiTheme="minorHAnsi" w:cstheme="minorHAnsi"/>
      <w:i/>
      <w:iCs/>
    </w:rPr>
  </w:style>
  <w:style w:type="character" w:customStyle="1" w:styleId="ObjectiveitalicsChar">
    <w:name w:val="*Objective italics Char"/>
    <w:basedOn w:val="4H-IntroChar"/>
    <w:link w:val="Objectiveitalics"/>
    <w:rsid w:val="005563CF"/>
    <w:rPr>
      <w:rFonts w:asciiTheme="minorHAnsi" w:hAnsiTheme="minorHAnsi" w:cstheme="minorHAnsi"/>
      <w:b/>
      <w:bCs/>
      <w:i/>
      <w:iCs/>
      <w:color w:val="414042" w:themeColor="text1"/>
      <w:spacing w:val="-6"/>
      <w:sz w:val="24"/>
      <w:szCs w:val="24"/>
      <w:lang w:val="en-US"/>
    </w:rPr>
  </w:style>
  <w:style w:type="paragraph" w:customStyle="1" w:styleId="Tablefigure">
    <w:name w:val="*Table figure"/>
    <w:basedOn w:val="Heading4"/>
    <w:link w:val="TablefigureChar"/>
    <w:qFormat/>
    <w:rsid w:val="003E0209"/>
    <w:pPr>
      <w:ind w:left="-113" w:firstLine="0"/>
    </w:pPr>
  </w:style>
  <w:style w:type="character" w:customStyle="1" w:styleId="TablefigureChar">
    <w:name w:val="*Table figure Char"/>
    <w:basedOn w:val="Heading4Char"/>
    <w:link w:val="Tablefigure"/>
    <w:rsid w:val="003E0209"/>
    <w:rPr>
      <w:rFonts w:asciiTheme="minorHAnsi" w:eastAsia="Times New Roman" w:hAnsiTheme="minorHAnsi" w:cstheme="minorHAnsi"/>
      <w:b/>
      <w:bCs/>
      <w:noProof/>
      <w:color w:val="414042" w:themeColor="text1"/>
      <w:lang w:eastAsia="en-AU"/>
    </w:rPr>
  </w:style>
  <w:style w:type="paragraph" w:customStyle="1" w:styleId="Notes1">
    <w:name w:val="*Notes"/>
    <w:basedOn w:val="NOTES0"/>
    <w:link w:val="NotesChar1"/>
    <w:qFormat/>
    <w:rsid w:val="006900F6"/>
  </w:style>
  <w:style w:type="character" w:customStyle="1" w:styleId="NotesChar1">
    <w:name w:val="*Notes Char"/>
    <w:basedOn w:val="NOTESChar0"/>
    <w:link w:val="Notes1"/>
    <w:rsid w:val="006900F6"/>
    <w:rPr>
      <w:rFonts w:ascii="Calibri Light" w:hAnsi="Calibri Light" w:cs="Calibri"/>
      <w:color w:val="414042" w:themeColor="text1"/>
      <w:sz w:val="14"/>
      <w:szCs w:val="1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79876">
      <w:bodyDiv w:val="1"/>
      <w:marLeft w:val="0"/>
      <w:marRight w:val="0"/>
      <w:marTop w:val="0"/>
      <w:marBottom w:val="0"/>
      <w:divBdr>
        <w:top w:val="none" w:sz="0" w:space="0" w:color="auto"/>
        <w:left w:val="none" w:sz="0" w:space="0" w:color="auto"/>
        <w:bottom w:val="none" w:sz="0" w:space="0" w:color="auto"/>
        <w:right w:val="none" w:sz="0" w:space="0" w:color="auto"/>
      </w:divBdr>
    </w:div>
    <w:div w:id="78644216">
      <w:bodyDiv w:val="1"/>
      <w:marLeft w:val="0"/>
      <w:marRight w:val="0"/>
      <w:marTop w:val="0"/>
      <w:marBottom w:val="0"/>
      <w:divBdr>
        <w:top w:val="none" w:sz="0" w:space="0" w:color="auto"/>
        <w:left w:val="none" w:sz="0" w:space="0" w:color="auto"/>
        <w:bottom w:val="none" w:sz="0" w:space="0" w:color="auto"/>
        <w:right w:val="none" w:sz="0" w:space="0" w:color="auto"/>
      </w:divBdr>
    </w:div>
    <w:div w:id="86659625">
      <w:bodyDiv w:val="1"/>
      <w:marLeft w:val="0"/>
      <w:marRight w:val="0"/>
      <w:marTop w:val="0"/>
      <w:marBottom w:val="0"/>
      <w:divBdr>
        <w:top w:val="none" w:sz="0" w:space="0" w:color="auto"/>
        <w:left w:val="none" w:sz="0" w:space="0" w:color="auto"/>
        <w:bottom w:val="none" w:sz="0" w:space="0" w:color="auto"/>
        <w:right w:val="none" w:sz="0" w:space="0" w:color="auto"/>
      </w:divBdr>
    </w:div>
    <w:div w:id="106048215">
      <w:bodyDiv w:val="1"/>
      <w:marLeft w:val="0"/>
      <w:marRight w:val="0"/>
      <w:marTop w:val="0"/>
      <w:marBottom w:val="0"/>
      <w:divBdr>
        <w:top w:val="none" w:sz="0" w:space="0" w:color="auto"/>
        <w:left w:val="none" w:sz="0" w:space="0" w:color="auto"/>
        <w:bottom w:val="none" w:sz="0" w:space="0" w:color="auto"/>
        <w:right w:val="none" w:sz="0" w:space="0" w:color="auto"/>
      </w:divBdr>
    </w:div>
    <w:div w:id="176965729">
      <w:bodyDiv w:val="1"/>
      <w:marLeft w:val="0"/>
      <w:marRight w:val="0"/>
      <w:marTop w:val="0"/>
      <w:marBottom w:val="0"/>
      <w:divBdr>
        <w:top w:val="none" w:sz="0" w:space="0" w:color="auto"/>
        <w:left w:val="none" w:sz="0" w:space="0" w:color="auto"/>
        <w:bottom w:val="none" w:sz="0" w:space="0" w:color="auto"/>
        <w:right w:val="none" w:sz="0" w:space="0" w:color="auto"/>
      </w:divBdr>
    </w:div>
    <w:div w:id="184490216">
      <w:bodyDiv w:val="1"/>
      <w:marLeft w:val="0"/>
      <w:marRight w:val="0"/>
      <w:marTop w:val="0"/>
      <w:marBottom w:val="0"/>
      <w:divBdr>
        <w:top w:val="none" w:sz="0" w:space="0" w:color="auto"/>
        <w:left w:val="none" w:sz="0" w:space="0" w:color="auto"/>
        <w:bottom w:val="none" w:sz="0" w:space="0" w:color="auto"/>
        <w:right w:val="none" w:sz="0" w:space="0" w:color="auto"/>
      </w:divBdr>
    </w:div>
    <w:div w:id="204224713">
      <w:bodyDiv w:val="1"/>
      <w:marLeft w:val="0"/>
      <w:marRight w:val="0"/>
      <w:marTop w:val="0"/>
      <w:marBottom w:val="0"/>
      <w:divBdr>
        <w:top w:val="none" w:sz="0" w:space="0" w:color="auto"/>
        <w:left w:val="none" w:sz="0" w:space="0" w:color="auto"/>
        <w:bottom w:val="none" w:sz="0" w:space="0" w:color="auto"/>
        <w:right w:val="none" w:sz="0" w:space="0" w:color="auto"/>
      </w:divBdr>
    </w:div>
    <w:div w:id="226574547">
      <w:bodyDiv w:val="1"/>
      <w:marLeft w:val="0"/>
      <w:marRight w:val="0"/>
      <w:marTop w:val="0"/>
      <w:marBottom w:val="0"/>
      <w:divBdr>
        <w:top w:val="none" w:sz="0" w:space="0" w:color="auto"/>
        <w:left w:val="none" w:sz="0" w:space="0" w:color="auto"/>
        <w:bottom w:val="none" w:sz="0" w:space="0" w:color="auto"/>
        <w:right w:val="none" w:sz="0" w:space="0" w:color="auto"/>
      </w:divBdr>
    </w:div>
    <w:div w:id="227695464">
      <w:bodyDiv w:val="1"/>
      <w:marLeft w:val="0"/>
      <w:marRight w:val="0"/>
      <w:marTop w:val="0"/>
      <w:marBottom w:val="0"/>
      <w:divBdr>
        <w:top w:val="none" w:sz="0" w:space="0" w:color="auto"/>
        <w:left w:val="none" w:sz="0" w:space="0" w:color="auto"/>
        <w:bottom w:val="none" w:sz="0" w:space="0" w:color="auto"/>
        <w:right w:val="none" w:sz="0" w:space="0" w:color="auto"/>
      </w:divBdr>
    </w:div>
    <w:div w:id="331487900">
      <w:bodyDiv w:val="1"/>
      <w:marLeft w:val="0"/>
      <w:marRight w:val="0"/>
      <w:marTop w:val="0"/>
      <w:marBottom w:val="0"/>
      <w:divBdr>
        <w:top w:val="none" w:sz="0" w:space="0" w:color="auto"/>
        <w:left w:val="none" w:sz="0" w:space="0" w:color="auto"/>
        <w:bottom w:val="none" w:sz="0" w:space="0" w:color="auto"/>
        <w:right w:val="none" w:sz="0" w:space="0" w:color="auto"/>
      </w:divBdr>
    </w:div>
    <w:div w:id="332222878">
      <w:bodyDiv w:val="1"/>
      <w:marLeft w:val="0"/>
      <w:marRight w:val="0"/>
      <w:marTop w:val="0"/>
      <w:marBottom w:val="0"/>
      <w:divBdr>
        <w:top w:val="none" w:sz="0" w:space="0" w:color="auto"/>
        <w:left w:val="none" w:sz="0" w:space="0" w:color="auto"/>
        <w:bottom w:val="none" w:sz="0" w:space="0" w:color="auto"/>
        <w:right w:val="none" w:sz="0" w:space="0" w:color="auto"/>
      </w:divBdr>
    </w:div>
    <w:div w:id="388723910">
      <w:bodyDiv w:val="1"/>
      <w:marLeft w:val="0"/>
      <w:marRight w:val="0"/>
      <w:marTop w:val="0"/>
      <w:marBottom w:val="0"/>
      <w:divBdr>
        <w:top w:val="none" w:sz="0" w:space="0" w:color="auto"/>
        <w:left w:val="none" w:sz="0" w:space="0" w:color="auto"/>
        <w:bottom w:val="none" w:sz="0" w:space="0" w:color="auto"/>
        <w:right w:val="none" w:sz="0" w:space="0" w:color="auto"/>
      </w:divBdr>
    </w:div>
    <w:div w:id="408310411">
      <w:bodyDiv w:val="1"/>
      <w:marLeft w:val="0"/>
      <w:marRight w:val="0"/>
      <w:marTop w:val="0"/>
      <w:marBottom w:val="0"/>
      <w:divBdr>
        <w:top w:val="none" w:sz="0" w:space="0" w:color="auto"/>
        <w:left w:val="none" w:sz="0" w:space="0" w:color="auto"/>
        <w:bottom w:val="none" w:sz="0" w:space="0" w:color="auto"/>
        <w:right w:val="none" w:sz="0" w:space="0" w:color="auto"/>
      </w:divBdr>
    </w:div>
    <w:div w:id="408506852">
      <w:bodyDiv w:val="1"/>
      <w:marLeft w:val="0"/>
      <w:marRight w:val="0"/>
      <w:marTop w:val="0"/>
      <w:marBottom w:val="0"/>
      <w:divBdr>
        <w:top w:val="none" w:sz="0" w:space="0" w:color="auto"/>
        <w:left w:val="none" w:sz="0" w:space="0" w:color="auto"/>
        <w:bottom w:val="none" w:sz="0" w:space="0" w:color="auto"/>
        <w:right w:val="none" w:sz="0" w:space="0" w:color="auto"/>
      </w:divBdr>
    </w:div>
    <w:div w:id="418019513">
      <w:bodyDiv w:val="1"/>
      <w:marLeft w:val="0"/>
      <w:marRight w:val="0"/>
      <w:marTop w:val="0"/>
      <w:marBottom w:val="0"/>
      <w:divBdr>
        <w:top w:val="none" w:sz="0" w:space="0" w:color="auto"/>
        <w:left w:val="none" w:sz="0" w:space="0" w:color="auto"/>
        <w:bottom w:val="none" w:sz="0" w:space="0" w:color="auto"/>
        <w:right w:val="none" w:sz="0" w:space="0" w:color="auto"/>
      </w:divBdr>
    </w:div>
    <w:div w:id="431751587">
      <w:bodyDiv w:val="1"/>
      <w:marLeft w:val="0"/>
      <w:marRight w:val="0"/>
      <w:marTop w:val="0"/>
      <w:marBottom w:val="0"/>
      <w:divBdr>
        <w:top w:val="none" w:sz="0" w:space="0" w:color="auto"/>
        <w:left w:val="none" w:sz="0" w:space="0" w:color="auto"/>
        <w:bottom w:val="none" w:sz="0" w:space="0" w:color="auto"/>
        <w:right w:val="none" w:sz="0" w:space="0" w:color="auto"/>
      </w:divBdr>
    </w:div>
    <w:div w:id="501942122">
      <w:bodyDiv w:val="1"/>
      <w:marLeft w:val="0"/>
      <w:marRight w:val="0"/>
      <w:marTop w:val="0"/>
      <w:marBottom w:val="0"/>
      <w:divBdr>
        <w:top w:val="none" w:sz="0" w:space="0" w:color="auto"/>
        <w:left w:val="none" w:sz="0" w:space="0" w:color="auto"/>
        <w:bottom w:val="none" w:sz="0" w:space="0" w:color="auto"/>
        <w:right w:val="none" w:sz="0" w:space="0" w:color="auto"/>
      </w:divBdr>
    </w:div>
    <w:div w:id="516189551">
      <w:bodyDiv w:val="1"/>
      <w:marLeft w:val="0"/>
      <w:marRight w:val="0"/>
      <w:marTop w:val="0"/>
      <w:marBottom w:val="0"/>
      <w:divBdr>
        <w:top w:val="none" w:sz="0" w:space="0" w:color="auto"/>
        <w:left w:val="none" w:sz="0" w:space="0" w:color="auto"/>
        <w:bottom w:val="none" w:sz="0" w:space="0" w:color="auto"/>
        <w:right w:val="none" w:sz="0" w:space="0" w:color="auto"/>
      </w:divBdr>
    </w:div>
    <w:div w:id="540482924">
      <w:bodyDiv w:val="1"/>
      <w:marLeft w:val="0"/>
      <w:marRight w:val="0"/>
      <w:marTop w:val="0"/>
      <w:marBottom w:val="0"/>
      <w:divBdr>
        <w:top w:val="none" w:sz="0" w:space="0" w:color="auto"/>
        <w:left w:val="none" w:sz="0" w:space="0" w:color="auto"/>
        <w:bottom w:val="none" w:sz="0" w:space="0" w:color="auto"/>
        <w:right w:val="none" w:sz="0" w:space="0" w:color="auto"/>
      </w:divBdr>
    </w:div>
    <w:div w:id="574707718">
      <w:bodyDiv w:val="1"/>
      <w:marLeft w:val="0"/>
      <w:marRight w:val="0"/>
      <w:marTop w:val="0"/>
      <w:marBottom w:val="0"/>
      <w:divBdr>
        <w:top w:val="none" w:sz="0" w:space="0" w:color="auto"/>
        <w:left w:val="none" w:sz="0" w:space="0" w:color="auto"/>
        <w:bottom w:val="none" w:sz="0" w:space="0" w:color="auto"/>
        <w:right w:val="none" w:sz="0" w:space="0" w:color="auto"/>
      </w:divBdr>
    </w:div>
    <w:div w:id="598414607">
      <w:bodyDiv w:val="1"/>
      <w:marLeft w:val="0"/>
      <w:marRight w:val="0"/>
      <w:marTop w:val="0"/>
      <w:marBottom w:val="0"/>
      <w:divBdr>
        <w:top w:val="none" w:sz="0" w:space="0" w:color="auto"/>
        <w:left w:val="none" w:sz="0" w:space="0" w:color="auto"/>
        <w:bottom w:val="none" w:sz="0" w:space="0" w:color="auto"/>
        <w:right w:val="none" w:sz="0" w:space="0" w:color="auto"/>
      </w:divBdr>
    </w:div>
    <w:div w:id="660692430">
      <w:bodyDiv w:val="1"/>
      <w:marLeft w:val="0"/>
      <w:marRight w:val="0"/>
      <w:marTop w:val="0"/>
      <w:marBottom w:val="0"/>
      <w:divBdr>
        <w:top w:val="none" w:sz="0" w:space="0" w:color="auto"/>
        <w:left w:val="none" w:sz="0" w:space="0" w:color="auto"/>
        <w:bottom w:val="none" w:sz="0" w:space="0" w:color="auto"/>
        <w:right w:val="none" w:sz="0" w:space="0" w:color="auto"/>
      </w:divBdr>
    </w:div>
    <w:div w:id="691539222">
      <w:bodyDiv w:val="1"/>
      <w:marLeft w:val="0"/>
      <w:marRight w:val="0"/>
      <w:marTop w:val="0"/>
      <w:marBottom w:val="0"/>
      <w:divBdr>
        <w:top w:val="none" w:sz="0" w:space="0" w:color="auto"/>
        <w:left w:val="none" w:sz="0" w:space="0" w:color="auto"/>
        <w:bottom w:val="none" w:sz="0" w:space="0" w:color="auto"/>
        <w:right w:val="none" w:sz="0" w:space="0" w:color="auto"/>
      </w:divBdr>
    </w:div>
    <w:div w:id="704869469">
      <w:bodyDiv w:val="1"/>
      <w:marLeft w:val="0"/>
      <w:marRight w:val="0"/>
      <w:marTop w:val="0"/>
      <w:marBottom w:val="0"/>
      <w:divBdr>
        <w:top w:val="none" w:sz="0" w:space="0" w:color="auto"/>
        <w:left w:val="none" w:sz="0" w:space="0" w:color="auto"/>
        <w:bottom w:val="none" w:sz="0" w:space="0" w:color="auto"/>
        <w:right w:val="none" w:sz="0" w:space="0" w:color="auto"/>
      </w:divBdr>
    </w:div>
    <w:div w:id="710034444">
      <w:bodyDiv w:val="1"/>
      <w:marLeft w:val="0"/>
      <w:marRight w:val="0"/>
      <w:marTop w:val="0"/>
      <w:marBottom w:val="0"/>
      <w:divBdr>
        <w:top w:val="none" w:sz="0" w:space="0" w:color="auto"/>
        <w:left w:val="none" w:sz="0" w:space="0" w:color="auto"/>
        <w:bottom w:val="none" w:sz="0" w:space="0" w:color="auto"/>
        <w:right w:val="none" w:sz="0" w:space="0" w:color="auto"/>
      </w:divBdr>
    </w:div>
    <w:div w:id="712000370">
      <w:bodyDiv w:val="1"/>
      <w:marLeft w:val="0"/>
      <w:marRight w:val="0"/>
      <w:marTop w:val="0"/>
      <w:marBottom w:val="0"/>
      <w:divBdr>
        <w:top w:val="none" w:sz="0" w:space="0" w:color="auto"/>
        <w:left w:val="none" w:sz="0" w:space="0" w:color="auto"/>
        <w:bottom w:val="none" w:sz="0" w:space="0" w:color="auto"/>
        <w:right w:val="none" w:sz="0" w:space="0" w:color="auto"/>
      </w:divBdr>
    </w:div>
    <w:div w:id="770079075">
      <w:bodyDiv w:val="1"/>
      <w:marLeft w:val="0"/>
      <w:marRight w:val="0"/>
      <w:marTop w:val="0"/>
      <w:marBottom w:val="0"/>
      <w:divBdr>
        <w:top w:val="none" w:sz="0" w:space="0" w:color="auto"/>
        <w:left w:val="none" w:sz="0" w:space="0" w:color="auto"/>
        <w:bottom w:val="none" w:sz="0" w:space="0" w:color="auto"/>
        <w:right w:val="none" w:sz="0" w:space="0" w:color="auto"/>
      </w:divBdr>
    </w:div>
    <w:div w:id="812403959">
      <w:bodyDiv w:val="1"/>
      <w:marLeft w:val="0"/>
      <w:marRight w:val="0"/>
      <w:marTop w:val="0"/>
      <w:marBottom w:val="0"/>
      <w:divBdr>
        <w:top w:val="none" w:sz="0" w:space="0" w:color="auto"/>
        <w:left w:val="none" w:sz="0" w:space="0" w:color="auto"/>
        <w:bottom w:val="none" w:sz="0" w:space="0" w:color="auto"/>
        <w:right w:val="none" w:sz="0" w:space="0" w:color="auto"/>
      </w:divBdr>
    </w:div>
    <w:div w:id="837573271">
      <w:bodyDiv w:val="1"/>
      <w:marLeft w:val="0"/>
      <w:marRight w:val="0"/>
      <w:marTop w:val="0"/>
      <w:marBottom w:val="0"/>
      <w:divBdr>
        <w:top w:val="none" w:sz="0" w:space="0" w:color="auto"/>
        <w:left w:val="none" w:sz="0" w:space="0" w:color="auto"/>
        <w:bottom w:val="none" w:sz="0" w:space="0" w:color="auto"/>
        <w:right w:val="none" w:sz="0" w:space="0" w:color="auto"/>
      </w:divBdr>
    </w:div>
    <w:div w:id="854810266">
      <w:bodyDiv w:val="1"/>
      <w:marLeft w:val="0"/>
      <w:marRight w:val="0"/>
      <w:marTop w:val="0"/>
      <w:marBottom w:val="0"/>
      <w:divBdr>
        <w:top w:val="none" w:sz="0" w:space="0" w:color="auto"/>
        <w:left w:val="none" w:sz="0" w:space="0" w:color="auto"/>
        <w:bottom w:val="none" w:sz="0" w:space="0" w:color="auto"/>
        <w:right w:val="none" w:sz="0" w:space="0" w:color="auto"/>
      </w:divBdr>
    </w:div>
    <w:div w:id="973409687">
      <w:bodyDiv w:val="1"/>
      <w:marLeft w:val="0"/>
      <w:marRight w:val="0"/>
      <w:marTop w:val="0"/>
      <w:marBottom w:val="0"/>
      <w:divBdr>
        <w:top w:val="none" w:sz="0" w:space="0" w:color="auto"/>
        <w:left w:val="none" w:sz="0" w:space="0" w:color="auto"/>
        <w:bottom w:val="none" w:sz="0" w:space="0" w:color="auto"/>
        <w:right w:val="none" w:sz="0" w:space="0" w:color="auto"/>
      </w:divBdr>
    </w:div>
    <w:div w:id="1081878917">
      <w:bodyDiv w:val="1"/>
      <w:marLeft w:val="0"/>
      <w:marRight w:val="0"/>
      <w:marTop w:val="0"/>
      <w:marBottom w:val="0"/>
      <w:divBdr>
        <w:top w:val="none" w:sz="0" w:space="0" w:color="auto"/>
        <w:left w:val="none" w:sz="0" w:space="0" w:color="auto"/>
        <w:bottom w:val="none" w:sz="0" w:space="0" w:color="auto"/>
        <w:right w:val="none" w:sz="0" w:space="0" w:color="auto"/>
      </w:divBdr>
    </w:div>
    <w:div w:id="1107389136">
      <w:bodyDiv w:val="1"/>
      <w:marLeft w:val="0"/>
      <w:marRight w:val="0"/>
      <w:marTop w:val="0"/>
      <w:marBottom w:val="0"/>
      <w:divBdr>
        <w:top w:val="none" w:sz="0" w:space="0" w:color="auto"/>
        <w:left w:val="none" w:sz="0" w:space="0" w:color="auto"/>
        <w:bottom w:val="none" w:sz="0" w:space="0" w:color="auto"/>
        <w:right w:val="none" w:sz="0" w:space="0" w:color="auto"/>
      </w:divBdr>
    </w:div>
    <w:div w:id="1113090485">
      <w:bodyDiv w:val="1"/>
      <w:marLeft w:val="0"/>
      <w:marRight w:val="0"/>
      <w:marTop w:val="0"/>
      <w:marBottom w:val="0"/>
      <w:divBdr>
        <w:top w:val="none" w:sz="0" w:space="0" w:color="auto"/>
        <w:left w:val="none" w:sz="0" w:space="0" w:color="auto"/>
        <w:bottom w:val="none" w:sz="0" w:space="0" w:color="auto"/>
        <w:right w:val="none" w:sz="0" w:space="0" w:color="auto"/>
      </w:divBdr>
    </w:div>
    <w:div w:id="1148593625">
      <w:bodyDiv w:val="1"/>
      <w:marLeft w:val="0"/>
      <w:marRight w:val="0"/>
      <w:marTop w:val="0"/>
      <w:marBottom w:val="0"/>
      <w:divBdr>
        <w:top w:val="none" w:sz="0" w:space="0" w:color="auto"/>
        <w:left w:val="none" w:sz="0" w:space="0" w:color="auto"/>
        <w:bottom w:val="none" w:sz="0" w:space="0" w:color="auto"/>
        <w:right w:val="none" w:sz="0" w:space="0" w:color="auto"/>
      </w:divBdr>
    </w:div>
    <w:div w:id="1155145170">
      <w:bodyDiv w:val="1"/>
      <w:marLeft w:val="0"/>
      <w:marRight w:val="0"/>
      <w:marTop w:val="0"/>
      <w:marBottom w:val="0"/>
      <w:divBdr>
        <w:top w:val="none" w:sz="0" w:space="0" w:color="auto"/>
        <w:left w:val="none" w:sz="0" w:space="0" w:color="auto"/>
        <w:bottom w:val="none" w:sz="0" w:space="0" w:color="auto"/>
        <w:right w:val="none" w:sz="0" w:space="0" w:color="auto"/>
      </w:divBdr>
    </w:div>
    <w:div w:id="1156923069">
      <w:bodyDiv w:val="1"/>
      <w:marLeft w:val="0"/>
      <w:marRight w:val="0"/>
      <w:marTop w:val="0"/>
      <w:marBottom w:val="0"/>
      <w:divBdr>
        <w:top w:val="none" w:sz="0" w:space="0" w:color="auto"/>
        <w:left w:val="none" w:sz="0" w:space="0" w:color="auto"/>
        <w:bottom w:val="none" w:sz="0" w:space="0" w:color="auto"/>
        <w:right w:val="none" w:sz="0" w:space="0" w:color="auto"/>
      </w:divBdr>
    </w:div>
    <w:div w:id="1213346760">
      <w:bodyDiv w:val="1"/>
      <w:marLeft w:val="0"/>
      <w:marRight w:val="0"/>
      <w:marTop w:val="0"/>
      <w:marBottom w:val="0"/>
      <w:divBdr>
        <w:top w:val="none" w:sz="0" w:space="0" w:color="auto"/>
        <w:left w:val="none" w:sz="0" w:space="0" w:color="auto"/>
        <w:bottom w:val="none" w:sz="0" w:space="0" w:color="auto"/>
        <w:right w:val="none" w:sz="0" w:space="0" w:color="auto"/>
      </w:divBdr>
    </w:div>
    <w:div w:id="1219124530">
      <w:bodyDiv w:val="1"/>
      <w:marLeft w:val="0"/>
      <w:marRight w:val="0"/>
      <w:marTop w:val="0"/>
      <w:marBottom w:val="0"/>
      <w:divBdr>
        <w:top w:val="none" w:sz="0" w:space="0" w:color="auto"/>
        <w:left w:val="none" w:sz="0" w:space="0" w:color="auto"/>
        <w:bottom w:val="none" w:sz="0" w:space="0" w:color="auto"/>
        <w:right w:val="none" w:sz="0" w:space="0" w:color="auto"/>
      </w:divBdr>
    </w:div>
    <w:div w:id="1223642559">
      <w:bodyDiv w:val="1"/>
      <w:marLeft w:val="0"/>
      <w:marRight w:val="0"/>
      <w:marTop w:val="0"/>
      <w:marBottom w:val="0"/>
      <w:divBdr>
        <w:top w:val="none" w:sz="0" w:space="0" w:color="auto"/>
        <w:left w:val="none" w:sz="0" w:space="0" w:color="auto"/>
        <w:bottom w:val="none" w:sz="0" w:space="0" w:color="auto"/>
        <w:right w:val="none" w:sz="0" w:space="0" w:color="auto"/>
      </w:divBdr>
    </w:div>
    <w:div w:id="1243831232">
      <w:bodyDiv w:val="1"/>
      <w:marLeft w:val="0"/>
      <w:marRight w:val="0"/>
      <w:marTop w:val="0"/>
      <w:marBottom w:val="0"/>
      <w:divBdr>
        <w:top w:val="none" w:sz="0" w:space="0" w:color="auto"/>
        <w:left w:val="none" w:sz="0" w:space="0" w:color="auto"/>
        <w:bottom w:val="none" w:sz="0" w:space="0" w:color="auto"/>
        <w:right w:val="none" w:sz="0" w:space="0" w:color="auto"/>
      </w:divBdr>
    </w:div>
    <w:div w:id="1256093274">
      <w:bodyDiv w:val="1"/>
      <w:marLeft w:val="0"/>
      <w:marRight w:val="0"/>
      <w:marTop w:val="0"/>
      <w:marBottom w:val="0"/>
      <w:divBdr>
        <w:top w:val="none" w:sz="0" w:space="0" w:color="auto"/>
        <w:left w:val="none" w:sz="0" w:space="0" w:color="auto"/>
        <w:bottom w:val="none" w:sz="0" w:space="0" w:color="auto"/>
        <w:right w:val="none" w:sz="0" w:space="0" w:color="auto"/>
      </w:divBdr>
    </w:div>
    <w:div w:id="1322734388">
      <w:bodyDiv w:val="1"/>
      <w:marLeft w:val="0"/>
      <w:marRight w:val="0"/>
      <w:marTop w:val="0"/>
      <w:marBottom w:val="0"/>
      <w:divBdr>
        <w:top w:val="none" w:sz="0" w:space="0" w:color="auto"/>
        <w:left w:val="none" w:sz="0" w:space="0" w:color="auto"/>
        <w:bottom w:val="none" w:sz="0" w:space="0" w:color="auto"/>
        <w:right w:val="none" w:sz="0" w:space="0" w:color="auto"/>
      </w:divBdr>
    </w:div>
    <w:div w:id="1328434985">
      <w:bodyDiv w:val="1"/>
      <w:marLeft w:val="0"/>
      <w:marRight w:val="0"/>
      <w:marTop w:val="0"/>
      <w:marBottom w:val="0"/>
      <w:divBdr>
        <w:top w:val="none" w:sz="0" w:space="0" w:color="auto"/>
        <w:left w:val="none" w:sz="0" w:space="0" w:color="auto"/>
        <w:bottom w:val="none" w:sz="0" w:space="0" w:color="auto"/>
        <w:right w:val="none" w:sz="0" w:space="0" w:color="auto"/>
      </w:divBdr>
    </w:div>
    <w:div w:id="1366178152">
      <w:bodyDiv w:val="1"/>
      <w:marLeft w:val="0"/>
      <w:marRight w:val="0"/>
      <w:marTop w:val="0"/>
      <w:marBottom w:val="0"/>
      <w:divBdr>
        <w:top w:val="none" w:sz="0" w:space="0" w:color="auto"/>
        <w:left w:val="none" w:sz="0" w:space="0" w:color="auto"/>
        <w:bottom w:val="none" w:sz="0" w:space="0" w:color="auto"/>
        <w:right w:val="none" w:sz="0" w:space="0" w:color="auto"/>
      </w:divBdr>
    </w:div>
    <w:div w:id="1369719828">
      <w:bodyDiv w:val="1"/>
      <w:marLeft w:val="0"/>
      <w:marRight w:val="0"/>
      <w:marTop w:val="0"/>
      <w:marBottom w:val="0"/>
      <w:divBdr>
        <w:top w:val="none" w:sz="0" w:space="0" w:color="auto"/>
        <w:left w:val="none" w:sz="0" w:space="0" w:color="auto"/>
        <w:bottom w:val="none" w:sz="0" w:space="0" w:color="auto"/>
        <w:right w:val="none" w:sz="0" w:space="0" w:color="auto"/>
      </w:divBdr>
    </w:div>
    <w:div w:id="1457526638">
      <w:bodyDiv w:val="1"/>
      <w:marLeft w:val="0"/>
      <w:marRight w:val="0"/>
      <w:marTop w:val="0"/>
      <w:marBottom w:val="0"/>
      <w:divBdr>
        <w:top w:val="none" w:sz="0" w:space="0" w:color="auto"/>
        <w:left w:val="none" w:sz="0" w:space="0" w:color="auto"/>
        <w:bottom w:val="none" w:sz="0" w:space="0" w:color="auto"/>
        <w:right w:val="none" w:sz="0" w:space="0" w:color="auto"/>
      </w:divBdr>
    </w:div>
    <w:div w:id="1459378537">
      <w:bodyDiv w:val="1"/>
      <w:marLeft w:val="0"/>
      <w:marRight w:val="0"/>
      <w:marTop w:val="0"/>
      <w:marBottom w:val="0"/>
      <w:divBdr>
        <w:top w:val="none" w:sz="0" w:space="0" w:color="auto"/>
        <w:left w:val="none" w:sz="0" w:space="0" w:color="auto"/>
        <w:bottom w:val="none" w:sz="0" w:space="0" w:color="auto"/>
        <w:right w:val="none" w:sz="0" w:space="0" w:color="auto"/>
      </w:divBdr>
    </w:div>
    <w:div w:id="1543442036">
      <w:bodyDiv w:val="1"/>
      <w:marLeft w:val="0"/>
      <w:marRight w:val="0"/>
      <w:marTop w:val="0"/>
      <w:marBottom w:val="0"/>
      <w:divBdr>
        <w:top w:val="none" w:sz="0" w:space="0" w:color="auto"/>
        <w:left w:val="none" w:sz="0" w:space="0" w:color="auto"/>
        <w:bottom w:val="none" w:sz="0" w:space="0" w:color="auto"/>
        <w:right w:val="none" w:sz="0" w:space="0" w:color="auto"/>
      </w:divBdr>
    </w:div>
    <w:div w:id="1554002018">
      <w:bodyDiv w:val="1"/>
      <w:marLeft w:val="0"/>
      <w:marRight w:val="0"/>
      <w:marTop w:val="0"/>
      <w:marBottom w:val="0"/>
      <w:divBdr>
        <w:top w:val="none" w:sz="0" w:space="0" w:color="auto"/>
        <w:left w:val="none" w:sz="0" w:space="0" w:color="auto"/>
        <w:bottom w:val="none" w:sz="0" w:space="0" w:color="auto"/>
        <w:right w:val="none" w:sz="0" w:space="0" w:color="auto"/>
      </w:divBdr>
    </w:div>
    <w:div w:id="1564439793">
      <w:bodyDiv w:val="1"/>
      <w:marLeft w:val="0"/>
      <w:marRight w:val="0"/>
      <w:marTop w:val="0"/>
      <w:marBottom w:val="0"/>
      <w:divBdr>
        <w:top w:val="none" w:sz="0" w:space="0" w:color="auto"/>
        <w:left w:val="none" w:sz="0" w:space="0" w:color="auto"/>
        <w:bottom w:val="none" w:sz="0" w:space="0" w:color="auto"/>
        <w:right w:val="none" w:sz="0" w:space="0" w:color="auto"/>
      </w:divBdr>
    </w:div>
    <w:div w:id="1573349055">
      <w:bodyDiv w:val="1"/>
      <w:marLeft w:val="0"/>
      <w:marRight w:val="0"/>
      <w:marTop w:val="0"/>
      <w:marBottom w:val="0"/>
      <w:divBdr>
        <w:top w:val="none" w:sz="0" w:space="0" w:color="auto"/>
        <w:left w:val="none" w:sz="0" w:space="0" w:color="auto"/>
        <w:bottom w:val="none" w:sz="0" w:space="0" w:color="auto"/>
        <w:right w:val="none" w:sz="0" w:space="0" w:color="auto"/>
      </w:divBdr>
    </w:div>
    <w:div w:id="1615552481">
      <w:bodyDiv w:val="1"/>
      <w:marLeft w:val="0"/>
      <w:marRight w:val="0"/>
      <w:marTop w:val="0"/>
      <w:marBottom w:val="0"/>
      <w:divBdr>
        <w:top w:val="none" w:sz="0" w:space="0" w:color="auto"/>
        <w:left w:val="none" w:sz="0" w:space="0" w:color="auto"/>
        <w:bottom w:val="none" w:sz="0" w:space="0" w:color="auto"/>
        <w:right w:val="none" w:sz="0" w:space="0" w:color="auto"/>
      </w:divBdr>
    </w:div>
    <w:div w:id="1634670901">
      <w:bodyDiv w:val="1"/>
      <w:marLeft w:val="0"/>
      <w:marRight w:val="0"/>
      <w:marTop w:val="0"/>
      <w:marBottom w:val="0"/>
      <w:divBdr>
        <w:top w:val="none" w:sz="0" w:space="0" w:color="auto"/>
        <w:left w:val="none" w:sz="0" w:space="0" w:color="auto"/>
        <w:bottom w:val="none" w:sz="0" w:space="0" w:color="auto"/>
        <w:right w:val="none" w:sz="0" w:space="0" w:color="auto"/>
      </w:divBdr>
    </w:div>
    <w:div w:id="1705904784">
      <w:bodyDiv w:val="1"/>
      <w:marLeft w:val="0"/>
      <w:marRight w:val="0"/>
      <w:marTop w:val="0"/>
      <w:marBottom w:val="0"/>
      <w:divBdr>
        <w:top w:val="none" w:sz="0" w:space="0" w:color="auto"/>
        <w:left w:val="none" w:sz="0" w:space="0" w:color="auto"/>
        <w:bottom w:val="none" w:sz="0" w:space="0" w:color="auto"/>
        <w:right w:val="none" w:sz="0" w:space="0" w:color="auto"/>
      </w:divBdr>
    </w:div>
    <w:div w:id="1708292988">
      <w:bodyDiv w:val="1"/>
      <w:marLeft w:val="0"/>
      <w:marRight w:val="0"/>
      <w:marTop w:val="0"/>
      <w:marBottom w:val="0"/>
      <w:divBdr>
        <w:top w:val="none" w:sz="0" w:space="0" w:color="auto"/>
        <w:left w:val="none" w:sz="0" w:space="0" w:color="auto"/>
        <w:bottom w:val="none" w:sz="0" w:space="0" w:color="auto"/>
        <w:right w:val="none" w:sz="0" w:space="0" w:color="auto"/>
      </w:divBdr>
    </w:div>
    <w:div w:id="1757893968">
      <w:bodyDiv w:val="1"/>
      <w:marLeft w:val="0"/>
      <w:marRight w:val="0"/>
      <w:marTop w:val="0"/>
      <w:marBottom w:val="0"/>
      <w:divBdr>
        <w:top w:val="none" w:sz="0" w:space="0" w:color="auto"/>
        <w:left w:val="none" w:sz="0" w:space="0" w:color="auto"/>
        <w:bottom w:val="none" w:sz="0" w:space="0" w:color="auto"/>
        <w:right w:val="none" w:sz="0" w:space="0" w:color="auto"/>
      </w:divBdr>
    </w:div>
    <w:div w:id="1774204813">
      <w:bodyDiv w:val="1"/>
      <w:marLeft w:val="0"/>
      <w:marRight w:val="0"/>
      <w:marTop w:val="0"/>
      <w:marBottom w:val="0"/>
      <w:divBdr>
        <w:top w:val="none" w:sz="0" w:space="0" w:color="auto"/>
        <w:left w:val="none" w:sz="0" w:space="0" w:color="auto"/>
        <w:bottom w:val="none" w:sz="0" w:space="0" w:color="auto"/>
        <w:right w:val="none" w:sz="0" w:space="0" w:color="auto"/>
      </w:divBdr>
    </w:div>
    <w:div w:id="1860311372">
      <w:bodyDiv w:val="1"/>
      <w:marLeft w:val="0"/>
      <w:marRight w:val="0"/>
      <w:marTop w:val="0"/>
      <w:marBottom w:val="0"/>
      <w:divBdr>
        <w:top w:val="none" w:sz="0" w:space="0" w:color="auto"/>
        <w:left w:val="none" w:sz="0" w:space="0" w:color="auto"/>
        <w:bottom w:val="none" w:sz="0" w:space="0" w:color="auto"/>
        <w:right w:val="none" w:sz="0" w:space="0" w:color="auto"/>
      </w:divBdr>
    </w:div>
    <w:div w:id="1864398180">
      <w:bodyDiv w:val="1"/>
      <w:marLeft w:val="0"/>
      <w:marRight w:val="0"/>
      <w:marTop w:val="0"/>
      <w:marBottom w:val="0"/>
      <w:divBdr>
        <w:top w:val="none" w:sz="0" w:space="0" w:color="auto"/>
        <w:left w:val="none" w:sz="0" w:space="0" w:color="auto"/>
        <w:bottom w:val="none" w:sz="0" w:space="0" w:color="auto"/>
        <w:right w:val="none" w:sz="0" w:space="0" w:color="auto"/>
      </w:divBdr>
    </w:div>
    <w:div w:id="1881554782">
      <w:bodyDiv w:val="1"/>
      <w:marLeft w:val="0"/>
      <w:marRight w:val="0"/>
      <w:marTop w:val="0"/>
      <w:marBottom w:val="0"/>
      <w:divBdr>
        <w:top w:val="none" w:sz="0" w:space="0" w:color="auto"/>
        <w:left w:val="none" w:sz="0" w:space="0" w:color="auto"/>
        <w:bottom w:val="none" w:sz="0" w:space="0" w:color="auto"/>
        <w:right w:val="none" w:sz="0" w:space="0" w:color="auto"/>
      </w:divBdr>
    </w:div>
    <w:div w:id="1882747285">
      <w:bodyDiv w:val="1"/>
      <w:marLeft w:val="0"/>
      <w:marRight w:val="0"/>
      <w:marTop w:val="0"/>
      <w:marBottom w:val="0"/>
      <w:divBdr>
        <w:top w:val="none" w:sz="0" w:space="0" w:color="auto"/>
        <w:left w:val="none" w:sz="0" w:space="0" w:color="auto"/>
        <w:bottom w:val="none" w:sz="0" w:space="0" w:color="auto"/>
        <w:right w:val="none" w:sz="0" w:space="0" w:color="auto"/>
      </w:divBdr>
    </w:div>
    <w:div w:id="1897156488">
      <w:bodyDiv w:val="1"/>
      <w:marLeft w:val="0"/>
      <w:marRight w:val="0"/>
      <w:marTop w:val="0"/>
      <w:marBottom w:val="0"/>
      <w:divBdr>
        <w:top w:val="none" w:sz="0" w:space="0" w:color="auto"/>
        <w:left w:val="none" w:sz="0" w:space="0" w:color="auto"/>
        <w:bottom w:val="none" w:sz="0" w:space="0" w:color="auto"/>
        <w:right w:val="none" w:sz="0" w:space="0" w:color="auto"/>
      </w:divBdr>
    </w:div>
    <w:div w:id="1908033021">
      <w:bodyDiv w:val="1"/>
      <w:marLeft w:val="0"/>
      <w:marRight w:val="0"/>
      <w:marTop w:val="0"/>
      <w:marBottom w:val="0"/>
      <w:divBdr>
        <w:top w:val="none" w:sz="0" w:space="0" w:color="auto"/>
        <w:left w:val="none" w:sz="0" w:space="0" w:color="auto"/>
        <w:bottom w:val="none" w:sz="0" w:space="0" w:color="auto"/>
        <w:right w:val="none" w:sz="0" w:space="0" w:color="auto"/>
      </w:divBdr>
    </w:div>
    <w:div w:id="1913613829">
      <w:bodyDiv w:val="1"/>
      <w:marLeft w:val="0"/>
      <w:marRight w:val="0"/>
      <w:marTop w:val="0"/>
      <w:marBottom w:val="0"/>
      <w:divBdr>
        <w:top w:val="none" w:sz="0" w:space="0" w:color="auto"/>
        <w:left w:val="none" w:sz="0" w:space="0" w:color="auto"/>
        <w:bottom w:val="none" w:sz="0" w:space="0" w:color="auto"/>
        <w:right w:val="none" w:sz="0" w:space="0" w:color="auto"/>
      </w:divBdr>
    </w:div>
    <w:div w:id="1964261495">
      <w:bodyDiv w:val="1"/>
      <w:marLeft w:val="0"/>
      <w:marRight w:val="0"/>
      <w:marTop w:val="0"/>
      <w:marBottom w:val="0"/>
      <w:divBdr>
        <w:top w:val="none" w:sz="0" w:space="0" w:color="auto"/>
        <w:left w:val="none" w:sz="0" w:space="0" w:color="auto"/>
        <w:bottom w:val="none" w:sz="0" w:space="0" w:color="auto"/>
        <w:right w:val="none" w:sz="0" w:space="0" w:color="auto"/>
      </w:divBdr>
    </w:div>
    <w:div w:id="2045059475">
      <w:bodyDiv w:val="1"/>
      <w:marLeft w:val="0"/>
      <w:marRight w:val="0"/>
      <w:marTop w:val="0"/>
      <w:marBottom w:val="0"/>
      <w:divBdr>
        <w:top w:val="none" w:sz="0" w:space="0" w:color="auto"/>
        <w:left w:val="none" w:sz="0" w:space="0" w:color="auto"/>
        <w:bottom w:val="none" w:sz="0" w:space="0" w:color="auto"/>
        <w:right w:val="none" w:sz="0" w:space="0" w:color="auto"/>
      </w:divBdr>
    </w:div>
    <w:div w:id="2067609535">
      <w:bodyDiv w:val="1"/>
      <w:marLeft w:val="0"/>
      <w:marRight w:val="0"/>
      <w:marTop w:val="0"/>
      <w:marBottom w:val="0"/>
      <w:divBdr>
        <w:top w:val="none" w:sz="0" w:space="0" w:color="auto"/>
        <w:left w:val="none" w:sz="0" w:space="0" w:color="auto"/>
        <w:bottom w:val="none" w:sz="0" w:space="0" w:color="auto"/>
        <w:right w:val="none" w:sz="0" w:space="0" w:color="auto"/>
      </w:divBdr>
    </w:div>
    <w:div w:id="2074311498">
      <w:bodyDiv w:val="1"/>
      <w:marLeft w:val="0"/>
      <w:marRight w:val="0"/>
      <w:marTop w:val="0"/>
      <w:marBottom w:val="0"/>
      <w:divBdr>
        <w:top w:val="none" w:sz="0" w:space="0" w:color="auto"/>
        <w:left w:val="none" w:sz="0" w:space="0" w:color="auto"/>
        <w:bottom w:val="none" w:sz="0" w:space="0" w:color="auto"/>
        <w:right w:val="none" w:sz="0" w:space="0" w:color="auto"/>
      </w:divBdr>
    </w:div>
    <w:div w:id="2131580846">
      <w:bodyDiv w:val="1"/>
      <w:marLeft w:val="0"/>
      <w:marRight w:val="0"/>
      <w:marTop w:val="0"/>
      <w:marBottom w:val="0"/>
      <w:divBdr>
        <w:top w:val="none" w:sz="0" w:space="0" w:color="auto"/>
        <w:left w:val="none" w:sz="0" w:space="0" w:color="auto"/>
        <w:bottom w:val="none" w:sz="0" w:space="0" w:color="auto"/>
        <w:right w:val="none" w:sz="0" w:space="0" w:color="auto"/>
      </w:divBdr>
    </w:div>
    <w:div w:id="214310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xml"/><Relationship Id="rId299" Type="http://schemas.openxmlformats.org/officeDocument/2006/relationships/image" Target="media/image33.jpeg"/><Relationship Id="rId303" Type="http://schemas.openxmlformats.org/officeDocument/2006/relationships/header" Target="header207.xml"/><Relationship Id="rId21" Type="http://schemas.openxmlformats.org/officeDocument/2006/relationships/hyperlink" Target="mailto:mailbox@ccc.qld.gov.au.%20" TargetMode="External"/><Relationship Id="rId42" Type="http://schemas.openxmlformats.org/officeDocument/2006/relationships/header" Target="header13.xml"/><Relationship Id="rId63" Type="http://schemas.openxmlformats.org/officeDocument/2006/relationships/image" Target="media/image22.png"/><Relationship Id="rId84" Type="http://schemas.openxmlformats.org/officeDocument/2006/relationships/header" Target="header36.xml"/><Relationship Id="rId138" Type="http://schemas.openxmlformats.org/officeDocument/2006/relationships/header" Target="header71.xml"/><Relationship Id="rId159" Type="http://schemas.openxmlformats.org/officeDocument/2006/relationships/header" Target="header88.xml"/><Relationship Id="rId324" Type="http://schemas.openxmlformats.org/officeDocument/2006/relationships/footer" Target="footer30.xml"/><Relationship Id="rId170" Type="http://schemas.openxmlformats.org/officeDocument/2006/relationships/header" Target="header99.xml"/><Relationship Id="rId191" Type="http://schemas.openxmlformats.org/officeDocument/2006/relationships/header" Target="header115.xml"/><Relationship Id="rId205" Type="http://schemas.openxmlformats.org/officeDocument/2006/relationships/header" Target="header129.xml"/><Relationship Id="rId226" Type="http://schemas.openxmlformats.org/officeDocument/2006/relationships/header" Target="header146.xml"/><Relationship Id="rId247" Type="http://schemas.openxmlformats.org/officeDocument/2006/relationships/header" Target="header164.xml"/><Relationship Id="rId107" Type="http://schemas.openxmlformats.org/officeDocument/2006/relationships/header" Target="header57.xml"/><Relationship Id="rId268" Type="http://schemas.openxmlformats.org/officeDocument/2006/relationships/header" Target="header183.xml"/><Relationship Id="rId289" Type="http://schemas.openxmlformats.org/officeDocument/2006/relationships/header" Target="header199.xml"/><Relationship Id="rId11" Type="http://schemas.microsoft.com/office/2007/relationships/hdphoto" Target="media/hdphoto1.wdp"/><Relationship Id="rId32" Type="http://schemas.microsoft.com/office/2007/relationships/hdphoto" Target="media/hdphoto3.wdp"/><Relationship Id="rId53" Type="http://schemas.openxmlformats.org/officeDocument/2006/relationships/header" Target="header20.xml"/><Relationship Id="rId74" Type="http://schemas.openxmlformats.org/officeDocument/2006/relationships/header" Target="header28.xml"/><Relationship Id="rId128" Type="http://schemas.openxmlformats.org/officeDocument/2006/relationships/chart" Target="charts/chart11.xml"/><Relationship Id="rId149" Type="http://schemas.openxmlformats.org/officeDocument/2006/relationships/header" Target="header81.xml"/><Relationship Id="rId314" Type="http://schemas.openxmlformats.org/officeDocument/2006/relationships/footer" Target="footer29.xml"/><Relationship Id="rId5" Type="http://schemas.openxmlformats.org/officeDocument/2006/relationships/settings" Target="settings.xml"/><Relationship Id="rId95" Type="http://schemas.openxmlformats.org/officeDocument/2006/relationships/header" Target="header45.xml"/><Relationship Id="rId160" Type="http://schemas.openxmlformats.org/officeDocument/2006/relationships/header" Target="header89.xml"/><Relationship Id="rId181" Type="http://schemas.openxmlformats.org/officeDocument/2006/relationships/header" Target="header106.xml"/><Relationship Id="rId216" Type="http://schemas.openxmlformats.org/officeDocument/2006/relationships/header" Target="header138.xml"/><Relationship Id="rId237" Type="http://schemas.openxmlformats.org/officeDocument/2006/relationships/header" Target="header155.xml"/><Relationship Id="rId258" Type="http://schemas.openxmlformats.org/officeDocument/2006/relationships/header" Target="header174.xml"/><Relationship Id="rId279" Type="http://schemas.openxmlformats.org/officeDocument/2006/relationships/header" Target="header190.xml"/><Relationship Id="rId22" Type="http://schemas.openxmlformats.org/officeDocument/2006/relationships/hyperlink" Target="mailto:mailbox@ccc.qld.gov.au" TargetMode="External"/><Relationship Id="rId43" Type="http://schemas.openxmlformats.org/officeDocument/2006/relationships/header" Target="header14.xml"/><Relationship Id="rId64" Type="http://schemas.microsoft.com/office/2007/relationships/hdphoto" Target="media/hdphoto5.wdp"/><Relationship Id="rId118" Type="http://schemas.openxmlformats.org/officeDocument/2006/relationships/chart" Target="charts/chart4.xml"/><Relationship Id="rId139" Type="http://schemas.openxmlformats.org/officeDocument/2006/relationships/header" Target="header72.xml"/><Relationship Id="rId290" Type="http://schemas.openxmlformats.org/officeDocument/2006/relationships/header" Target="header200.xml"/><Relationship Id="rId304" Type="http://schemas.openxmlformats.org/officeDocument/2006/relationships/hyperlink" Target="https://www.auasb.gov.au/auditors_responsibilities/ar4.pdf" TargetMode="External"/><Relationship Id="rId325" Type="http://schemas.openxmlformats.org/officeDocument/2006/relationships/header" Target="header222.xml"/><Relationship Id="rId85" Type="http://schemas.openxmlformats.org/officeDocument/2006/relationships/footer" Target="footer16.xml"/><Relationship Id="rId150" Type="http://schemas.openxmlformats.org/officeDocument/2006/relationships/header" Target="header82.xml"/><Relationship Id="rId171" Type="http://schemas.openxmlformats.org/officeDocument/2006/relationships/header" Target="header100.xml"/><Relationship Id="rId192" Type="http://schemas.openxmlformats.org/officeDocument/2006/relationships/header" Target="header116.xml"/><Relationship Id="rId206" Type="http://schemas.openxmlformats.org/officeDocument/2006/relationships/chart" Target="charts/chart24.xml"/><Relationship Id="rId227" Type="http://schemas.openxmlformats.org/officeDocument/2006/relationships/header" Target="header147.xml"/><Relationship Id="rId248" Type="http://schemas.openxmlformats.org/officeDocument/2006/relationships/header" Target="header165.xml"/><Relationship Id="rId269" Type="http://schemas.openxmlformats.org/officeDocument/2006/relationships/header" Target="header184.xml"/><Relationship Id="rId12" Type="http://schemas.openxmlformats.org/officeDocument/2006/relationships/header" Target="header1.xml"/><Relationship Id="rId33" Type="http://schemas.openxmlformats.org/officeDocument/2006/relationships/hyperlink" Target="http://www.ccc.qld.gov.au/annualreport" TargetMode="External"/><Relationship Id="rId108" Type="http://schemas.openxmlformats.org/officeDocument/2006/relationships/header" Target="header58.xml"/><Relationship Id="rId129" Type="http://schemas.openxmlformats.org/officeDocument/2006/relationships/chart" Target="charts/chart12.xml"/><Relationship Id="rId280" Type="http://schemas.openxmlformats.org/officeDocument/2006/relationships/header" Target="header191.xml"/><Relationship Id="rId315" Type="http://schemas.openxmlformats.org/officeDocument/2006/relationships/header" Target="header213.xml"/><Relationship Id="rId54" Type="http://schemas.openxmlformats.org/officeDocument/2006/relationships/header" Target="header21.xml"/><Relationship Id="rId75" Type="http://schemas.openxmlformats.org/officeDocument/2006/relationships/header" Target="header29.xml"/><Relationship Id="rId96" Type="http://schemas.openxmlformats.org/officeDocument/2006/relationships/header" Target="header46.xml"/><Relationship Id="rId140" Type="http://schemas.openxmlformats.org/officeDocument/2006/relationships/header" Target="header73.xml"/><Relationship Id="rId161" Type="http://schemas.openxmlformats.org/officeDocument/2006/relationships/header" Target="header90.xml"/><Relationship Id="rId182" Type="http://schemas.openxmlformats.org/officeDocument/2006/relationships/header" Target="header107.xml"/><Relationship Id="rId217" Type="http://schemas.openxmlformats.org/officeDocument/2006/relationships/header" Target="header139.xml"/><Relationship Id="rId6" Type="http://schemas.openxmlformats.org/officeDocument/2006/relationships/webSettings" Target="webSettings.xml"/><Relationship Id="rId238" Type="http://schemas.openxmlformats.org/officeDocument/2006/relationships/header" Target="header156.xml"/><Relationship Id="rId259" Type="http://schemas.openxmlformats.org/officeDocument/2006/relationships/header" Target="header175.xml"/><Relationship Id="rId23" Type="http://schemas.openxmlformats.org/officeDocument/2006/relationships/hyperlink" Target="http://www.ccc.qld.gov.au" TargetMode="External"/><Relationship Id="rId119" Type="http://schemas.openxmlformats.org/officeDocument/2006/relationships/chart" Target="charts/chart5.xml"/><Relationship Id="rId270" Type="http://schemas.openxmlformats.org/officeDocument/2006/relationships/header" Target="header185.xml"/><Relationship Id="rId291" Type="http://schemas.openxmlformats.org/officeDocument/2006/relationships/header" Target="header201.xml"/><Relationship Id="rId305" Type="http://schemas.openxmlformats.org/officeDocument/2006/relationships/hyperlink" Target="https://qldaudit.au1.adobesign.com/verifier?tx=CBJCHBCAABAAUHoCl13_a1bxlaCbSfuG3RROWRUEoZ_K" TargetMode="External"/><Relationship Id="rId326" Type="http://schemas.openxmlformats.org/officeDocument/2006/relationships/image" Target="media/image39.png"/><Relationship Id="rId44" Type="http://schemas.openxmlformats.org/officeDocument/2006/relationships/header" Target="header15.xml"/><Relationship Id="rId65" Type="http://schemas.openxmlformats.org/officeDocument/2006/relationships/image" Target="media/image23.png"/><Relationship Id="rId86" Type="http://schemas.openxmlformats.org/officeDocument/2006/relationships/header" Target="header37.xml"/><Relationship Id="rId130" Type="http://schemas.openxmlformats.org/officeDocument/2006/relationships/chart" Target="charts/chart13.xml"/><Relationship Id="rId151" Type="http://schemas.openxmlformats.org/officeDocument/2006/relationships/chart" Target="charts/chart18.xml"/><Relationship Id="rId172" Type="http://schemas.openxmlformats.org/officeDocument/2006/relationships/header" Target="header101.xml"/><Relationship Id="rId193" Type="http://schemas.openxmlformats.org/officeDocument/2006/relationships/header" Target="header117.xml"/><Relationship Id="rId207" Type="http://schemas.openxmlformats.org/officeDocument/2006/relationships/header" Target="header130.xml"/><Relationship Id="rId228" Type="http://schemas.openxmlformats.org/officeDocument/2006/relationships/header" Target="header148.xml"/><Relationship Id="rId249" Type="http://schemas.openxmlformats.org/officeDocument/2006/relationships/header" Target="header166.xml"/><Relationship Id="rId13" Type="http://schemas.openxmlformats.org/officeDocument/2006/relationships/header" Target="header2.xml"/><Relationship Id="rId109" Type="http://schemas.openxmlformats.org/officeDocument/2006/relationships/header" Target="header59.xml"/><Relationship Id="rId260" Type="http://schemas.openxmlformats.org/officeDocument/2006/relationships/header" Target="header176.xml"/><Relationship Id="rId281" Type="http://schemas.openxmlformats.org/officeDocument/2006/relationships/footer" Target="footer24.xml"/><Relationship Id="rId316" Type="http://schemas.openxmlformats.org/officeDocument/2006/relationships/header" Target="header214.xml"/><Relationship Id="rId34" Type="http://schemas.openxmlformats.org/officeDocument/2006/relationships/hyperlink" Target="http://www.data.qld.gov.au" TargetMode="External"/><Relationship Id="rId55" Type="http://schemas.openxmlformats.org/officeDocument/2006/relationships/footer" Target="footer12.xml"/><Relationship Id="rId76" Type="http://schemas.openxmlformats.org/officeDocument/2006/relationships/header" Target="header30.xml"/><Relationship Id="rId97" Type="http://schemas.openxmlformats.org/officeDocument/2006/relationships/header" Target="header47.xml"/><Relationship Id="rId120" Type="http://schemas.openxmlformats.org/officeDocument/2006/relationships/chart" Target="charts/chart6.xml"/><Relationship Id="rId141" Type="http://schemas.openxmlformats.org/officeDocument/2006/relationships/header" Target="header74.xml"/><Relationship Id="rId7" Type="http://schemas.openxmlformats.org/officeDocument/2006/relationships/footnotes" Target="footnotes.xml"/><Relationship Id="rId162" Type="http://schemas.openxmlformats.org/officeDocument/2006/relationships/header" Target="header91.xml"/><Relationship Id="rId183" Type="http://schemas.openxmlformats.org/officeDocument/2006/relationships/header" Target="header108.xml"/><Relationship Id="rId218" Type="http://schemas.openxmlformats.org/officeDocument/2006/relationships/hyperlink" Target="http://www.ccc.qld.gov.au/IACDay2023" TargetMode="External"/><Relationship Id="rId239" Type="http://schemas.openxmlformats.org/officeDocument/2006/relationships/header" Target="header157.xml"/><Relationship Id="rId250" Type="http://schemas.openxmlformats.org/officeDocument/2006/relationships/header" Target="header167.xml"/><Relationship Id="rId271" Type="http://schemas.openxmlformats.org/officeDocument/2006/relationships/footer" Target="footer22.xml"/><Relationship Id="rId292" Type="http://schemas.openxmlformats.org/officeDocument/2006/relationships/header" Target="header202.xml"/><Relationship Id="rId306" Type="http://schemas.openxmlformats.org/officeDocument/2006/relationships/image" Target="media/image35.png"/><Relationship Id="rId24" Type="http://schemas.openxmlformats.org/officeDocument/2006/relationships/header" Target="header4.xml"/><Relationship Id="rId45" Type="http://schemas.openxmlformats.org/officeDocument/2006/relationships/header" Target="header16.xml"/><Relationship Id="rId66" Type="http://schemas.microsoft.com/office/2007/relationships/hdphoto" Target="media/hdphoto6.wdp"/><Relationship Id="rId87" Type="http://schemas.openxmlformats.org/officeDocument/2006/relationships/header" Target="header38.xml"/><Relationship Id="rId110" Type="http://schemas.openxmlformats.org/officeDocument/2006/relationships/header" Target="header60.xml"/><Relationship Id="rId131" Type="http://schemas.openxmlformats.org/officeDocument/2006/relationships/chart" Target="charts/chart14.xml"/><Relationship Id="rId327" Type="http://schemas.openxmlformats.org/officeDocument/2006/relationships/header" Target="header223.xml"/><Relationship Id="rId152" Type="http://schemas.openxmlformats.org/officeDocument/2006/relationships/chart" Target="charts/chart19.xml"/><Relationship Id="rId173" Type="http://schemas.openxmlformats.org/officeDocument/2006/relationships/chart" Target="charts/chart20.xml"/><Relationship Id="rId194" Type="http://schemas.openxmlformats.org/officeDocument/2006/relationships/header" Target="header118.xml"/><Relationship Id="rId208" Type="http://schemas.openxmlformats.org/officeDocument/2006/relationships/header" Target="header131.xml"/><Relationship Id="rId229" Type="http://schemas.openxmlformats.org/officeDocument/2006/relationships/header" Target="header149.xml"/><Relationship Id="rId240" Type="http://schemas.openxmlformats.org/officeDocument/2006/relationships/chart" Target="charts/chart27.xml"/><Relationship Id="rId261" Type="http://schemas.openxmlformats.org/officeDocument/2006/relationships/header" Target="header177.xml"/><Relationship Id="rId14" Type="http://schemas.openxmlformats.org/officeDocument/2006/relationships/footer" Target="footer1.xml"/><Relationship Id="rId35" Type="http://schemas.openxmlformats.org/officeDocument/2006/relationships/image" Target="media/image12.png"/><Relationship Id="rId56" Type="http://schemas.openxmlformats.org/officeDocument/2006/relationships/header" Target="header22.xml"/><Relationship Id="rId77" Type="http://schemas.openxmlformats.org/officeDocument/2006/relationships/footer" Target="footer14.xml"/><Relationship Id="rId100" Type="http://schemas.openxmlformats.org/officeDocument/2006/relationships/header" Target="header50.xml"/><Relationship Id="rId282" Type="http://schemas.openxmlformats.org/officeDocument/2006/relationships/header" Target="header192.xml"/><Relationship Id="rId317" Type="http://schemas.openxmlformats.org/officeDocument/2006/relationships/header" Target="header215.xml"/><Relationship Id="rId8" Type="http://schemas.openxmlformats.org/officeDocument/2006/relationships/endnotes" Target="endnotes.xml"/><Relationship Id="rId51" Type="http://schemas.openxmlformats.org/officeDocument/2006/relationships/header" Target="header19.xml"/><Relationship Id="rId72" Type="http://schemas.openxmlformats.org/officeDocument/2006/relationships/header" Target="header26.xml"/><Relationship Id="rId93" Type="http://schemas.openxmlformats.org/officeDocument/2006/relationships/header" Target="header43.xml"/><Relationship Id="rId98" Type="http://schemas.openxmlformats.org/officeDocument/2006/relationships/header" Target="header48.xml"/><Relationship Id="rId121" Type="http://schemas.openxmlformats.org/officeDocument/2006/relationships/chart" Target="charts/chart7.xml"/><Relationship Id="rId142" Type="http://schemas.openxmlformats.org/officeDocument/2006/relationships/header" Target="header75.xml"/><Relationship Id="rId163" Type="http://schemas.openxmlformats.org/officeDocument/2006/relationships/header" Target="header92.xml"/><Relationship Id="rId184" Type="http://schemas.openxmlformats.org/officeDocument/2006/relationships/header" Target="header109.xml"/><Relationship Id="rId189" Type="http://schemas.openxmlformats.org/officeDocument/2006/relationships/header" Target="header113.xml"/><Relationship Id="rId219" Type="http://schemas.openxmlformats.org/officeDocument/2006/relationships/header" Target="header140.xml"/><Relationship Id="rId3" Type="http://schemas.openxmlformats.org/officeDocument/2006/relationships/numbering" Target="numbering.xml"/><Relationship Id="rId214" Type="http://schemas.openxmlformats.org/officeDocument/2006/relationships/footer" Target="footer20.xml"/><Relationship Id="rId230" Type="http://schemas.openxmlformats.org/officeDocument/2006/relationships/header" Target="header150.xml"/><Relationship Id="rId235" Type="http://schemas.openxmlformats.org/officeDocument/2006/relationships/chart" Target="charts/chart25.xml"/><Relationship Id="rId251" Type="http://schemas.openxmlformats.org/officeDocument/2006/relationships/header" Target="header168.xml"/><Relationship Id="rId256" Type="http://schemas.openxmlformats.org/officeDocument/2006/relationships/header" Target="header172.xml"/><Relationship Id="rId277" Type="http://schemas.openxmlformats.org/officeDocument/2006/relationships/hyperlink" Target="mailto:mailbox@ccc.qld.gov.au" TargetMode="External"/><Relationship Id="rId298" Type="http://schemas.openxmlformats.org/officeDocument/2006/relationships/image" Target="media/image32.jpeg"/><Relationship Id="rId25" Type="http://schemas.openxmlformats.org/officeDocument/2006/relationships/header" Target="header5.xml"/><Relationship Id="rId46" Type="http://schemas.openxmlformats.org/officeDocument/2006/relationships/footer" Target="footer8.xml"/><Relationship Id="rId67" Type="http://schemas.openxmlformats.org/officeDocument/2006/relationships/image" Target="media/image24.png"/><Relationship Id="rId116" Type="http://schemas.openxmlformats.org/officeDocument/2006/relationships/chart" Target="charts/chart2.xml"/><Relationship Id="rId137" Type="http://schemas.openxmlformats.org/officeDocument/2006/relationships/header" Target="header70.xml"/><Relationship Id="rId158" Type="http://schemas.openxmlformats.org/officeDocument/2006/relationships/header" Target="header87.xml"/><Relationship Id="rId272" Type="http://schemas.openxmlformats.org/officeDocument/2006/relationships/header" Target="header186.xml"/><Relationship Id="rId293" Type="http://schemas.openxmlformats.org/officeDocument/2006/relationships/footer" Target="footer25.xml"/><Relationship Id="rId302" Type="http://schemas.openxmlformats.org/officeDocument/2006/relationships/header" Target="header206.xml"/><Relationship Id="rId307" Type="http://schemas.microsoft.com/office/2007/relationships/hdphoto" Target="media/hdphoto8.wdp"/><Relationship Id="rId323" Type="http://schemas.openxmlformats.org/officeDocument/2006/relationships/header" Target="header221.xml"/><Relationship Id="rId328" Type="http://schemas.openxmlformats.org/officeDocument/2006/relationships/header" Target="header224.xml"/><Relationship Id="rId20" Type="http://schemas.microsoft.com/office/2007/relationships/hdphoto" Target="media/hdphoto2.wdp"/><Relationship Id="rId41" Type="http://schemas.openxmlformats.org/officeDocument/2006/relationships/header" Target="header12.xml"/><Relationship Id="rId62" Type="http://schemas.microsoft.com/office/2007/relationships/hdphoto" Target="media/hdphoto4.wdp"/><Relationship Id="rId83" Type="http://schemas.openxmlformats.org/officeDocument/2006/relationships/header" Target="header35.xml"/><Relationship Id="rId88" Type="http://schemas.openxmlformats.org/officeDocument/2006/relationships/header" Target="header39.xml"/><Relationship Id="rId111" Type="http://schemas.openxmlformats.org/officeDocument/2006/relationships/header" Target="header61.xml"/><Relationship Id="rId132" Type="http://schemas.openxmlformats.org/officeDocument/2006/relationships/chart" Target="charts/chart15.xml"/><Relationship Id="rId153" Type="http://schemas.openxmlformats.org/officeDocument/2006/relationships/header" Target="header83.xml"/><Relationship Id="rId174" Type="http://schemas.openxmlformats.org/officeDocument/2006/relationships/chart" Target="charts/chart21.xml"/><Relationship Id="rId179" Type="http://schemas.openxmlformats.org/officeDocument/2006/relationships/header" Target="header104.xml"/><Relationship Id="rId195" Type="http://schemas.openxmlformats.org/officeDocument/2006/relationships/header" Target="header119.xml"/><Relationship Id="rId209" Type="http://schemas.openxmlformats.org/officeDocument/2006/relationships/header" Target="header132.xml"/><Relationship Id="rId190" Type="http://schemas.openxmlformats.org/officeDocument/2006/relationships/header" Target="header114.xml"/><Relationship Id="rId204" Type="http://schemas.openxmlformats.org/officeDocument/2006/relationships/header" Target="header128.xml"/><Relationship Id="rId220" Type="http://schemas.openxmlformats.org/officeDocument/2006/relationships/header" Target="header141.xml"/><Relationship Id="rId225" Type="http://schemas.openxmlformats.org/officeDocument/2006/relationships/hyperlink" Target="https://www.ccc.qld.gov.au/publications" TargetMode="External"/><Relationship Id="rId241" Type="http://schemas.openxmlformats.org/officeDocument/2006/relationships/header" Target="header158.xml"/><Relationship Id="rId246" Type="http://schemas.openxmlformats.org/officeDocument/2006/relationships/header" Target="header163.xml"/><Relationship Id="rId267" Type="http://schemas.openxmlformats.org/officeDocument/2006/relationships/header" Target="header182.xml"/><Relationship Id="rId288" Type="http://schemas.openxmlformats.org/officeDocument/2006/relationships/header" Target="header198.xml"/><Relationship Id="rId15" Type="http://schemas.openxmlformats.org/officeDocument/2006/relationships/footer" Target="footer2.xml"/><Relationship Id="rId36" Type="http://schemas.openxmlformats.org/officeDocument/2006/relationships/header" Target="header8.xml"/><Relationship Id="rId57" Type="http://schemas.openxmlformats.org/officeDocument/2006/relationships/header" Target="header23.xml"/><Relationship Id="rId106" Type="http://schemas.openxmlformats.org/officeDocument/2006/relationships/header" Target="header56.xml"/><Relationship Id="rId127" Type="http://schemas.openxmlformats.org/officeDocument/2006/relationships/chart" Target="charts/chart10.xml"/><Relationship Id="rId262" Type="http://schemas.openxmlformats.org/officeDocument/2006/relationships/header" Target="header178.xml"/><Relationship Id="rId283" Type="http://schemas.openxmlformats.org/officeDocument/2006/relationships/header" Target="header193.xml"/><Relationship Id="rId313" Type="http://schemas.openxmlformats.org/officeDocument/2006/relationships/footer" Target="footer28.xml"/><Relationship Id="rId318" Type="http://schemas.openxmlformats.org/officeDocument/2006/relationships/header" Target="header216.xml"/><Relationship Id="rId10" Type="http://schemas.openxmlformats.org/officeDocument/2006/relationships/image" Target="media/image2.png"/><Relationship Id="rId31" Type="http://schemas.openxmlformats.org/officeDocument/2006/relationships/image" Target="media/image11.png"/><Relationship Id="rId52" Type="http://schemas.openxmlformats.org/officeDocument/2006/relationships/footer" Target="footer11.xml"/><Relationship Id="rId73" Type="http://schemas.openxmlformats.org/officeDocument/2006/relationships/header" Target="header27.xml"/><Relationship Id="rId78" Type="http://schemas.openxmlformats.org/officeDocument/2006/relationships/header" Target="header31.xml"/><Relationship Id="rId94" Type="http://schemas.openxmlformats.org/officeDocument/2006/relationships/header" Target="header44.xml"/><Relationship Id="rId99" Type="http://schemas.openxmlformats.org/officeDocument/2006/relationships/header" Target="header49.xml"/><Relationship Id="rId101" Type="http://schemas.openxmlformats.org/officeDocument/2006/relationships/header" Target="header51.xml"/><Relationship Id="rId122" Type="http://schemas.openxmlformats.org/officeDocument/2006/relationships/header" Target="header65.xml"/><Relationship Id="rId143" Type="http://schemas.openxmlformats.org/officeDocument/2006/relationships/header" Target="header76.xml"/><Relationship Id="rId148" Type="http://schemas.openxmlformats.org/officeDocument/2006/relationships/header" Target="header80.xml"/><Relationship Id="rId164" Type="http://schemas.openxmlformats.org/officeDocument/2006/relationships/header" Target="header93.xml"/><Relationship Id="rId169" Type="http://schemas.openxmlformats.org/officeDocument/2006/relationships/header" Target="header98.xml"/><Relationship Id="rId185" Type="http://schemas.openxmlformats.org/officeDocument/2006/relationships/footer" Target="footer19.xm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eader" Target="header105.xml"/><Relationship Id="rId210" Type="http://schemas.openxmlformats.org/officeDocument/2006/relationships/header" Target="header133.xml"/><Relationship Id="rId215" Type="http://schemas.openxmlformats.org/officeDocument/2006/relationships/header" Target="header137.xml"/><Relationship Id="rId236" Type="http://schemas.openxmlformats.org/officeDocument/2006/relationships/chart" Target="charts/chart26.xml"/><Relationship Id="rId257" Type="http://schemas.openxmlformats.org/officeDocument/2006/relationships/header" Target="header173.xml"/><Relationship Id="rId278" Type="http://schemas.openxmlformats.org/officeDocument/2006/relationships/hyperlink" Target="http://www.ccc.qld.gov.au" TargetMode="External"/><Relationship Id="rId26" Type="http://schemas.openxmlformats.org/officeDocument/2006/relationships/footer" Target="footer4.xml"/><Relationship Id="rId231" Type="http://schemas.openxmlformats.org/officeDocument/2006/relationships/header" Target="header151.xml"/><Relationship Id="rId252" Type="http://schemas.openxmlformats.org/officeDocument/2006/relationships/header" Target="header169.xml"/><Relationship Id="rId273" Type="http://schemas.openxmlformats.org/officeDocument/2006/relationships/footer" Target="footer23.xml"/><Relationship Id="rId294" Type="http://schemas.openxmlformats.org/officeDocument/2006/relationships/header" Target="header203.xml"/><Relationship Id="rId308" Type="http://schemas.openxmlformats.org/officeDocument/2006/relationships/header" Target="header208.xml"/><Relationship Id="rId329" Type="http://schemas.openxmlformats.org/officeDocument/2006/relationships/footer" Target="footer31.xml"/><Relationship Id="rId47" Type="http://schemas.openxmlformats.org/officeDocument/2006/relationships/header" Target="header17.xml"/><Relationship Id="rId68" Type="http://schemas.openxmlformats.org/officeDocument/2006/relationships/image" Target="media/image25.png"/><Relationship Id="rId89" Type="http://schemas.openxmlformats.org/officeDocument/2006/relationships/footer" Target="footer17.xml"/><Relationship Id="rId112" Type="http://schemas.openxmlformats.org/officeDocument/2006/relationships/header" Target="header62.xml"/><Relationship Id="rId133" Type="http://schemas.openxmlformats.org/officeDocument/2006/relationships/chart" Target="charts/chart16.xml"/><Relationship Id="rId154" Type="http://schemas.openxmlformats.org/officeDocument/2006/relationships/header" Target="header84.xml"/><Relationship Id="rId175" Type="http://schemas.openxmlformats.org/officeDocument/2006/relationships/chart" Target="charts/chart22.xml"/><Relationship Id="rId196" Type="http://schemas.openxmlformats.org/officeDocument/2006/relationships/header" Target="header120.xml"/><Relationship Id="rId200" Type="http://schemas.openxmlformats.org/officeDocument/2006/relationships/header" Target="header124.xml"/><Relationship Id="rId16" Type="http://schemas.openxmlformats.org/officeDocument/2006/relationships/header" Target="header3.xml"/><Relationship Id="rId221" Type="http://schemas.openxmlformats.org/officeDocument/2006/relationships/header" Target="header142.xml"/><Relationship Id="rId242" Type="http://schemas.openxmlformats.org/officeDocument/2006/relationships/header" Target="header159.xml"/><Relationship Id="rId263" Type="http://schemas.openxmlformats.org/officeDocument/2006/relationships/header" Target="header179.xml"/><Relationship Id="rId284" Type="http://schemas.openxmlformats.org/officeDocument/2006/relationships/header" Target="header194.xml"/><Relationship Id="rId319" Type="http://schemas.openxmlformats.org/officeDocument/2006/relationships/header" Target="header217.xml"/><Relationship Id="rId37" Type="http://schemas.openxmlformats.org/officeDocument/2006/relationships/header" Target="header9.xml"/><Relationship Id="rId58" Type="http://schemas.openxmlformats.org/officeDocument/2006/relationships/header" Target="header24.xml"/><Relationship Id="rId79" Type="http://schemas.openxmlformats.org/officeDocument/2006/relationships/header" Target="header32.xml"/><Relationship Id="rId102" Type="http://schemas.openxmlformats.org/officeDocument/2006/relationships/header" Target="header52.xml"/><Relationship Id="rId123" Type="http://schemas.openxmlformats.org/officeDocument/2006/relationships/header" Target="header66.xml"/><Relationship Id="rId144" Type="http://schemas.openxmlformats.org/officeDocument/2006/relationships/header" Target="header77.xml"/><Relationship Id="rId330" Type="http://schemas.openxmlformats.org/officeDocument/2006/relationships/footer" Target="footer32.xml"/><Relationship Id="rId90" Type="http://schemas.openxmlformats.org/officeDocument/2006/relationships/header" Target="header40.xml"/><Relationship Id="rId165" Type="http://schemas.openxmlformats.org/officeDocument/2006/relationships/header" Target="header94.xml"/><Relationship Id="rId186" Type="http://schemas.openxmlformats.org/officeDocument/2006/relationships/header" Target="header110.xml"/><Relationship Id="rId211" Type="http://schemas.openxmlformats.org/officeDocument/2006/relationships/header" Target="header134.xml"/><Relationship Id="rId232" Type="http://schemas.openxmlformats.org/officeDocument/2006/relationships/header" Target="header152.xml"/><Relationship Id="rId253" Type="http://schemas.openxmlformats.org/officeDocument/2006/relationships/hyperlink" Target="http://www.data.qld.gov.au" TargetMode="External"/><Relationship Id="rId274" Type="http://schemas.openxmlformats.org/officeDocument/2006/relationships/header" Target="header187.xml"/><Relationship Id="rId295" Type="http://schemas.openxmlformats.org/officeDocument/2006/relationships/header" Target="header204.xml"/><Relationship Id="rId309" Type="http://schemas.openxmlformats.org/officeDocument/2006/relationships/header" Target="header209.xml"/><Relationship Id="rId27" Type="http://schemas.openxmlformats.org/officeDocument/2006/relationships/footer" Target="footer5.xml"/><Relationship Id="rId48" Type="http://schemas.openxmlformats.org/officeDocument/2006/relationships/header" Target="header18.xml"/><Relationship Id="rId69" Type="http://schemas.microsoft.com/office/2007/relationships/hdphoto" Target="media/hdphoto7.wdp"/><Relationship Id="rId113" Type="http://schemas.openxmlformats.org/officeDocument/2006/relationships/header" Target="header63.xml"/><Relationship Id="rId134" Type="http://schemas.openxmlformats.org/officeDocument/2006/relationships/header" Target="header68.xml"/><Relationship Id="rId320" Type="http://schemas.openxmlformats.org/officeDocument/2006/relationships/header" Target="header218.xml"/><Relationship Id="rId80" Type="http://schemas.openxmlformats.org/officeDocument/2006/relationships/header" Target="header33.xml"/><Relationship Id="rId155" Type="http://schemas.openxmlformats.org/officeDocument/2006/relationships/header" Target="header85.xml"/><Relationship Id="rId176" Type="http://schemas.openxmlformats.org/officeDocument/2006/relationships/chart" Target="charts/chart23.xml"/><Relationship Id="rId197" Type="http://schemas.openxmlformats.org/officeDocument/2006/relationships/header" Target="header121.xml"/><Relationship Id="rId201" Type="http://schemas.openxmlformats.org/officeDocument/2006/relationships/header" Target="header125.xml"/><Relationship Id="rId222" Type="http://schemas.openxmlformats.org/officeDocument/2006/relationships/header" Target="header143.xml"/><Relationship Id="rId243" Type="http://schemas.openxmlformats.org/officeDocument/2006/relationships/header" Target="header160.xml"/><Relationship Id="rId264" Type="http://schemas.openxmlformats.org/officeDocument/2006/relationships/header" Target="header180.xml"/><Relationship Id="rId285" Type="http://schemas.openxmlformats.org/officeDocument/2006/relationships/header" Target="header195.xml"/><Relationship Id="rId17" Type="http://schemas.openxmlformats.org/officeDocument/2006/relationships/footer" Target="footer3.xml"/><Relationship Id="rId38" Type="http://schemas.openxmlformats.org/officeDocument/2006/relationships/footer" Target="footer7.xml"/><Relationship Id="rId59" Type="http://schemas.openxmlformats.org/officeDocument/2006/relationships/footer" Target="footer13.xml"/><Relationship Id="rId103" Type="http://schemas.openxmlformats.org/officeDocument/2006/relationships/header" Target="header53.xml"/><Relationship Id="rId124" Type="http://schemas.openxmlformats.org/officeDocument/2006/relationships/header" Target="header67.xml"/><Relationship Id="rId310" Type="http://schemas.openxmlformats.org/officeDocument/2006/relationships/header" Target="header210.xml"/><Relationship Id="rId70" Type="http://schemas.openxmlformats.org/officeDocument/2006/relationships/image" Target="media/image26.png"/><Relationship Id="rId91" Type="http://schemas.openxmlformats.org/officeDocument/2006/relationships/header" Target="header41.xml"/><Relationship Id="rId145" Type="http://schemas.openxmlformats.org/officeDocument/2006/relationships/header" Target="header78.xml"/><Relationship Id="rId166" Type="http://schemas.openxmlformats.org/officeDocument/2006/relationships/header" Target="header95.xml"/><Relationship Id="rId187" Type="http://schemas.openxmlformats.org/officeDocument/2006/relationships/header" Target="header111.xml"/><Relationship Id="rId331" Type="http://schemas.openxmlformats.org/officeDocument/2006/relationships/header" Target="header225.xml"/><Relationship Id="rId1" Type="http://schemas.openxmlformats.org/officeDocument/2006/relationships/customXml" Target="../customXml/item1.xml"/><Relationship Id="rId212" Type="http://schemas.openxmlformats.org/officeDocument/2006/relationships/header" Target="header135.xml"/><Relationship Id="rId233" Type="http://schemas.openxmlformats.org/officeDocument/2006/relationships/header" Target="header153.xml"/><Relationship Id="rId254" Type="http://schemas.openxmlformats.org/officeDocument/2006/relationships/header" Target="header170.xml"/><Relationship Id="rId28" Type="http://schemas.openxmlformats.org/officeDocument/2006/relationships/header" Target="header6.xml"/><Relationship Id="rId49" Type="http://schemas.openxmlformats.org/officeDocument/2006/relationships/footer" Target="footer9.xml"/><Relationship Id="rId114" Type="http://schemas.openxmlformats.org/officeDocument/2006/relationships/header" Target="header64.xml"/><Relationship Id="rId275" Type="http://schemas.openxmlformats.org/officeDocument/2006/relationships/header" Target="header188.xml"/><Relationship Id="rId296" Type="http://schemas.openxmlformats.org/officeDocument/2006/relationships/footer" Target="footer26.xml"/><Relationship Id="rId300" Type="http://schemas.openxmlformats.org/officeDocument/2006/relationships/image" Target="media/image34.jpeg"/><Relationship Id="rId60" Type="http://schemas.openxmlformats.org/officeDocument/2006/relationships/header" Target="header25.xml"/><Relationship Id="rId81" Type="http://schemas.openxmlformats.org/officeDocument/2006/relationships/footer" Target="footer15.xml"/><Relationship Id="rId135" Type="http://schemas.openxmlformats.org/officeDocument/2006/relationships/header" Target="header69.xml"/><Relationship Id="rId156" Type="http://schemas.openxmlformats.org/officeDocument/2006/relationships/hyperlink" Target="http://www.ccc.qld.gov.au" TargetMode="External"/><Relationship Id="rId177" Type="http://schemas.openxmlformats.org/officeDocument/2006/relationships/header" Target="header102.xml"/><Relationship Id="rId198" Type="http://schemas.openxmlformats.org/officeDocument/2006/relationships/header" Target="header122.xml"/><Relationship Id="rId321" Type="http://schemas.openxmlformats.org/officeDocument/2006/relationships/header" Target="header219.xml"/><Relationship Id="rId202" Type="http://schemas.openxmlformats.org/officeDocument/2006/relationships/header" Target="header126.xml"/><Relationship Id="rId223" Type="http://schemas.openxmlformats.org/officeDocument/2006/relationships/header" Target="header144.xml"/><Relationship Id="rId244" Type="http://schemas.openxmlformats.org/officeDocument/2006/relationships/header" Target="header161.xml"/><Relationship Id="rId18" Type="http://schemas.openxmlformats.org/officeDocument/2006/relationships/hyperlink" Target="http://creativecommons.org/licenses/by/4.0/" TargetMode="External"/><Relationship Id="rId39" Type="http://schemas.openxmlformats.org/officeDocument/2006/relationships/header" Target="header10.xml"/><Relationship Id="rId265" Type="http://schemas.openxmlformats.org/officeDocument/2006/relationships/footer" Target="footer21.xml"/><Relationship Id="rId286" Type="http://schemas.openxmlformats.org/officeDocument/2006/relationships/header" Target="header196.xml"/><Relationship Id="rId50" Type="http://schemas.openxmlformats.org/officeDocument/2006/relationships/footer" Target="footer10.xml"/><Relationship Id="rId104" Type="http://schemas.openxmlformats.org/officeDocument/2006/relationships/header" Target="header54.xml"/><Relationship Id="rId125" Type="http://schemas.openxmlformats.org/officeDocument/2006/relationships/chart" Target="charts/chart8.xml"/><Relationship Id="rId146" Type="http://schemas.openxmlformats.org/officeDocument/2006/relationships/header" Target="header79.xml"/><Relationship Id="rId167" Type="http://schemas.openxmlformats.org/officeDocument/2006/relationships/header" Target="header96.xml"/><Relationship Id="rId188" Type="http://schemas.openxmlformats.org/officeDocument/2006/relationships/header" Target="header112.xml"/><Relationship Id="rId311" Type="http://schemas.openxmlformats.org/officeDocument/2006/relationships/header" Target="header211.xml"/><Relationship Id="rId332" Type="http://schemas.openxmlformats.org/officeDocument/2006/relationships/fontTable" Target="fontTable.xml"/><Relationship Id="rId71" Type="http://schemas.openxmlformats.org/officeDocument/2006/relationships/image" Target="media/image27.svg"/><Relationship Id="rId92" Type="http://schemas.openxmlformats.org/officeDocument/2006/relationships/header" Target="header42.xml"/><Relationship Id="rId213" Type="http://schemas.openxmlformats.org/officeDocument/2006/relationships/header" Target="header136.xml"/><Relationship Id="rId234" Type="http://schemas.openxmlformats.org/officeDocument/2006/relationships/header" Target="header154.xml"/><Relationship Id="rId2" Type="http://schemas.openxmlformats.org/officeDocument/2006/relationships/customXml" Target="../customXml/item2.xml"/><Relationship Id="rId29" Type="http://schemas.openxmlformats.org/officeDocument/2006/relationships/footer" Target="footer6.xml"/><Relationship Id="rId255" Type="http://schemas.openxmlformats.org/officeDocument/2006/relationships/header" Target="header171.xml"/><Relationship Id="rId276" Type="http://schemas.openxmlformats.org/officeDocument/2006/relationships/header" Target="header189.xml"/><Relationship Id="rId297" Type="http://schemas.openxmlformats.org/officeDocument/2006/relationships/footer" Target="footer27.xml"/><Relationship Id="rId40" Type="http://schemas.openxmlformats.org/officeDocument/2006/relationships/header" Target="header11.xml"/><Relationship Id="rId115" Type="http://schemas.openxmlformats.org/officeDocument/2006/relationships/chart" Target="charts/chart1.xml"/><Relationship Id="rId136" Type="http://schemas.openxmlformats.org/officeDocument/2006/relationships/footer" Target="footer18.xml"/><Relationship Id="rId157" Type="http://schemas.openxmlformats.org/officeDocument/2006/relationships/header" Target="header86.xml"/><Relationship Id="rId178" Type="http://schemas.openxmlformats.org/officeDocument/2006/relationships/header" Target="header103.xml"/><Relationship Id="rId301" Type="http://schemas.openxmlformats.org/officeDocument/2006/relationships/header" Target="header205.xml"/><Relationship Id="rId322" Type="http://schemas.openxmlformats.org/officeDocument/2006/relationships/header" Target="header220.xml"/><Relationship Id="rId61" Type="http://schemas.openxmlformats.org/officeDocument/2006/relationships/image" Target="media/image21.png"/><Relationship Id="rId82" Type="http://schemas.openxmlformats.org/officeDocument/2006/relationships/header" Target="header34.xml"/><Relationship Id="rId199" Type="http://schemas.openxmlformats.org/officeDocument/2006/relationships/header" Target="header123.xml"/><Relationship Id="rId203" Type="http://schemas.openxmlformats.org/officeDocument/2006/relationships/header" Target="header127.xml"/><Relationship Id="rId19" Type="http://schemas.openxmlformats.org/officeDocument/2006/relationships/image" Target="media/image5.png"/><Relationship Id="rId224" Type="http://schemas.openxmlformats.org/officeDocument/2006/relationships/header" Target="header145.xml"/><Relationship Id="rId245" Type="http://schemas.openxmlformats.org/officeDocument/2006/relationships/header" Target="header162.xml"/><Relationship Id="rId266" Type="http://schemas.openxmlformats.org/officeDocument/2006/relationships/header" Target="header181.xml"/><Relationship Id="rId287" Type="http://schemas.openxmlformats.org/officeDocument/2006/relationships/header" Target="header197.xml"/><Relationship Id="rId30" Type="http://schemas.openxmlformats.org/officeDocument/2006/relationships/header" Target="header7.xml"/><Relationship Id="rId105" Type="http://schemas.openxmlformats.org/officeDocument/2006/relationships/header" Target="header55.xml"/><Relationship Id="rId126" Type="http://schemas.openxmlformats.org/officeDocument/2006/relationships/chart" Target="charts/chart9.xml"/><Relationship Id="rId147" Type="http://schemas.openxmlformats.org/officeDocument/2006/relationships/chart" Target="charts/chart17.xml"/><Relationship Id="rId168" Type="http://schemas.openxmlformats.org/officeDocument/2006/relationships/header" Target="header97.xml"/><Relationship Id="rId312" Type="http://schemas.openxmlformats.org/officeDocument/2006/relationships/header" Target="header212.xml"/><Relationship Id="rId333" Type="http://schemas.openxmlformats.org/officeDocument/2006/relationships/theme" Target="theme/theme1.xml"/></Relationships>
</file>

<file path=word/_rels/footer13.xml.rels><?xml version="1.0" encoding="UTF-8" standalone="yes"?>
<Relationships xmlns="http://schemas.openxmlformats.org/package/2006/relationships"><Relationship Id="rId1" Type="http://schemas.openxmlformats.org/officeDocument/2006/relationships/image" Target="media/image15.png"/></Relationships>
</file>

<file path=word/_rels/footer14.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18.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png"/></Relationships>
</file>

<file path=word/_rels/footer2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3.xml.rels><?xml version="1.0" encoding="UTF-8" standalone="yes"?>
<Relationships xmlns="http://schemas.openxmlformats.org/package/2006/relationships"><Relationship Id="rId1" Type="http://schemas.openxmlformats.org/officeDocument/2006/relationships/image" Target="media/image15.png"/></Relationships>
</file>

<file path=word/_rels/footer24.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png"/></Relationships>
</file>

<file path=word/_rels/footer25.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6.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png"/></Relationships>
</file>

<file path=word/_rels/footer27.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png"/></Relationships>
</file>

<file path=word/_rels/footer29.xml.rels><?xml version="1.0" encoding="UTF-8" standalone="yes"?>
<Relationships xmlns="http://schemas.openxmlformats.org/package/2006/relationships"><Relationship Id="rId1" Type="http://schemas.openxmlformats.org/officeDocument/2006/relationships/image" Target="media/image37.png"/></Relationships>
</file>

<file path=word/_rels/footer7.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2.xml.rels><?xml version="1.0" encoding="UTF-8" standalone="yes"?>
<Relationships xmlns="http://schemas.openxmlformats.org/package/2006/relationships"><Relationship Id="rId1" Type="http://schemas.openxmlformats.org/officeDocument/2006/relationships/image" Target="media/image15.png"/></Relationships>
</file>

<file path=word/_rels/header103.xml.rels><?xml version="1.0" encoding="UTF-8" standalone="yes"?>
<Relationships xmlns="http://schemas.openxmlformats.org/package/2006/relationships"><Relationship Id="rId1" Type="http://schemas.openxmlformats.org/officeDocument/2006/relationships/image" Target="media/image18.jpg"/></Relationships>
</file>

<file path=word/_rels/header105.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8.jpg"/></Relationships>
</file>

<file path=word/_rels/header106.xml.rels><?xml version="1.0" encoding="UTF-8" standalone="yes"?>
<Relationships xmlns="http://schemas.openxmlformats.org/package/2006/relationships"><Relationship Id="rId1" Type="http://schemas.openxmlformats.org/officeDocument/2006/relationships/image" Target="media/image14.png"/></Relationships>
</file>

<file path=word/_rels/header108.xml.rels><?xml version="1.0" encoding="UTF-8" standalone="yes"?>
<Relationships xmlns="http://schemas.openxmlformats.org/package/2006/relationships"><Relationship Id="rId1" Type="http://schemas.openxmlformats.org/officeDocument/2006/relationships/image" Target="media/image15.png"/></Relationships>
</file>

<file path=word/_rels/header109.xml.rels><?xml version="1.0" encoding="UTF-8" standalone="yes"?>
<Relationships xmlns="http://schemas.openxmlformats.org/package/2006/relationships"><Relationship Id="rId1" Type="http://schemas.openxmlformats.org/officeDocument/2006/relationships/image" Target="media/image8.jpg"/></Relationships>
</file>

<file path=word/_rels/header11.xml.rels><?xml version="1.0" encoding="UTF-8" standalone="yes"?>
<Relationships xmlns="http://schemas.openxmlformats.org/package/2006/relationships"><Relationship Id="rId1" Type="http://schemas.openxmlformats.org/officeDocument/2006/relationships/image" Target="media/image16.jpg"/></Relationships>
</file>

<file path=word/_rels/header111.xml.rels><?xml version="1.0" encoding="UTF-8" standalone="yes"?>
<Relationships xmlns="http://schemas.openxmlformats.org/package/2006/relationships"><Relationship Id="rId1" Type="http://schemas.openxmlformats.org/officeDocument/2006/relationships/image" Target="media/image7.jpg"/></Relationships>
</file>

<file path=word/_rels/header112.xml.rels><?xml version="1.0" encoding="UTF-8" standalone="yes"?>
<Relationships xmlns="http://schemas.openxmlformats.org/package/2006/relationships"><Relationship Id="rId1" Type="http://schemas.openxmlformats.org/officeDocument/2006/relationships/image" Target="media/image14.png"/></Relationships>
</file>

<file path=word/_rels/header114.xml.rels><?xml version="1.0" encoding="UTF-8" standalone="yes"?>
<Relationships xmlns="http://schemas.openxmlformats.org/package/2006/relationships"><Relationship Id="rId1" Type="http://schemas.openxmlformats.org/officeDocument/2006/relationships/image" Target="media/image8.jpg"/></Relationships>
</file>

<file path=word/_rels/header115.xml.rels><?xml version="1.0" encoding="UTF-8" standalone="yes"?>
<Relationships xmlns="http://schemas.openxmlformats.org/package/2006/relationships"><Relationship Id="rId1" Type="http://schemas.openxmlformats.org/officeDocument/2006/relationships/image" Target="media/image18.jpg"/></Relationships>
</file>

<file path=word/_rels/header117.xml.rels><?xml version="1.0" encoding="UTF-8" standalone="yes"?>
<Relationships xmlns="http://schemas.openxmlformats.org/package/2006/relationships"><Relationship Id="rId1" Type="http://schemas.openxmlformats.org/officeDocument/2006/relationships/image" Target="media/image7.jpg"/></Relationships>
</file>

<file path=word/_rels/header118.xml.rels><?xml version="1.0" encoding="UTF-8" standalone="yes"?>
<Relationships xmlns="http://schemas.openxmlformats.org/package/2006/relationships"><Relationship Id="rId1" Type="http://schemas.openxmlformats.org/officeDocument/2006/relationships/image" Target="media/image17.jpg"/></Relationships>
</file>

<file path=word/_rels/header119.xml.rels><?xml version="1.0" encoding="UTF-8" standalone="yes"?>
<Relationships xmlns="http://schemas.openxmlformats.org/package/2006/relationships"><Relationship Id="rId1" Type="http://schemas.openxmlformats.org/officeDocument/2006/relationships/image" Target="media/image14.png"/></Relationships>
</file>

<file path=word/_rels/header12.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jpg"/></Relationships>
</file>

<file path=word/_rels/header121.xml.rels><?xml version="1.0" encoding="UTF-8" standalone="yes"?>
<Relationships xmlns="http://schemas.openxmlformats.org/package/2006/relationships"><Relationship Id="rId1" Type="http://schemas.openxmlformats.org/officeDocument/2006/relationships/image" Target="media/image15.png"/></Relationships>
</file>

<file path=word/_rels/header122.xml.rels><?xml version="1.0" encoding="UTF-8" standalone="yes"?>
<Relationships xmlns="http://schemas.openxmlformats.org/package/2006/relationships"><Relationship Id="rId1" Type="http://schemas.openxmlformats.org/officeDocument/2006/relationships/image" Target="media/image8.jpg"/></Relationships>
</file>

<file path=word/_rels/header124.xml.rels><?xml version="1.0" encoding="UTF-8" standalone="yes"?>
<Relationships xmlns="http://schemas.openxmlformats.org/package/2006/relationships"><Relationship Id="rId1" Type="http://schemas.openxmlformats.org/officeDocument/2006/relationships/image" Target="media/image7.jpg"/></Relationships>
</file>

<file path=word/_rels/header125.xml.rels><?xml version="1.0" encoding="UTF-8" standalone="yes"?>
<Relationships xmlns="http://schemas.openxmlformats.org/package/2006/relationships"><Relationship Id="rId1" Type="http://schemas.openxmlformats.org/officeDocument/2006/relationships/image" Target="media/image18.jpg"/></Relationships>
</file>

<file path=word/_rels/header13.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9.jpg"/></Relationships>
</file>

<file path=word/_rels/header133.xml.rels><?xml version="1.0" encoding="UTF-8" standalone="yes"?>
<Relationships xmlns="http://schemas.openxmlformats.org/package/2006/relationships"><Relationship Id="rId1" Type="http://schemas.openxmlformats.org/officeDocument/2006/relationships/image" Target="media/image7.jpg"/></Relationships>
</file>

<file path=word/_rels/header134.xml.rels><?xml version="1.0" encoding="UTF-8" standalone="yes"?>
<Relationships xmlns="http://schemas.openxmlformats.org/package/2006/relationships"><Relationship Id="rId1" Type="http://schemas.openxmlformats.org/officeDocument/2006/relationships/image" Target="media/image8.jpg"/></Relationships>
</file>

<file path=word/_rels/header136.xml.rels><?xml version="1.0" encoding="UTF-8" standalone="yes"?>
<Relationships xmlns="http://schemas.openxmlformats.org/package/2006/relationships"><Relationship Id="rId1" Type="http://schemas.openxmlformats.org/officeDocument/2006/relationships/image" Target="media/image20.jpg"/></Relationships>
</file>

<file path=word/_rels/header137.xml.rels><?xml version="1.0" encoding="UTF-8" standalone="yes"?>
<Relationships xmlns="http://schemas.openxmlformats.org/package/2006/relationships"><Relationship Id="rId1" Type="http://schemas.openxmlformats.org/officeDocument/2006/relationships/image" Target="media/image8.jpg"/></Relationships>
</file>

<file path=word/_rels/header138.xml.rels><?xml version="1.0" encoding="UTF-8" standalone="yes"?>
<Relationships xmlns="http://schemas.openxmlformats.org/package/2006/relationships"><Relationship Id="rId1" Type="http://schemas.openxmlformats.org/officeDocument/2006/relationships/image" Target="media/image7.jpg"/></Relationships>
</file>

<file path=word/_rels/header14.xml.rels><?xml version="1.0" encoding="UTF-8" standalone="yes"?>
<Relationships xmlns="http://schemas.openxmlformats.org/package/2006/relationships"><Relationship Id="rId1" Type="http://schemas.openxmlformats.org/officeDocument/2006/relationships/image" Target="media/image18.jpg"/></Relationships>
</file>

<file path=word/_rels/header14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8.jpg"/></Relationships>
</file>

<file path=word/_rels/header143.xml.rels><?xml version="1.0" encoding="UTF-8" standalone="yes"?>
<Relationships xmlns="http://schemas.openxmlformats.org/package/2006/relationships"><Relationship Id="rId1" Type="http://schemas.openxmlformats.org/officeDocument/2006/relationships/image" Target="media/image8.jpg"/></Relationships>
</file>

<file path=word/_rels/header144.xml.rels><?xml version="1.0" encoding="UTF-8" standalone="yes"?>
<Relationships xmlns="http://schemas.openxmlformats.org/package/2006/relationships"><Relationship Id="rId1" Type="http://schemas.openxmlformats.org/officeDocument/2006/relationships/image" Target="media/image7.jpg"/></Relationships>
</file>

<file path=word/_rels/header146.xml.rels><?xml version="1.0" encoding="UTF-8" standalone="yes"?>
<Relationships xmlns="http://schemas.openxmlformats.org/package/2006/relationships"><Relationship Id="rId1" Type="http://schemas.openxmlformats.org/officeDocument/2006/relationships/image" Target="media/image14.png"/></Relationships>
</file>

<file path=word/_rels/header147.xml.rels><?xml version="1.0" encoding="UTF-8" standalone="yes"?>
<Relationships xmlns="http://schemas.openxmlformats.org/package/2006/relationships"><Relationship Id="rId1" Type="http://schemas.openxmlformats.org/officeDocument/2006/relationships/image" Target="media/image17.jpg"/></Relationships>
</file>

<file path=word/_rels/header149.xml.rels><?xml version="1.0" encoding="UTF-8" standalone="yes"?>
<Relationships xmlns="http://schemas.openxmlformats.org/package/2006/relationships"><Relationship Id="rId1" Type="http://schemas.openxmlformats.org/officeDocument/2006/relationships/image" Target="media/image18.jpg"/></Relationships>
</file>

<file path=word/_rels/header15.xml.rels><?xml version="1.0" encoding="UTF-8" standalone="yes"?>
<Relationships xmlns="http://schemas.openxmlformats.org/package/2006/relationships"><Relationship Id="rId1" Type="http://schemas.openxmlformats.org/officeDocument/2006/relationships/image" Target="media/image7.jpg"/></Relationships>
</file>

<file path=word/_rels/header150.xml.rels><?xml version="1.0" encoding="UTF-8" standalone="yes"?>
<Relationships xmlns="http://schemas.openxmlformats.org/package/2006/relationships"><Relationship Id="rId1" Type="http://schemas.openxmlformats.org/officeDocument/2006/relationships/image" Target="media/image7.jpg"/></Relationships>
</file>

<file path=word/_rels/header152.xml.rels><?xml version="1.0" encoding="UTF-8" standalone="yes"?>
<Relationships xmlns="http://schemas.openxmlformats.org/package/2006/relationships"><Relationship Id="rId1" Type="http://schemas.openxmlformats.org/officeDocument/2006/relationships/image" Target="media/image18.jpg"/></Relationships>
</file>

<file path=word/_rels/header153.xml.rels><?xml version="1.0" encoding="UTF-8" standalone="yes"?>
<Relationships xmlns="http://schemas.openxmlformats.org/package/2006/relationships"><Relationship Id="rId1" Type="http://schemas.openxmlformats.org/officeDocument/2006/relationships/image" Target="media/image7.jpg"/></Relationships>
</file>

<file path=word/_rels/header155.xml.rels><?xml version="1.0" encoding="UTF-8" standalone="yes"?>
<Relationships xmlns="http://schemas.openxmlformats.org/package/2006/relationships"><Relationship Id="rId1" Type="http://schemas.openxmlformats.org/officeDocument/2006/relationships/image" Target="media/image8.jpg"/></Relationships>
</file>

<file path=word/_rels/header156.xml.rels><?xml version="1.0" encoding="UTF-8" standalone="yes"?>
<Relationships xmlns="http://schemas.openxmlformats.org/package/2006/relationships"><Relationship Id="rId1" Type="http://schemas.openxmlformats.org/officeDocument/2006/relationships/image" Target="media/image14.png"/></Relationships>
</file>

<file path=word/_rels/header158.xml.rels><?xml version="1.0" encoding="UTF-8" standalone="yes"?>
<Relationships xmlns="http://schemas.openxmlformats.org/package/2006/relationships"><Relationship Id="rId1" Type="http://schemas.openxmlformats.org/officeDocument/2006/relationships/image" Target="media/image18.jpg"/></Relationships>
</file>

<file path=word/_rels/header159.xml.rels><?xml version="1.0" encoding="UTF-8" standalone="yes"?>
<Relationships xmlns="http://schemas.openxmlformats.org/package/2006/relationships"><Relationship Id="rId1" Type="http://schemas.openxmlformats.org/officeDocument/2006/relationships/image" Target="media/image7.jpg"/></Relationships>
</file>

<file path=word/_rels/header161.xml.rels><?xml version="1.0" encoding="UTF-8" standalone="yes"?>
<Relationships xmlns="http://schemas.openxmlformats.org/package/2006/relationships"><Relationship Id="rId1" Type="http://schemas.openxmlformats.org/officeDocument/2006/relationships/image" Target="media/image8.jpg"/></Relationships>
</file>

<file path=word/_rels/header162.xml.rels><?xml version="1.0" encoding="UTF-8" standalone="yes"?>
<Relationships xmlns="http://schemas.openxmlformats.org/package/2006/relationships"><Relationship Id="rId1" Type="http://schemas.openxmlformats.org/officeDocument/2006/relationships/image" Target="media/image14.png"/></Relationships>
</file>

<file path=word/_rels/header164.xml.rels><?xml version="1.0" encoding="UTF-8" standalone="yes"?>
<Relationships xmlns="http://schemas.openxmlformats.org/package/2006/relationships"><Relationship Id="rId1" Type="http://schemas.openxmlformats.org/officeDocument/2006/relationships/image" Target="media/image18.jpg"/></Relationships>
</file>

<file path=word/_rels/header165.xml.rels><?xml version="1.0" encoding="UTF-8" standalone="yes"?>
<Relationships xmlns="http://schemas.openxmlformats.org/package/2006/relationships"><Relationship Id="rId1" Type="http://schemas.openxmlformats.org/officeDocument/2006/relationships/image" Target="media/image7.jpg"/></Relationships>
</file>

<file path=word/_rels/header167.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7.jpg"/></Relationships>
</file>

<file path=word/_rels/header168.xml.rels><?xml version="1.0" encoding="UTF-8" standalone="yes"?>
<Relationships xmlns="http://schemas.openxmlformats.org/package/2006/relationships"><Relationship Id="rId1" Type="http://schemas.openxmlformats.org/officeDocument/2006/relationships/image" Target="media/image14.png"/></Relationships>
</file>

<file path=word/_rels/header17.xml.rels><?xml version="1.0" encoding="UTF-8" standalone="yes"?>
<Relationships xmlns="http://schemas.openxmlformats.org/package/2006/relationships"><Relationship Id="rId1" Type="http://schemas.openxmlformats.org/officeDocument/2006/relationships/image" Target="media/image18.jpg"/></Relationships>
</file>

<file path=word/_rels/header170.xml.rels><?xml version="1.0" encoding="UTF-8" standalone="yes"?>
<Relationships xmlns="http://schemas.openxmlformats.org/package/2006/relationships"><Relationship Id="rId1" Type="http://schemas.openxmlformats.org/officeDocument/2006/relationships/image" Target="media/image15.png"/></Relationships>
</file>

<file path=word/_rels/header176.xml.rels><?xml version="1.0" encoding="UTF-8" standalone="yes"?>
<Relationships xmlns="http://schemas.openxmlformats.org/package/2006/relationships"><Relationship Id="rId1" Type="http://schemas.openxmlformats.org/officeDocument/2006/relationships/image" Target="media/image15.png"/></Relationships>
</file>

<file path=word/_rels/header177.xml.rels><?xml version="1.0" encoding="UTF-8" standalone="yes"?>
<Relationships xmlns="http://schemas.openxmlformats.org/package/2006/relationships"><Relationship Id="rId1" Type="http://schemas.openxmlformats.org/officeDocument/2006/relationships/image" Target="media/image17.jpg"/></Relationships>
</file>

<file path=word/_rels/header179.xml.rels><?xml version="1.0" encoding="UTF-8" standalone="yes"?>
<Relationships xmlns="http://schemas.openxmlformats.org/package/2006/relationships"><Relationship Id="rId1" Type="http://schemas.openxmlformats.org/officeDocument/2006/relationships/image" Target="media/image18.jpg"/></Relationships>
</file>

<file path=word/_rels/header180.xml.rels><?xml version="1.0" encoding="UTF-8" standalone="yes"?>
<Relationships xmlns="http://schemas.openxmlformats.org/package/2006/relationships"><Relationship Id="rId1" Type="http://schemas.openxmlformats.org/officeDocument/2006/relationships/image" Target="media/image7.jpg"/></Relationships>
</file>

<file path=word/_rels/header182.xml.rels><?xml version="1.0" encoding="UTF-8" standalone="yes"?>
<Relationships xmlns="http://schemas.openxmlformats.org/package/2006/relationships"><Relationship Id="rId1" Type="http://schemas.openxmlformats.org/officeDocument/2006/relationships/image" Target="media/image18.jpg"/></Relationships>
</file>

<file path=word/_rels/header186.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png"/></Relationships>
</file>

<file path=word/_rels/header189.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png"/></Relationships>
</file>

<file path=word/_rels/header192.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png"/></Relationships>
</file>

<file path=word/_rels/header20.xml.rels><?xml version="1.0" encoding="UTF-8" standalone="yes"?>
<Relationships xmlns="http://schemas.openxmlformats.org/package/2006/relationships"><Relationship Id="rId1" Type="http://schemas.openxmlformats.org/officeDocument/2006/relationships/image" Target="media/image14.png"/></Relationships>
</file>

<file path=word/_rels/header208.xml.rels><?xml version="1.0" encoding="UTF-8" standalone="yes"?>
<Relationships xmlns="http://schemas.openxmlformats.org/package/2006/relationships"><Relationship Id="rId1" Type="http://schemas.openxmlformats.org/officeDocument/2006/relationships/image" Target="media/image36.jpeg"/></Relationships>
</file>

<file path=word/_rels/header209.xml.rels><?xml version="1.0" encoding="UTF-8" standalone="yes"?>
<Relationships xmlns="http://schemas.openxmlformats.org/package/2006/relationships"><Relationship Id="rId1" Type="http://schemas.openxmlformats.org/officeDocument/2006/relationships/image" Target="media/image36.jpeg"/></Relationships>
</file>

<file path=word/_rels/header21.xml.rels><?xml version="1.0" encoding="UTF-8" standalone="yes"?>
<Relationships xmlns="http://schemas.openxmlformats.org/package/2006/relationships"><Relationship Id="rId1" Type="http://schemas.openxmlformats.org/officeDocument/2006/relationships/image" Target="media/image7.jpg"/></Relationships>
</file>

<file path=word/_rels/header211.xml.rels><?xml version="1.0" encoding="UTF-8" standalone="yes"?>
<Relationships xmlns="http://schemas.openxmlformats.org/package/2006/relationships"><Relationship Id="rId1" Type="http://schemas.openxmlformats.org/officeDocument/2006/relationships/image" Target="media/image20.jpg"/></Relationships>
</file>

<file path=word/_rels/header212.xml.rels><?xml version="1.0" encoding="UTF-8" standalone="yes"?>
<Relationships xmlns="http://schemas.openxmlformats.org/package/2006/relationships"><Relationship Id="rId1" Type="http://schemas.openxmlformats.org/officeDocument/2006/relationships/image" Target="media/image15.png"/></Relationships>
</file>

<file path=word/_rels/header214.xml.rels><?xml version="1.0" encoding="UTF-8" standalone="yes"?>
<Relationships xmlns="http://schemas.openxmlformats.org/package/2006/relationships"><Relationship Id="rId1" Type="http://schemas.openxmlformats.org/officeDocument/2006/relationships/image" Target="media/image7.jpg"/></Relationships>
</file>

<file path=word/_rels/header215.xml.rels><?xml version="1.0" encoding="UTF-8" standalone="yes"?>
<Relationships xmlns="http://schemas.openxmlformats.org/package/2006/relationships"><Relationship Id="rId1" Type="http://schemas.openxmlformats.org/officeDocument/2006/relationships/image" Target="media/image8.jpg"/></Relationships>
</file>

<file path=word/_rels/header217.xml.rels><?xml version="1.0" encoding="UTF-8" standalone="yes"?>
<Relationships xmlns="http://schemas.openxmlformats.org/package/2006/relationships"><Relationship Id="rId1" Type="http://schemas.openxmlformats.org/officeDocument/2006/relationships/image" Target="media/image18.jpg"/></Relationships>
</file>

<file path=word/_rels/header218.xml.rels><?xml version="1.0" encoding="UTF-8" standalone="yes"?>
<Relationships xmlns="http://schemas.openxmlformats.org/package/2006/relationships"><Relationship Id="rId1" Type="http://schemas.openxmlformats.org/officeDocument/2006/relationships/image" Target="media/image8.jpg"/></Relationships>
</file>

<file path=word/_rels/header219.xml.rels><?xml version="1.0" encoding="UTF-8" standalone="yes"?>
<Relationships xmlns="http://schemas.openxmlformats.org/package/2006/relationships"><Relationship Id="rId1" Type="http://schemas.openxmlformats.org/officeDocument/2006/relationships/image" Target="media/image38.jpg"/></Relationships>
</file>

<file path=word/_rels/header220.xml.rels><?xml version="1.0" encoding="UTF-8" standalone="yes"?>
<Relationships xmlns="http://schemas.openxmlformats.org/package/2006/relationships"><Relationship Id="rId1" Type="http://schemas.openxmlformats.org/officeDocument/2006/relationships/image" Target="media/image38.jpg"/></Relationships>
</file>

<file path=word/_rels/header221.xml.rels><?xml version="1.0" encoding="UTF-8" standalone="yes"?>
<Relationships xmlns="http://schemas.openxmlformats.org/package/2006/relationships"><Relationship Id="rId1" Type="http://schemas.openxmlformats.org/officeDocument/2006/relationships/image" Target="media/image6.jpg"/></Relationships>
</file>

<file path=word/_rels/header23.xml.rels><?xml version="1.0" encoding="UTF-8" standalone="yes"?>
<Relationships xmlns="http://schemas.openxmlformats.org/package/2006/relationships"><Relationship Id="rId1" Type="http://schemas.openxmlformats.org/officeDocument/2006/relationships/image" Target="media/image20.jpg"/></Relationships>
</file>

<file path=word/_rels/header24.xml.rels><?xml version="1.0" encoding="UTF-8" standalone="yes"?>
<Relationships xmlns="http://schemas.openxmlformats.org/package/2006/relationships"><Relationship Id="rId1" Type="http://schemas.openxmlformats.org/officeDocument/2006/relationships/image" Target="media/image7.jpg"/></Relationships>
</file>

<file path=word/_rels/header26.xml.rels><?xml version="1.0" encoding="UTF-8" standalone="yes"?>
<Relationships xmlns="http://schemas.openxmlformats.org/package/2006/relationships"><Relationship Id="rId1" Type="http://schemas.openxmlformats.org/officeDocument/2006/relationships/image" Target="media/image28.jpg"/></Relationships>
</file>

<file path=word/_rels/header27.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8.jpg"/></Relationships>
</file>

<file path=word/_rels/header32.xml.rels><?xml version="1.0" encoding="UTF-8" standalone="yes"?>
<Relationships xmlns="http://schemas.openxmlformats.org/package/2006/relationships"><Relationship Id="rId1" Type="http://schemas.openxmlformats.org/officeDocument/2006/relationships/image" Target="media/image15.png"/></Relationships>
</file>

<file path=word/_rels/header35.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7.jpg"/></Relationships>
</file>

<file path=word/_rels/header36.xml.rels><?xml version="1.0" encoding="UTF-8" standalone="yes"?>
<Relationships xmlns="http://schemas.openxmlformats.org/package/2006/relationships"><Relationship Id="rId1" Type="http://schemas.openxmlformats.org/officeDocument/2006/relationships/image" Target="media/image14.png"/></Relationships>
</file>

<file path=word/_rels/header38.xml.rels><?xml version="1.0" encoding="UTF-8" standalone="yes"?>
<Relationships xmlns="http://schemas.openxmlformats.org/package/2006/relationships"><Relationship Id="rId1" Type="http://schemas.openxmlformats.org/officeDocument/2006/relationships/image" Target="media/image15.png"/></Relationships>
</file>

<file path=word/_rels/header39.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41.xml.rels><?xml version="1.0" encoding="UTF-8" standalone="yes"?>
<Relationships xmlns="http://schemas.openxmlformats.org/package/2006/relationships"><Relationship Id="rId1" Type="http://schemas.openxmlformats.org/officeDocument/2006/relationships/image" Target="media/image20.jpg"/></Relationships>
</file>

<file path=word/_rels/header42.xml.rels><?xml version="1.0" encoding="UTF-8" standalone="yes"?>
<Relationships xmlns="http://schemas.openxmlformats.org/package/2006/relationships"><Relationship Id="rId1" Type="http://schemas.openxmlformats.org/officeDocument/2006/relationships/image" Target="media/image14.png"/></Relationships>
</file>

<file path=word/_rels/header43.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9.jpg"/></Relationships>
</file>

<file path=word/_rels/header44.xml.rels><?xml version="1.0" encoding="UTF-8" standalone="yes"?>
<Relationships xmlns="http://schemas.openxmlformats.org/package/2006/relationships"><Relationship Id="rId1" Type="http://schemas.openxmlformats.org/officeDocument/2006/relationships/image" Target="media/image13.jpg"/></Relationships>
</file>

<file path=word/_rels/header45.xml.rels><?xml version="1.0" encoding="UTF-8" standalone="yes"?>
<Relationships xmlns="http://schemas.openxmlformats.org/package/2006/relationships"><Relationship Id="rId1" Type="http://schemas.openxmlformats.org/officeDocument/2006/relationships/image" Target="media/image7.jpg"/></Relationships>
</file>

<file path=word/_rels/header47.xml.rels><?xml version="1.0" encoding="UTF-8" standalone="yes"?>
<Relationships xmlns="http://schemas.openxmlformats.org/package/2006/relationships"><Relationship Id="rId1" Type="http://schemas.openxmlformats.org/officeDocument/2006/relationships/image" Target="media/image18.jpg"/></Relationships>
</file>

<file path=word/_rels/header48.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_rels/header50.xml.rels><?xml version="1.0" encoding="UTF-8" standalone="yes"?>
<Relationships xmlns="http://schemas.openxmlformats.org/package/2006/relationships"><Relationship Id="rId1" Type="http://schemas.openxmlformats.org/officeDocument/2006/relationships/image" Target="media/image18.jpg"/></Relationships>
</file>

<file path=word/_rels/header51.xml.rels><?xml version="1.0" encoding="UTF-8" standalone="yes"?>
<Relationships xmlns="http://schemas.openxmlformats.org/package/2006/relationships"><Relationship Id="rId1" Type="http://schemas.openxmlformats.org/officeDocument/2006/relationships/image" Target="media/image14.png"/></Relationships>
</file>

<file path=word/_rels/header53.xml.rels><?xml version="1.0" encoding="UTF-8" standalone="yes"?>
<Relationships xmlns="http://schemas.openxmlformats.org/package/2006/relationships"><Relationship Id="rId1" Type="http://schemas.openxmlformats.org/officeDocument/2006/relationships/image" Target="media/image15.png"/></Relationships>
</file>

<file path=word/_rels/header54.xml.rels><?xml version="1.0" encoding="UTF-8" standalone="yes"?>
<Relationships xmlns="http://schemas.openxmlformats.org/package/2006/relationships"><Relationship Id="rId1" Type="http://schemas.openxmlformats.org/officeDocument/2006/relationships/image" Target="media/image7.jpg"/></Relationships>
</file>

<file path=word/_rels/header56.xml.rels><?xml version="1.0" encoding="UTF-8" standalone="yes"?>
<Relationships xmlns="http://schemas.openxmlformats.org/package/2006/relationships"><Relationship Id="rId1" Type="http://schemas.openxmlformats.org/officeDocument/2006/relationships/image" Target="media/image8.jpg"/></Relationships>
</file>

<file path=word/_rels/header57.xml.rels><?xml version="1.0" encoding="UTF-8" standalone="yes"?>
<Relationships xmlns="http://schemas.openxmlformats.org/package/2006/relationships"><Relationship Id="rId1" Type="http://schemas.openxmlformats.org/officeDocument/2006/relationships/image" Target="media/image14.png"/></Relationships>
</file>

<file path=word/_rels/header59.xml.rels><?xml version="1.0" encoding="UTF-8" standalone="yes"?>
<Relationships xmlns="http://schemas.openxmlformats.org/package/2006/relationships"><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g"/></Relationships>
</file>

<file path=word/_rels/header62.xml.rels><?xml version="1.0" encoding="UTF-8" standalone="yes"?>
<Relationships xmlns="http://schemas.openxmlformats.org/package/2006/relationships"><Relationship Id="rId1" Type="http://schemas.openxmlformats.org/officeDocument/2006/relationships/image" Target="media/image8.jpg"/></Relationships>
</file>

<file path=word/_rels/header63.xml.rels><?xml version="1.0" encoding="UTF-8" standalone="yes"?>
<Relationships xmlns="http://schemas.openxmlformats.org/package/2006/relationships"><Relationship Id="rId1" Type="http://schemas.openxmlformats.org/officeDocument/2006/relationships/image" Target="media/image14.png"/></Relationships>
</file>

<file path=word/_rels/header65.xml.rels><?xml version="1.0" encoding="UTF-8" standalone="yes"?>
<Relationships xmlns="http://schemas.openxmlformats.org/package/2006/relationships"><Relationship Id="rId3" Type="http://schemas.openxmlformats.org/officeDocument/2006/relationships/image" Target="media/image29.jpg"/><Relationship Id="rId2" Type="http://schemas.openxmlformats.org/officeDocument/2006/relationships/image" Target="media/image150.png"/><Relationship Id="rId1" Type="http://schemas.openxmlformats.org/officeDocument/2006/relationships/image" Target="media/image15.png"/></Relationships>
</file>

<file path=word/_rels/header66.xml.rels><?xml version="1.0" encoding="UTF-8" standalone="yes"?>
<Relationships xmlns="http://schemas.openxmlformats.org/package/2006/relationships"><Relationship Id="rId1" Type="http://schemas.openxmlformats.org/officeDocument/2006/relationships/image" Target="media/image28.jpg"/></Relationships>
</file>

<file path=word/_rels/header68.xml.rels><?xml version="1.0" encoding="UTF-8" standalone="yes"?>
<Relationships xmlns="http://schemas.openxmlformats.org/package/2006/relationships"><Relationship Id="rId1" Type="http://schemas.openxmlformats.org/officeDocument/2006/relationships/image" Target="media/image28.jpg"/></Relationships>
</file>

<file path=word/_rels/header69.xml.rels><?xml version="1.0" encoding="UTF-8" standalone="yes"?>
<Relationships xmlns="http://schemas.openxmlformats.org/package/2006/relationships"><Relationship Id="rId2" Type="http://schemas.openxmlformats.org/officeDocument/2006/relationships/image" Target="media/image140.png"/><Relationship Id="rId1" Type="http://schemas.openxmlformats.org/officeDocument/2006/relationships/image" Target="media/image14.png"/></Relationships>
</file>

<file path=word/_rels/header7.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_rels/header71.xml.rels><?xml version="1.0" encoding="UTF-8" standalone="yes"?>
<Relationships xmlns="http://schemas.openxmlformats.org/package/2006/relationships"><Relationship Id="rId1" Type="http://schemas.openxmlformats.org/officeDocument/2006/relationships/image" Target="media/image7.jpg"/></Relationships>
</file>

<file path=word/_rels/header72.xml.rels><?xml version="1.0" encoding="UTF-8" standalone="yes"?>
<Relationships xmlns="http://schemas.openxmlformats.org/package/2006/relationships"><Relationship Id="rId1" Type="http://schemas.openxmlformats.org/officeDocument/2006/relationships/image" Target="media/image8.jpg"/></Relationships>
</file>

<file path=word/_rels/header74.xml.rels><?xml version="1.0" encoding="UTF-8" standalone="yes"?>
<Relationships xmlns="http://schemas.openxmlformats.org/package/2006/relationships"><Relationship Id="rId1" Type="http://schemas.openxmlformats.org/officeDocument/2006/relationships/image" Target="media/image7.jpg"/></Relationships>
</file>

<file path=word/_rels/header77.xml.rels><?xml version="1.0" encoding="UTF-8" standalone="yes"?>
<Relationships xmlns="http://schemas.openxmlformats.org/package/2006/relationships"><Relationship Id="rId1" Type="http://schemas.openxmlformats.org/officeDocument/2006/relationships/image" Target="media/image15.png"/></Relationships>
</file>

<file path=word/_rels/header78.xml.rels><?xml version="1.0" encoding="UTF-8" standalone="yes"?>
<Relationships xmlns="http://schemas.openxmlformats.org/package/2006/relationships"><Relationship Id="rId1" Type="http://schemas.openxmlformats.org/officeDocument/2006/relationships/image" Target="media/image18.jpg"/></Relationships>
</file>

<file path=word/_rels/header8.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_rels/header80.xml.rels><?xml version="1.0" encoding="UTF-8" standalone="yes"?>
<Relationships xmlns="http://schemas.openxmlformats.org/package/2006/relationships"><Relationship Id="rId1" Type="http://schemas.openxmlformats.org/officeDocument/2006/relationships/image" Target="media/image7.jpg"/></Relationships>
</file>

<file path=word/_rels/header81.xml.rels><?xml version="1.0" encoding="UTF-8" standalone="yes"?>
<Relationships xmlns="http://schemas.openxmlformats.org/package/2006/relationships"><Relationship Id="rId1" Type="http://schemas.openxmlformats.org/officeDocument/2006/relationships/image" Target="media/image14.png"/></Relationships>
</file>

<file path=word/_rels/header84.xml.rels><?xml version="1.0" encoding="UTF-8" standalone="yes"?>
<Relationships xmlns="http://schemas.openxmlformats.org/package/2006/relationships"><Relationship Id="rId1" Type="http://schemas.openxmlformats.org/officeDocument/2006/relationships/image" Target="media/image18.jpg"/></Relationships>
</file>

<file path=word/_rels/header86.xml.rels><?xml version="1.0" encoding="UTF-8" standalone="yes"?>
<Relationships xmlns="http://schemas.openxmlformats.org/package/2006/relationships"><Relationship Id="rId1" Type="http://schemas.openxmlformats.org/officeDocument/2006/relationships/image" Target="media/image7.jpg"/></Relationships>
</file>

<file path=word/_rels/header87.xml.rels><?xml version="1.0" encoding="UTF-8" standalone="yes"?>
<Relationships xmlns="http://schemas.openxmlformats.org/package/2006/relationships"><Relationship Id="rId1" Type="http://schemas.openxmlformats.org/officeDocument/2006/relationships/image" Target="media/image15.png"/></Relationships>
</file>

<file path=word/_rels/header9.xml.rels><?xml version="1.0" encoding="UTF-8" standalone="yes"?>
<Relationships xmlns="http://schemas.openxmlformats.org/package/2006/relationships"><Relationship Id="rId1" Type="http://schemas.openxmlformats.org/officeDocument/2006/relationships/image" Target="media/image15.png"/></Relationships>
</file>

<file path=word/_rels/header90.xml.rels><?xml version="1.0" encoding="UTF-8" standalone="yes"?>
<Relationships xmlns="http://schemas.openxmlformats.org/package/2006/relationships"><Relationship Id="rId1" Type="http://schemas.openxmlformats.org/officeDocument/2006/relationships/image" Target="media/image15.png"/></Relationships>
</file>

<file path=word/_rels/header91.xml.rels><?xml version="1.0" encoding="UTF-8" standalone="yes"?>
<Relationships xmlns="http://schemas.openxmlformats.org/package/2006/relationships"><Relationship Id="rId1" Type="http://schemas.openxmlformats.org/officeDocument/2006/relationships/image" Target="media/image20.jpg"/></Relationships>
</file>

<file path=word/_rels/header93.xml.rels><?xml version="1.0" encoding="UTF-8" standalone="yes"?>
<Relationships xmlns="http://schemas.openxmlformats.org/package/2006/relationships"><Relationship Id="rId1" Type="http://schemas.openxmlformats.org/officeDocument/2006/relationships/image" Target="media/image7.jpg"/></Relationships>
</file>

<file path=word/_rels/header94.xml.rels><?xml version="1.0" encoding="UTF-8" standalone="yes"?>
<Relationships xmlns="http://schemas.openxmlformats.org/package/2006/relationships"><Relationship Id="rId1" Type="http://schemas.openxmlformats.org/officeDocument/2006/relationships/image" Target="media/image14.png"/></Relationships>
</file>

<file path=word/_rels/header96.xml.rels><?xml version="1.0" encoding="UTF-8" standalone="yes"?>
<Relationships xmlns="http://schemas.openxmlformats.org/package/2006/relationships"><Relationship Id="rId1" Type="http://schemas.openxmlformats.org/officeDocument/2006/relationships/image" Target="media/image7.jpg"/></Relationships>
</file>

<file path=word/_rels/header97.xml.rels><?xml version="1.0" encoding="UTF-8" standalone="yes"?>
<Relationships xmlns="http://schemas.openxmlformats.org/package/2006/relationships"><Relationship Id="rId1" Type="http://schemas.openxmlformats.org/officeDocument/2006/relationships/image" Target="media/image18.jpg"/></Relationships>
</file>

<file path=word/_rels/header99.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oleObject" Target="file:///C:\Users\KWorth\AppData\Local\Microsoft\Windows\INetCache\Content.Outlook\1QPSX26J\Annual%20Report%20graphs%202023-24%20(003).XLSX" TargetMode="External"/><Relationship Id="rId2" Type="http://schemas.microsoft.com/office/2011/relationships/chartColorStyle" Target="colors4.xml"/><Relationship Id="rId1" Type="http://schemas.microsoft.com/office/2011/relationships/chartStyle" Target="style4.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5.xml"/><Relationship Id="rId1" Type="http://schemas.microsoft.com/office/2011/relationships/chartStyle" Target="style5.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7.xml"/><Relationship Id="rId1" Type="http://schemas.microsoft.com/office/2011/relationships/chartStyle" Target="style7.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8.xml"/><Relationship Id="rId1" Type="http://schemas.microsoft.com/office/2011/relationships/chartStyle" Target="style8.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9.xml"/><Relationship Id="rId1" Type="http://schemas.microsoft.com/office/2011/relationships/chartStyle" Target="style9.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0.xml"/><Relationship Id="rId1" Type="http://schemas.microsoft.com/office/2011/relationships/chartStyle" Target="style10.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ezeidler\Desktop\L&amp;D%20Data%20(5%20years).xlsx" TargetMode="External"/><Relationship Id="rId2" Type="http://schemas.microsoft.com/office/2011/relationships/chartColorStyle" Target="colors11.xml"/><Relationship Id="rId1" Type="http://schemas.microsoft.com/office/2011/relationships/chartStyle" Target="style11.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2.xml"/><Relationship Id="rId1" Type="http://schemas.microsoft.com/office/2011/relationships/chartStyle" Target="style12.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3.xml"/><Relationship Id="rId1" Type="http://schemas.microsoft.com/office/2011/relationships/chartStyle" Target="style13.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14.xml"/><Relationship Id="rId1" Type="http://schemas.microsoft.com/office/2011/relationships/chartStyle" Target="style1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82744880153486"/>
          <c:y val="6.86135654635745E-2"/>
          <c:w val="0.65945810797906046"/>
          <c:h val="0.81202301635372498"/>
        </c:manualLayout>
      </c:layout>
      <c:barChart>
        <c:barDir val="bar"/>
        <c:grouping val="clustered"/>
        <c:varyColors val="0"/>
        <c:ser>
          <c:idx val="0"/>
          <c:order val="0"/>
          <c:spPr>
            <a:solidFill>
              <a:schemeClr val="tx1">
                <a:lumMod val="20000"/>
                <a:lumOff val="80000"/>
              </a:schemeClr>
            </a:solidFill>
            <a:ln>
              <a:solidFill>
                <a:srgbClr val="000000"/>
              </a:solidFill>
            </a:ln>
            <a:effectLst/>
          </c:spPr>
          <c:invertIfNegative val="0"/>
          <c:dPt>
            <c:idx val="1"/>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1-EFED-4762-A443-3F25F0EA8AD6}"/>
              </c:ext>
            </c:extLst>
          </c:dPt>
          <c:dPt>
            <c:idx val="2"/>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3-EFED-4762-A443-3F25F0EA8AD6}"/>
              </c:ext>
            </c:extLst>
          </c:dPt>
          <c:dPt>
            <c:idx val="3"/>
            <c:invertIfNegative val="0"/>
            <c:bubble3D val="0"/>
            <c:spPr>
              <a:solidFill>
                <a:srgbClr val="414042"/>
              </a:solidFill>
              <a:ln>
                <a:solidFill>
                  <a:srgbClr val="000000"/>
                </a:solidFill>
              </a:ln>
              <a:effectLst/>
            </c:spPr>
            <c:extLst>
              <c:ext xmlns:c16="http://schemas.microsoft.com/office/drawing/2014/chart" uri="{C3380CC4-5D6E-409C-BE32-E72D297353CC}">
                <c16:uniqueId val="{00000005-EFED-4762-A443-3F25F0EA8AD6}"/>
              </c:ext>
            </c:extLst>
          </c:dPt>
          <c:dLbls>
            <c:dLbl>
              <c:idx val="1"/>
              <c:layout>
                <c:manualLayout>
                  <c:x val="0.25781350649801615"/>
                  <c:y val="-8.9585608368297036E-3"/>
                </c:manualLayout>
              </c:layout>
              <c:numFmt formatCode="0%" sourceLinked="0"/>
              <c:spPr>
                <a:noFill/>
                <a:ln>
                  <a:noFill/>
                </a:ln>
                <a:effectLst/>
              </c:spPr>
              <c:txPr>
                <a:bodyPr rot="0" vert="horz" anchorCtr="0"/>
                <a:lstStyle/>
                <a:p>
                  <a:pPr algn="r">
                    <a:defRPr>
                      <a:solidFill>
                        <a:schemeClr val="tx1"/>
                      </a:solidFill>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1622325048398718"/>
                      <c:h val="0.28796597505603766"/>
                    </c:manualLayout>
                  </c15:layout>
                </c:ext>
                <c:ext xmlns:c16="http://schemas.microsoft.com/office/drawing/2014/chart" uri="{C3380CC4-5D6E-409C-BE32-E72D297353CC}">
                  <c16:uniqueId val="{00000001-EFED-4762-A443-3F25F0EA8AD6}"/>
                </c:ext>
              </c:extLst>
            </c:dLbl>
            <c:dLbl>
              <c:idx val="2"/>
              <c:tx>
                <c:rich>
                  <a:bodyPr rot="0" vert="horz"/>
                  <a:lstStyle/>
                  <a:p>
                    <a:pPr algn="r">
                      <a:defRPr b="0">
                        <a:solidFill>
                          <a:schemeClr val="tx1"/>
                        </a:solidFill>
                      </a:defRPr>
                    </a:pPr>
                    <a:fld id="{3A43AE15-9C79-4484-A4D7-83CEC6FD57C1}" type="VALUE">
                      <a:rPr lang="en-US" b="0">
                        <a:solidFill>
                          <a:schemeClr val="tx1"/>
                        </a:solidFill>
                      </a:rPr>
                      <a:pPr algn="r">
                        <a:defRPr b="0">
                          <a:solidFill>
                            <a:schemeClr val="tx1"/>
                          </a:solidFill>
                        </a:defRPr>
                      </a:pPr>
                      <a:t>[VALUE]</a:t>
                    </a:fld>
                    <a:endParaRPr lang="en-AU"/>
                  </a:p>
                </c:rich>
              </c:tx>
              <c:numFmt formatCode="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EFED-4762-A443-3F25F0EA8AD6}"/>
                </c:ext>
              </c:extLst>
            </c:dLbl>
            <c:dLbl>
              <c:idx val="3"/>
              <c:numFmt formatCode="0%" sourceLinked="0"/>
              <c:spPr>
                <a:noFill/>
                <a:ln>
                  <a:noFill/>
                </a:ln>
                <a:effectLst/>
              </c:spPr>
              <c:txPr>
                <a:bodyPr rot="0" vert="horz"/>
                <a:lstStyle/>
                <a:p>
                  <a:pPr algn="r">
                    <a:defRPr b="1">
                      <a:solidFill>
                        <a:schemeClr val="tx1"/>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EFED-4762-A443-3F25F0EA8AD6}"/>
                </c:ext>
              </c:extLst>
            </c:dLbl>
            <c:numFmt formatCode="0%" sourceLinked="0"/>
            <c:spPr>
              <a:noFill/>
              <a:ln>
                <a:noFill/>
              </a:ln>
              <a:effectLst/>
            </c:spPr>
            <c:txPr>
              <a:bodyPr rot="0" vert="horz"/>
              <a:lstStyle/>
              <a:p>
                <a:pPr algn="r">
                  <a:defRPr>
                    <a:solidFill>
                      <a:schemeClr val="tx1"/>
                    </a:solidFil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Sheet1!$A$2:$A$5</c:f>
              <c:strCache>
                <c:ptCount val="4"/>
                <c:pt idx="1">
                  <c:v>2021–22</c:v>
                </c:pt>
                <c:pt idx="2">
                  <c:v>2022–23</c:v>
                </c:pt>
                <c:pt idx="3">
                  <c:v>2023–24</c:v>
                </c:pt>
              </c:strCache>
            </c:strRef>
          </c:cat>
          <c:val>
            <c:numRef>
              <c:f>Sheet1!$B$2:$B$5</c:f>
              <c:numCache>
                <c:formatCode>0%</c:formatCode>
                <c:ptCount val="4"/>
                <c:pt idx="1">
                  <c:v>0.6</c:v>
                </c:pt>
                <c:pt idx="2">
                  <c:v>1</c:v>
                </c:pt>
                <c:pt idx="3">
                  <c:v>1</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Column1</c:v>
                      </c:pt>
                    </c:strCache>
                  </c:strRef>
                </c15:tx>
              </c15:filteredSeriesTitle>
            </c:ext>
            <c:ext xmlns:c16="http://schemas.microsoft.com/office/drawing/2014/chart" uri="{C3380CC4-5D6E-409C-BE32-E72D297353CC}">
              <c16:uniqueId val="{00000006-EFED-4762-A443-3F25F0EA8AD6}"/>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max val="1"/>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mj-lt"/>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50424085633181"/>
          <c:y val="0"/>
          <c:w val="0.71357403918776963"/>
          <c:h val="1"/>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10F4-45C1-8488-0C4F45D5C5F0}"/>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10F4-45C1-8488-0C4F45D5C5F0}"/>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10F4-45C1-8488-0C4F45D5C5F0}"/>
              </c:ext>
            </c:extLst>
          </c:dPt>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7-10F4-45C1-8488-0C4F45D5C5F0}"/>
              </c:ext>
            </c:extLst>
          </c:dPt>
          <c:dPt>
            <c:idx val="4"/>
            <c:invertIfNegative val="0"/>
            <c:bubble3D val="0"/>
            <c:spPr>
              <a:solidFill>
                <a:schemeClr val="tx1"/>
              </a:solidFill>
              <a:ln>
                <a:solidFill>
                  <a:schemeClr val="accent1"/>
                </a:solidFill>
              </a:ln>
              <a:effectLst/>
            </c:spPr>
            <c:extLst>
              <c:ext xmlns:c16="http://schemas.microsoft.com/office/drawing/2014/chart" uri="{C3380CC4-5D6E-409C-BE32-E72D297353CC}">
                <c16:uniqueId val="{00000009-10F4-45C1-8488-0C4F45D5C5F0}"/>
              </c:ext>
            </c:extLst>
          </c:dPt>
          <c:dLbls>
            <c:dLbl>
              <c:idx val="0"/>
              <c:layout>
                <c:manualLayout>
                  <c:x val="0.15841761934569895"/>
                  <c:y val="8.8300220750551061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67605413711379"/>
                      <c:h val="8.8232269935330246E-2"/>
                    </c:manualLayout>
                  </c15:layout>
                </c:ext>
                <c:ext xmlns:c16="http://schemas.microsoft.com/office/drawing/2014/chart" uri="{C3380CC4-5D6E-409C-BE32-E72D297353CC}">
                  <c16:uniqueId val="{00000001-10F4-45C1-8488-0C4F45D5C5F0}"/>
                </c:ext>
              </c:extLst>
            </c:dLbl>
            <c:dLbl>
              <c:idx val="1"/>
              <c:layout>
                <c:manualLayout>
                  <c:x val="0.23318285600187499"/>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26177846843013"/>
                      <c:h val="8.8232269935330246E-2"/>
                    </c:manualLayout>
                  </c15:layout>
                </c:ext>
                <c:ext xmlns:c16="http://schemas.microsoft.com/office/drawing/2014/chart" uri="{C3380CC4-5D6E-409C-BE32-E72D297353CC}">
                  <c16:uniqueId val="{00000003-10F4-45C1-8488-0C4F45D5C5F0}"/>
                </c:ext>
              </c:extLst>
            </c:dLbl>
            <c:dLbl>
              <c:idx val="2"/>
              <c:layout>
                <c:manualLayout>
                  <c:x val="0.25289496902224917"/>
                  <c:y val="6.5509816943322289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4014686448712738"/>
                      <c:h val="8.8232028550388031E-2"/>
                    </c:manualLayout>
                  </c15:layout>
                </c:ext>
                <c:ext xmlns:c16="http://schemas.microsoft.com/office/drawing/2014/chart" uri="{C3380CC4-5D6E-409C-BE32-E72D297353CC}">
                  <c16:uniqueId val="{00000005-10F4-45C1-8488-0C4F45D5C5F0}"/>
                </c:ext>
              </c:extLst>
            </c:dLbl>
            <c:dLbl>
              <c:idx val="3"/>
              <c:layout>
                <c:manualLayout>
                  <c:x val="0.61024963385101727"/>
                  <c:y val="9.5923261390887284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7-10F4-45C1-8488-0C4F45D5C5F0}"/>
                </c:ext>
              </c:extLst>
            </c:dLbl>
            <c:dLbl>
              <c:idx val="4"/>
              <c:layout>
                <c:manualLayout>
                  <c:x val="0.39134438305709024"/>
                  <c:y val="0"/>
                </c:manualLayout>
              </c:layout>
              <c:numFmt formatCode="#,##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10F4-45C1-8488-0C4F45D5C5F0}"/>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2019–20</c:v>
                </c:pt>
                <c:pt idx="1">
                  <c:v>2020–21</c:v>
                </c:pt>
                <c:pt idx="2">
                  <c:v>2021–22</c:v>
                </c:pt>
                <c:pt idx="3">
                  <c:v>2022–23</c:v>
                </c:pt>
                <c:pt idx="4">
                  <c:v>2023–24</c:v>
                </c:pt>
              </c:strCache>
            </c:strRef>
          </c:cat>
          <c:val>
            <c:numRef>
              <c:f>Sheet1!$B$2:$B$6</c:f>
              <c:numCache>
                <c:formatCode>General</c:formatCode>
                <c:ptCount val="5"/>
                <c:pt idx="0">
                  <c:v>178</c:v>
                </c:pt>
                <c:pt idx="1">
                  <c:v>190</c:v>
                </c:pt>
                <c:pt idx="2">
                  <c:v>151</c:v>
                </c:pt>
                <c:pt idx="3">
                  <c:v>117</c:v>
                </c:pt>
                <c:pt idx="4">
                  <c:v>136</c:v>
                </c:pt>
              </c:numCache>
            </c:numRef>
          </c:val>
          <c:extLst>
            <c:ext xmlns:c16="http://schemas.microsoft.com/office/drawing/2014/chart" uri="{C3380CC4-5D6E-409C-BE32-E72D297353CC}">
              <c16:uniqueId val="{0000000A-10F4-45C1-8488-0C4F45D5C5F0}"/>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780501286712"/>
          <c:y val="1.9333011116481391E-2"/>
          <c:w val="0.70502028155571461"/>
          <c:h val="0.97907231199077771"/>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C511-43B0-825F-C6B6B63AADC4}"/>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C511-43B0-825F-C6B6B63AADC4}"/>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C511-43B0-825F-C6B6B63AADC4}"/>
              </c:ext>
            </c:extLst>
          </c:dPt>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7-C511-43B0-825F-C6B6B63AADC4}"/>
              </c:ext>
            </c:extLst>
          </c:dPt>
          <c:dPt>
            <c:idx val="4"/>
            <c:invertIfNegative val="0"/>
            <c:bubble3D val="0"/>
            <c:spPr>
              <a:solidFill>
                <a:schemeClr val="tx1"/>
              </a:solidFill>
              <a:ln>
                <a:solidFill>
                  <a:schemeClr val="accent1"/>
                </a:solidFill>
              </a:ln>
              <a:effectLst/>
            </c:spPr>
            <c:extLst>
              <c:ext xmlns:c16="http://schemas.microsoft.com/office/drawing/2014/chart" uri="{C3380CC4-5D6E-409C-BE32-E72D297353CC}">
                <c16:uniqueId val="{00000008-C511-43B0-825F-C6B6B63AADC4}"/>
              </c:ext>
            </c:extLst>
          </c:dPt>
          <c:dLbls>
            <c:dLbl>
              <c:idx val="0"/>
              <c:layout>
                <c:manualLayout>
                  <c:x val="0.32616289072652527"/>
                  <c:y val="3.8038723420442008E-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26177846843013"/>
                      <c:h val="8.8232269935330246E-2"/>
                    </c:manualLayout>
                  </c15:layout>
                </c:ext>
                <c:ext xmlns:c16="http://schemas.microsoft.com/office/drawing/2014/chart" uri="{C3380CC4-5D6E-409C-BE32-E72D297353CC}">
                  <c16:uniqueId val="{00000001-C511-43B0-825F-C6B6B63AADC4}"/>
                </c:ext>
              </c:extLst>
            </c:dLbl>
            <c:dLbl>
              <c:idx val="1"/>
              <c:layout>
                <c:manualLayout>
                  <c:x val="0.21609702315325247"/>
                  <c:y val="6.5511023868033364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655097274913402"/>
                      <c:h val="8.8232269935330246E-2"/>
                    </c:manualLayout>
                  </c15:layout>
                </c:ext>
                <c:ext xmlns:c16="http://schemas.microsoft.com/office/drawing/2014/chart" uri="{C3380CC4-5D6E-409C-BE32-E72D297353CC}">
                  <c16:uniqueId val="{00000003-C511-43B0-825F-C6B6B63AADC4}"/>
                </c:ext>
              </c:extLst>
            </c:dLbl>
            <c:dLbl>
              <c:idx val="2"/>
              <c:layout>
                <c:manualLayout>
                  <c:x val="0.55173978369854659"/>
                  <c:y val="-2.8432260464560779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6.090909090909092E-2"/>
                      <c:h val="0.18864813114241613"/>
                    </c:manualLayout>
                  </c15:layout>
                </c:ext>
                <c:ext xmlns:c16="http://schemas.microsoft.com/office/drawing/2014/chart" uri="{C3380CC4-5D6E-409C-BE32-E72D297353CC}">
                  <c16:uniqueId val="{00000005-C511-43B0-825F-C6B6B63AADC4}"/>
                </c:ext>
              </c:extLst>
            </c:dLbl>
            <c:dLbl>
              <c:idx val="3"/>
              <c:layout>
                <c:manualLayout>
                  <c:x val="0.5944854435036625"/>
                  <c:y val="-3.805710849811822E-7"/>
                </c:manualLayout>
              </c:layout>
              <c:tx>
                <c:rich>
                  <a:bodyPr rot="0" vert="horz"/>
                  <a:lstStyle/>
                  <a:p>
                    <a:pPr algn="r">
                      <a:defRPr b="0"/>
                    </a:pPr>
                    <a:r>
                      <a:rPr lang="en-US" b="0"/>
                      <a:t>9</a:t>
                    </a:r>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15:showDataLabelsRange val="0"/>
                </c:ext>
                <c:ext xmlns:c16="http://schemas.microsoft.com/office/drawing/2014/chart" uri="{C3380CC4-5D6E-409C-BE32-E72D297353CC}">
                  <c16:uniqueId val="{00000007-C511-43B0-825F-C6B6B63AADC4}"/>
                </c:ext>
              </c:extLst>
            </c:dLbl>
            <c:dLbl>
              <c:idx val="4"/>
              <c:layout>
                <c:manualLayout>
                  <c:x val="0.50216450216450204"/>
                  <c:y val="0"/>
                </c:manualLayout>
              </c:layout>
              <c:numFmt formatCode="#,##0" sourceLinked="0"/>
              <c:spPr>
                <a:noFill/>
                <a:ln>
                  <a:noFill/>
                </a:ln>
                <a:effectLst/>
              </c:spPr>
              <c:txPr>
                <a:bodyPr rot="0" vert="horz"/>
                <a:lstStyle/>
                <a:p>
                  <a:pPr algn="r">
                    <a:defRPr b="1"/>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C511-43B0-825F-C6B6B63AADC4}"/>
                </c:ext>
              </c:extLst>
            </c:dLbl>
            <c:numFmt formatCode="#,##0" sourceLinked="0"/>
            <c:spPr>
              <a:noFill/>
              <a:ln>
                <a:noFill/>
              </a:ln>
              <a:effectLst/>
            </c:spPr>
            <c:txPr>
              <a:bodyPr rot="0" vert="horz"/>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2019–20</c:v>
                </c:pt>
                <c:pt idx="1">
                  <c:v>2020–21</c:v>
                </c:pt>
                <c:pt idx="2">
                  <c:v>2021–22</c:v>
                </c:pt>
                <c:pt idx="3">
                  <c:v>2022–23</c:v>
                </c:pt>
                <c:pt idx="4">
                  <c:v>2023–24</c:v>
                </c:pt>
              </c:strCache>
            </c:strRef>
          </c:cat>
          <c:val>
            <c:numRef>
              <c:f>Sheet1!$B$2:$B$6</c:f>
              <c:numCache>
                <c:formatCode>General</c:formatCode>
                <c:ptCount val="5"/>
                <c:pt idx="0">
                  <c:v>42</c:v>
                </c:pt>
                <c:pt idx="1">
                  <c:v>43</c:v>
                </c:pt>
                <c:pt idx="2">
                  <c:v>9</c:v>
                </c:pt>
                <c:pt idx="3">
                  <c:v>9</c:v>
                </c:pt>
                <c:pt idx="4">
                  <c:v>12</c:v>
                </c:pt>
              </c:numCache>
            </c:numRef>
          </c:val>
          <c:extLst>
            <c:ext xmlns:c16="http://schemas.microsoft.com/office/drawing/2014/chart" uri="{C3380CC4-5D6E-409C-BE32-E72D297353CC}">
              <c16:uniqueId val="{00000009-C511-43B0-825F-C6B6B63AADC4}"/>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36588563144049"/>
          <c:y val="1.9175455417066157E-2"/>
          <c:w val="0.67030080997317454"/>
          <c:h val="0.97556946407340084"/>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9CC1-4007-9ACE-1D7CC96AB983}"/>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9CC1-4007-9ACE-1D7CC96AB983}"/>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9CC1-4007-9ACE-1D7CC96AB983}"/>
              </c:ext>
            </c:extLst>
          </c:dPt>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7-9CC1-4007-9ACE-1D7CC96AB983}"/>
              </c:ext>
            </c:extLst>
          </c:dPt>
          <c:dPt>
            <c:idx val="4"/>
            <c:invertIfNegative val="0"/>
            <c:bubble3D val="0"/>
            <c:spPr>
              <a:solidFill>
                <a:schemeClr val="tx1"/>
              </a:solidFill>
              <a:ln>
                <a:solidFill>
                  <a:schemeClr val="accent1"/>
                </a:solidFill>
              </a:ln>
              <a:effectLst/>
            </c:spPr>
            <c:extLst>
              <c:ext xmlns:c16="http://schemas.microsoft.com/office/drawing/2014/chart" uri="{C3380CC4-5D6E-409C-BE32-E72D297353CC}">
                <c16:uniqueId val="{00000009-9CC1-4007-9ACE-1D7CC96AB983}"/>
              </c:ext>
            </c:extLst>
          </c:dPt>
          <c:dLbls>
            <c:dLbl>
              <c:idx val="0"/>
              <c:layout>
                <c:manualLayout>
                  <c:x val="0.34493224268351769"/>
                  <c:y val="-1.3101178378907706E-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2303076698745991"/>
                      <c:h val="8.8232007911762708E-2"/>
                    </c:manualLayout>
                  </c15:layout>
                </c:ext>
                <c:ext xmlns:c16="http://schemas.microsoft.com/office/drawing/2014/chart" uri="{C3380CC4-5D6E-409C-BE32-E72D297353CC}">
                  <c16:uniqueId val="{00000001-9CC1-4007-9ACE-1D7CC96AB983}"/>
                </c:ext>
              </c:extLst>
            </c:dLbl>
            <c:dLbl>
              <c:idx val="1"/>
              <c:layout>
                <c:manualLayout>
                  <c:x val="0.39426837270341192"/>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3-9CC1-4007-9ACE-1D7CC96AB983}"/>
                </c:ext>
              </c:extLst>
            </c:dLbl>
            <c:dLbl>
              <c:idx val="2"/>
              <c:layout>
                <c:manualLayout>
                  <c:x val="0.36660686664527137"/>
                  <c:y val="-1.3101178381280613E-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1059200933216676"/>
                      <c:h val="8.8232007911762708E-2"/>
                    </c:manualLayout>
                  </c15:layout>
                </c:ext>
                <c:ext xmlns:c16="http://schemas.microsoft.com/office/drawing/2014/chart" uri="{C3380CC4-5D6E-409C-BE32-E72D297353CC}">
                  <c16:uniqueId val="{00000005-9CC1-4007-9ACE-1D7CC96AB983}"/>
                </c:ext>
              </c:extLst>
            </c:dLbl>
            <c:dLbl>
              <c:idx val="3"/>
              <c:layout>
                <c:manualLayout>
                  <c:x val="0.61649077719451717"/>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429571303587048"/>
                      <c:h val="8.8232007911762708E-2"/>
                    </c:manualLayout>
                  </c15:layout>
                </c:ext>
                <c:ext xmlns:c16="http://schemas.microsoft.com/office/drawing/2014/chart" uri="{C3380CC4-5D6E-409C-BE32-E72D297353CC}">
                  <c16:uniqueId val="{00000007-9CC1-4007-9ACE-1D7CC96AB983}"/>
                </c:ext>
              </c:extLst>
            </c:dLbl>
            <c:dLbl>
              <c:idx val="4"/>
              <c:layout>
                <c:manualLayout>
                  <c:x val="0.57870370370370372"/>
                  <c:y val="1.2461059190031152E-2"/>
                </c:manualLayout>
              </c:layout>
              <c:numFmt formatCode="#,##0.0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9CC1-4007-9ACE-1D7CC96AB983}"/>
                </c:ext>
              </c:extLst>
            </c:dLbl>
            <c:numFmt formatCode="#,##0.0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2019–20</c:v>
                </c:pt>
                <c:pt idx="1">
                  <c:v>2020–21</c:v>
                </c:pt>
                <c:pt idx="2">
                  <c:v>2021–22</c:v>
                </c:pt>
                <c:pt idx="3">
                  <c:v>2022–23</c:v>
                </c:pt>
                <c:pt idx="4">
                  <c:v>2023–24</c:v>
                </c:pt>
              </c:strCache>
            </c:strRef>
          </c:cat>
          <c:val>
            <c:numRef>
              <c:f>Sheet1!$B$2:$B$6</c:f>
              <c:numCache>
                <c:formatCode>General</c:formatCode>
                <c:ptCount val="5"/>
                <c:pt idx="0">
                  <c:v>8.99</c:v>
                </c:pt>
                <c:pt idx="1">
                  <c:v>20.16</c:v>
                </c:pt>
                <c:pt idx="2">
                  <c:v>8.7859999999999996</c:v>
                </c:pt>
                <c:pt idx="3">
                  <c:v>5.22</c:v>
                </c:pt>
                <c:pt idx="4">
                  <c:v>8.4610000000000003</c:v>
                </c:pt>
              </c:numCache>
            </c:numRef>
          </c:val>
          <c:extLst>
            <c:ext xmlns:c16="http://schemas.microsoft.com/office/drawing/2014/chart" uri="{C3380CC4-5D6E-409C-BE32-E72D297353CC}">
              <c16:uniqueId val="{0000000A-9CC1-4007-9ACE-1D7CC96AB983}"/>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chemeClr val="tx1"/>
          </a:solidFil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780501286712"/>
          <c:y val="9.8039215686274508E-3"/>
          <c:w val="0.71619060847824012"/>
          <c:h val="0.99019613457408728"/>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D10B-4836-8199-3D58E5E42FDD}"/>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D10B-4836-8199-3D58E5E42FDD}"/>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D10B-4836-8199-3D58E5E42FDD}"/>
              </c:ext>
            </c:extLst>
          </c:dPt>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7-D10B-4836-8199-3D58E5E42FDD}"/>
              </c:ext>
            </c:extLst>
          </c:dPt>
          <c:dPt>
            <c:idx val="4"/>
            <c:invertIfNegative val="0"/>
            <c:bubble3D val="0"/>
            <c:spPr>
              <a:solidFill>
                <a:schemeClr val="tx1"/>
              </a:solidFill>
              <a:ln>
                <a:solidFill>
                  <a:schemeClr val="accent1"/>
                </a:solidFill>
              </a:ln>
              <a:effectLst/>
            </c:spPr>
            <c:extLst>
              <c:ext xmlns:c16="http://schemas.microsoft.com/office/drawing/2014/chart" uri="{C3380CC4-5D6E-409C-BE32-E72D297353CC}">
                <c16:uniqueId val="{00000008-D10B-4836-8199-3D58E5E42FDD}"/>
              </c:ext>
            </c:extLst>
          </c:dPt>
          <c:dLbls>
            <c:dLbl>
              <c:idx val="0"/>
              <c:layout>
                <c:manualLayout>
                  <c:x val="0.27262869174816706"/>
                  <c:y val="1.9607811303756835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531534499610143"/>
                      <c:h val="0.12744789254284392"/>
                    </c:manualLayout>
                  </c15:layout>
                </c:ext>
                <c:ext xmlns:c16="http://schemas.microsoft.com/office/drawing/2014/chart" uri="{C3380CC4-5D6E-409C-BE32-E72D297353CC}">
                  <c16:uniqueId val="{00000001-D10B-4836-8199-3D58E5E42FDD}"/>
                </c:ext>
              </c:extLst>
            </c:dLbl>
            <c:dLbl>
              <c:idx val="1"/>
              <c:layout>
                <c:manualLayout>
                  <c:x val="0.21609702315325247"/>
                  <c:y val="3.1996386745539201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655097274913402"/>
                      <c:h val="0.13912283865280198"/>
                    </c:manualLayout>
                  </c15:layout>
                </c:ext>
                <c:ext xmlns:c16="http://schemas.microsoft.com/office/drawing/2014/chart" uri="{C3380CC4-5D6E-409C-BE32-E72D297353CC}">
                  <c16:uniqueId val="{00000003-D10B-4836-8199-3D58E5E42FDD}"/>
                </c:ext>
              </c:extLst>
            </c:dLbl>
            <c:dLbl>
              <c:idx val="2"/>
              <c:layout>
                <c:manualLayout>
                  <c:x val="0.59127195273605226"/>
                  <c:y val="3.5623047259415883E-2"/>
                </c:manualLayout>
              </c:layout>
              <c:tx>
                <c:rich>
                  <a:bodyPr/>
                  <a:lstStyle/>
                  <a:p>
                    <a:r>
                      <a:rPr lang="en-US"/>
                      <a:t>3,889</a:t>
                    </a:r>
                  </a:p>
                </c:rich>
              </c:tx>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9"/>
                      <c:h val="0.15947907274949411"/>
                    </c:manualLayout>
                  </c15:layout>
                  <c15:showDataLabelsRange val="0"/>
                </c:ext>
                <c:ext xmlns:c16="http://schemas.microsoft.com/office/drawing/2014/chart" uri="{C3380CC4-5D6E-409C-BE32-E72D297353CC}">
                  <c16:uniqueId val="{00000005-D10B-4836-8199-3D58E5E42FDD}"/>
                </c:ext>
              </c:extLst>
            </c:dLbl>
            <c:dLbl>
              <c:idx val="3"/>
              <c:layout>
                <c:manualLayout>
                  <c:x val="0.38992942304806044"/>
                  <c:y val="-1.6188186796952573E-16"/>
                </c:manualLayout>
              </c:layout>
              <c:numFmt formatCode="#,##0" sourceLinked="0"/>
              <c:spPr>
                <a:noFill/>
                <a:ln>
                  <a:noFill/>
                </a:ln>
                <a:effectLst/>
              </c:spPr>
              <c:txPr>
                <a:bodyPr rot="0" vert="horz" anchorCtr="0"/>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ext>
                <c:ext xmlns:c16="http://schemas.microsoft.com/office/drawing/2014/chart" uri="{C3380CC4-5D6E-409C-BE32-E72D297353CC}">
                  <c16:uniqueId val="{00000007-D10B-4836-8199-3D58E5E42FDD}"/>
                </c:ext>
              </c:extLst>
            </c:dLbl>
            <c:dLbl>
              <c:idx val="4"/>
              <c:layout>
                <c:manualLayout>
                  <c:x val="3.9691289966923927E-2"/>
                  <c:y val="0"/>
                </c:manualLayout>
              </c:layout>
              <c:numFmt formatCode="#,##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D10B-4836-8199-3D58E5E42FDD}"/>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2019–20</c:v>
                </c:pt>
                <c:pt idx="1">
                  <c:v>2020–21</c:v>
                </c:pt>
                <c:pt idx="2">
                  <c:v>2021–22</c:v>
                </c:pt>
                <c:pt idx="3">
                  <c:v>2022–23</c:v>
                </c:pt>
                <c:pt idx="4">
                  <c:v>2023–24</c:v>
                </c:pt>
              </c:strCache>
            </c:strRef>
          </c:cat>
          <c:val>
            <c:numRef>
              <c:f>Sheet1!$B$2:$B$6</c:f>
              <c:numCache>
                <c:formatCode>#,##0</c:formatCode>
                <c:ptCount val="5"/>
                <c:pt idx="0">
                  <c:v>3327</c:v>
                </c:pt>
                <c:pt idx="1">
                  <c:v>3490</c:v>
                </c:pt>
                <c:pt idx="2">
                  <c:v>3889</c:v>
                </c:pt>
                <c:pt idx="3">
                  <c:v>3931</c:v>
                </c:pt>
                <c:pt idx="4">
                  <c:v>5025</c:v>
                </c:pt>
              </c:numCache>
            </c:numRef>
          </c:val>
          <c:extLst>
            <c:ext xmlns:c16="http://schemas.microsoft.com/office/drawing/2014/chart" uri="{C3380CC4-5D6E-409C-BE32-E72D297353CC}">
              <c16:uniqueId val="{00000009-D10B-4836-8199-3D58E5E42FDD}"/>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0"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00645895007335"/>
          <c:y val="0"/>
          <c:w val="0.68298188195053344"/>
          <c:h val="0.99940404705314823"/>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E73D-4F11-8820-C44DDBD017E4}"/>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E73D-4F11-8820-C44DDBD017E4}"/>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E73D-4F11-8820-C44DDBD017E4}"/>
              </c:ext>
            </c:extLst>
          </c:dPt>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7-E73D-4F11-8820-C44DDBD017E4}"/>
              </c:ext>
            </c:extLst>
          </c:dPt>
          <c:dPt>
            <c:idx val="4"/>
            <c:invertIfNegative val="0"/>
            <c:bubble3D val="0"/>
            <c:spPr>
              <a:solidFill>
                <a:schemeClr val="tx1"/>
              </a:solidFill>
              <a:ln>
                <a:solidFill>
                  <a:schemeClr val="accent1"/>
                </a:solidFill>
              </a:ln>
              <a:effectLst/>
            </c:spPr>
            <c:extLst>
              <c:ext xmlns:c16="http://schemas.microsoft.com/office/drawing/2014/chart" uri="{C3380CC4-5D6E-409C-BE32-E72D297353CC}">
                <c16:uniqueId val="{00000009-E73D-4F11-8820-C44DDBD017E4}"/>
              </c:ext>
            </c:extLst>
          </c:dPt>
          <c:dLbls>
            <c:dLbl>
              <c:idx val="0"/>
              <c:layout>
                <c:manualLayout>
                  <c:x val="0.32019441607455973"/>
                  <c:y val="-2.0235233496190717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1-E73D-4F11-8820-C44DDBD017E4}"/>
                </c:ext>
              </c:extLst>
            </c:dLbl>
            <c:dLbl>
              <c:idx val="1"/>
              <c:layout>
                <c:manualLayout>
                  <c:x val="0.32019441607455973"/>
                  <c:y val="-2.0235233496190717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3-E73D-4F11-8820-C44DDBD017E4}"/>
                </c:ext>
              </c:extLst>
            </c:dLbl>
            <c:dLbl>
              <c:idx val="2"/>
              <c:layout>
                <c:manualLayout>
                  <c:x val="0.34808841886395997"/>
                  <c:y val="-4.3964320257910766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5-E73D-4F11-8820-C44DDBD017E4}"/>
                </c:ext>
              </c:extLst>
            </c:dLbl>
            <c:dLbl>
              <c:idx val="3"/>
              <c:layout>
                <c:manualLayout>
                  <c:x val="0.60698272090988625"/>
                  <c:y val="-6.1504030956618325E-18"/>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7-E73D-4F11-8820-C44DDBD017E4}"/>
                </c:ext>
              </c:extLst>
            </c:dLbl>
            <c:dLbl>
              <c:idx val="4"/>
              <c:layout>
                <c:manualLayout>
                  <c:x val="0.47307952241495815"/>
                  <c:y val="0"/>
                </c:manualLayout>
              </c:layout>
              <c:numFmt formatCode="#,##0.0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E73D-4F11-8820-C44DDBD017E4}"/>
                </c:ext>
              </c:extLst>
            </c:dLbl>
            <c:numFmt formatCode="#,##0.0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2019–20</c:v>
                </c:pt>
                <c:pt idx="1">
                  <c:v>2020–21</c:v>
                </c:pt>
                <c:pt idx="2">
                  <c:v>2021–22</c:v>
                </c:pt>
                <c:pt idx="3">
                  <c:v>2022–23</c:v>
                </c:pt>
                <c:pt idx="4">
                  <c:v>2023–24</c:v>
                </c:pt>
              </c:strCache>
            </c:strRef>
          </c:cat>
          <c:val>
            <c:numRef>
              <c:f>Sheet1!$B$2:$B$6</c:f>
              <c:numCache>
                <c:formatCode>_("$"* #,##0.00_);_("$"* \(#,##0.00\);_("$"* "-"??_);_(@_)</c:formatCode>
                <c:ptCount val="5"/>
                <c:pt idx="0">
                  <c:v>7.18</c:v>
                </c:pt>
                <c:pt idx="1">
                  <c:v>8.69</c:v>
                </c:pt>
                <c:pt idx="2">
                  <c:v>7.4189999999999996</c:v>
                </c:pt>
                <c:pt idx="3">
                  <c:v>4.3</c:v>
                </c:pt>
                <c:pt idx="4">
                  <c:v>10.513999999999999</c:v>
                </c:pt>
              </c:numCache>
            </c:numRef>
          </c:val>
          <c:extLst>
            <c:ext xmlns:c16="http://schemas.microsoft.com/office/drawing/2014/chart" uri="{C3380CC4-5D6E-409C-BE32-E72D297353CC}">
              <c16:uniqueId val="{0000000A-E73D-4F11-8820-C44DDBD017E4}"/>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_(&quot;$&quot;* #,##0.00_);_(&quot;$&quot;* \(#,##0.00\);_(&quot;$&quot;* &quot;-&quot;??_);_(@_)"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chemeClr val="tx1"/>
          </a:solidFill>
          <a:latin typeface="+mn-lt"/>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780501286712"/>
          <c:y val="9.6665055582406956E-3"/>
          <c:w val="0.676097930381653"/>
          <c:h val="0.99033349444175933"/>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73D1-46F0-8464-3C944118CDF1}"/>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73D1-46F0-8464-3C944118CDF1}"/>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73D1-46F0-8464-3C944118CDF1}"/>
              </c:ext>
            </c:extLst>
          </c:dPt>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7-73D1-46F0-8464-3C944118CDF1}"/>
              </c:ext>
            </c:extLst>
          </c:dPt>
          <c:dPt>
            <c:idx val="4"/>
            <c:invertIfNegative val="0"/>
            <c:bubble3D val="0"/>
            <c:spPr>
              <a:solidFill>
                <a:schemeClr val="tx1"/>
              </a:solidFill>
              <a:ln>
                <a:solidFill>
                  <a:schemeClr val="accent1"/>
                </a:solidFill>
              </a:ln>
              <a:effectLst/>
            </c:spPr>
            <c:extLst>
              <c:ext xmlns:c16="http://schemas.microsoft.com/office/drawing/2014/chart" uri="{C3380CC4-5D6E-409C-BE32-E72D297353CC}">
                <c16:uniqueId val="{00000008-73D1-46F0-8464-3C944118CDF1}"/>
              </c:ext>
            </c:extLst>
          </c:dPt>
          <c:dLbls>
            <c:dLbl>
              <c:idx val="0"/>
              <c:layout>
                <c:manualLayout>
                  <c:x val="0.25941224560044734"/>
                  <c:y val="1.0536276751464822E-16"/>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73D1-46F0-8464-3C944118CDF1}"/>
                </c:ext>
              </c:extLst>
            </c:dLbl>
            <c:dLbl>
              <c:idx val="1"/>
              <c:layout>
                <c:manualLayout>
                  <c:x val="0.26418450152747303"/>
                  <c:y val="-4.9434337949135669E-3"/>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3D1-46F0-8464-3C944118CDF1}"/>
                </c:ext>
              </c:extLst>
            </c:dLbl>
            <c:dLbl>
              <c:idx val="2"/>
              <c:layout>
                <c:manualLayout>
                  <c:x val="0.59379234572422634"/>
                  <c:y val="0"/>
                </c:manualLayout>
              </c:layout>
              <c:tx>
                <c:rich>
                  <a:bodyPr/>
                  <a:lstStyle/>
                  <a:p>
                    <a:r>
                      <a:rPr lang="en-US"/>
                      <a:t>8,859</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5-73D1-46F0-8464-3C944118CDF1}"/>
                </c:ext>
              </c:extLst>
            </c:dLbl>
            <c:dLbl>
              <c:idx val="3"/>
              <c:layout>
                <c:manualLayout>
                  <c:x val="0.35565561144802182"/>
                  <c:y val="0"/>
                </c:manualLayout>
              </c:layout>
              <c:numFmt formatCode="#,##0" sourceLinked="0"/>
              <c:spPr>
                <a:noFill/>
                <a:ln>
                  <a:noFill/>
                </a:ln>
                <a:effectLst/>
              </c:spPr>
              <c:txPr>
                <a:bodyPr rot="0" vert="horz" anchorCtr="0"/>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73D1-46F0-8464-3C944118CDF1}"/>
                </c:ext>
              </c:extLst>
            </c:dLbl>
            <c:dLbl>
              <c:idx val="4"/>
              <c:numFmt formatCode="#,##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5405085839679875"/>
                      <c:h val="0.1632763145986062"/>
                    </c:manualLayout>
                  </c15:layout>
                </c:ext>
                <c:ext xmlns:c16="http://schemas.microsoft.com/office/drawing/2014/chart" uri="{C3380CC4-5D6E-409C-BE32-E72D297353CC}">
                  <c16:uniqueId val="{00000008-73D1-46F0-8464-3C944118CDF1}"/>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2019–20</c:v>
                </c:pt>
                <c:pt idx="1">
                  <c:v>2020–21</c:v>
                </c:pt>
                <c:pt idx="2">
                  <c:v>2021–22</c:v>
                </c:pt>
                <c:pt idx="3">
                  <c:v>2022–23</c:v>
                </c:pt>
                <c:pt idx="4">
                  <c:v>2023–24</c:v>
                </c:pt>
              </c:strCache>
            </c:strRef>
          </c:cat>
          <c:val>
            <c:numRef>
              <c:f>Sheet1!$B$2:$B$6</c:f>
              <c:numCache>
                <c:formatCode>General</c:formatCode>
                <c:ptCount val="5"/>
                <c:pt idx="0">
                  <c:v>8726</c:v>
                </c:pt>
                <c:pt idx="1">
                  <c:v>8563</c:v>
                </c:pt>
                <c:pt idx="2">
                  <c:v>8859</c:v>
                </c:pt>
                <c:pt idx="3">
                  <c:v>8398</c:v>
                </c:pt>
                <c:pt idx="4">
                  <c:v>13917</c:v>
                </c:pt>
              </c:numCache>
            </c:numRef>
          </c:val>
          <c:extLst>
            <c:ext xmlns:c16="http://schemas.microsoft.com/office/drawing/2014/chart" uri="{C3380CC4-5D6E-409C-BE32-E72D297353CC}">
              <c16:uniqueId val="{00000009-73D1-46F0-8464-3C944118CDF1}"/>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780501286712"/>
          <c:y val="9.6665055582406956E-3"/>
          <c:w val="0.676097930381653"/>
          <c:h val="0.99033349444175933"/>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1636-47BF-934A-563E82319B37}"/>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1636-47BF-934A-563E82319B37}"/>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1636-47BF-934A-563E82319B37}"/>
              </c:ext>
            </c:extLst>
          </c:dPt>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7-1636-47BF-934A-563E82319B37}"/>
              </c:ext>
            </c:extLst>
          </c:dPt>
          <c:dPt>
            <c:idx val="4"/>
            <c:invertIfNegative val="0"/>
            <c:bubble3D val="0"/>
            <c:spPr>
              <a:solidFill>
                <a:schemeClr val="tx1"/>
              </a:solidFill>
              <a:ln>
                <a:solidFill>
                  <a:schemeClr val="accent1"/>
                </a:solidFill>
              </a:ln>
              <a:effectLst/>
            </c:spPr>
            <c:extLst>
              <c:ext xmlns:c16="http://schemas.microsoft.com/office/drawing/2014/chart" uri="{C3380CC4-5D6E-409C-BE32-E72D297353CC}">
                <c16:uniqueId val="{00000008-1636-47BF-934A-563E82319B37}"/>
              </c:ext>
            </c:extLst>
          </c:dPt>
          <c:dLbls>
            <c:dLbl>
              <c:idx val="0"/>
              <c:layout>
                <c:manualLayout>
                  <c:x val="0.25941224560044734"/>
                  <c:y val="1.0536276751464822E-16"/>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636-47BF-934A-563E82319B37}"/>
                </c:ext>
              </c:extLst>
            </c:dLbl>
            <c:dLbl>
              <c:idx val="1"/>
              <c:layout>
                <c:manualLayout>
                  <c:x val="0.26418450152747303"/>
                  <c:y val="-4.9434337949135669E-3"/>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636-47BF-934A-563E82319B37}"/>
                </c:ext>
              </c:extLst>
            </c:dLbl>
            <c:dLbl>
              <c:idx val="2"/>
              <c:layout>
                <c:manualLayout>
                  <c:x val="0.59379234572422634"/>
                  <c:y val="0"/>
                </c:manualLayout>
              </c:layout>
              <c:tx>
                <c:rich>
                  <a:bodyPr/>
                  <a:lstStyle/>
                  <a:p>
                    <a:r>
                      <a:rPr lang="en-US"/>
                      <a:t>3,944</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5-1636-47BF-934A-563E82319B37}"/>
                </c:ext>
              </c:extLst>
            </c:dLbl>
            <c:dLbl>
              <c:idx val="3"/>
              <c:layout>
                <c:manualLayout>
                  <c:x val="0.35565561144802182"/>
                  <c:y val="0"/>
                </c:manualLayout>
              </c:layout>
              <c:numFmt formatCode="#,##0" sourceLinked="0"/>
              <c:spPr>
                <a:noFill/>
                <a:ln>
                  <a:noFill/>
                </a:ln>
                <a:effectLst/>
              </c:spPr>
              <c:txPr>
                <a:bodyPr rot="0" vert="horz" anchorCtr="0"/>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1636-47BF-934A-563E82319B37}"/>
                </c:ext>
              </c:extLst>
            </c:dLbl>
            <c:dLbl>
              <c:idx val="4"/>
              <c:layout>
                <c:manualLayout>
                  <c:x val="3.4972849705262092E-2"/>
                  <c:y val="-3.2925864848327568E-18"/>
                </c:manualLayout>
              </c:layout>
              <c:numFmt formatCode="#,##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5405085839679875"/>
                      <c:h val="0.1632763145986062"/>
                    </c:manualLayout>
                  </c15:layout>
                </c:ext>
                <c:ext xmlns:c16="http://schemas.microsoft.com/office/drawing/2014/chart" uri="{C3380CC4-5D6E-409C-BE32-E72D297353CC}">
                  <c16:uniqueId val="{00000008-1636-47BF-934A-563E82319B37}"/>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2019–20</c:v>
                </c:pt>
                <c:pt idx="1">
                  <c:v>2020–21</c:v>
                </c:pt>
                <c:pt idx="2">
                  <c:v>2021–22</c:v>
                </c:pt>
                <c:pt idx="3">
                  <c:v>2022–23</c:v>
                </c:pt>
                <c:pt idx="4">
                  <c:v>2023–24</c:v>
                </c:pt>
              </c:strCache>
            </c:strRef>
          </c:cat>
          <c:val>
            <c:numRef>
              <c:f>Sheet1!$B$2:$B$6</c:f>
              <c:numCache>
                <c:formatCode>#,##0</c:formatCode>
                <c:ptCount val="5"/>
                <c:pt idx="0">
                  <c:v>3439</c:v>
                </c:pt>
                <c:pt idx="1">
                  <c:v>3684</c:v>
                </c:pt>
                <c:pt idx="2">
                  <c:v>3944</c:v>
                </c:pt>
                <c:pt idx="3">
                  <c:v>3691</c:v>
                </c:pt>
                <c:pt idx="4">
                  <c:v>5139</c:v>
                </c:pt>
              </c:numCache>
            </c:numRef>
          </c:val>
          <c:extLst>
            <c:ext xmlns:c16="http://schemas.microsoft.com/office/drawing/2014/chart" uri="{C3380CC4-5D6E-409C-BE32-E72D297353CC}">
              <c16:uniqueId val="{00000009-1636-47BF-934A-563E82319B37}"/>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0"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70581648045711E-4"/>
          <c:y val="5.8573519778618507E-2"/>
          <c:w val="0.99904329418351956"/>
          <c:h val="0.85574621970892206"/>
        </c:manualLayout>
      </c:layout>
      <c:barChart>
        <c:barDir val="bar"/>
        <c:grouping val="clustered"/>
        <c:varyColors val="0"/>
        <c:ser>
          <c:idx val="0"/>
          <c:order val="0"/>
          <c:tx>
            <c:strRef>
              <c:f>'2023-24 Draft'!$B$15</c:f>
              <c:strCache>
                <c:ptCount val="1"/>
                <c:pt idx="0">
                  <c:v>Operating surplus (deficit)</c:v>
                </c:pt>
              </c:strCache>
            </c:strRef>
          </c:tx>
          <c:spPr>
            <a:pattFill prst="wdUpDiag">
              <a:fgClr>
                <a:schemeClr val="tx1"/>
              </a:fgClr>
              <a:bgClr>
                <a:schemeClr val="bg1"/>
              </a:bgClr>
            </a:pattFill>
            <a:ln w="9525" cap="flat" cmpd="sng" algn="ctr">
              <a:solidFill>
                <a:schemeClr val="accent3"/>
              </a:solidFill>
              <a:miter lim="800000"/>
            </a:ln>
            <a:effectLst/>
          </c:spPr>
          <c:invertIfNegative val="0"/>
          <c:dLbls>
            <c:dLbl>
              <c:idx val="2"/>
              <c:layout>
                <c:manualLayout>
                  <c:x val="-8.51505572071271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B3-43A9-A8EE-7D2729A01CCE}"/>
                </c:ext>
              </c:extLst>
            </c:dLbl>
            <c:dLbl>
              <c:idx val="3"/>
              <c:layout>
                <c:manualLayout>
                  <c:x val="-2.0768428587104562E-3"/>
                  <c:y val="3.88161027532536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B3-43A9-A8EE-7D2729A01CCE}"/>
                </c:ext>
              </c:extLst>
            </c:dLbl>
            <c:dLbl>
              <c:idx val="4"/>
              <c:layout>
                <c:manualLayout>
                  <c:x val="-8.3393087300827909E-2"/>
                  <c:y val="-1.6058847907169499E-4"/>
                </c:manualLayout>
              </c:layout>
              <c:showLegendKey val="0"/>
              <c:showVal val="1"/>
              <c:showCatName val="0"/>
              <c:showSerName val="0"/>
              <c:showPercent val="0"/>
              <c:showBubbleSize val="0"/>
              <c:extLst>
                <c:ext xmlns:c15="http://schemas.microsoft.com/office/drawing/2012/chart" uri="{CE6537A1-D6FC-4f65-9D91-7224C49458BB}">
                  <c15:layout>
                    <c:manualLayout>
                      <c:w val="7.6173457231355726E-2"/>
                      <c:h val="5.9359250297447951E-2"/>
                    </c:manualLayout>
                  </c15:layout>
                </c:ext>
                <c:ext xmlns:c16="http://schemas.microsoft.com/office/drawing/2014/chart" uri="{C3380CC4-5D6E-409C-BE32-E72D297353CC}">
                  <c16:uniqueId val="{00000002-23B3-43A9-A8EE-7D2729A01CCE}"/>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 Draft'!$H$14:$L$14</c:f>
              <c:strCache>
                <c:ptCount val="5"/>
                <c:pt idx="0">
                  <c:v>2019-20</c:v>
                </c:pt>
                <c:pt idx="1">
                  <c:v>2020-21</c:v>
                </c:pt>
                <c:pt idx="2">
                  <c:v>2021-22</c:v>
                </c:pt>
                <c:pt idx="3">
                  <c:v>2022-23</c:v>
                </c:pt>
                <c:pt idx="4">
                  <c:v>2023-24</c:v>
                </c:pt>
              </c:strCache>
            </c:strRef>
          </c:cat>
          <c:val>
            <c:numRef>
              <c:f>'2023-24 Draft'!$H$15:$L$15</c:f>
              <c:numCache>
                <c:formatCode>General</c:formatCode>
                <c:ptCount val="5"/>
                <c:pt idx="0" formatCode="#,##0.000;\(#,##0.000\)">
                  <c:v>0.28600000000000136</c:v>
                </c:pt>
                <c:pt idx="1">
                  <c:v>2.0009999999999999</c:v>
                </c:pt>
                <c:pt idx="2" formatCode="#,##0.000;\(#,##0.000\)">
                  <c:v>-0.55100000000000005</c:v>
                </c:pt>
                <c:pt idx="3" formatCode="#,##0.000;\(#,##0.000\)">
                  <c:v>6.431</c:v>
                </c:pt>
                <c:pt idx="4" formatCode="#,##0.000;\(#,##0.000\)">
                  <c:v>-0.15600000000000591</c:v>
                </c:pt>
              </c:numCache>
            </c:numRef>
          </c:val>
          <c:extLst>
            <c:ext xmlns:c16="http://schemas.microsoft.com/office/drawing/2014/chart" uri="{C3380CC4-5D6E-409C-BE32-E72D297353CC}">
              <c16:uniqueId val="{00000003-23B3-43A9-A8EE-7D2729A01CCE}"/>
            </c:ext>
          </c:extLst>
        </c:ser>
        <c:ser>
          <c:idx val="1"/>
          <c:order val="1"/>
          <c:tx>
            <c:strRef>
              <c:f>'2023-24 Draft'!$B$16</c:f>
              <c:strCache>
                <c:ptCount val="1"/>
                <c:pt idx="0">
                  <c:v>Expenses</c:v>
                </c:pt>
              </c:strCache>
            </c:strRef>
          </c:tx>
          <c:spPr>
            <a:solidFill>
              <a:schemeClr val="bg1">
                <a:lumMod val="85000"/>
              </a:schemeClr>
            </a:solidFill>
            <a:ln w="9525" cap="flat" cmpd="sng" algn="ctr">
              <a:noFill/>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 Draft'!$H$14:$L$14</c:f>
              <c:strCache>
                <c:ptCount val="5"/>
                <c:pt idx="0">
                  <c:v>2019-20</c:v>
                </c:pt>
                <c:pt idx="1">
                  <c:v>2020-21</c:v>
                </c:pt>
                <c:pt idx="2">
                  <c:v>2021-22</c:v>
                </c:pt>
                <c:pt idx="3">
                  <c:v>2022-23</c:v>
                </c:pt>
                <c:pt idx="4">
                  <c:v>2023-24</c:v>
                </c:pt>
              </c:strCache>
            </c:strRef>
          </c:cat>
          <c:val>
            <c:numRef>
              <c:f>'2023-24 Draft'!$H$16:$L$16</c:f>
              <c:numCache>
                <c:formatCode>General</c:formatCode>
                <c:ptCount val="5"/>
                <c:pt idx="0" formatCode="#,##0.000;\(#,##0.000\)">
                  <c:v>65.259</c:v>
                </c:pt>
                <c:pt idx="1">
                  <c:v>63.137999999999998</c:v>
                </c:pt>
                <c:pt idx="2" formatCode="0.000">
                  <c:v>66.03</c:v>
                </c:pt>
                <c:pt idx="3" formatCode="#,##0.000;\(#,##0.000\)">
                  <c:v>63.132000000000005</c:v>
                </c:pt>
                <c:pt idx="4" formatCode="#,##0.000;\(#,##0.000\)">
                  <c:v>72.509</c:v>
                </c:pt>
              </c:numCache>
            </c:numRef>
          </c:val>
          <c:extLst>
            <c:ext xmlns:c16="http://schemas.microsoft.com/office/drawing/2014/chart" uri="{C3380CC4-5D6E-409C-BE32-E72D297353CC}">
              <c16:uniqueId val="{00000004-23B3-43A9-A8EE-7D2729A01CCE}"/>
            </c:ext>
          </c:extLst>
        </c:ser>
        <c:ser>
          <c:idx val="2"/>
          <c:order val="2"/>
          <c:tx>
            <c:strRef>
              <c:f>'2023-24 Draft'!$B$17</c:f>
              <c:strCache>
                <c:ptCount val="1"/>
                <c:pt idx="0">
                  <c:v>Revenue</c:v>
                </c:pt>
              </c:strCache>
            </c:strRef>
          </c:tx>
          <c:spPr>
            <a:solidFill>
              <a:schemeClr val="accent2"/>
            </a:solidFill>
            <a:ln w="25400" cap="flat" cmpd="sng" algn="ctr">
              <a:solidFill>
                <a:schemeClr val="accent2"/>
              </a:solidFill>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 Draft'!$H$14:$L$14</c:f>
              <c:strCache>
                <c:ptCount val="5"/>
                <c:pt idx="0">
                  <c:v>2019-20</c:v>
                </c:pt>
                <c:pt idx="1">
                  <c:v>2020-21</c:v>
                </c:pt>
                <c:pt idx="2">
                  <c:v>2021-22</c:v>
                </c:pt>
                <c:pt idx="3">
                  <c:v>2022-23</c:v>
                </c:pt>
                <c:pt idx="4">
                  <c:v>2023-24</c:v>
                </c:pt>
              </c:strCache>
            </c:strRef>
          </c:cat>
          <c:val>
            <c:numRef>
              <c:f>'2023-24 Draft'!$H$17:$L$17</c:f>
              <c:numCache>
                <c:formatCode>General</c:formatCode>
                <c:ptCount val="5"/>
                <c:pt idx="0" formatCode="#,##0.000;\(#,##0.000\)">
                  <c:v>65.545000000000002</c:v>
                </c:pt>
                <c:pt idx="1">
                  <c:v>65.138999999999996</c:v>
                </c:pt>
                <c:pt idx="2">
                  <c:v>65.478999999999999</c:v>
                </c:pt>
                <c:pt idx="3" formatCode="#,##0.000;\(#,##0.000\)">
                  <c:v>69.563000000000002</c:v>
                </c:pt>
                <c:pt idx="4" formatCode="#,##0.000;\(#,##0.000\)">
                  <c:v>72.352999999999994</c:v>
                </c:pt>
              </c:numCache>
            </c:numRef>
          </c:val>
          <c:extLst>
            <c:ext xmlns:c16="http://schemas.microsoft.com/office/drawing/2014/chart" uri="{C3380CC4-5D6E-409C-BE32-E72D297353CC}">
              <c16:uniqueId val="{00000005-23B3-43A9-A8EE-7D2729A01CCE}"/>
            </c:ext>
          </c:extLst>
        </c:ser>
        <c:dLbls>
          <c:showLegendKey val="0"/>
          <c:showVal val="0"/>
          <c:showCatName val="0"/>
          <c:showSerName val="0"/>
          <c:showPercent val="0"/>
          <c:showBubbleSize val="0"/>
        </c:dLbls>
        <c:gapWidth val="227"/>
        <c:overlap val="-48"/>
        <c:axId val="622962776"/>
        <c:axId val="622958072"/>
      </c:barChart>
      <c:catAx>
        <c:axId val="62296277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22958072"/>
        <c:crosses val="autoZero"/>
        <c:auto val="1"/>
        <c:lblAlgn val="ctr"/>
        <c:lblOffset val="100"/>
        <c:noMultiLvlLbl val="0"/>
      </c:catAx>
      <c:valAx>
        <c:axId val="622958072"/>
        <c:scaling>
          <c:orientation val="minMax"/>
        </c:scaling>
        <c:delete val="1"/>
        <c:axPos val="b"/>
        <c:numFmt formatCode="#,##0" sourceLinked="0"/>
        <c:majorTickMark val="none"/>
        <c:minorTickMark val="none"/>
        <c:tickLblPos val="nextTo"/>
        <c:crossAx val="622962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baseline="0">
                <a:solidFill>
                  <a:schemeClr val="tx1"/>
                </a:solidFill>
                <a:latin typeface="+mn-lt"/>
                <a:ea typeface="+mn-ea"/>
                <a:cs typeface="+mn-cs"/>
              </a:defRPr>
            </a:pPr>
            <a:r>
              <a:rPr lang="en-US" sz="1200" b="1" i="0" u="none" strike="noStrike" baseline="0">
                <a:solidFill>
                  <a:schemeClr val="tx1"/>
                </a:solidFill>
                <a:latin typeface="Calibri" panose="020F0502020204030204"/>
              </a:rPr>
              <a:t>EXPENDITURE</a:t>
            </a:r>
            <a:endParaRPr lang="en-US" sz="1000" b="1" i="0" u="none" strike="noStrike" baseline="0">
              <a:solidFill>
                <a:schemeClr val="tx1"/>
              </a:solidFill>
              <a:latin typeface="Calibri" panose="020F0502020204030204"/>
            </a:endParaRPr>
          </a:p>
        </c:rich>
      </c:tx>
      <c:layout>
        <c:manualLayout>
          <c:xMode val="edge"/>
          <c:yMode val="edge"/>
          <c:x val="0.40880422038724318"/>
          <c:y val="0.29782760524033208"/>
        </c:manualLayout>
      </c:layout>
      <c:overlay val="0"/>
      <c:spPr>
        <a:noFill/>
        <a:ln>
          <a:noFill/>
        </a:ln>
        <a:effectLst/>
      </c:spPr>
      <c:txPr>
        <a:bodyPr rot="0" spcFirstLastPara="1" vertOverflow="ellipsis" vert="horz" wrap="square" anchor="ctr" anchorCtr="1"/>
        <a:lstStyle/>
        <a:p>
          <a:pPr>
            <a:defRPr sz="1600" b="1" i="0" u="none" strike="noStrike" baseline="0">
              <a:solidFill>
                <a:schemeClr val="tx1"/>
              </a:solidFill>
              <a:latin typeface="+mn-lt"/>
              <a:ea typeface="+mn-ea"/>
              <a:cs typeface="+mn-cs"/>
            </a:defRPr>
          </a:pPr>
          <a:endParaRPr lang="en-US"/>
        </a:p>
      </c:txPr>
    </c:title>
    <c:autoTitleDeleted val="0"/>
    <c:plotArea>
      <c:layout>
        <c:manualLayout>
          <c:layoutTarget val="inner"/>
          <c:xMode val="edge"/>
          <c:yMode val="edge"/>
          <c:x val="0.33671811023622045"/>
          <c:y val="0.11171701674826463"/>
          <c:w val="0.33038000684697022"/>
          <c:h val="0.45360196737585451"/>
        </c:manualLayout>
      </c:layout>
      <c:doughnutChart>
        <c:varyColors val="0"/>
        <c:ser>
          <c:idx val="0"/>
          <c:order val="0"/>
          <c:tx>
            <c:strRef>
              <c:f>Sheet1!$B$1</c:f>
              <c:strCache>
                <c:ptCount val="1"/>
                <c:pt idx="0">
                  <c:v>Sales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schemeClr val="bg1"/>
              </a:solidFill>
            </a:ln>
            <a:effectLst/>
          </c:spPr>
          <c:dPt>
            <c:idx val="0"/>
            <c:bubble3D val="0"/>
            <c:spPr>
              <a:solidFill>
                <a:schemeClr val="tx1"/>
              </a:solidFill>
              <a:ln>
                <a:solidFill>
                  <a:schemeClr val="bg1"/>
                </a:solidFill>
              </a:ln>
              <a:effectLst/>
            </c:spPr>
            <c:extLst>
              <c:ext xmlns:c16="http://schemas.microsoft.com/office/drawing/2014/chart" uri="{C3380CC4-5D6E-409C-BE32-E72D297353CC}">
                <c16:uniqueId val="{00000001-59AB-40BF-B939-4136FFB9CD7F}"/>
              </c:ext>
            </c:extLst>
          </c:dPt>
          <c:dPt>
            <c:idx val="1"/>
            <c:bubble3D val="0"/>
            <c:spPr>
              <a:solidFill>
                <a:schemeClr val="accent4"/>
              </a:solidFill>
              <a:ln>
                <a:solidFill>
                  <a:schemeClr val="bg1"/>
                </a:solidFill>
              </a:ln>
              <a:effectLst/>
            </c:spPr>
            <c:extLst>
              <c:ext xmlns:c16="http://schemas.microsoft.com/office/drawing/2014/chart" uri="{C3380CC4-5D6E-409C-BE32-E72D297353CC}">
                <c16:uniqueId val="{00000003-59AB-40BF-B939-4136FFB9CD7F}"/>
              </c:ext>
            </c:extLst>
          </c:dPt>
          <c:dPt>
            <c:idx val="2"/>
            <c:bubble3D val="0"/>
            <c:spPr>
              <a:solidFill>
                <a:schemeClr val="accent5"/>
              </a:solidFill>
              <a:ln>
                <a:solidFill>
                  <a:schemeClr val="bg1"/>
                </a:solidFill>
              </a:ln>
              <a:effectLst/>
            </c:spPr>
            <c:extLst>
              <c:ext xmlns:c16="http://schemas.microsoft.com/office/drawing/2014/chart" uri="{C3380CC4-5D6E-409C-BE32-E72D297353CC}">
                <c16:uniqueId val="{00000005-59AB-40BF-B939-4136FFB9CD7F}"/>
              </c:ext>
            </c:extLst>
          </c:dPt>
          <c:dPt>
            <c:idx val="3"/>
            <c:bubble3D val="0"/>
            <c:spPr>
              <a:solidFill>
                <a:schemeClr val="bg1">
                  <a:lumMod val="85000"/>
                </a:schemeClr>
              </a:solidFill>
              <a:ln>
                <a:solidFill>
                  <a:schemeClr val="bg1"/>
                </a:solidFill>
              </a:ln>
              <a:effectLst/>
            </c:spPr>
            <c:extLst>
              <c:ext xmlns:c16="http://schemas.microsoft.com/office/drawing/2014/chart" uri="{C3380CC4-5D6E-409C-BE32-E72D297353CC}">
                <c16:uniqueId val="{00000007-59AB-40BF-B939-4136FFB9CD7F}"/>
              </c:ext>
            </c:extLst>
          </c:dPt>
          <c:dPt>
            <c:idx val="4"/>
            <c:bubble3D val="0"/>
            <c:spPr>
              <a:pattFill prst="smGrid">
                <a:fgClr>
                  <a:schemeClr val="tx1"/>
                </a:fgClr>
                <a:bgClr>
                  <a:schemeClr val="bg1"/>
                </a:bgClr>
              </a:pattFill>
              <a:ln>
                <a:solidFill>
                  <a:schemeClr val="bg1"/>
                </a:solidFill>
              </a:ln>
              <a:effectLst/>
            </c:spPr>
            <c:extLst>
              <c:ext xmlns:c16="http://schemas.microsoft.com/office/drawing/2014/chart" uri="{C3380CC4-5D6E-409C-BE32-E72D297353CC}">
                <c16:uniqueId val="{0000000A-328B-44C8-89B6-80E743DE5A1B}"/>
              </c:ext>
            </c:extLst>
          </c:dPt>
          <c:dPt>
            <c:idx val="5"/>
            <c:bubble3D val="0"/>
            <c:spPr>
              <a:pattFill prst="dkVert">
                <a:fgClr>
                  <a:schemeClr val="tx1"/>
                </a:fgClr>
                <a:bgClr>
                  <a:schemeClr val="bg1"/>
                </a:bgClr>
              </a:pattFill>
              <a:ln>
                <a:solidFill>
                  <a:schemeClr val="bg1"/>
                </a:solidFill>
              </a:ln>
              <a:effectLst/>
            </c:spPr>
            <c:extLst>
              <c:ext xmlns:c16="http://schemas.microsoft.com/office/drawing/2014/chart" uri="{C3380CC4-5D6E-409C-BE32-E72D297353CC}">
                <c16:uniqueId val="{00000009-59AB-40BF-B939-4136FFB9CD7F}"/>
              </c:ext>
            </c:extLst>
          </c:dPt>
          <c:dLbls>
            <c:dLbl>
              <c:idx val="1"/>
              <c:layout>
                <c:manualLayout>
                  <c:x val="7.3773515308004425E-3"/>
                  <c:y val="-1.4306151645207472E-2"/>
                </c:manualLayout>
              </c:layout>
              <c:tx>
                <c:rich>
                  <a:bodyPr/>
                  <a:lstStyle/>
                  <a:p>
                    <a:fld id="{825DB58A-BBFE-4835-9B6D-DBB7BF3182F6}" type="VALUE">
                      <a:rPr lang="en-US" sz="80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9AB-40BF-B939-4136FFB9CD7F}"/>
                </c:ext>
              </c:extLst>
            </c:dLbl>
            <c:dLbl>
              <c:idx val="2"/>
              <c:layout>
                <c:manualLayout>
                  <c:x val="-9.3446452723472323E-2"/>
                  <c:y val="-3.2188841201716736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AB-40BF-B939-4136FFB9CD7F}"/>
                </c:ext>
              </c:extLst>
            </c:dLbl>
            <c:dLbl>
              <c:idx val="3"/>
              <c:layout>
                <c:manualLayout>
                  <c:x val="-5.4100577892536576E-2"/>
                  <c:y val="-6.4377682403433487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AB-40BF-B939-4136FFB9CD7F}"/>
                </c:ext>
              </c:extLst>
            </c:dLbl>
            <c:dLbl>
              <c:idx val="4"/>
              <c:layout>
                <c:manualLayout>
                  <c:x val="9.0987335546538706E-2"/>
                  <c:y val="-5.364806866952789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28B-44C8-89B6-80E743DE5A1B}"/>
                </c:ext>
              </c:extLst>
            </c:dLbl>
            <c:dLbl>
              <c:idx val="5"/>
              <c:layout>
                <c:manualLayout>
                  <c:x val="2.4591171769334719E-2"/>
                  <c:y val="-8.2260371959942777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AB-40BF-B939-4136FFB9CD7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chemeClr val="lt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accent6"/>
                  </a:solidFill>
                  <a:round/>
                </a:ln>
                <a:effectLst/>
              </c:spPr>
            </c:leaderLines>
            <c:extLst>
              <c:ext xmlns:c15="http://schemas.microsoft.com/office/drawing/2012/chart" uri="{CE6537A1-D6FC-4f65-9D91-7224C49458BB}"/>
            </c:extLst>
          </c:dLbls>
          <c:cat>
            <c:strRef>
              <c:f>Sheet1!$A$2:$A$7</c:f>
              <c:strCache>
                <c:ptCount val="6"/>
                <c:pt idx="0">
                  <c:v>Employee expenses (73.2%)</c:v>
                </c:pt>
                <c:pt idx="1">
                  <c:v>Supplies and services (21.4%)</c:v>
                </c:pt>
                <c:pt idx="2">
                  <c:v>Depreciation and amortisation (3.0%)</c:v>
                </c:pt>
                <c:pt idx="3">
                  <c:v>Other expenses including services received below fair value (2.4%)</c:v>
                </c:pt>
                <c:pt idx="4">
                  <c:v>Asset write offs (0.0%)</c:v>
                </c:pt>
                <c:pt idx="5">
                  <c:v>Finance costs (0.0%)</c:v>
                </c:pt>
              </c:strCache>
            </c:strRef>
          </c:cat>
          <c:val>
            <c:numRef>
              <c:f>Sheet1!$B$2:$B$7</c:f>
              <c:numCache>
                <c:formatCode>0.00%</c:formatCode>
                <c:ptCount val="6"/>
                <c:pt idx="0">
                  <c:v>0.73199999999999998</c:v>
                </c:pt>
                <c:pt idx="1">
                  <c:v>0.214</c:v>
                </c:pt>
                <c:pt idx="2">
                  <c:v>0.03</c:v>
                </c:pt>
                <c:pt idx="3">
                  <c:v>2.4E-2</c:v>
                </c:pt>
                <c:pt idx="4">
                  <c:v>0</c:v>
                </c:pt>
                <c:pt idx="5">
                  <c:v>0</c:v>
                </c:pt>
              </c:numCache>
            </c:numRef>
          </c:val>
          <c:extLst>
            <c:ext xmlns:c16="http://schemas.microsoft.com/office/drawing/2014/chart" uri="{C3380CC4-5D6E-409C-BE32-E72D297353CC}">
              <c16:uniqueId val="{0000000A-59AB-40BF-B939-4136FFB9CD7F}"/>
            </c:ext>
          </c:extLst>
        </c:ser>
        <c:dLbls>
          <c:showLegendKey val="0"/>
          <c:showVal val="1"/>
          <c:showCatName val="0"/>
          <c:showSerName val="0"/>
          <c:showPercent val="0"/>
          <c:showBubbleSize val="0"/>
          <c:showLeaderLines val="1"/>
        </c:dLbls>
        <c:firstSliceAng val="0"/>
        <c:holeSize val="65"/>
      </c:doughnutChart>
      <c:spPr>
        <a:noFill/>
        <a:ln>
          <a:noFill/>
        </a:ln>
        <a:effectLst/>
      </c:spPr>
    </c:plotArea>
    <c:legend>
      <c:legendPos val="b"/>
      <c:legendEntry>
        <c:idx val="4"/>
        <c:txPr>
          <a:bodyPr rot="0" spcFirstLastPara="1" vertOverflow="ellipsis" vert="horz" wrap="square" anchor="ctr" anchorCtr="1"/>
          <a:lstStyle/>
          <a:p>
            <a:pPr algn="just">
              <a:defRPr sz="800" b="0" i="0" u="none" strike="noStrike" baseline="0">
                <a:solidFill>
                  <a:schemeClr val="accent2"/>
                </a:solidFill>
                <a:latin typeface="+mj-lt"/>
                <a:ea typeface="+mn-ea"/>
                <a:cs typeface="+mn-cs"/>
              </a:defRPr>
            </a:pPr>
            <a:endParaRPr lang="en-US"/>
          </a:p>
        </c:txPr>
      </c:legendEntry>
      <c:layout>
        <c:manualLayout>
          <c:xMode val="edge"/>
          <c:yMode val="edge"/>
          <c:x val="0.67946995375117036"/>
          <c:y val="0.11210052606085186"/>
          <c:w val="0.29272595075375807"/>
          <c:h val="0.56958759983328267"/>
        </c:manualLayout>
      </c:layout>
      <c:overlay val="0"/>
      <c:spPr>
        <a:noFill/>
        <a:ln>
          <a:noFill/>
        </a:ln>
        <a:effectLst/>
      </c:spPr>
      <c:txPr>
        <a:bodyPr rot="0" spcFirstLastPara="1" vertOverflow="ellipsis" vert="horz" wrap="square" anchor="ctr" anchorCtr="1"/>
        <a:lstStyle/>
        <a:p>
          <a:pPr>
            <a:defRPr sz="800" b="0" i="0" u="none" strike="noStrike" baseline="0">
              <a:solidFill>
                <a:schemeClr val="accent2"/>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baseline="0">
                <a:solidFill>
                  <a:schemeClr val="tx1"/>
                </a:solidFill>
                <a:latin typeface="+mn-lt"/>
                <a:ea typeface="+mn-ea"/>
                <a:cs typeface="+mn-cs"/>
              </a:defRPr>
            </a:pPr>
            <a:r>
              <a:rPr lang="en-US" sz="1200" b="1" i="0" u="none" strike="noStrike" baseline="0">
                <a:solidFill>
                  <a:schemeClr val="tx1"/>
                </a:solidFill>
                <a:latin typeface="Calibri" panose="020F0502020204030204"/>
              </a:rPr>
              <a:t>REVENUE</a:t>
            </a:r>
            <a:endParaRPr lang="en-US" sz="1000" b="1" i="0" u="none" strike="noStrike" baseline="0">
              <a:solidFill>
                <a:schemeClr val="tx1"/>
              </a:solidFill>
              <a:latin typeface="Calibri" panose="020F0502020204030204"/>
            </a:endParaRPr>
          </a:p>
        </c:rich>
      </c:tx>
      <c:layout>
        <c:manualLayout>
          <c:xMode val="edge"/>
          <c:yMode val="edge"/>
          <c:x val="0.41361272148673717"/>
          <c:y val="0.28129242465381482"/>
        </c:manualLayout>
      </c:layout>
      <c:overlay val="0"/>
      <c:spPr>
        <a:noFill/>
        <a:ln>
          <a:noFill/>
        </a:ln>
        <a:effectLst/>
      </c:spPr>
      <c:txPr>
        <a:bodyPr rot="0" spcFirstLastPara="1" vertOverflow="ellipsis" vert="horz" wrap="square" anchor="ctr" anchorCtr="1"/>
        <a:lstStyle/>
        <a:p>
          <a:pPr>
            <a:defRPr sz="1600" b="1" i="0" u="none" strike="noStrike" baseline="0">
              <a:solidFill>
                <a:schemeClr val="tx1"/>
              </a:solidFill>
              <a:latin typeface="+mn-lt"/>
              <a:ea typeface="+mn-ea"/>
              <a:cs typeface="+mn-cs"/>
            </a:defRPr>
          </a:pPr>
          <a:endParaRPr lang="en-US"/>
        </a:p>
      </c:txPr>
    </c:title>
    <c:autoTitleDeleted val="0"/>
    <c:plotArea>
      <c:layout>
        <c:manualLayout>
          <c:layoutTarget val="inner"/>
          <c:xMode val="edge"/>
          <c:yMode val="edge"/>
          <c:x val="0.29182160613156888"/>
          <c:y val="5.7597530422333572E-2"/>
          <c:w val="0.41161456614330394"/>
          <c:h val="0.52726422691481745"/>
        </c:manualLayout>
      </c:layout>
      <c:doughnutChart>
        <c:varyColors val="1"/>
        <c:ser>
          <c:idx val="0"/>
          <c:order val="0"/>
          <c:tx>
            <c:strRef>
              <c:f>Sheet1!$B$1</c:f>
              <c:strCache>
                <c:ptCount val="1"/>
                <c:pt idx="0">
                  <c:v>Sales</c:v>
                </c:pt>
              </c:strCache>
            </c:strRef>
          </c:tx>
          <c:dPt>
            <c:idx val="0"/>
            <c:bubble3D val="0"/>
            <c:spPr>
              <a:solidFill>
                <a:schemeClr val="tx1"/>
              </a:solidFill>
              <a:ln>
                <a:solidFill>
                  <a:schemeClr val="bg1"/>
                </a:solidFill>
              </a:ln>
              <a:effectLst/>
            </c:spPr>
            <c:extLst>
              <c:ext xmlns:c16="http://schemas.microsoft.com/office/drawing/2014/chart" uri="{C3380CC4-5D6E-409C-BE32-E72D297353CC}">
                <c16:uniqueId val="{00000001-DD1F-4188-BF51-6A72C6C2E308}"/>
              </c:ext>
            </c:extLst>
          </c:dPt>
          <c:dPt>
            <c:idx val="1"/>
            <c:bubble3D val="0"/>
            <c:spPr>
              <a:solidFill>
                <a:schemeClr val="accent5"/>
              </a:solidFill>
              <a:ln>
                <a:solidFill>
                  <a:schemeClr val="bg1"/>
                </a:solidFill>
              </a:ln>
              <a:effectLst/>
            </c:spPr>
            <c:extLst>
              <c:ext xmlns:c16="http://schemas.microsoft.com/office/drawing/2014/chart" uri="{C3380CC4-5D6E-409C-BE32-E72D297353CC}">
                <c16:uniqueId val="{00000003-DD1F-4188-BF51-6A72C6C2E308}"/>
              </c:ext>
            </c:extLst>
          </c:dPt>
          <c:dPt>
            <c:idx val="2"/>
            <c:bubble3D val="0"/>
            <c:spPr>
              <a:solidFill>
                <a:schemeClr val="accent4"/>
              </a:solidFill>
              <a:ln>
                <a:solidFill>
                  <a:schemeClr val="bg1"/>
                </a:solidFill>
              </a:ln>
              <a:effectLst/>
            </c:spPr>
            <c:extLst>
              <c:ext xmlns:c16="http://schemas.microsoft.com/office/drawing/2014/chart" uri="{C3380CC4-5D6E-409C-BE32-E72D297353CC}">
                <c16:uniqueId val="{00000005-DD1F-4188-BF51-6A72C6C2E308}"/>
              </c:ext>
            </c:extLst>
          </c:dPt>
          <c:dPt>
            <c:idx val="3"/>
            <c:bubble3D val="0"/>
            <c:spPr>
              <a:pattFill prst="wdDnDiag">
                <a:fgClr>
                  <a:schemeClr val="accent1"/>
                </a:fgClr>
                <a:bgClr>
                  <a:schemeClr val="bg1"/>
                </a:bgClr>
              </a:pattFill>
              <a:ln w="6350">
                <a:noFill/>
              </a:ln>
              <a:effectLst/>
            </c:spPr>
            <c:extLst>
              <c:ext xmlns:c16="http://schemas.microsoft.com/office/drawing/2014/chart" uri="{C3380CC4-5D6E-409C-BE32-E72D297353CC}">
                <c16:uniqueId val="{00000007-DD1F-4188-BF51-6A72C6C2E308}"/>
              </c:ext>
            </c:extLst>
          </c:dPt>
          <c:dLbls>
            <c:dLbl>
              <c:idx val="0"/>
              <c:layout>
                <c:manualLayout>
                  <c:x val="-8.5470085470085527E-2"/>
                  <c:y val="-2.05254515599343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1F-4188-BF51-6A72C6C2E308}"/>
                </c:ext>
              </c:extLst>
            </c:dLbl>
            <c:dLbl>
              <c:idx val="1"/>
              <c:layout>
                <c:manualLayout>
                  <c:x val="-0.11904761904761904"/>
                  <c:y val="-5.1313628899835796E-2"/>
                </c:manualLayout>
              </c:layout>
              <c:tx>
                <c:rich>
                  <a:bodyPr rot="0" spcFirstLastPara="1" vertOverflow="ellipsis" vert="horz" wrap="square" lIns="38100" tIns="19050" rIns="38100" bIns="19050" anchor="ctr" anchorCtr="1">
                    <a:noAutofit/>
                  </a:bodyPr>
                  <a:lstStyle/>
                  <a:p>
                    <a:pPr>
                      <a:defRPr sz="800" b="0" i="0" u="none" strike="noStrike" baseline="0">
                        <a:solidFill>
                          <a:schemeClr val="lt1"/>
                        </a:solidFill>
                        <a:latin typeface="+mn-lt"/>
                        <a:ea typeface="+mn-ea"/>
                        <a:cs typeface="+mn-cs"/>
                      </a:defRPr>
                    </a:pPr>
                    <a:fld id="{1EBF0717-EA0D-4286-A90E-4CCD8B9D2883}" type="VALUE">
                      <a:rPr lang="en-US" sz="800">
                        <a:solidFill>
                          <a:schemeClr val="tx1"/>
                        </a:solidFill>
                      </a:rPr>
                      <a:pPr>
                        <a:defRPr sz="800"/>
                      </a:pPr>
                      <a:t>[VALUE]</a:t>
                    </a:fld>
                    <a:endParaRPr lang="en-AU"/>
                  </a:p>
                </c:rich>
              </c:tx>
              <c:spPr>
                <a:noFill/>
                <a:ln>
                  <a:noFill/>
                </a:ln>
                <a:effectLst/>
              </c:spPr>
              <c:txPr>
                <a:bodyPr rot="0" spcFirstLastPara="1" vertOverflow="ellipsis" vert="horz" wrap="square" lIns="38100" tIns="19050" rIns="38100" bIns="19050" anchor="ctr" anchorCtr="1">
                  <a:noAutofit/>
                </a:bodyPr>
                <a:lstStyle/>
                <a:p>
                  <a:pPr>
                    <a:defRPr sz="800" b="0" i="0" u="none" strike="noStrike" baseline="0">
                      <a:solidFill>
                        <a:schemeClr val="lt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6645178968013617E-2"/>
                      <c:h val="6.1514939942851968E-2"/>
                    </c:manualLayout>
                  </c15:layout>
                  <c15:dlblFieldTable/>
                  <c15:showDataLabelsRange val="0"/>
                </c:ext>
                <c:ext xmlns:c16="http://schemas.microsoft.com/office/drawing/2014/chart" uri="{C3380CC4-5D6E-409C-BE32-E72D297353CC}">
                  <c16:uniqueId val="{00000003-DD1F-4188-BF51-6A72C6C2E308}"/>
                </c:ext>
              </c:extLst>
            </c:dLbl>
            <c:dLbl>
              <c:idx val="2"/>
              <c:layout>
                <c:manualLayout>
                  <c:x val="6.8681318681318687E-2"/>
                  <c:y val="-7.389162561576358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2465845615451916E-2"/>
                      <c:h val="5.4622913515120955E-2"/>
                    </c:manualLayout>
                  </c15:layout>
                </c:ext>
                <c:ext xmlns:c16="http://schemas.microsoft.com/office/drawing/2014/chart" uri="{C3380CC4-5D6E-409C-BE32-E72D297353CC}">
                  <c16:uniqueId val="{00000005-DD1F-4188-BF51-6A72C6C2E308}"/>
                </c:ext>
              </c:extLst>
            </c:dLbl>
            <c:dLbl>
              <c:idx val="3"/>
              <c:layout>
                <c:manualLayout>
                  <c:x val="0.14957264957264957"/>
                  <c:y val="-4.5155993431855501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D1F-4188-BF51-6A72C6C2E30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baseline="0">
                    <a:solidFill>
                      <a:schemeClr val="lt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accent6"/>
                  </a:solidFill>
                  <a:round/>
                </a:ln>
                <a:effectLst/>
              </c:spPr>
            </c:leaderLines>
            <c:extLst>
              <c:ext xmlns:c15="http://schemas.microsoft.com/office/drawing/2012/chart" uri="{CE6537A1-D6FC-4f65-9D91-7224C49458BB}"/>
            </c:extLst>
          </c:dLbls>
          <c:cat>
            <c:strRef>
              <c:f>Sheet1!$A$2:$A$5</c:f>
              <c:strCache>
                <c:ptCount val="4"/>
                <c:pt idx="0">
                  <c:v>Grants (95.9%)</c:v>
                </c:pt>
                <c:pt idx="1">
                  <c:v>Other contributions (1.6%)</c:v>
                </c:pt>
                <c:pt idx="2">
                  <c:v>Interest revenue (2.3%)</c:v>
                </c:pt>
                <c:pt idx="3">
                  <c:v>Other revenue (0.2%)</c:v>
                </c:pt>
              </c:strCache>
            </c:strRef>
          </c:cat>
          <c:val>
            <c:numRef>
              <c:f>Sheet1!$B$2:$B$5</c:f>
              <c:numCache>
                <c:formatCode>0.00%</c:formatCode>
                <c:ptCount val="4"/>
                <c:pt idx="0">
                  <c:v>0.95899999999999996</c:v>
                </c:pt>
                <c:pt idx="1">
                  <c:v>1.6E-2</c:v>
                </c:pt>
                <c:pt idx="2">
                  <c:v>2.3E-2</c:v>
                </c:pt>
                <c:pt idx="3">
                  <c:v>2E-3</c:v>
                </c:pt>
              </c:numCache>
            </c:numRef>
          </c:val>
          <c:extLst>
            <c:ext xmlns:c16="http://schemas.microsoft.com/office/drawing/2014/chart" uri="{C3380CC4-5D6E-409C-BE32-E72D297353CC}">
              <c16:uniqueId val="{00000008-DD1F-4188-BF51-6A72C6C2E308}"/>
            </c:ext>
          </c:extLst>
        </c:ser>
        <c:dLbls>
          <c:showLegendKey val="0"/>
          <c:showVal val="1"/>
          <c:showCatName val="0"/>
          <c:showSerName val="0"/>
          <c:showPercent val="0"/>
          <c:showBubbleSize val="0"/>
          <c:showLeaderLines val="1"/>
        </c:dLbls>
        <c:firstSliceAng val="0"/>
        <c:holeSize val="65"/>
      </c:doughnutChart>
      <c:spPr>
        <a:noFill/>
        <a:ln>
          <a:noFill/>
        </a:ln>
        <a:effectLst/>
      </c:spPr>
    </c:plotArea>
    <c:legend>
      <c:legendPos val="b"/>
      <c:legendEntry>
        <c:idx val="0"/>
        <c:txPr>
          <a:bodyPr rot="0" spcFirstLastPara="1" vertOverflow="ellipsis" vert="horz" wrap="square" anchor="ctr" anchorCtr="1"/>
          <a:lstStyle/>
          <a:p>
            <a:pPr>
              <a:defRPr sz="800" b="0" i="0" u="none" strike="noStrike" baseline="0">
                <a:solidFill>
                  <a:schemeClr val="accent2"/>
                </a:solidFill>
                <a:latin typeface="+mj-lt"/>
                <a:ea typeface="+mn-ea"/>
                <a:cs typeface="+mn-cs"/>
              </a:defRPr>
            </a:pPr>
            <a:endParaRPr lang="en-US"/>
          </a:p>
        </c:txPr>
      </c:legendEntry>
      <c:legendEntry>
        <c:idx val="1"/>
        <c:txPr>
          <a:bodyPr rot="0" spcFirstLastPara="1" vertOverflow="ellipsis" vert="horz" wrap="square" anchor="ctr" anchorCtr="1"/>
          <a:lstStyle/>
          <a:p>
            <a:pPr>
              <a:defRPr sz="800" b="0" i="0" u="none" strike="noStrike" baseline="0">
                <a:solidFill>
                  <a:schemeClr val="accent2"/>
                </a:solidFill>
                <a:latin typeface="+mj-lt"/>
                <a:ea typeface="+mn-ea"/>
                <a:cs typeface="+mn-cs"/>
              </a:defRPr>
            </a:pPr>
            <a:endParaRPr lang="en-US"/>
          </a:p>
        </c:txPr>
      </c:legendEntry>
      <c:legendEntry>
        <c:idx val="2"/>
        <c:txPr>
          <a:bodyPr rot="0" spcFirstLastPara="1" vertOverflow="ellipsis" vert="horz" wrap="square" anchor="ctr" anchorCtr="1"/>
          <a:lstStyle/>
          <a:p>
            <a:pPr>
              <a:defRPr sz="800" b="0" i="0" u="none" strike="noStrike" baseline="0">
                <a:solidFill>
                  <a:schemeClr val="accent2"/>
                </a:solidFill>
                <a:latin typeface="+mj-lt"/>
                <a:ea typeface="+mn-ea"/>
                <a:cs typeface="+mn-cs"/>
              </a:defRPr>
            </a:pPr>
            <a:endParaRPr lang="en-US"/>
          </a:p>
        </c:txPr>
      </c:legendEntry>
      <c:legendEntry>
        <c:idx val="3"/>
        <c:txPr>
          <a:bodyPr rot="0" spcFirstLastPara="1" vertOverflow="ellipsis" vert="horz" wrap="square" anchor="ctr" anchorCtr="1"/>
          <a:lstStyle/>
          <a:p>
            <a:pPr>
              <a:defRPr sz="800" b="0" i="0" u="none" strike="noStrike" baseline="0">
                <a:solidFill>
                  <a:schemeClr val="accent2"/>
                </a:solidFill>
                <a:latin typeface="+mj-lt"/>
                <a:ea typeface="+mn-ea"/>
                <a:cs typeface="+mn-cs"/>
              </a:defRPr>
            </a:pPr>
            <a:endParaRPr lang="en-US"/>
          </a:p>
        </c:txPr>
      </c:legendEntry>
      <c:layout>
        <c:manualLayout>
          <c:xMode val="edge"/>
          <c:yMode val="edge"/>
          <c:x val="0.11105006105006106"/>
          <c:y val="0.61223543177792428"/>
          <c:w val="0.77484737484737476"/>
          <c:h val="8.8092975447034635E-2"/>
        </c:manualLayout>
      </c:layout>
      <c:overlay val="0"/>
      <c:spPr>
        <a:noFill/>
        <a:ln>
          <a:noFill/>
        </a:ln>
        <a:effectLst/>
      </c:spPr>
      <c:txPr>
        <a:bodyPr rot="0" spcFirstLastPara="1" vertOverflow="ellipsis" vert="horz" wrap="square" anchor="ctr" anchorCtr="1"/>
        <a:lstStyle/>
        <a:p>
          <a:pPr>
            <a:defRPr sz="800" b="0" i="0" u="none" strike="noStrike" baseline="0">
              <a:solidFill>
                <a:schemeClr val="accent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90577225255885"/>
          <c:y val="6.3897763578274758E-2"/>
          <c:w val="0.64044082235560196"/>
          <c:h val="0.82394279389197755"/>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solidFill>
                <a:srgbClr val="000000"/>
              </a:solidFill>
            </a:ln>
            <a:effectLst/>
          </c:spPr>
          <c:invertIfNegative val="0"/>
          <c:dPt>
            <c:idx val="0"/>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1-FAF1-4FB7-821A-9F4E9983C86E}"/>
              </c:ext>
            </c:extLst>
          </c:dPt>
          <c:dPt>
            <c:idx val="1"/>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3-FAF1-4FB7-821A-9F4E9983C86E}"/>
              </c:ext>
            </c:extLst>
          </c:dPt>
          <c:dPt>
            <c:idx val="2"/>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5-FAF1-4FB7-821A-9F4E9983C86E}"/>
              </c:ext>
            </c:extLst>
          </c:dPt>
          <c:dPt>
            <c:idx val="3"/>
            <c:invertIfNegative val="0"/>
            <c:bubble3D val="0"/>
            <c:spPr>
              <a:solidFill>
                <a:srgbClr val="414042"/>
              </a:solidFill>
              <a:ln>
                <a:solidFill>
                  <a:srgbClr val="000000"/>
                </a:solidFill>
              </a:ln>
              <a:effectLst/>
            </c:spPr>
            <c:extLst>
              <c:ext xmlns:c16="http://schemas.microsoft.com/office/drawing/2014/chart" uri="{C3380CC4-5D6E-409C-BE32-E72D297353CC}">
                <c16:uniqueId val="{00000007-FAF1-4FB7-821A-9F4E9983C86E}"/>
              </c:ext>
            </c:extLst>
          </c:dPt>
          <c:dLbls>
            <c:dLbl>
              <c:idx val="3"/>
              <c:layout>
                <c:manualLayout>
                  <c:x val="-1.371613722263537E-3"/>
                  <c:y val="-7.6083671761075651E-18"/>
                </c:manualLayout>
              </c:layout>
              <c:tx>
                <c:rich>
                  <a:bodyPr/>
                  <a:lstStyle/>
                  <a:p>
                    <a:fld id="{B5C98C48-DBDF-472D-85C3-3338E486C4AF}" type="VALUE">
                      <a:rPr lang="en-US" b="1"/>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AF1-4FB7-821A-9F4E9983C86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2020–21</c:v>
                </c:pt>
                <c:pt idx="1">
                  <c:v>2021–22</c:v>
                </c:pt>
                <c:pt idx="2">
                  <c:v>2022–23</c:v>
                </c:pt>
                <c:pt idx="3">
                  <c:v>2023–24</c:v>
                </c:pt>
              </c:strCache>
            </c:strRef>
          </c:cat>
          <c:val>
            <c:numRef>
              <c:f>Sheet1!$B$2:$B$5</c:f>
              <c:numCache>
                <c:formatCode>0%</c:formatCode>
                <c:ptCount val="4"/>
                <c:pt idx="0">
                  <c:v>1</c:v>
                </c:pt>
                <c:pt idx="1">
                  <c:v>1</c:v>
                </c:pt>
                <c:pt idx="2">
                  <c:v>0.9</c:v>
                </c:pt>
                <c:pt idx="3">
                  <c:v>1</c:v>
                </c:pt>
              </c:numCache>
            </c:numRef>
          </c:val>
          <c:extLst>
            <c:ext xmlns:c16="http://schemas.microsoft.com/office/drawing/2014/chart" uri="{C3380CC4-5D6E-409C-BE32-E72D297353CC}">
              <c16:uniqueId val="{00000008-FAF1-4FB7-821A-9F4E9983C86E}"/>
            </c:ext>
          </c:extLst>
        </c:ser>
        <c:dLbls>
          <c:dLblPos val="outEnd"/>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max val="1"/>
          <c:min val="0"/>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mj-lt"/>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1"/>
          <c:order val="0"/>
          <c:tx>
            <c:strRef>
              <c:f>Sheet1!$B$1</c:f>
              <c:strCache>
                <c:ptCount val="1"/>
                <c:pt idx="0">
                  <c:v>Illicit markets</c:v>
                </c:pt>
              </c:strCache>
            </c:strRef>
          </c:tx>
          <c:spPr>
            <a:solidFill>
              <a:schemeClr val="tx1"/>
            </a:solidFill>
            <a:ln>
              <a:noFill/>
            </a:ln>
            <a:effectLst/>
          </c:spPr>
          <c:invertIfNegative val="0"/>
          <c:dLbls>
            <c:dLbl>
              <c:idx val="0"/>
              <c:tx>
                <c:rich>
                  <a:bodyPr/>
                  <a:lstStyle/>
                  <a:p>
                    <a:fld id="{BFA577B9-E8CA-4D7F-91AD-81012F6CD36A}" type="VALUE">
                      <a:rPr lang="en-US">
                        <a:solidFill>
                          <a:schemeClr val="tx2"/>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F4D-4764-BA95-A4EB108B537E}"/>
                </c:ext>
              </c:extLst>
            </c:dLbl>
            <c:dLbl>
              <c:idx val="1"/>
              <c:tx>
                <c:rich>
                  <a:bodyPr/>
                  <a:lstStyle/>
                  <a:p>
                    <a:fld id="{0A542718-2AA6-4B87-BCCC-702FC47C6FA2}" type="VALUE">
                      <a:rPr lang="en-US">
                        <a:solidFill>
                          <a:schemeClr val="tx2"/>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F4D-4764-BA95-A4EB108B53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$10.514 M 
FORFEITED</c:v>
                </c:pt>
                <c:pt idx="1">
                  <c:v>$8.461 M 
RESTRAINED</c:v>
                </c:pt>
              </c:strCache>
            </c:strRef>
          </c:cat>
          <c:val>
            <c:numRef>
              <c:f>Sheet1!$B$2:$B$3</c:f>
              <c:numCache>
                <c:formatCode>General</c:formatCode>
                <c:ptCount val="2"/>
                <c:pt idx="0">
                  <c:v>10.513999999999999</c:v>
                </c:pt>
                <c:pt idx="1">
                  <c:v>8.4610000000000003</c:v>
                </c:pt>
              </c:numCache>
            </c:numRef>
          </c:val>
          <c:extLst>
            <c:ext xmlns:c16="http://schemas.microsoft.com/office/drawing/2014/chart" uri="{C3380CC4-5D6E-409C-BE32-E72D297353CC}">
              <c16:uniqueId val="{00000002-FF4D-4764-BA95-A4EB108B537E}"/>
            </c:ext>
          </c:extLst>
        </c:ser>
        <c:ser>
          <c:idx val="0"/>
          <c:order val="1"/>
          <c:tx>
            <c:strRef>
              <c:f>Sheet1!$C$1</c:f>
              <c:strCache>
                <c:ptCount val="1"/>
                <c:pt idx="0">
                  <c:v>Not related to illicit markets</c:v>
                </c:pt>
              </c:strCache>
            </c:strRef>
          </c:tx>
          <c:spPr>
            <a:solidFill>
              <a:schemeClr val="bg1">
                <a:lumMod val="85000"/>
              </a:schemeClr>
            </a:solidFill>
            <a:ln>
              <a:noFill/>
            </a:ln>
            <a:effectLst/>
          </c:spPr>
          <c:invertIfNegative val="0"/>
          <c:dLbls>
            <c:dLbl>
              <c:idx val="0"/>
              <c:layout>
                <c:manualLayout>
                  <c:x val="-1.8646380744048811E-17"/>
                  <c:y val="-2.646669607410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4D-4764-BA95-A4EB108B537E}"/>
                </c:ext>
              </c:extLst>
            </c:dLbl>
            <c:dLbl>
              <c:idx val="1"/>
              <c:layout>
                <c:manualLayout>
                  <c:x val="-1.8646380744048811E-17"/>
                  <c:y val="-3.5288928098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4D-4764-BA95-A4EB108B53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$10.514 M 
FORFEITED</c:v>
                </c:pt>
                <c:pt idx="1">
                  <c:v>$8.461 M 
RESTRAINED</c:v>
                </c:pt>
              </c:strCache>
            </c:strRef>
          </c:cat>
          <c:val>
            <c:numRef>
              <c:f>Sheet1!$C$2:$C$3</c:f>
              <c:numCache>
                <c:formatCode>General</c:formatCode>
                <c:ptCount val="2"/>
                <c:pt idx="0">
                  <c:v>0</c:v>
                </c:pt>
                <c:pt idx="1">
                  <c:v>0</c:v>
                </c:pt>
              </c:numCache>
            </c:numRef>
          </c:val>
          <c:extLst>
            <c:ext xmlns:c16="http://schemas.microsoft.com/office/drawing/2014/chart" uri="{C3380CC4-5D6E-409C-BE32-E72D297353CC}">
              <c16:uniqueId val="{00000005-FF4D-4764-BA95-A4EB108B537E}"/>
            </c:ext>
          </c:extLst>
        </c:ser>
        <c:dLbls>
          <c:showLegendKey val="0"/>
          <c:showVal val="0"/>
          <c:showCatName val="0"/>
          <c:showSerName val="0"/>
          <c:showPercent val="0"/>
          <c:showBubbleSize val="0"/>
        </c:dLbls>
        <c:gapWidth val="182"/>
        <c:axId val="867087920"/>
        <c:axId val="867089560"/>
      </c:barChart>
      <c:catAx>
        <c:axId val="867087920"/>
        <c:scaling>
          <c:orientation val="minMax"/>
        </c:scaling>
        <c:delete val="1"/>
        <c:axPos val="l"/>
        <c:numFmt formatCode="General" sourceLinked="1"/>
        <c:majorTickMark val="none"/>
        <c:minorTickMark val="none"/>
        <c:tickLblPos val="low"/>
        <c:crossAx val="867089560"/>
        <c:crosses val="autoZero"/>
        <c:auto val="1"/>
        <c:lblAlgn val="ctr"/>
        <c:lblOffset val="100"/>
        <c:noMultiLvlLbl val="0"/>
      </c:catAx>
      <c:valAx>
        <c:axId val="867089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08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ysClr val="windowText" lastClr="000000"/>
                </a:solidFill>
                <a:latin typeface="+mn-lt"/>
                <a:ea typeface="+mn-ea"/>
                <a:cs typeface="+mn-cs"/>
              </a:defRPr>
            </a:pPr>
            <a:r>
              <a:rPr lang="en-US" sz="900" b="1">
                <a:solidFill>
                  <a:schemeClr val="tx1"/>
                </a:solidFill>
              </a:rPr>
              <a:t>19 </a:t>
            </a:r>
          </a:p>
          <a:p>
            <a:pPr algn="ctr">
              <a:defRPr b="1">
                <a:solidFill>
                  <a:sysClr val="windowText" lastClr="000000"/>
                </a:solidFill>
              </a:defRPr>
            </a:pPr>
            <a:r>
              <a:rPr lang="en-US" sz="900" b="1">
                <a:solidFill>
                  <a:schemeClr val="tx1"/>
                </a:solidFill>
              </a:rPr>
              <a:t>FORFEITURE </a:t>
            </a:r>
          </a:p>
          <a:p>
            <a:pPr algn="ctr">
              <a:defRPr b="1">
                <a:solidFill>
                  <a:sysClr val="windowText" lastClr="000000"/>
                </a:solidFill>
              </a:defRPr>
            </a:pPr>
            <a:r>
              <a:rPr lang="en-US" sz="900" b="1">
                <a:solidFill>
                  <a:schemeClr val="tx1"/>
                </a:solidFill>
              </a:rPr>
              <a:t>ORDERS</a:t>
            </a:r>
          </a:p>
        </c:rich>
      </c:tx>
      <c:layout>
        <c:manualLayout>
          <c:xMode val="edge"/>
          <c:yMode val="edge"/>
          <c:x val="0.30612459558877841"/>
          <c:y val="0.28354168162969068"/>
        </c:manualLayout>
      </c:layout>
      <c:overlay val="0"/>
      <c:spPr>
        <a:noFill/>
        <a:ln>
          <a:noFill/>
        </a:ln>
        <a:effectLst/>
      </c:spPr>
      <c:txPr>
        <a:bodyPr rot="0" spcFirstLastPara="1" vertOverflow="ellipsis" vert="horz" wrap="square" anchor="ctr" anchorCtr="1"/>
        <a:lstStyle/>
        <a:p>
          <a:pPr algn="ct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2492844186753619"/>
          <c:y val="0.14881735431836213"/>
          <c:w val="0.55610839091185504"/>
          <c:h val="0.65486068455476776"/>
        </c:manualLayout>
      </c:layout>
      <c:doughnutChart>
        <c:varyColors val="1"/>
        <c:ser>
          <c:idx val="0"/>
          <c:order val="0"/>
          <c:tx>
            <c:strRef>
              <c:f>Sheet1!$B$1</c:f>
              <c:strCache>
                <c:ptCount val="1"/>
                <c:pt idx="0">
                  <c:v>19 FORFEITURE ORDERS ISSUED</c:v>
                </c:pt>
              </c:strCache>
            </c:strRef>
          </c:tx>
          <c:spPr>
            <a:solidFill>
              <a:schemeClr val="tx1"/>
            </a:solidFill>
          </c:spPr>
          <c:dPt>
            <c:idx val="0"/>
            <c:bubble3D val="0"/>
            <c:spPr>
              <a:solidFill>
                <a:schemeClr val="tx1"/>
              </a:solidFill>
              <a:ln w="19050">
                <a:solidFill>
                  <a:schemeClr val="lt1"/>
                </a:solidFill>
              </a:ln>
              <a:effectLst/>
            </c:spPr>
            <c:extLst>
              <c:ext xmlns:c16="http://schemas.microsoft.com/office/drawing/2014/chart" uri="{C3380CC4-5D6E-409C-BE32-E72D297353CC}">
                <c16:uniqueId val="{00000001-9FBC-4E2B-833E-E082666653A3}"/>
              </c:ext>
            </c:extLst>
          </c:dPt>
          <c:dPt>
            <c:idx val="1"/>
            <c:bubble3D val="0"/>
            <c:spPr>
              <a:solidFill>
                <a:schemeClr val="tx1"/>
              </a:solidFill>
              <a:ln w="19050">
                <a:solidFill>
                  <a:schemeClr val="lt1"/>
                </a:solidFill>
              </a:ln>
              <a:effectLst/>
            </c:spPr>
            <c:extLst>
              <c:ext xmlns:c16="http://schemas.microsoft.com/office/drawing/2014/chart" uri="{C3380CC4-5D6E-409C-BE32-E72D297353CC}">
                <c16:uniqueId val="{00000003-9FBC-4E2B-833E-E082666653A3}"/>
              </c:ext>
            </c:extLst>
          </c:dPt>
          <c:dLbls>
            <c:dLbl>
              <c:idx val="0"/>
              <c:delete val="1"/>
              <c:extLst>
                <c:ext xmlns:c15="http://schemas.microsoft.com/office/drawing/2012/chart" uri="{CE6537A1-D6FC-4f65-9D91-7224C49458BB}"/>
                <c:ext xmlns:c16="http://schemas.microsoft.com/office/drawing/2014/chart" uri="{C3380CC4-5D6E-409C-BE32-E72D297353CC}">
                  <c16:uniqueId val="{00000001-9FBC-4E2B-833E-E082666653A3}"/>
                </c:ext>
              </c:extLst>
            </c:dLbl>
            <c:dLbl>
              <c:idx val="1"/>
              <c:layout>
                <c:manualLayout>
                  <c:x val="-2.6631158455392809E-2"/>
                  <c:y val="0"/>
                </c:manualLayout>
              </c:layout>
              <c:tx>
                <c:rich>
                  <a:bodyPr/>
                  <a:lstStyle/>
                  <a:p>
                    <a:fld id="{95DCD423-4A2E-41EA-98CE-876FF88B868C}"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FBC-4E2B-833E-E082666653A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Non illicit</c:v>
                </c:pt>
                <c:pt idx="1">
                  <c:v>Illicit</c:v>
                </c:pt>
              </c:strCache>
            </c:strRef>
          </c:cat>
          <c:val>
            <c:numRef>
              <c:f>Sheet1!$B$2:$B$3</c:f>
              <c:numCache>
                <c:formatCode>General</c:formatCode>
                <c:ptCount val="2"/>
                <c:pt idx="0">
                  <c:v>0</c:v>
                </c:pt>
                <c:pt idx="1">
                  <c:v>19</c:v>
                </c:pt>
              </c:numCache>
            </c:numRef>
          </c:val>
          <c:extLst>
            <c:ext xmlns:c16="http://schemas.microsoft.com/office/drawing/2014/chart" uri="{C3380CC4-5D6E-409C-BE32-E72D297353CC}">
              <c16:uniqueId val="{00000004-9FBC-4E2B-833E-E082666653A3}"/>
            </c:ext>
          </c:extLst>
        </c:ser>
        <c:dLbls>
          <c:showLegendKey val="0"/>
          <c:showVal val="0"/>
          <c:showCatName val="0"/>
          <c:showSerName val="0"/>
          <c:showPercent val="0"/>
          <c:showBubbleSize val="0"/>
          <c:showLeaderLines val="1"/>
        </c:dLbls>
        <c:firstSliceAng val="35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900" b="1">
                <a:solidFill>
                  <a:schemeClr val="tx1"/>
                </a:solidFill>
              </a:rPr>
              <a:t>34</a:t>
            </a:r>
          </a:p>
          <a:p>
            <a:pPr>
              <a:defRPr b="1">
                <a:solidFill>
                  <a:sysClr val="windowText" lastClr="000000"/>
                </a:solidFill>
              </a:defRPr>
            </a:pPr>
            <a:r>
              <a:rPr lang="en-US" sz="900" b="1">
                <a:solidFill>
                  <a:schemeClr val="tx1"/>
                </a:solidFill>
              </a:rPr>
              <a:t>MATTERS </a:t>
            </a:r>
          </a:p>
          <a:p>
            <a:pPr>
              <a:defRPr b="1">
                <a:solidFill>
                  <a:sysClr val="windowText" lastClr="000000"/>
                </a:solidFill>
              </a:defRPr>
            </a:pPr>
            <a:r>
              <a:rPr lang="en-US" sz="900" b="1">
                <a:solidFill>
                  <a:schemeClr val="tx1"/>
                </a:solidFill>
              </a:rPr>
              <a:t>ASSESSED</a:t>
            </a:r>
          </a:p>
        </c:rich>
      </c:tx>
      <c:layout>
        <c:manualLayout>
          <c:xMode val="edge"/>
          <c:yMode val="edge"/>
          <c:x val="0.34851647968782662"/>
          <c:y val="0.31185395956743855"/>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2650691466496117"/>
          <c:y val="0.16402892797945537"/>
          <c:w val="0.54367929375006552"/>
          <c:h val="0.64022446037836012"/>
        </c:manualLayout>
      </c:layout>
      <c:doughnutChart>
        <c:varyColors val="1"/>
        <c:ser>
          <c:idx val="0"/>
          <c:order val="0"/>
          <c:tx>
            <c:strRef>
              <c:f>Sheet1!$B$1</c:f>
              <c:strCache>
                <c:ptCount val="1"/>
                <c:pt idx="0">
                  <c:v>34 Matters Assessed</c:v>
                </c:pt>
              </c:strCache>
            </c:strRef>
          </c:tx>
          <c:spPr>
            <a:solidFill>
              <a:schemeClr val="tx1"/>
            </a:solidFill>
          </c:spPr>
          <c:explosion val="5"/>
          <c:dPt>
            <c:idx val="0"/>
            <c:bubble3D val="0"/>
            <c:explosion val="0"/>
            <c:spPr>
              <a:solidFill>
                <a:schemeClr val="bg1">
                  <a:lumMod val="85000"/>
                </a:schemeClr>
              </a:solidFill>
              <a:ln w="19050">
                <a:solidFill>
                  <a:schemeClr val="lt1"/>
                </a:solidFill>
              </a:ln>
              <a:effectLst/>
            </c:spPr>
            <c:extLst>
              <c:ext xmlns:c16="http://schemas.microsoft.com/office/drawing/2014/chart" uri="{C3380CC4-5D6E-409C-BE32-E72D297353CC}">
                <c16:uniqueId val="{00000001-4D46-46DF-AACC-FD4A47931B4C}"/>
              </c:ext>
            </c:extLst>
          </c:dPt>
          <c:dPt>
            <c:idx val="1"/>
            <c:bubble3D val="0"/>
            <c:explosion val="0"/>
            <c:spPr>
              <a:solidFill>
                <a:schemeClr val="tx1"/>
              </a:solidFill>
              <a:ln w="19050">
                <a:solidFill>
                  <a:schemeClr val="lt1"/>
                </a:solidFill>
              </a:ln>
              <a:effectLst/>
            </c:spPr>
            <c:extLst>
              <c:ext xmlns:c16="http://schemas.microsoft.com/office/drawing/2014/chart" uri="{C3380CC4-5D6E-409C-BE32-E72D297353CC}">
                <c16:uniqueId val="{00000003-4D46-46DF-AACC-FD4A47931B4C}"/>
              </c:ext>
            </c:extLst>
          </c:dPt>
          <c:dLbls>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fld id="{A952BE20-7F50-4645-98F2-1027B28CC120}" type="VALUE">
                      <a:rPr lang="en-US" sz="800" b="1">
                        <a:solidFill>
                          <a:schemeClr val="tx1"/>
                        </a:solidFill>
                      </a:rPr>
                      <a:pPr>
                        <a:defRPr sz="800">
                          <a:solidFill>
                            <a:schemeClr val="tx1"/>
                          </a:solidFill>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D46-46DF-AACC-FD4A47931B4C}"/>
                </c:ext>
              </c:extLst>
            </c:dLbl>
            <c:dLbl>
              <c:idx val="1"/>
              <c:layout>
                <c:manualLayout>
                  <c:x val="7.323568575233029E-2"/>
                  <c:y val="1.5680125441003528E-2"/>
                </c:manualLayout>
              </c:layout>
              <c:tx>
                <c:rich>
                  <a:bodyPr/>
                  <a:lstStyle/>
                  <a:p>
                    <a:fld id="{3DE2EC7A-086D-44DF-9BA6-4628113B0826}" type="VALUE">
                      <a:rPr lang="en-US" b="1">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D46-46DF-AACC-FD4A47931B4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Non illicit</c:v>
                </c:pt>
                <c:pt idx="1">
                  <c:v>Illicit</c:v>
                </c:pt>
              </c:strCache>
            </c:strRef>
          </c:cat>
          <c:val>
            <c:numRef>
              <c:f>Sheet1!$B$2:$B$3</c:f>
              <c:numCache>
                <c:formatCode>General</c:formatCode>
                <c:ptCount val="2"/>
                <c:pt idx="0">
                  <c:v>6</c:v>
                </c:pt>
                <c:pt idx="1">
                  <c:v>28</c:v>
                </c:pt>
              </c:numCache>
            </c:numRef>
          </c:val>
          <c:extLst>
            <c:ext xmlns:c16="http://schemas.microsoft.com/office/drawing/2014/chart" uri="{C3380CC4-5D6E-409C-BE32-E72D297353CC}">
              <c16:uniqueId val="{00000004-4D46-46DF-AACC-FD4A47931B4C}"/>
            </c:ext>
          </c:extLst>
        </c:ser>
        <c:dLbls>
          <c:showLegendKey val="0"/>
          <c:showVal val="1"/>
          <c:showCatName val="0"/>
          <c:showSerName val="0"/>
          <c:showPercent val="0"/>
          <c:showBubbleSize val="0"/>
          <c:showLeaderLines val="1"/>
        </c:dLbls>
        <c:firstSliceAng val="35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900" b="1">
                <a:solidFill>
                  <a:schemeClr val="tx1"/>
                </a:solidFill>
              </a:rPr>
              <a:t>10</a:t>
            </a:r>
          </a:p>
          <a:p>
            <a:pPr>
              <a:defRPr b="1">
                <a:solidFill>
                  <a:sysClr val="windowText" lastClr="000000"/>
                </a:solidFill>
              </a:defRPr>
            </a:pPr>
            <a:r>
              <a:rPr lang="en-US" sz="900" b="1">
                <a:solidFill>
                  <a:schemeClr val="tx1"/>
                </a:solidFill>
              </a:rPr>
              <a:t>RESTRAINING </a:t>
            </a:r>
          </a:p>
          <a:p>
            <a:pPr>
              <a:defRPr b="1">
                <a:solidFill>
                  <a:sysClr val="windowText" lastClr="000000"/>
                </a:solidFill>
              </a:defRPr>
            </a:pPr>
            <a:r>
              <a:rPr lang="en-US" sz="900" b="1">
                <a:solidFill>
                  <a:schemeClr val="tx1"/>
                </a:solidFill>
              </a:rPr>
              <a:t>ORDERS</a:t>
            </a:r>
          </a:p>
        </c:rich>
      </c:tx>
      <c:layout>
        <c:manualLayout>
          <c:xMode val="edge"/>
          <c:yMode val="edge"/>
          <c:x val="0.30461479369487815"/>
          <c:y val="0.31118503369988015"/>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6057644295401161"/>
          <c:y val="0.18718837533690433"/>
          <c:w val="0.51593801243887671"/>
          <c:h val="0.66009352047508707"/>
        </c:manualLayout>
      </c:layout>
      <c:doughnutChart>
        <c:varyColors val="1"/>
        <c:ser>
          <c:idx val="0"/>
          <c:order val="0"/>
          <c:tx>
            <c:strRef>
              <c:f>Sheet1!$B$1</c:f>
              <c:strCache>
                <c:ptCount val="1"/>
                <c:pt idx="0">
                  <c:v>10 Restraining Orders Issued</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D22-4E36-96B6-A0A6EC38D644}"/>
              </c:ext>
            </c:extLst>
          </c:dPt>
          <c:dPt>
            <c:idx val="1"/>
            <c:bubble3D val="0"/>
            <c:spPr>
              <a:solidFill>
                <a:schemeClr val="tx1"/>
              </a:solidFill>
              <a:ln w="19050">
                <a:solidFill>
                  <a:schemeClr val="lt1"/>
                </a:solidFill>
              </a:ln>
              <a:effectLst/>
            </c:spPr>
            <c:extLst>
              <c:ext xmlns:c16="http://schemas.microsoft.com/office/drawing/2014/chart" uri="{C3380CC4-5D6E-409C-BE32-E72D297353CC}">
                <c16:uniqueId val="{00000003-8D22-4E36-96B6-A0A6EC38D644}"/>
              </c:ext>
            </c:extLst>
          </c:dPt>
          <c:dLbls>
            <c:dLbl>
              <c:idx val="0"/>
              <c:delete val="1"/>
              <c:extLst>
                <c:ext xmlns:c15="http://schemas.microsoft.com/office/drawing/2012/chart" uri="{CE6537A1-D6FC-4f65-9D91-7224C49458BB}"/>
                <c:ext xmlns:c16="http://schemas.microsoft.com/office/drawing/2014/chart" uri="{C3380CC4-5D6E-409C-BE32-E72D297353CC}">
                  <c16:uniqueId val="{00000001-8D22-4E36-96B6-A0A6EC38D644}"/>
                </c:ext>
              </c:extLst>
            </c:dLbl>
            <c:dLbl>
              <c:idx val="1"/>
              <c:layout>
                <c:manualLayout>
                  <c:x val="-3.3288915808600848E-2"/>
                  <c:y val="-1.7615416891899555E-3"/>
                </c:manualLayout>
              </c:layout>
              <c:tx>
                <c:rich>
                  <a:bodyPr/>
                  <a:lstStyle/>
                  <a:p>
                    <a:fld id="{F956895B-50A0-4BCD-B098-72945CFB26E0}"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D22-4E36-96B6-A0A6EC38D64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Non illicit</c:v>
                </c:pt>
                <c:pt idx="1">
                  <c:v>Illicit</c:v>
                </c:pt>
              </c:strCache>
            </c:strRef>
          </c:cat>
          <c:val>
            <c:numRef>
              <c:f>Sheet1!$B$2:$B$3</c:f>
              <c:numCache>
                <c:formatCode>General</c:formatCode>
                <c:ptCount val="2"/>
                <c:pt idx="0">
                  <c:v>0</c:v>
                </c:pt>
                <c:pt idx="1">
                  <c:v>10</c:v>
                </c:pt>
              </c:numCache>
            </c:numRef>
          </c:val>
          <c:extLst>
            <c:ext xmlns:c16="http://schemas.microsoft.com/office/drawing/2014/chart" uri="{C3380CC4-5D6E-409C-BE32-E72D297353CC}">
              <c16:uniqueId val="{00000004-8D22-4E36-96B6-A0A6EC38D644}"/>
            </c:ext>
          </c:extLst>
        </c:ser>
        <c:dLbls>
          <c:showLegendKey val="0"/>
          <c:showVal val="1"/>
          <c:showCatName val="0"/>
          <c:showSerName val="0"/>
          <c:showPercent val="0"/>
          <c:showBubbleSize val="0"/>
          <c:showLeaderLines val="1"/>
        </c:dLbls>
        <c:firstSliceAng val="35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tx1"/>
            </a:solidFill>
            <a:ln>
              <a:noFill/>
            </a:ln>
            <a:effectLst/>
          </c:spPr>
          <c:invertIfNegative val="0"/>
          <c:dLbls>
            <c:dLbl>
              <c:idx val="4"/>
              <c:tx>
                <c:rich>
                  <a:bodyPr/>
                  <a:lstStyle/>
                  <a:p>
                    <a:r>
                      <a:rPr lang="en-US"/>
                      <a:t>$551,295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978-4E36-B0D0-8B296821D731}"/>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Sheet1!$A$1:$A$5</c:f>
              <c:strCache>
                <c:ptCount val="5"/>
                <c:pt idx="0">
                  <c:v>2019-20</c:v>
                </c:pt>
                <c:pt idx="1">
                  <c:v>2020-21</c:v>
                </c:pt>
                <c:pt idx="2">
                  <c:v>2021-22</c:v>
                </c:pt>
                <c:pt idx="3">
                  <c:v>2022-23</c:v>
                </c:pt>
                <c:pt idx="4">
                  <c:v>2023-24</c:v>
                </c:pt>
              </c:strCache>
            </c:strRef>
          </c:cat>
          <c:val>
            <c:numRef>
              <c:f>Sheet1!$B$1:$B$5</c:f>
              <c:numCache>
                <c:formatCode>_-"$"* #,##0_-;\-"$"* #,##0_-;_-"$"* "-"??_-;_-@_-</c:formatCode>
                <c:ptCount val="5"/>
                <c:pt idx="0">
                  <c:v>378019</c:v>
                </c:pt>
                <c:pt idx="1">
                  <c:v>372621</c:v>
                </c:pt>
                <c:pt idx="2">
                  <c:v>210973</c:v>
                </c:pt>
                <c:pt idx="3">
                  <c:v>309682</c:v>
                </c:pt>
                <c:pt idx="4">
                  <c:v>443719</c:v>
                </c:pt>
              </c:numCache>
            </c:numRef>
          </c:val>
          <c:extLst>
            <c:ext xmlns:c16="http://schemas.microsoft.com/office/drawing/2014/chart" uri="{C3380CC4-5D6E-409C-BE32-E72D297353CC}">
              <c16:uniqueId val="{00000001-1978-4E36-B0D0-8B296821D731}"/>
            </c:ext>
          </c:extLst>
        </c:ser>
        <c:dLbls>
          <c:showLegendKey val="0"/>
          <c:showVal val="0"/>
          <c:showCatName val="0"/>
          <c:showSerName val="0"/>
          <c:showPercent val="0"/>
          <c:showBubbleSize val="0"/>
        </c:dLbls>
        <c:gapWidth val="182"/>
        <c:axId val="874108632"/>
        <c:axId val="874108992"/>
      </c:barChart>
      <c:catAx>
        <c:axId val="874108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874108992"/>
        <c:crosses val="autoZero"/>
        <c:auto val="1"/>
        <c:lblAlgn val="ctr"/>
        <c:lblOffset val="100"/>
        <c:noMultiLvlLbl val="0"/>
      </c:catAx>
      <c:valAx>
        <c:axId val="874108992"/>
        <c:scaling>
          <c:orientation val="minMax"/>
        </c:scaling>
        <c:delete val="1"/>
        <c:axPos val="b"/>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crossAx val="874108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noFil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r>
              <a:rPr lang="en-US" sz="900" b="1">
                <a:solidFill>
                  <a:schemeClr val="tx1"/>
                </a:solidFill>
              </a:rPr>
              <a:t>POLICE</a:t>
            </a:r>
          </a:p>
          <a:p>
            <a:pPr>
              <a:defRPr b="1">
                <a:solidFill>
                  <a:schemeClr val="accent2"/>
                </a:solidFill>
              </a:defRPr>
            </a:pPr>
            <a:r>
              <a:rPr lang="en-US" sz="900" b="1">
                <a:solidFill>
                  <a:schemeClr val="tx1"/>
                </a:solidFill>
              </a:rPr>
              <a:t>AND</a:t>
            </a:r>
          </a:p>
          <a:p>
            <a:pPr>
              <a:defRPr b="1">
                <a:solidFill>
                  <a:schemeClr val="accent2"/>
                </a:solidFill>
              </a:defRPr>
            </a:pPr>
            <a:r>
              <a:rPr lang="en-US" sz="900" b="1">
                <a:solidFill>
                  <a:schemeClr val="tx1"/>
                </a:solidFill>
              </a:rPr>
              <a:t>CIVILIAN</a:t>
            </a:r>
          </a:p>
        </c:rich>
      </c:tx>
      <c:layout>
        <c:manualLayout>
          <c:xMode val="edge"/>
          <c:yMode val="edge"/>
          <c:x val="0.38465650509282678"/>
          <c:y val="0.3317901234567901"/>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endParaRPr lang="en-US"/>
        </a:p>
      </c:txPr>
    </c:title>
    <c:autoTitleDeleted val="0"/>
    <c:plotArea>
      <c:layout>
        <c:manualLayout>
          <c:layoutTarget val="inner"/>
          <c:xMode val="edge"/>
          <c:yMode val="edge"/>
          <c:x val="0.20580422779102819"/>
          <c:y val="7.5635822729551022E-2"/>
          <c:w val="0.62357272566490718"/>
          <c:h val="0.76046041119860019"/>
        </c:manualLayout>
      </c:layout>
      <c:doughnutChart>
        <c:varyColors val="1"/>
        <c:ser>
          <c:idx val="0"/>
          <c:order val="0"/>
          <c:tx>
            <c:strRef>
              <c:f>Sheet1!$B$1</c:f>
              <c:strCache>
                <c:ptCount val="1"/>
                <c:pt idx="0">
                  <c:v>61 Matters Assessed</c:v>
                </c:pt>
              </c:strCache>
            </c:strRef>
          </c:tx>
          <c:spPr>
            <a:solidFill>
              <a:schemeClr val="tx1"/>
            </a:solidFill>
            <a:ln>
              <a:solidFill>
                <a:schemeClr val="bg1"/>
              </a:solidFill>
            </a:ln>
          </c:spPr>
          <c:dPt>
            <c:idx val="0"/>
            <c:bubble3D val="0"/>
            <c:spPr>
              <a:solidFill>
                <a:schemeClr val="bg2"/>
              </a:solidFill>
              <a:ln w="19050">
                <a:solidFill>
                  <a:schemeClr val="bg1"/>
                </a:solidFill>
              </a:ln>
              <a:effectLst/>
            </c:spPr>
            <c:extLst>
              <c:ext xmlns:c16="http://schemas.microsoft.com/office/drawing/2014/chart" uri="{C3380CC4-5D6E-409C-BE32-E72D297353CC}">
                <c16:uniqueId val="{00000001-C6E9-46CB-BDDF-DEA55748C24D}"/>
              </c:ext>
            </c:extLst>
          </c:dPt>
          <c:dPt>
            <c:idx val="1"/>
            <c:bubble3D val="0"/>
            <c:spPr>
              <a:solidFill>
                <a:schemeClr val="tx1"/>
              </a:solidFill>
              <a:ln w="19050">
                <a:solidFill>
                  <a:schemeClr val="bg1"/>
                </a:solidFill>
              </a:ln>
              <a:effectLst/>
            </c:spPr>
            <c:extLst>
              <c:ext xmlns:c16="http://schemas.microsoft.com/office/drawing/2014/chart" uri="{C3380CC4-5D6E-409C-BE32-E72D297353CC}">
                <c16:uniqueId val="{00000003-C6E9-46CB-BDDF-DEA55748C24D}"/>
              </c:ext>
            </c:extLst>
          </c:dPt>
          <c:dLbls>
            <c:dLbl>
              <c:idx val="0"/>
              <c:layout>
                <c:manualLayout>
                  <c:x val="-1.9960079840319361E-2"/>
                  <c:y val="-6.6533599467731202E-3"/>
                </c:manualLayout>
              </c:layout>
              <c:tx>
                <c:rich>
                  <a:bodyPr/>
                  <a:lstStyle/>
                  <a:p>
                    <a:fld id="{A59015B1-ED06-4092-B7AC-85010ED21AE1}"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6E9-46CB-BDDF-DEA55748C24D}"/>
                </c:ext>
              </c:extLst>
            </c:dLbl>
            <c:dLbl>
              <c:idx val="1"/>
              <c:layout>
                <c:manualLayout>
                  <c:x val="7.3186435527894347E-2"/>
                  <c:y val="9.9803018634646717E-3"/>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fld id="{1265A227-8865-4C31-A216-94D4C16924E5}" type="VALUE">
                      <a:rPr lang="en-US">
                        <a:solidFill>
                          <a:schemeClr val="bg1"/>
                        </a:solidFill>
                      </a:rPr>
                      <a:pPr>
                        <a:defRPr b="1">
                          <a:solidFill>
                            <a:sysClr val="windowText" lastClr="000000"/>
                          </a:solidFill>
                        </a:defRPr>
                      </a:pPr>
                      <a:t>[VALUE]</a:t>
                    </a:fld>
                    <a:endParaRPr lang="en-AU"/>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385203346587665"/>
                      <c:h val="0.10625415834996672"/>
                    </c:manualLayout>
                  </c15:layout>
                  <c15:dlblFieldTable/>
                  <c15:showDataLabelsRange val="0"/>
                </c:ext>
                <c:ext xmlns:c16="http://schemas.microsoft.com/office/drawing/2014/chart" uri="{C3380CC4-5D6E-409C-BE32-E72D297353CC}">
                  <c16:uniqueId val="{00000003-C6E9-46CB-BDDF-DEA55748C2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18.5% Police</c:v>
                </c:pt>
                <c:pt idx="1">
                  <c:v>81.5% Civilian</c:v>
                </c:pt>
              </c:strCache>
            </c:strRef>
          </c:cat>
          <c:val>
            <c:numRef>
              <c:f>Sheet1!$B$2:$B$3</c:f>
              <c:numCache>
                <c:formatCode>General</c:formatCode>
                <c:ptCount val="2"/>
                <c:pt idx="0">
                  <c:v>18.5</c:v>
                </c:pt>
                <c:pt idx="1">
                  <c:v>81.5</c:v>
                </c:pt>
              </c:numCache>
            </c:numRef>
          </c:val>
          <c:extLst>
            <c:ext xmlns:c16="http://schemas.microsoft.com/office/drawing/2014/chart" uri="{C3380CC4-5D6E-409C-BE32-E72D297353CC}">
              <c16:uniqueId val="{00000004-C6E9-46CB-BDDF-DEA55748C24D}"/>
            </c:ext>
          </c:extLst>
        </c:ser>
        <c:dLbls>
          <c:showLegendKey val="0"/>
          <c:showVal val="1"/>
          <c:showCatName val="0"/>
          <c:showSerName val="0"/>
          <c:showPercent val="0"/>
          <c:showBubbleSize val="0"/>
          <c:showLeaderLines val="1"/>
        </c:dLbls>
        <c:firstSliceAng val="348"/>
        <c:holeSize val="6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r>
              <a:rPr lang="en-US" sz="900" b="1">
                <a:solidFill>
                  <a:schemeClr val="tx1"/>
                </a:solidFill>
              </a:rPr>
              <a:t>TYPES</a:t>
            </a:r>
            <a:r>
              <a:rPr lang="en-US" sz="900" b="1" baseline="0">
                <a:solidFill>
                  <a:schemeClr val="tx1"/>
                </a:solidFill>
              </a:rPr>
              <a:t> OF</a:t>
            </a:r>
          </a:p>
          <a:p>
            <a:pPr>
              <a:defRPr b="1">
                <a:solidFill>
                  <a:schemeClr val="accent2"/>
                </a:solidFill>
              </a:defRPr>
            </a:pPr>
            <a:r>
              <a:rPr lang="en-US" sz="900" b="1" baseline="0">
                <a:solidFill>
                  <a:schemeClr val="tx1"/>
                </a:solidFill>
              </a:rPr>
              <a:t>EMPLOYMENT</a:t>
            </a:r>
            <a:endParaRPr lang="en-US" sz="900" b="1">
              <a:solidFill>
                <a:schemeClr val="tx1"/>
              </a:solidFill>
            </a:endParaRPr>
          </a:p>
        </c:rich>
      </c:tx>
      <c:layout>
        <c:manualLayout>
          <c:xMode val="edge"/>
          <c:yMode val="edge"/>
          <c:x val="0.31953680437370718"/>
          <c:y val="0.33966144828964667"/>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accent2"/>
              </a:solidFill>
              <a:latin typeface="+mn-lt"/>
              <a:ea typeface="+mn-ea"/>
              <a:cs typeface="+mn-cs"/>
            </a:defRPr>
          </a:pPr>
          <a:endParaRPr lang="en-US"/>
        </a:p>
      </c:txPr>
    </c:title>
    <c:autoTitleDeleted val="0"/>
    <c:plotArea>
      <c:layout>
        <c:manualLayout>
          <c:layoutTarget val="inner"/>
          <c:xMode val="edge"/>
          <c:yMode val="edge"/>
          <c:x val="0.20554812664863084"/>
          <c:y val="6.1256899501706673E-2"/>
          <c:w val="0.62357272566490718"/>
          <c:h val="0.76046041119860019"/>
        </c:manualLayout>
      </c:layout>
      <c:doughnutChart>
        <c:varyColors val="1"/>
        <c:ser>
          <c:idx val="0"/>
          <c:order val="0"/>
          <c:tx>
            <c:strRef>
              <c:f>Sheet1!$B$1</c:f>
              <c:strCache>
                <c:ptCount val="1"/>
                <c:pt idx="0">
                  <c:v>Employment Types</c:v>
                </c:pt>
              </c:strCache>
            </c:strRef>
          </c:tx>
          <c:spPr>
            <a:ln>
              <a:solidFill>
                <a:schemeClr val="bg1"/>
              </a:solidFill>
            </a:ln>
          </c:spPr>
          <c:dPt>
            <c:idx val="0"/>
            <c:bubble3D val="0"/>
            <c:spPr>
              <a:solidFill>
                <a:schemeClr val="tx1"/>
              </a:solidFill>
              <a:ln w="19050">
                <a:solidFill>
                  <a:schemeClr val="bg1"/>
                </a:solidFill>
              </a:ln>
              <a:effectLst/>
            </c:spPr>
            <c:extLst>
              <c:ext xmlns:c16="http://schemas.microsoft.com/office/drawing/2014/chart" uri="{C3380CC4-5D6E-409C-BE32-E72D297353CC}">
                <c16:uniqueId val="{00000001-B93F-4DC9-ADF1-14570EA7E682}"/>
              </c:ext>
            </c:extLst>
          </c:dPt>
          <c:dPt>
            <c:idx val="1"/>
            <c:bubble3D val="0"/>
            <c:spPr>
              <a:solidFill>
                <a:schemeClr val="bg2"/>
              </a:solidFill>
              <a:ln w="19050">
                <a:solidFill>
                  <a:schemeClr val="bg1"/>
                </a:solidFill>
              </a:ln>
              <a:effectLst/>
            </c:spPr>
            <c:extLst>
              <c:ext xmlns:c16="http://schemas.microsoft.com/office/drawing/2014/chart" uri="{C3380CC4-5D6E-409C-BE32-E72D297353CC}">
                <c16:uniqueId val="{00000003-B93F-4DC9-ADF1-14570EA7E682}"/>
              </c:ext>
            </c:extLst>
          </c:dPt>
          <c:dPt>
            <c:idx val="2"/>
            <c:bubble3D val="0"/>
            <c:spPr>
              <a:solidFill>
                <a:schemeClr val="accent4"/>
              </a:solidFill>
              <a:ln w="19050">
                <a:solidFill>
                  <a:schemeClr val="bg1"/>
                </a:solidFill>
              </a:ln>
              <a:effectLst/>
            </c:spPr>
            <c:extLst>
              <c:ext xmlns:c16="http://schemas.microsoft.com/office/drawing/2014/chart" uri="{C3380CC4-5D6E-409C-BE32-E72D297353CC}">
                <c16:uniqueId val="{00000005-B93F-4DC9-ADF1-14570EA7E682}"/>
              </c:ext>
            </c:extLst>
          </c:dPt>
          <c:dLbls>
            <c:dLbl>
              <c:idx val="0"/>
              <c:layout>
                <c:manualLayout>
                  <c:x val="4.9196457855034438E-2"/>
                  <c:y val="-4.290311047550947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075765127587979"/>
                      <c:h val="0.17854844476224527"/>
                    </c:manualLayout>
                  </c15:layout>
                </c:ext>
                <c:ext xmlns:c16="http://schemas.microsoft.com/office/drawing/2014/chart" uri="{C3380CC4-5D6E-409C-BE32-E72D297353CC}">
                  <c16:uniqueId val="{00000001-B93F-4DC9-ADF1-14570EA7E682}"/>
                </c:ext>
              </c:extLst>
            </c:dLbl>
            <c:dLbl>
              <c:idx val="1"/>
              <c:layout>
                <c:manualLayout>
                  <c:x val="0"/>
                  <c:y val="-1.638641539823810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3F-4DC9-ADF1-14570EA7E682}"/>
                </c:ext>
              </c:extLst>
            </c:dLbl>
            <c:dLbl>
              <c:idx val="2"/>
              <c:layout>
                <c:manualLayout>
                  <c:x val="-1.3342182669934378E-2"/>
                  <c:y val="-0.116064737528116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3F-4DC9-ADF1-14570EA7E68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90% Permanent</c:v>
                </c:pt>
                <c:pt idx="1">
                  <c:v>8% Temporary</c:v>
                </c:pt>
                <c:pt idx="2">
                  <c:v>2% Casual</c:v>
                </c:pt>
              </c:strCache>
            </c:strRef>
          </c:cat>
          <c:val>
            <c:numRef>
              <c:f>Sheet1!$B$2:$B$4</c:f>
              <c:numCache>
                <c:formatCode>0</c:formatCode>
                <c:ptCount val="3"/>
                <c:pt idx="0">
                  <c:v>90</c:v>
                </c:pt>
                <c:pt idx="1">
                  <c:v>8</c:v>
                </c:pt>
                <c:pt idx="2">
                  <c:v>2</c:v>
                </c:pt>
              </c:numCache>
            </c:numRef>
          </c:val>
          <c:extLst>
            <c:ext xmlns:c16="http://schemas.microsoft.com/office/drawing/2014/chart" uri="{C3380CC4-5D6E-409C-BE32-E72D297353CC}">
              <c16:uniqueId val="{00000006-B93F-4DC9-ADF1-14570EA7E682}"/>
            </c:ext>
          </c:extLst>
        </c:ser>
        <c:dLbls>
          <c:showLegendKey val="0"/>
          <c:showVal val="1"/>
          <c:showCatName val="0"/>
          <c:showSerName val="0"/>
          <c:showPercent val="0"/>
          <c:showBubbleSize val="0"/>
          <c:showLeaderLines val="1"/>
        </c:dLbls>
        <c:firstSliceAng val="348"/>
        <c:holeSize val="65"/>
      </c:doughnutChart>
      <c:spPr>
        <a:noFill/>
        <a:ln>
          <a:noFill/>
        </a:ln>
        <a:effectLst/>
      </c:spPr>
    </c:plotArea>
    <c:legend>
      <c:legendPos val="b"/>
      <c:layout>
        <c:manualLayout>
          <c:xMode val="edge"/>
          <c:yMode val="edge"/>
          <c:x val="0"/>
          <c:y val="0.81971228325088941"/>
          <c:w val="1"/>
          <c:h val="0.180287716749110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Rehabilitation and return-to-work programs</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2019–20</c:v>
                </c:pt>
                <c:pt idx="1">
                  <c:v>2020–21</c:v>
                </c:pt>
                <c:pt idx="2">
                  <c:v>2021–22</c:v>
                </c:pt>
                <c:pt idx="3">
                  <c:v>2022–23</c:v>
                </c:pt>
                <c:pt idx="4">
                  <c:v>2023-24</c:v>
                </c:pt>
              </c:strCache>
            </c:strRef>
          </c:cat>
          <c:val>
            <c:numRef>
              <c:f>Sheet1!$B$3:$B$7</c:f>
              <c:numCache>
                <c:formatCode>General</c:formatCode>
                <c:ptCount val="5"/>
                <c:pt idx="0">
                  <c:v>9</c:v>
                </c:pt>
                <c:pt idx="1">
                  <c:v>3</c:v>
                </c:pt>
                <c:pt idx="2">
                  <c:v>4</c:v>
                </c:pt>
                <c:pt idx="3">
                  <c:v>1</c:v>
                </c:pt>
                <c:pt idx="4">
                  <c:v>1</c:v>
                </c:pt>
              </c:numCache>
            </c:numRef>
          </c:val>
          <c:extLst>
            <c:ext xmlns:c16="http://schemas.microsoft.com/office/drawing/2014/chart" uri="{C3380CC4-5D6E-409C-BE32-E72D297353CC}">
              <c16:uniqueId val="{00000000-710F-40AB-8BA1-2D4F2979AFDF}"/>
            </c:ext>
          </c:extLst>
        </c:ser>
        <c:ser>
          <c:idx val="1"/>
          <c:order val="1"/>
          <c:tx>
            <c:strRef>
              <c:f>Sheet1!$C$1</c:f>
              <c:strCache>
                <c:ptCount val="1"/>
                <c:pt idx="0">
                  <c:v>Workcover claims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2019–20</c:v>
                </c:pt>
                <c:pt idx="1">
                  <c:v>2020–21</c:v>
                </c:pt>
                <c:pt idx="2">
                  <c:v>2021–22</c:v>
                </c:pt>
                <c:pt idx="3">
                  <c:v>2022–23</c:v>
                </c:pt>
                <c:pt idx="4">
                  <c:v>2023-24</c:v>
                </c:pt>
              </c:strCache>
            </c:strRef>
          </c:cat>
          <c:val>
            <c:numRef>
              <c:f>Sheet1!$C$3:$C$7</c:f>
              <c:numCache>
                <c:formatCode>General</c:formatCode>
                <c:ptCount val="5"/>
                <c:pt idx="0">
                  <c:v>2</c:v>
                </c:pt>
                <c:pt idx="1">
                  <c:v>2</c:v>
                </c:pt>
                <c:pt idx="2">
                  <c:v>3</c:v>
                </c:pt>
                <c:pt idx="3">
                  <c:v>3</c:v>
                </c:pt>
                <c:pt idx="4">
                  <c:v>1</c:v>
                </c:pt>
              </c:numCache>
            </c:numRef>
          </c:val>
          <c:extLst>
            <c:ext xmlns:c16="http://schemas.microsoft.com/office/drawing/2014/chart" uri="{C3380CC4-5D6E-409C-BE32-E72D297353CC}">
              <c16:uniqueId val="{00000001-710F-40AB-8BA1-2D4F2979AFDF}"/>
            </c:ext>
          </c:extLst>
        </c:ser>
        <c:ser>
          <c:idx val="2"/>
          <c:order val="2"/>
          <c:tx>
            <c:strRef>
              <c:f>Sheet1!$D$1</c:f>
              <c:strCache>
                <c:ptCount val="1"/>
                <c:pt idx="0">
                  <c:v>Workplace incidents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2019–20</c:v>
                </c:pt>
                <c:pt idx="1">
                  <c:v>2020–21</c:v>
                </c:pt>
                <c:pt idx="2">
                  <c:v>2021–22</c:v>
                </c:pt>
                <c:pt idx="3">
                  <c:v>2022–23</c:v>
                </c:pt>
                <c:pt idx="4">
                  <c:v>2023-24</c:v>
                </c:pt>
              </c:strCache>
            </c:strRef>
          </c:cat>
          <c:val>
            <c:numRef>
              <c:f>Sheet1!$D$3:$D$7</c:f>
              <c:numCache>
                <c:formatCode>General</c:formatCode>
                <c:ptCount val="5"/>
                <c:pt idx="0">
                  <c:v>9</c:v>
                </c:pt>
                <c:pt idx="1">
                  <c:v>14</c:v>
                </c:pt>
                <c:pt idx="2">
                  <c:v>16</c:v>
                </c:pt>
                <c:pt idx="3">
                  <c:v>21</c:v>
                </c:pt>
                <c:pt idx="4">
                  <c:v>21</c:v>
                </c:pt>
              </c:numCache>
            </c:numRef>
          </c:val>
          <c:extLst>
            <c:ext xmlns:c16="http://schemas.microsoft.com/office/drawing/2014/chart" uri="{C3380CC4-5D6E-409C-BE32-E72D297353CC}">
              <c16:uniqueId val="{00000002-710F-40AB-8BA1-2D4F2979AFDF}"/>
            </c:ext>
          </c:extLst>
        </c:ser>
        <c:dLbls>
          <c:dLblPos val="outEnd"/>
          <c:showLegendKey val="0"/>
          <c:showVal val="1"/>
          <c:showCatName val="0"/>
          <c:showSerName val="0"/>
          <c:showPercent val="0"/>
          <c:showBubbleSize val="0"/>
        </c:dLbls>
        <c:gapWidth val="182"/>
        <c:axId val="1042402864"/>
        <c:axId val="1042397288"/>
      </c:barChart>
      <c:catAx>
        <c:axId val="10424028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42397288"/>
        <c:crosses val="autoZero"/>
        <c:auto val="1"/>
        <c:lblAlgn val="ctr"/>
        <c:lblOffset val="100"/>
        <c:noMultiLvlLbl val="0"/>
      </c:catAx>
      <c:valAx>
        <c:axId val="1042397288"/>
        <c:scaling>
          <c:orientation val="minMax"/>
        </c:scaling>
        <c:delete val="1"/>
        <c:axPos val="b"/>
        <c:numFmt formatCode="General" sourceLinked="1"/>
        <c:majorTickMark val="out"/>
        <c:minorTickMark val="none"/>
        <c:tickLblPos val="nextTo"/>
        <c:crossAx val="104240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accent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90577225255885"/>
          <c:y val="0.13713306267622935"/>
          <c:w val="0.68384064450598581"/>
          <c:h val="0.86286693732377062"/>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solidFill>
                <a:srgbClr val="000000"/>
              </a:solidFill>
            </a:ln>
            <a:effectLst/>
          </c:spPr>
          <c:invertIfNegative val="0"/>
          <c:dPt>
            <c:idx val="0"/>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1-817A-40A1-8081-0E89B766B07D}"/>
              </c:ext>
            </c:extLst>
          </c:dPt>
          <c:dPt>
            <c:idx val="1"/>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3-817A-40A1-8081-0E89B766B07D}"/>
              </c:ext>
            </c:extLst>
          </c:dPt>
          <c:dPt>
            <c:idx val="2"/>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5-817A-40A1-8081-0E89B766B07D}"/>
              </c:ext>
            </c:extLst>
          </c:dPt>
          <c:dPt>
            <c:idx val="3"/>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7-817A-40A1-8081-0E89B766B07D}"/>
              </c:ext>
            </c:extLst>
          </c:dPt>
          <c:dPt>
            <c:idx val="4"/>
            <c:invertIfNegative val="0"/>
            <c:bubble3D val="0"/>
            <c:spPr>
              <a:solidFill>
                <a:srgbClr val="414042"/>
              </a:solidFill>
              <a:ln>
                <a:solidFill>
                  <a:srgbClr val="000000"/>
                </a:solidFill>
              </a:ln>
              <a:effectLst/>
            </c:spPr>
            <c:extLst>
              <c:ext xmlns:c16="http://schemas.microsoft.com/office/drawing/2014/chart" uri="{C3380CC4-5D6E-409C-BE32-E72D297353CC}">
                <c16:uniqueId val="{00000009-817A-40A1-8081-0E89B766B07D}"/>
              </c:ext>
            </c:extLst>
          </c:dPt>
          <c:dLbls>
            <c:dLbl>
              <c:idx val="0"/>
              <c:layout>
                <c:manualLayout>
                  <c:x val="4.8511576626240345E-2"/>
                  <c:y val="-8.0492220555505867E-8"/>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4450025610084294"/>
                      <c:h val="0.1430031281613777"/>
                    </c:manualLayout>
                  </c15:layout>
                </c:ext>
                <c:ext xmlns:c16="http://schemas.microsoft.com/office/drawing/2014/chart" uri="{C3380CC4-5D6E-409C-BE32-E72D297353CC}">
                  <c16:uniqueId val="{00000001-817A-40A1-8081-0E89B766B07D}"/>
                </c:ext>
              </c:extLst>
            </c:dLbl>
            <c:dLbl>
              <c:idx val="1"/>
              <c:layout>
                <c:manualLayout>
                  <c:x val="2.8665931642778371E-2"/>
                  <c:y val="9.0376965681543114E-3"/>
                </c:manualLayout>
              </c:layout>
              <c:tx>
                <c:rich>
                  <a:bodyPr/>
                  <a:lstStyle/>
                  <a:p>
                    <a:fld id="{14DBEB68-E74A-4FC0-BB94-F07B31859325}"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9560583041783502"/>
                      <c:h val="0.16614406325319458"/>
                    </c:manualLayout>
                  </c15:layout>
                  <c15:dlblFieldTable/>
                  <c15:showDataLabelsRange val="0"/>
                </c:ext>
                <c:ext xmlns:c16="http://schemas.microsoft.com/office/drawing/2014/chart" uri="{C3380CC4-5D6E-409C-BE32-E72D297353CC}">
                  <c16:uniqueId val="{00000003-817A-40A1-8081-0E89B766B07D}"/>
                </c:ext>
              </c:extLst>
            </c:dLbl>
            <c:dLbl>
              <c:idx val="2"/>
              <c:layout>
                <c:manualLayout>
                  <c:x val="0.12481677937997535"/>
                  <c:y val="1.1956009939254927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1558985667034176"/>
                      <c:h val="0.14452385281324737"/>
                    </c:manualLayout>
                  </c15:layout>
                </c:ext>
                <c:ext xmlns:c16="http://schemas.microsoft.com/office/drawing/2014/chart" uri="{C3380CC4-5D6E-409C-BE32-E72D297353CC}">
                  <c16:uniqueId val="{00000005-817A-40A1-8081-0E89B766B07D}"/>
                </c:ext>
              </c:extLst>
            </c:dLbl>
            <c:dLbl>
              <c:idx val="3"/>
              <c:layout>
                <c:manualLayout>
                  <c:x val="0.26611898705605569"/>
                  <c:y val="1.6149684238503163E-17"/>
                </c:manualLayout>
              </c:layout>
              <c:tx>
                <c:rich>
                  <a:bodyPr rot="0" vert="horz" anchorCtr="0"/>
                  <a:lstStyle/>
                  <a:p>
                    <a:pPr algn="r">
                      <a:defRPr b="0"/>
                    </a:pPr>
                    <a:fld id="{2FD06ECE-0F9A-4834-842A-880F824375DD}" type="VALUE">
                      <a:rPr lang="en-US" b="0"/>
                      <a:pPr algn="r">
                        <a:defRPr b="0"/>
                      </a:pPr>
                      <a:t>[VALUE]</a:t>
                    </a:fld>
                    <a:endParaRPr lang="en-AU"/>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2160952868763511"/>
                      <c:h val="0.18004783149886017"/>
                    </c:manualLayout>
                  </c15:layout>
                  <c15:dlblFieldTable/>
                  <c15:showDataLabelsRange val="0"/>
                </c:ext>
                <c:ext xmlns:c16="http://schemas.microsoft.com/office/drawing/2014/chart" uri="{C3380CC4-5D6E-409C-BE32-E72D297353CC}">
                  <c16:uniqueId val="{00000007-817A-40A1-8081-0E89B766B07D}"/>
                </c:ext>
              </c:extLst>
            </c:dLbl>
            <c:dLbl>
              <c:idx val="4"/>
              <c:layout>
                <c:manualLayout>
                  <c:x val="0.11025358324145534"/>
                  <c:y val="0"/>
                </c:manualLayout>
              </c:layout>
              <c:numFmt formatCode="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817A-40A1-8081-0E89B766B07D}"/>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2019–20</c:v>
                </c:pt>
                <c:pt idx="1">
                  <c:v>2020–21</c:v>
                </c:pt>
                <c:pt idx="2">
                  <c:v>2021–22</c:v>
                </c:pt>
                <c:pt idx="3">
                  <c:v>2022–23</c:v>
                </c:pt>
                <c:pt idx="4">
                  <c:v>2023–24</c:v>
                </c:pt>
              </c:strCache>
            </c:strRef>
          </c:cat>
          <c:val>
            <c:numRef>
              <c:f>Sheet1!$B$2:$B$6</c:f>
              <c:numCache>
                <c:formatCode>0%</c:formatCode>
                <c:ptCount val="5"/>
                <c:pt idx="0">
                  <c:v>0.87</c:v>
                </c:pt>
                <c:pt idx="1">
                  <c:v>0.83</c:v>
                </c:pt>
                <c:pt idx="2">
                  <c:v>0.8</c:v>
                </c:pt>
                <c:pt idx="3">
                  <c:v>0.59</c:v>
                </c:pt>
                <c:pt idx="4">
                  <c:v>0.83</c:v>
                </c:pt>
              </c:numCache>
            </c:numRef>
          </c:val>
          <c:extLst>
            <c:ext xmlns:c16="http://schemas.microsoft.com/office/drawing/2014/chart" uri="{C3380CC4-5D6E-409C-BE32-E72D297353CC}">
              <c16:uniqueId val="{0000000A-817A-40A1-8081-0E89B766B07D}"/>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max val="1"/>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chemeClr val="tx1"/>
          </a:solidFill>
          <a:latin typeface="+mj-l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10287440641033"/>
          <c:y val="0"/>
          <c:w val="0.76989722079132628"/>
          <c:h val="0.65758754863813229"/>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414042"/>
              </a:solidFill>
              <a:ln>
                <a:noFill/>
              </a:ln>
              <a:effectLst/>
            </c:spPr>
            <c:extLst>
              <c:ext xmlns:c16="http://schemas.microsoft.com/office/drawing/2014/chart" uri="{C3380CC4-5D6E-409C-BE32-E72D297353CC}">
                <c16:uniqueId val="{00000001-B955-428A-9E35-48A47E51F7D2}"/>
              </c:ext>
            </c:extLst>
          </c:dPt>
          <c:dLbls>
            <c:dLbl>
              <c:idx val="0"/>
              <c:tx>
                <c:rich>
                  <a:bodyPr/>
                  <a:lstStyle/>
                  <a:p>
                    <a:r>
                      <a:rPr lang="en-US" b="1"/>
                      <a:t>107%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955-428A-9E35-48A47E51F7D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2023–24</c:v>
                </c:pt>
              </c:strCache>
            </c:strRef>
          </c:cat>
          <c:val>
            <c:numRef>
              <c:f>Sheet1!$B$2</c:f>
              <c:numCache>
                <c:formatCode>General</c:formatCode>
                <c:ptCount val="1"/>
                <c:pt idx="0">
                  <c:v>107</c:v>
                </c:pt>
              </c:numCache>
            </c:numRef>
          </c:val>
          <c:extLst>
            <c:ext xmlns:c16="http://schemas.microsoft.com/office/drawing/2014/chart" uri="{C3380CC4-5D6E-409C-BE32-E72D297353CC}">
              <c16:uniqueId val="{00000002-B955-428A-9E35-48A47E51F7D2}"/>
            </c:ext>
          </c:extLst>
        </c:ser>
        <c:dLbls>
          <c:dLblPos val="outEnd"/>
          <c:showLegendKey val="0"/>
          <c:showVal val="1"/>
          <c:showCatName val="0"/>
          <c:showSerName val="0"/>
          <c:showPercent val="0"/>
          <c:showBubbleSize val="0"/>
        </c:dLbls>
        <c:gapWidth val="185"/>
        <c:axId val="952640048"/>
        <c:axId val="952640408"/>
      </c:barChart>
      <c:catAx>
        <c:axId val="952640048"/>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crossAx val="952640408"/>
        <c:crosses val="autoZero"/>
        <c:auto val="1"/>
        <c:lblAlgn val="ctr"/>
        <c:lblOffset val="100"/>
        <c:noMultiLvlLbl val="0"/>
      </c:catAx>
      <c:valAx>
        <c:axId val="952640408"/>
        <c:scaling>
          <c:orientation val="minMax"/>
        </c:scaling>
        <c:delete val="1"/>
        <c:axPos val="b"/>
        <c:numFmt formatCode="General" sourceLinked="1"/>
        <c:majorTickMark val="out"/>
        <c:minorTickMark val="none"/>
        <c:tickLblPos val="nextTo"/>
        <c:crossAx val="952640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81845488718542"/>
          <c:y val="0"/>
          <c:w val="0.71723043720177371"/>
          <c:h val="0.58697903274006014"/>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414042"/>
              </a:solidFill>
              <a:ln>
                <a:noFill/>
              </a:ln>
              <a:effectLst/>
            </c:spPr>
            <c:extLst>
              <c:ext xmlns:c16="http://schemas.microsoft.com/office/drawing/2014/chart" uri="{C3380CC4-5D6E-409C-BE32-E72D297353CC}">
                <c16:uniqueId val="{00000001-ABB3-4A88-9D85-755BF8673D72}"/>
              </c:ext>
            </c:extLst>
          </c:dPt>
          <c:dLbls>
            <c:dLbl>
              <c:idx val="0"/>
              <c:layout>
                <c:manualLayout>
                  <c:x val="7.9382579933847855E-2"/>
                  <c:y val="0"/>
                </c:manualLayout>
              </c:layout>
              <c:tx>
                <c:rich>
                  <a:bodyPr/>
                  <a:lstStyle/>
                  <a:p>
                    <a:fld id="{292E059C-80B1-4CC7-A8C5-CC508ABE6143}" type="VALUE">
                      <a:rPr lang="en-US" b="1"/>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BB3-4A88-9D85-755BF8673D7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2023–24</c:v>
                </c:pt>
              </c:strCache>
            </c:strRef>
          </c:cat>
          <c:val>
            <c:numRef>
              <c:f>Sheet1!$B$2</c:f>
              <c:numCache>
                <c:formatCode>General</c:formatCode>
                <c:ptCount val="1"/>
                <c:pt idx="0">
                  <c:v>159</c:v>
                </c:pt>
              </c:numCache>
            </c:numRef>
          </c:val>
          <c:extLst>
            <c:ext xmlns:c16="http://schemas.microsoft.com/office/drawing/2014/chart" uri="{C3380CC4-5D6E-409C-BE32-E72D297353CC}">
              <c16:uniqueId val="{00000002-ABB3-4A88-9D85-755BF8673D72}"/>
            </c:ext>
          </c:extLst>
        </c:ser>
        <c:dLbls>
          <c:dLblPos val="outEnd"/>
          <c:showLegendKey val="0"/>
          <c:showVal val="1"/>
          <c:showCatName val="0"/>
          <c:showSerName val="0"/>
          <c:showPercent val="0"/>
          <c:showBubbleSize val="0"/>
        </c:dLbls>
        <c:gapWidth val="185"/>
        <c:axId val="952640048"/>
        <c:axId val="952640408"/>
      </c:barChart>
      <c:catAx>
        <c:axId val="952640048"/>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crossAx val="952640408"/>
        <c:crosses val="autoZero"/>
        <c:auto val="1"/>
        <c:lblAlgn val="ctr"/>
        <c:lblOffset val="100"/>
        <c:noMultiLvlLbl val="0"/>
      </c:catAx>
      <c:valAx>
        <c:axId val="952640408"/>
        <c:scaling>
          <c:orientation val="minMax"/>
        </c:scaling>
        <c:delete val="1"/>
        <c:axPos val="b"/>
        <c:numFmt formatCode="General" sourceLinked="1"/>
        <c:majorTickMark val="out"/>
        <c:minorTickMark val="none"/>
        <c:tickLblPos val="nextTo"/>
        <c:crossAx val="952640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69273107675208"/>
          <c:y val="0"/>
          <c:w val="0.72579569229700758"/>
          <c:h val="0.65758754863813229"/>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414042"/>
              </a:solidFill>
              <a:ln>
                <a:noFill/>
              </a:ln>
              <a:effectLst/>
            </c:spPr>
            <c:extLst>
              <c:ext xmlns:c16="http://schemas.microsoft.com/office/drawing/2014/chart" uri="{C3380CC4-5D6E-409C-BE32-E72D297353CC}">
                <c16:uniqueId val="{00000001-5985-4162-AA1E-198E3BD4EC93}"/>
              </c:ext>
            </c:extLst>
          </c:dPt>
          <c:dLbls>
            <c:dLbl>
              <c:idx val="0"/>
              <c:tx>
                <c:rich>
                  <a:bodyPr/>
                  <a:lstStyle/>
                  <a:p>
                    <a:r>
                      <a:rPr lang="en-US" b="1"/>
                      <a:t>$5,969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985-4162-AA1E-198E3BD4EC9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2023–24</c:v>
                </c:pt>
              </c:strCache>
            </c:strRef>
          </c:cat>
          <c:val>
            <c:numRef>
              <c:f>Sheet1!$B$2</c:f>
              <c:numCache>
                <c:formatCode>General</c:formatCode>
                <c:ptCount val="1"/>
                <c:pt idx="0">
                  <c:v>159</c:v>
                </c:pt>
              </c:numCache>
            </c:numRef>
          </c:val>
          <c:extLst>
            <c:ext xmlns:c16="http://schemas.microsoft.com/office/drawing/2014/chart" uri="{C3380CC4-5D6E-409C-BE32-E72D297353CC}">
              <c16:uniqueId val="{00000002-5985-4162-AA1E-198E3BD4EC93}"/>
            </c:ext>
          </c:extLst>
        </c:ser>
        <c:dLbls>
          <c:dLblPos val="outEnd"/>
          <c:showLegendKey val="0"/>
          <c:showVal val="1"/>
          <c:showCatName val="0"/>
          <c:showSerName val="0"/>
          <c:showPercent val="0"/>
          <c:showBubbleSize val="0"/>
        </c:dLbls>
        <c:gapWidth val="185"/>
        <c:axId val="952640048"/>
        <c:axId val="952640408"/>
      </c:barChart>
      <c:catAx>
        <c:axId val="952640048"/>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crossAx val="952640408"/>
        <c:crosses val="autoZero"/>
        <c:auto val="1"/>
        <c:lblAlgn val="ctr"/>
        <c:lblOffset val="100"/>
        <c:noMultiLvlLbl val="0"/>
      </c:catAx>
      <c:valAx>
        <c:axId val="952640408"/>
        <c:scaling>
          <c:orientation val="minMax"/>
        </c:scaling>
        <c:delete val="1"/>
        <c:axPos val="b"/>
        <c:numFmt formatCode="General" sourceLinked="1"/>
        <c:majorTickMark val="out"/>
        <c:minorTickMark val="none"/>
        <c:tickLblPos val="nextTo"/>
        <c:crossAx val="952640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90577225255885"/>
          <c:y val="0.10948905109489052"/>
          <c:w val="0.68384064450598581"/>
          <c:h val="0.89051094890510929"/>
        </c:manualLayout>
      </c:layout>
      <c:barChart>
        <c:barDir val="bar"/>
        <c:grouping val="clustered"/>
        <c:varyColors val="0"/>
        <c:ser>
          <c:idx val="0"/>
          <c:order val="0"/>
          <c:tx>
            <c:strRef>
              <c:f>Sheet1!$B$1</c:f>
              <c:strCache>
                <c:ptCount val="1"/>
                <c:pt idx="0">
                  <c:v> Column1 </c:v>
                </c:pt>
              </c:strCache>
            </c:strRef>
          </c:tx>
          <c:spPr>
            <a:solidFill>
              <a:schemeClr val="tx1">
                <a:lumMod val="20000"/>
                <a:lumOff val="80000"/>
              </a:schemeClr>
            </a:solidFill>
            <a:ln>
              <a:solidFill>
                <a:srgbClr val="000000"/>
              </a:solidFill>
            </a:ln>
            <a:effectLst/>
          </c:spPr>
          <c:invertIfNegative val="0"/>
          <c:dPt>
            <c:idx val="0"/>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1-DB96-4BDB-97A0-394550475C81}"/>
              </c:ext>
            </c:extLst>
          </c:dPt>
          <c:dPt>
            <c:idx val="1"/>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3-DB96-4BDB-97A0-394550475C81}"/>
              </c:ext>
            </c:extLst>
          </c:dPt>
          <c:dPt>
            <c:idx val="2"/>
            <c:invertIfNegative val="0"/>
            <c:bubble3D val="0"/>
            <c:spPr>
              <a:noFill/>
              <a:ln>
                <a:solidFill>
                  <a:srgbClr val="000000"/>
                </a:solidFill>
              </a:ln>
              <a:effectLst/>
            </c:spPr>
            <c:extLst>
              <c:ext xmlns:c16="http://schemas.microsoft.com/office/drawing/2014/chart" uri="{C3380CC4-5D6E-409C-BE32-E72D297353CC}">
                <c16:uniqueId val="{00000005-DB96-4BDB-97A0-394550475C81}"/>
              </c:ext>
            </c:extLst>
          </c:dPt>
          <c:dPt>
            <c:idx val="3"/>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7-DB96-4BDB-97A0-394550475C81}"/>
              </c:ext>
            </c:extLst>
          </c:dPt>
          <c:dPt>
            <c:idx val="4"/>
            <c:invertIfNegative val="0"/>
            <c:bubble3D val="0"/>
            <c:spPr>
              <a:solidFill>
                <a:srgbClr val="414042"/>
              </a:solidFill>
              <a:ln>
                <a:solidFill>
                  <a:srgbClr val="000000"/>
                </a:solidFill>
              </a:ln>
              <a:effectLst/>
            </c:spPr>
            <c:extLst>
              <c:ext xmlns:c16="http://schemas.microsoft.com/office/drawing/2014/chart" uri="{C3380CC4-5D6E-409C-BE32-E72D297353CC}">
                <c16:uniqueId val="{00000009-DB96-4BDB-97A0-394550475C81}"/>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48859526517288976"/>
                      <c:h val="0.12419402348575775"/>
                    </c:manualLayout>
                  </c15:layout>
                </c:ext>
                <c:ext xmlns:c16="http://schemas.microsoft.com/office/drawing/2014/chart" uri="{C3380CC4-5D6E-409C-BE32-E72D297353CC}">
                  <c16:uniqueId val="{00000001-DB96-4BDB-97A0-394550475C81}"/>
                </c:ext>
              </c:extLst>
            </c:dLbl>
            <c:dLbl>
              <c:idx val="1"/>
              <c:layout>
                <c:manualLayout>
                  <c:x val="0.13467674864787435"/>
                  <c:y val="9.5384806153217538E-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0442611707715147"/>
                      <c:h val="0.14428191933306941"/>
                    </c:manualLayout>
                  </c15:layout>
                </c:ext>
                <c:ext xmlns:c16="http://schemas.microsoft.com/office/drawing/2014/chart" uri="{C3380CC4-5D6E-409C-BE32-E72D297353CC}">
                  <c16:uniqueId val="{00000003-DB96-4BDB-97A0-394550475C81}"/>
                </c:ext>
              </c:extLst>
            </c:dLbl>
            <c:dLbl>
              <c:idx val="2"/>
              <c:layout>
                <c:manualLayout>
                  <c:x val="0.71003307607497246"/>
                  <c:y val="-1.765516327768566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B96-4BDB-97A0-394550475C81}"/>
                </c:ext>
              </c:extLst>
            </c:dLbl>
            <c:dLbl>
              <c:idx val="3"/>
              <c:layout>
                <c:manualLayout>
                  <c:x val="0.16317530319735393"/>
                  <c:y val="1.8170805572380346E-2"/>
                </c:manualLayout>
              </c:layout>
              <c:tx>
                <c:rich>
                  <a:bodyPr rot="0" vert="horz" anchorCtr="0"/>
                  <a:lstStyle/>
                  <a:p>
                    <a:pPr algn="r">
                      <a:defRPr b="0"/>
                    </a:pPr>
                    <a:fld id="{3ED77742-C617-42A1-891B-3A1785BD2239}" type="VALUE">
                      <a:rPr lang="en-US" b="0"/>
                      <a:pPr algn="r">
                        <a:defRPr b="0"/>
                      </a:pPr>
                      <a:t>[VALUE]</a:t>
                    </a:fld>
                    <a:endParaRPr lang="en-AU"/>
                  </a:p>
                </c:rich>
              </c:tx>
              <c:numFmt formatCode="&quot;$&quot;#,##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4950385887541345"/>
                      <c:h val="0.22053348722082058"/>
                    </c:manualLayout>
                  </c15:layout>
                  <c15:dlblFieldTable/>
                  <c15:showDataLabelsRange val="0"/>
                </c:ext>
                <c:ext xmlns:c16="http://schemas.microsoft.com/office/drawing/2014/chart" uri="{C3380CC4-5D6E-409C-BE32-E72D297353CC}">
                  <c16:uniqueId val="{00000007-DB96-4BDB-97A0-394550475C81}"/>
                </c:ext>
              </c:extLst>
            </c:dLbl>
            <c:dLbl>
              <c:idx val="4"/>
              <c:layout>
                <c:manualLayout>
                  <c:x val="0.17640573318632841"/>
                  <c:y val="1.2061995900147504E-2"/>
                </c:manualLayout>
              </c:layout>
              <c:numFmt formatCode="&quot;$&quot;#,##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DB96-4BDB-97A0-394550475C81}"/>
                </c:ext>
              </c:extLst>
            </c:dLbl>
            <c:numFmt formatCode="&quot;$&quot;#,##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2019–20</c:v>
                </c:pt>
                <c:pt idx="1">
                  <c:v>2020–21</c:v>
                </c:pt>
                <c:pt idx="2">
                  <c:v>2021–22</c:v>
                </c:pt>
                <c:pt idx="3">
                  <c:v>2022–23</c:v>
                </c:pt>
                <c:pt idx="4">
                  <c:v>2023–24</c:v>
                </c:pt>
              </c:strCache>
            </c:strRef>
          </c:cat>
          <c:val>
            <c:numRef>
              <c:f>Sheet1!$B$2:$B$6</c:f>
              <c:numCache>
                <c:formatCode>_-"$"* #,##0_-;\-"$"* #,##0_-;_-"$"* "-"??_-;_-@_-</c:formatCode>
                <c:ptCount val="5"/>
                <c:pt idx="0">
                  <c:v>852</c:v>
                </c:pt>
                <c:pt idx="1">
                  <c:v>646</c:v>
                </c:pt>
                <c:pt idx="2">
                  <c:v>640</c:v>
                </c:pt>
                <c:pt idx="3">
                  <c:v>710</c:v>
                </c:pt>
                <c:pt idx="4">
                  <c:v>714</c:v>
                </c:pt>
              </c:numCache>
            </c:numRef>
          </c:val>
          <c:extLst>
            <c:ext xmlns:c16="http://schemas.microsoft.com/office/drawing/2014/chart" uri="{C3380CC4-5D6E-409C-BE32-E72D297353CC}">
              <c16:uniqueId val="{0000000A-DB96-4BDB-97A0-394550475C81}"/>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_-&quot;$&quot;* #,##0_-;\-&quot;$&quot;* #,##0_-;_-&quot;$&quot;* &quot;-&quot;??_-;_-@_-"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mj-lt"/>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50424085633181"/>
          <c:y val="0"/>
          <c:w val="0.7309760480601446"/>
          <c:h val="1"/>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99E9-42DF-B808-85D5960D26E8}"/>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99E9-42DF-B808-85D5960D26E8}"/>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99E9-42DF-B808-85D5960D26E8}"/>
              </c:ext>
            </c:extLst>
          </c:dPt>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7-99E9-42DF-B808-85D5960D26E8}"/>
              </c:ext>
            </c:extLst>
          </c:dPt>
          <c:dPt>
            <c:idx val="4"/>
            <c:invertIfNegative val="0"/>
            <c:bubble3D val="0"/>
            <c:spPr>
              <a:solidFill>
                <a:schemeClr val="tx1"/>
              </a:solidFill>
              <a:ln>
                <a:solidFill>
                  <a:schemeClr val="accent1"/>
                </a:solidFill>
              </a:ln>
              <a:effectLst/>
            </c:spPr>
            <c:extLst>
              <c:ext xmlns:c16="http://schemas.microsoft.com/office/drawing/2014/chart" uri="{C3380CC4-5D6E-409C-BE32-E72D297353CC}">
                <c16:uniqueId val="{00000009-99E9-42DF-B808-85D5960D26E8}"/>
              </c:ext>
            </c:extLst>
          </c:dPt>
          <c:dLbls>
            <c:dLbl>
              <c:idx val="0"/>
              <c:layout>
                <c:manualLayout>
                  <c:x val="0.27857447049235123"/>
                  <c:y val="-4.7281861208454401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6504500744938264"/>
                      <c:h val="7.8775897693639366E-2"/>
                    </c:manualLayout>
                  </c15:layout>
                </c:ext>
                <c:ext xmlns:c16="http://schemas.microsoft.com/office/drawing/2014/chart" uri="{C3380CC4-5D6E-409C-BE32-E72D297353CC}">
                  <c16:uniqueId val="{00000001-99E9-42DF-B808-85D5960D26E8}"/>
                </c:ext>
              </c:extLst>
            </c:dLbl>
            <c:dLbl>
              <c:idx val="1"/>
              <c:layout>
                <c:manualLayout>
                  <c:x val="0.29218213448639879"/>
                  <c:y val="6.551048653664745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31872119541542665"/>
                      <c:h val="8.8232162469053063E-2"/>
                    </c:manualLayout>
                  </c15:layout>
                </c:ext>
                <c:ext xmlns:c16="http://schemas.microsoft.com/office/drawing/2014/chart" uri="{C3380CC4-5D6E-409C-BE32-E72D297353CC}">
                  <c16:uniqueId val="{00000003-99E9-42DF-B808-85D5960D26E8}"/>
                </c:ext>
              </c:extLst>
            </c:dLbl>
            <c:dLbl>
              <c:idx val="2"/>
              <c:layout>
                <c:manualLayout>
                  <c:x val="0.33329038441336073"/>
                  <c:y val="-5.3733138611596096E-8"/>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99747050447146"/>
                      <c:h val="8.8232162469053063E-2"/>
                    </c:manualLayout>
                  </c15:layout>
                </c:ext>
                <c:ext xmlns:c16="http://schemas.microsoft.com/office/drawing/2014/chart" uri="{C3380CC4-5D6E-409C-BE32-E72D297353CC}">
                  <c16:uniqueId val="{00000005-99E9-42DF-B808-85D5960D26E8}"/>
                </c:ext>
              </c:extLst>
            </c:dLbl>
            <c:dLbl>
              <c:idx val="3"/>
              <c:layout>
                <c:manualLayout>
                  <c:x val="0.73919107391910743"/>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99E9-42DF-B808-85D5960D26E8}"/>
                </c:ext>
              </c:extLst>
            </c:dLbl>
            <c:dLbl>
              <c:idx val="4"/>
              <c:layout>
                <c:manualLayout>
                  <c:x val="0.49279404927940496"/>
                  <c:y val="0"/>
                </c:manualLayout>
              </c:layout>
              <c:numFmt formatCode="#,##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99E9-42DF-B808-85D5960D26E8}"/>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2019–20</c:v>
                </c:pt>
                <c:pt idx="1">
                  <c:v>2020–21</c:v>
                </c:pt>
                <c:pt idx="2">
                  <c:v>2021–22</c:v>
                </c:pt>
                <c:pt idx="3">
                  <c:v>2022–23</c:v>
                </c:pt>
                <c:pt idx="4">
                  <c:v>2023–24</c:v>
                </c:pt>
              </c:strCache>
            </c:strRef>
          </c:cat>
          <c:val>
            <c:numRef>
              <c:f>Sheet1!$B$2:$B$6</c:f>
              <c:numCache>
                <c:formatCode>0</c:formatCode>
                <c:ptCount val="5"/>
                <c:pt idx="0">
                  <c:v>32</c:v>
                </c:pt>
                <c:pt idx="1">
                  <c:v>32</c:v>
                </c:pt>
                <c:pt idx="2">
                  <c:v>19</c:v>
                </c:pt>
                <c:pt idx="3">
                  <c:v>34</c:v>
                </c:pt>
                <c:pt idx="4">
                  <c:v>24</c:v>
                </c:pt>
              </c:numCache>
            </c:numRef>
          </c:val>
          <c:extLst>
            <c:ext xmlns:c16="http://schemas.microsoft.com/office/drawing/2014/chart" uri="{C3380CC4-5D6E-409C-BE32-E72D297353CC}">
              <c16:uniqueId val="{0000000A-99E9-42DF-B808-85D5960D26E8}"/>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0"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780501286712"/>
          <c:y val="0"/>
          <c:w val="0.70355954127564269"/>
          <c:h val="0.99900081455335321"/>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BB27-4EB8-B9C0-FEEFC9C03786}"/>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BB27-4EB8-B9C0-FEEFC9C03786}"/>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BB27-4EB8-B9C0-FEEFC9C03786}"/>
              </c:ext>
            </c:extLst>
          </c:dPt>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7-BB27-4EB8-B9C0-FEEFC9C03786}"/>
              </c:ext>
            </c:extLst>
          </c:dPt>
          <c:dPt>
            <c:idx val="4"/>
            <c:invertIfNegative val="0"/>
            <c:bubble3D val="0"/>
            <c:spPr>
              <a:solidFill>
                <a:schemeClr val="tx1"/>
              </a:solidFill>
              <a:ln>
                <a:solidFill>
                  <a:schemeClr val="accent1"/>
                </a:solidFill>
              </a:ln>
              <a:effectLst/>
            </c:spPr>
            <c:extLst>
              <c:ext xmlns:c16="http://schemas.microsoft.com/office/drawing/2014/chart" uri="{C3380CC4-5D6E-409C-BE32-E72D297353CC}">
                <c16:uniqueId val="{00000008-BB27-4EB8-B9C0-FEEFC9C03786}"/>
              </c:ext>
            </c:extLst>
          </c:dPt>
          <c:dLbls>
            <c:dLbl>
              <c:idx val="0"/>
              <c:layout>
                <c:manualLayout>
                  <c:x val="0.23318285600187499"/>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26177846843013"/>
                      <c:h val="8.8232269935330246E-2"/>
                    </c:manualLayout>
                  </c15:layout>
                </c:ext>
                <c:ext xmlns:c16="http://schemas.microsoft.com/office/drawing/2014/chart" uri="{C3380CC4-5D6E-409C-BE32-E72D297353CC}">
                  <c16:uniqueId val="{00000001-BB27-4EB8-B9C0-FEEFC9C03786}"/>
                </c:ext>
              </c:extLst>
            </c:dLbl>
            <c:dLbl>
              <c:idx val="1"/>
              <c:layout>
                <c:manualLayout>
                  <c:x val="0.34358629967584775"/>
                  <c:y val="4.5169810013281422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978140273810866"/>
                      <c:h val="0.18479274279007218"/>
                    </c:manualLayout>
                  </c15:layout>
                </c:ext>
                <c:ext xmlns:c16="http://schemas.microsoft.com/office/drawing/2014/chart" uri="{C3380CC4-5D6E-409C-BE32-E72D297353CC}">
                  <c16:uniqueId val="{00000003-BB27-4EB8-B9C0-FEEFC9C03786}"/>
                </c:ext>
              </c:extLst>
            </c:dLbl>
            <c:dLbl>
              <c:idx val="2"/>
              <c:layout>
                <c:manualLayout>
                  <c:x val="0.5944854435036625"/>
                  <c:y val="4.5871685753926E-2"/>
                </c:manualLayout>
              </c:layout>
              <c:tx>
                <c:rich>
                  <a:bodyPr rot="0" vert="horz"/>
                  <a:lstStyle/>
                  <a:p>
                    <a:pPr algn="r">
                      <a:defRPr/>
                    </a:pPr>
                    <a:r>
                      <a:rPr lang="en-US"/>
                      <a:t>21</a:t>
                    </a:r>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0.16065273072006611"/>
                    </c:manualLayout>
                  </c15:layout>
                  <c15:showDataLabelsRange val="0"/>
                </c:ext>
                <c:ext xmlns:c16="http://schemas.microsoft.com/office/drawing/2014/chart" uri="{C3380CC4-5D6E-409C-BE32-E72D297353CC}">
                  <c16:uniqueId val="{00000005-BB27-4EB8-B9C0-FEEFC9C03786}"/>
                </c:ext>
              </c:extLst>
            </c:dLbl>
            <c:dLbl>
              <c:idx val="3"/>
              <c:layout>
                <c:manualLayout>
                  <c:x val="0.24528414129114323"/>
                  <c:y val="4.7128559328602229E-2"/>
                </c:manualLayout>
              </c:layout>
              <c:numFmt formatCode="#,##0" sourceLinked="0"/>
              <c:spPr>
                <a:noFill/>
                <a:ln>
                  <a:noFill/>
                </a:ln>
                <a:effectLst/>
              </c:spPr>
              <c:txPr>
                <a:bodyPr rot="0" vert="horz"/>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8962713453541571"/>
                      <c:h val="0.14163154168191258"/>
                    </c:manualLayout>
                  </c15:layout>
                </c:ext>
                <c:ext xmlns:c16="http://schemas.microsoft.com/office/drawing/2014/chart" uri="{C3380CC4-5D6E-409C-BE32-E72D297353CC}">
                  <c16:uniqueId val="{00000007-BB27-4EB8-B9C0-FEEFC9C03786}"/>
                </c:ext>
              </c:extLst>
            </c:dLbl>
            <c:dLbl>
              <c:idx val="4"/>
              <c:layout>
                <c:manualLayout>
                  <c:x val="9.2613183550512471E-2"/>
                  <c:y val="1.2070006035003014E-2"/>
                </c:manualLayout>
              </c:layout>
              <c:numFmt formatCode="#,##0" sourceLinked="0"/>
              <c:spPr>
                <a:noFill/>
                <a:ln>
                  <a:noFill/>
                </a:ln>
                <a:effectLst/>
              </c:spPr>
              <c:txPr>
                <a:bodyPr rot="0" vert="horz"/>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8.8820286659316419E-2"/>
                      <c:h val="0.18352491695930886"/>
                    </c:manualLayout>
                  </c15:layout>
                </c:ext>
                <c:ext xmlns:c16="http://schemas.microsoft.com/office/drawing/2014/chart" uri="{C3380CC4-5D6E-409C-BE32-E72D297353CC}">
                  <c16:uniqueId val="{00000008-BB27-4EB8-B9C0-FEEFC9C03786}"/>
                </c:ext>
              </c:extLst>
            </c:dLbl>
            <c:numFmt formatCode="#,##0" sourceLinked="0"/>
            <c:spPr>
              <a:noFill/>
              <a:ln>
                <a:noFill/>
              </a:ln>
              <a:effectLst/>
            </c:spPr>
            <c:txPr>
              <a:bodyPr rot="0" vert="horz"/>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2019–20</c:v>
                </c:pt>
                <c:pt idx="1">
                  <c:v>2020–21</c:v>
                </c:pt>
                <c:pt idx="2">
                  <c:v>2021–22</c:v>
                </c:pt>
                <c:pt idx="3">
                  <c:v>2022–23</c:v>
                </c:pt>
                <c:pt idx="4">
                  <c:v>2023–24</c:v>
                </c:pt>
              </c:strCache>
            </c:strRef>
          </c:cat>
          <c:val>
            <c:numRef>
              <c:f>Sheet1!$B$2:$B$6</c:f>
              <c:numCache>
                <c:formatCode>General</c:formatCode>
                <c:ptCount val="5"/>
                <c:pt idx="0">
                  <c:v>53</c:v>
                </c:pt>
                <c:pt idx="1">
                  <c:v>29</c:v>
                </c:pt>
                <c:pt idx="2">
                  <c:v>21</c:v>
                </c:pt>
                <c:pt idx="3">
                  <c:v>39</c:v>
                </c:pt>
                <c:pt idx="4">
                  <c:v>46</c:v>
                </c:pt>
              </c:numCache>
            </c:numRef>
          </c:val>
          <c:extLst>
            <c:ext xmlns:c16="http://schemas.microsoft.com/office/drawing/2014/chart" uri="{C3380CC4-5D6E-409C-BE32-E72D297353CC}">
              <c16:uniqueId val="{00000009-BB27-4EB8-B9C0-FEEFC9C03786}"/>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85">
  <cs:axisTitle>
    <cs:lnRef idx="0"/>
    <cs:fillRef idx="0"/>
    <cs:effectRef idx="0"/>
    <cs:fontRef idx="minor">
      <a:schemeClr val="tx2"/>
    </cs:fontRef>
    <cs:defRPr sz="9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2"/>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bg1"/>
        </a:solidFill>
      </a:ln>
    </cs:spPr>
  </cs:dataPoint>
  <cs:dataPoint3D>
    <cs:lnRef idx="0"/>
    <cs:fillRef idx="0">
      <cs:styleClr val="auto"/>
    </cs:fillRef>
    <cs:effectRef idx="0"/>
    <cs:fontRef idx="minor">
      <a:schemeClr val="tx2"/>
    </cs:fontRef>
    <cs:spPr>
      <a:solidFill>
        <a:schemeClr val="phClr"/>
      </a:solidFill>
    </cs:spPr>
  </cs:dataPoint3D>
  <cs:dataPointLine>
    <cs:lnRef idx="0">
      <cs:styleClr val="auto"/>
    </cs:lnRef>
    <cs:fillRef idx="0"/>
    <cs:effectRef idx="0"/>
    <cs:fontRef idx="minor">
      <a:schemeClr val="tx2"/>
    </cs:fontRef>
    <cs:spPr>
      <a:ln w="28575" cap="rnd">
        <a:solidFill>
          <a:schemeClr val="phClr"/>
        </a:solidFill>
        <a:round/>
      </a:ln>
    </cs:spPr>
  </cs:dataPointLine>
  <cs:dataPointMarker>
    <cs:lnRef idx="0"/>
    <cs:fillRef idx="0">
      <cs:styleClr val="auto"/>
    </cs:fillRef>
    <cs:effectRef idx="0"/>
    <cs:fontRef idx="minor">
      <a:schemeClr val="tx2"/>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2"/>
    </cs:fontRef>
    <cs:spPr>
      <a:ln w="2857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cs:seriesAxis>
  <cs:seriesLine>
    <cs:lnRef idx="0"/>
    <cs:fillRef idx="0"/>
    <cs:effectRef idx="0"/>
    <cs:fontRef idx="minor">
      <a:schemeClr val="tx2"/>
    </cs:fontRef>
    <cs:spPr>
      <a:ln w="9525" cap="flat">
        <a:solidFill>
          <a:srgbClr val="D9D9D9"/>
        </a:solidFill>
        <a:round/>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385">
  <cs:axisTitle>
    <cs:lnRef idx="0"/>
    <cs:fillRef idx="0"/>
    <cs:effectRef idx="0"/>
    <cs:fontRef idx="minor">
      <a:schemeClr val="tx2"/>
    </cs:fontRef>
    <cs:defRPr sz="9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2"/>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bg1"/>
        </a:solidFill>
      </a:ln>
    </cs:spPr>
  </cs:dataPoint>
  <cs:dataPoint3D>
    <cs:lnRef idx="0"/>
    <cs:fillRef idx="0">
      <cs:styleClr val="auto"/>
    </cs:fillRef>
    <cs:effectRef idx="0"/>
    <cs:fontRef idx="minor">
      <a:schemeClr val="tx2"/>
    </cs:fontRef>
    <cs:spPr>
      <a:solidFill>
        <a:schemeClr val="phClr"/>
      </a:solidFill>
    </cs:spPr>
  </cs:dataPoint3D>
  <cs:dataPointLine>
    <cs:lnRef idx="0">
      <cs:styleClr val="auto"/>
    </cs:lnRef>
    <cs:fillRef idx="0"/>
    <cs:effectRef idx="0"/>
    <cs:fontRef idx="minor">
      <a:schemeClr val="tx2"/>
    </cs:fontRef>
    <cs:spPr>
      <a:ln w="28575" cap="rnd">
        <a:solidFill>
          <a:schemeClr val="phClr"/>
        </a:solidFill>
        <a:round/>
      </a:ln>
    </cs:spPr>
  </cs:dataPointLine>
  <cs:dataPointMarker>
    <cs:lnRef idx="0"/>
    <cs:fillRef idx="0">
      <cs:styleClr val="auto"/>
    </cs:fillRef>
    <cs:effectRef idx="0"/>
    <cs:fontRef idx="minor">
      <a:schemeClr val="tx2"/>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2"/>
    </cs:fontRef>
    <cs:spPr>
      <a:ln w="2857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cs:seriesAxis>
  <cs:seriesLine>
    <cs:lnRef idx="0"/>
    <cs:fillRef idx="0"/>
    <cs:effectRef idx="0"/>
    <cs:fontRef idx="minor">
      <a:schemeClr val="tx2"/>
    </cs:fontRef>
    <cs:spPr>
      <a:ln w="9525" cap="flat">
        <a:solidFill>
          <a:srgbClr val="D9D9D9"/>
        </a:solidFill>
        <a:round/>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0.70309</cdr:x>
      <cdr:y>0.17967</cdr:y>
    </cdr:from>
    <cdr:to>
      <cdr:x>0.70309</cdr:x>
      <cdr:y>0.42794</cdr:y>
    </cdr:to>
    <cdr:cxnSp macro="">
      <cdr:nvCxnSpPr>
        <cdr:cNvPr id="3" name="Straight Connector 2"/>
        <cdr:cNvCxnSpPr/>
      </cdr:nvCxnSpPr>
      <cdr:spPr>
        <a:xfrm xmlns:a="http://schemas.openxmlformats.org/drawingml/2006/main">
          <a:off x="1863090" y="129262"/>
          <a:ext cx="0" cy="178618"/>
        </a:xfrm>
        <a:prstGeom xmlns:a="http://schemas.openxmlformats.org/drawingml/2006/main" prst="line">
          <a:avLst/>
        </a:prstGeom>
        <a:ln xmlns:a="http://schemas.openxmlformats.org/drawingml/2006/main">
          <a:solidFill>
            <a:schemeClr val="bg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0.73955</cdr:x>
      <cdr:y>0.2118</cdr:y>
    </cdr:from>
    <cdr:to>
      <cdr:x>0.73955</cdr:x>
      <cdr:y>0.43377</cdr:y>
    </cdr:to>
    <cdr:cxnSp macro="">
      <cdr:nvCxnSpPr>
        <cdr:cNvPr id="3" name="Straight Connector 2"/>
        <cdr:cNvCxnSpPr/>
      </cdr:nvCxnSpPr>
      <cdr:spPr>
        <a:xfrm xmlns:a="http://schemas.openxmlformats.org/drawingml/2006/main">
          <a:off x="2129701" y="152378"/>
          <a:ext cx="0" cy="159698"/>
        </a:xfrm>
        <a:prstGeom xmlns:a="http://schemas.openxmlformats.org/drawingml/2006/main" prst="line">
          <a:avLst/>
        </a:prstGeom>
        <a:ln xmlns:a="http://schemas.openxmlformats.org/drawingml/2006/main">
          <a:solidFill>
            <a:schemeClr val="bg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02B8ABD-BB31-48C1-8B19-00A7A6673943}">
  <ds:schemaRefs>
    <ds:schemaRef ds:uri="http://schemas.openxmlformats.org/officeDocument/2006/bibliography"/>
  </ds:schemaRefs>
</ds:datastoreItem>
</file>

<file path=customXml/itemProps2.xml><?xml version="1.0" encoding="utf-8"?>
<ds:datastoreItem xmlns:ds="http://schemas.openxmlformats.org/officeDocument/2006/customXml" ds:itemID="{C4E2FBD1-2B2D-4D20-9082-9CBED4907F7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38684</Words>
  <Characters>223986</Characters>
  <DocSecurity>8</DocSecurity>
  <Lines>8959</Lines>
  <Paragraphs>3920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2024-08-28T07:11:00Z</cp:lastPrinted>
  <dcterms:created xsi:type="dcterms:W3CDTF">2024-09-12T03:44:00Z</dcterms:created>
  <dcterms:modified xsi:type="dcterms:W3CDTF">2024-09-12T03:44:00Z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8aef7c1-6a42-4fdf-9098-721c17b924c1_Enabled">
    <vt:lpwstr>true</vt:lpwstr>
  </property>
  <property fmtid="{D5CDD505-2E9C-101B-9397-08002B2CF9AE}" pid="3" name="MSIP_Label_88aef7c1-6a42-4fdf-9098-721c17b924c1_SetDate">
    <vt:lpwstr>2023-07-26T02:52:33Z</vt:lpwstr>
  </property>
  <property fmtid="{D5CDD505-2E9C-101B-9397-08002B2CF9AE}" pid="4" name="MSIP_Label_88aef7c1-6a42-4fdf-9098-721c17b924c1_Method">
    <vt:lpwstr>Privileged</vt:lpwstr>
  </property>
  <property fmtid="{D5CDD505-2E9C-101B-9397-08002B2CF9AE}" pid="5" name="MSIP_Label_88aef7c1-6a42-4fdf-9098-721c17b924c1_Name">
    <vt:lpwstr>Official</vt:lpwstr>
  </property>
  <property fmtid="{D5CDD505-2E9C-101B-9397-08002B2CF9AE}" pid="6" name="MSIP_Label_88aef7c1-6a42-4fdf-9098-721c17b924c1_SiteId">
    <vt:lpwstr>b47fbe09-f37e-4756-a0c9-f44c55bfb295</vt:lpwstr>
  </property>
  <property fmtid="{D5CDD505-2E9C-101B-9397-08002B2CF9AE}" pid="7" name="MSIP_Label_88aef7c1-6a42-4fdf-9098-721c17b924c1_ActionId">
    <vt:lpwstr>d78ad83a-4060-4d90-8405-a9fdec99629f</vt:lpwstr>
  </property>
  <property fmtid="{D5CDD505-2E9C-101B-9397-08002B2CF9AE}" pid="8" name="MSIP_Label_88aef7c1-6a42-4fdf-9098-721c17b924c1_ContentBits">
    <vt:lpwstr>1</vt:lpwstr>
  </property>
</Properties>
</file>