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50" w:rsidRPr="00E465A1" w:rsidRDefault="00180087" w:rsidP="00B3230F">
      <w:pPr>
        <w:spacing w:line="240" w:lineRule="auto"/>
        <w:jc w:val="center"/>
        <w:rPr>
          <w:rFonts w:cs="Arial"/>
          <w:color w:val="262626" w:themeColor="text1" w:themeTint="D9"/>
          <w:sz w:val="48"/>
          <w:szCs w:val="48"/>
        </w:rPr>
      </w:pPr>
      <w:r w:rsidRPr="00E465A1">
        <w:rPr>
          <w:rFonts w:cs="Arial"/>
          <w:color w:val="262626" w:themeColor="text1" w:themeTint="D9"/>
          <w:sz w:val="48"/>
          <w:szCs w:val="48"/>
        </w:rPr>
        <w:t xml:space="preserve"> </w:t>
      </w:r>
    </w:p>
    <w:p w:rsidR="007A78A6" w:rsidRPr="00E465A1" w:rsidRDefault="00E90988" w:rsidP="00B3230F">
      <w:pPr>
        <w:spacing w:line="240" w:lineRule="auto"/>
        <w:jc w:val="center"/>
        <w:rPr>
          <w:rFonts w:cs="Arial"/>
          <w:color w:val="262626" w:themeColor="text1" w:themeTint="D9"/>
          <w:sz w:val="48"/>
          <w:szCs w:val="48"/>
        </w:rPr>
      </w:pPr>
      <w:r w:rsidRPr="00E465A1">
        <w:rPr>
          <w:rFonts w:cs="Arial"/>
          <w:color w:val="262626" w:themeColor="text1" w:themeTint="D9"/>
          <w:sz w:val="48"/>
          <w:szCs w:val="48"/>
        </w:rPr>
        <w:t xml:space="preserve">Crime and </w:t>
      </w:r>
      <w:r w:rsidR="00735727" w:rsidRPr="00E465A1">
        <w:rPr>
          <w:rFonts w:cs="Arial"/>
          <w:color w:val="262626" w:themeColor="text1" w:themeTint="D9"/>
          <w:sz w:val="48"/>
          <w:szCs w:val="48"/>
        </w:rPr>
        <w:t xml:space="preserve">Corruption </w:t>
      </w:r>
      <w:r w:rsidRPr="00E465A1">
        <w:rPr>
          <w:rFonts w:cs="Arial"/>
          <w:color w:val="262626" w:themeColor="text1" w:themeTint="D9"/>
          <w:sz w:val="48"/>
          <w:szCs w:val="48"/>
        </w:rPr>
        <w:t>Commission</w:t>
      </w:r>
      <w:r w:rsidRPr="00E465A1">
        <w:rPr>
          <w:rFonts w:cs="Arial"/>
          <w:color w:val="262626" w:themeColor="text1" w:themeTint="D9"/>
          <w:sz w:val="48"/>
          <w:szCs w:val="48"/>
        </w:rPr>
        <w:br/>
      </w:r>
    </w:p>
    <w:p w:rsidR="00E90988" w:rsidRPr="00E465A1" w:rsidRDefault="00E90988" w:rsidP="00B3230F">
      <w:pPr>
        <w:spacing w:line="240" w:lineRule="auto"/>
        <w:jc w:val="center"/>
        <w:outlineLvl w:val="0"/>
        <w:rPr>
          <w:rFonts w:cs="Arial"/>
          <w:b/>
          <w:color w:val="262626" w:themeColor="text1" w:themeTint="D9"/>
          <w:sz w:val="48"/>
          <w:szCs w:val="48"/>
        </w:rPr>
      </w:pPr>
    </w:p>
    <w:p w:rsidR="00970347" w:rsidRPr="00E465A1" w:rsidRDefault="00E90988" w:rsidP="00B3230F">
      <w:pPr>
        <w:spacing w:line="360" w:lineRule="auto"/>
        <w:jc w:val="center"/>
        <w:outlineLvl w:val="0"/>
        <w:rPr>
          <w:rFonts w:cs="Arial"/>
          <w:b/>
          <w:color w:val="262626" w:themeColor="text1" w:themeTint="D9"/>
          <w:sz w:val="36"/>
          <w:szCs w:val="36"/>
        </w:rPr>
      </w:pPr>
      <w:r w:rsidRPr="00E465A1">
        <w:rPr>
          <w:rFonts w:cs="Arial"/>
          <w:b/>
          <w:color w:val="262626" w:themeColor="text1" w:themeTint="D9"/>
          <w:sz w:val="36"/>
          <w:szCs w:val="36"/>
        </w:rPr>
        <w:t xml:space="preserve">Financial </w:t>
      </w:r>
      <w:r w:rsidR="00771182" w:rsidRPr="00E465A1">
        <w:rPr>
          <w:rFonts w:cs="Arial"/>
          <w:b/>
          <w:color w:val="262626" w:themeColor="text1" w:themeTint="D9"/>
          <w:sz w:val="36"/>
          <w:szCs w:val="36"/>
        </w:rPr>
        <w:t>Statements</w:t>
      </w:r>
      <w:r w:rsidR="00B3230F" w:rsidRPr="00E465A1">
        <w:rPr>
          <w:rFonts w:cs="Arial"/>
          <w:b/>
          <w:color w:val="262626" w:themeColor="text1" w:themeTint="D9"/>
          <w:sz w:val="36"/>
          <w:szCs w:val="36"/>
        </w:rPr>
        <w:br/>
      </w:r>
      <w:r w:rsidR="00EC07A9" w:rsidRPr="00E465A1">
        <w:rPr>
          <w:rFonts w:cs="Arial"/>
          <w:b/>
          <w:color w:val="262626" w:themeColor="text1" w:themeTint="D9"/>
          <w:sz w:val="36"/>
          <w:szCs w:val="36"/>
        </w:rPr>
        <w:t>for the financial year</w:t>
      </w:r>
      <w:r w:rsidR="00970347" w:rsidRPr="00E465A1">
        <w:rPr>
          <w:rFonts w:cs="Arial"/>
          <w:b/>
          <w:color w:val="262626" w:themeColor="text1" w:themeTint="D9"/>
          <w:sz w:val="36"/>
          <w:szCs w:val="36"/>
        </w:rPr>
        <w:t xml:space="preserve"> ended</w:t>
      </w:r>
      <w:r w:rsidR="00B3230F" w:rsidRPr="00E465A1">
        <w:rPr>
          <w:rFonts w:cs="Arial"/>
          <w:b/>
          <w:color w:val="262626" w:themeColor="text1" w:themeTint="D9"/>
          <w:sz w:val="36"/>
          <w:szCs w:val="36"/>
        </w:rPr>
        <w:br/>
      </w:r>
      <w:r w:rsidR="00970347" w:rsidRPr="00E465A1">
        <w:rPr>
          <w:rFonts w:cs="Arial"/>
          <w:b/>
          <w:color w:val="262626" w:themeColor="text1" w:themeTint="D9"/>
          <w:sz w:val="36"/>
          <w:szCs w:val="36"/>
        </w:rPr>
        <w:t xml:space="preserve">30 </w:t>
      </w:r>
      <w:r w:rsidR="00055403" w:rsidRPr="00E465A1">
        <w:rPr>
          <w:rFonts w:cs="Arial"/>
          <w:b/>
          <w:color w:val="262626" w:themeColor="text1" w:themeTint="D9"/>
          <w:sz w:val="36"/>
          <w:szCs w:val="36"/>
        </w:rPr>
        <w:t>June</w:t>
      </w:r>
      <w:r w:rsidR="00970347" w:rsidRPr="00E465A1">
        <w:rPr>
          <w:rFonts w:cs="Arial"/>
          <w:b/>
          <w:color w:val="262626" w:themeColor="text1" w:themeTint="D9"/>
          <w:sz w:val="36"/>
          <w:szCs w:val="36"/>
        </w:rPr>
        <w:t xml:space="preserve"> </w:t>
      </w:r>
      <w:r w:rsidR="00735727" w:rsidRPr="00E465A1">
        <w:rPr>
          <w:rFonts w:cs="Arial"/>
          <w:b/>
          <w:color w:val="262626" w:themeColor="text1" w:themeTint="D9"/>
          <w:sz w:val="36"/>
          <w:szCs w:val="36"/>
        </w:rPr>
        <w:t>201</w:t>
      </w:r>
      <w:r w:rsidR="003278DD" w:rsidRPr="00E465A1">
        <w:rPr>
          <w:rFonts w:cs="Arial"/>
          <w:b/>
          <w:color w:val="262626" w:themeColor="text1" w:themeTint="D9"/>
          <w:sz w:val="36"/>
          <w:szCs w:val="36"/>
        </w:rPr>
        <w:t>8</w:t>
      </w:r>
    </w:p>
    <w:p w:rsidR="00E90988" w:rsidRPr="00E465A1" w:rsidRDefault="00E90988" w:rsidP="00736C0B">
      <w:pPr>
        <w:rPr>
          <w:color w:val="262626" w:themeColor="text1" w:themeTint="D9"/>
        </w:rPr>
      </w:pPr>
    </w:p>
    <w:p w:rsidR="00E90988" w:rsidRPr="00E465A1" w:rsidRDefault="00E90988" w:rsidP="00736C0B">
      <w:pPr>
        <w:rPr>
          <w:color w:val="262626" w:themeColor="text1" w:themeTint="D9"/>
        </w:rPr>
      </w:pPr>
    </w:p>
    <w:p w:rsidR="00863E9C" w:rsidRPr="00E465A1" w:rsidRDefault="00863E9C" w:rsidP="00736C0B">
      <w:pPr>
        <w:rPr>
          <w:color w:val="262626" w:themeColor="text1" w:themeTint="D9"/>
        </w:rPr>
      </w:pPr>
    </w:p>
    <w:p w:rsidR="00863E9C" w:rsidRPr="00E465A1" w:rsidRDefault="00863E9C" w:rsidP="00736C0B">
      <w:pPr>
        <w:rPr>
          <w:color w:val="262626" w:themeColor="text1" w:themeTint="D9"/>
        </w:rPr>
      </w:pPr>
    </w:p>
    <w:p w:rsidR="00CD32C8" w:rsidRPr="00E465A1" w:rsidRDefault="00CD32C8" w:rsidP="00736C0B">
      <w:pPr>
        <w:rPr>
          <w:color w:val="262626" w:themeColor="text1" w:themeTint="D9"/>
        </w:rPr>
      </w:pPr>
    </w:p>
    <w:p w:rsidR="00863E9C" w:rsidRPr="00E465A1" w:rsidRDefault="00863E9C" w:rsidP="00736C0B">
      <w:pPr>
        <w:rPr>
          <w:color w:val="262626" w:themeColor="text1" w:themeTint="D9"/>
        </w:rPr>
      </w:pPr>
    </w:p>
    <w:p w:rsidR="00863E9C" w:rsidRPr="00E465A1" w:rsidRDefault="00863E9C" w:rsidP="00736C0B">
      <w:pPr>
        <w:rPr>
          <w:color w:val="262626" w:themeColor="text1" w:themeTint="D9"/>
        </w:rPr>
      </w:pPr>
    </w:p>
    <w:p w:rsidR="00863E9C" w:rsidRPr="00E465A1" w:rsidRDefault="00863E9C" w:rsidP="00736C0B">
      <w:pPr>
        <w:rPr>
          <w:color w:val="262626" w:themeColor="text1" w:themeTint="D9"/>
        </w:rPr>
      </w:pPr>
    </w:p>
    <w:p w:rsidR="00863E9C" w:rsidRPr="00E465A1" w:rsidRDefault="00863E9C" w:rsidP="00736C0B">
      <w:pPr>
        <w:rPr>
          <w:color w:val="262626" w:themeColor="text1" w:themeTint="D9"/>
        </w:rPr>
      </w:pPr>
    </w:p>
    <w:p w:rsidR="00863E9C" w:rsidRPr="00E465A1" w:rsidRDefault="00863E9C" w:rsidP="00736C0B">
      <w:pPr>
        <w:rPr>
          <w:color w:val="262626" w:themeColor="text1" w:themeTint="D9"/>
        </w:rPr>
      </w:pPr>
    </w:p>
    <w:p w:rsidR="00624439" w:rsidRPr="00E465A1" w:rsidRDefault="00624439" w:rsidP="00736C0B">
      <w:pPr>
        <w:rPr>
          <w:color w:val="262626" w:themeColor="text1" w:themeTint="D9"/>
          <w:szCs w:val="18"/>
        </w:rPr>
      </w:pPr>
    </w:p>
    <w:p w:rsidR="00624439" w:rsidRPr="00E465A1" w:rsidRDefault="00624439" w:rsidP="00A51CCF">
      <w:pPr>
        <w:rPr>
          <w:rFonts w:cs="Arial"/>
          <w:color w:val="262626" w:themeColor="text1" w:themeTint="D9"/>
          <w:szCs w:val="18"/>
        </w:rPr>
      </w:pPr>
    </w:p>
    <w:p w:rsidR="00624439" w:rsidRPr="00E465A1" w:rsidRDefault="00624439" w:rsidP="00044268">
      <w:pPr>
        <w:rPr>
          <w:rFonts w:cs="Arial"/>
          <w:color w:val="262626" w:themeColor="text1" w:themeTint="D9"/>
          <w:szCs w:val="18"/>
        </w:rPr>
        <w:sectPr w:rsidR="00624439" w:rsidRPr="00E465A1" w:rsidSect="0093233E">
          <w:headerReference w:type="default" r:id="rId8"/>
          <w:footerReference w:type="default" r:id="rId9"/>
          <w:headerReference w:type="first" r:id="rId10"/>
          <w:footerReference w:type="first" r:id="rId11"/>
          <w:type w:val="continuous"/>
          <w:pgSz w:w="11906" w:h="16838" w:code="9"/>
          <w:pgMar w:top="2268" w:right="851" w:bottom="1418" w:left="851" w:header="567" w:footer="567" w:gutter="0"/>
          <w:cols w:space="708"/>
          <w:titlePg/>
          <w:docGrid w:linePitch="360"/>
        </w:sectPr>
      </w:pPr>
    </w:p>
    <w:p w:rsidR="00624439" w:rsidRPr="00E465A1" w:rsidRDefault="00624439" w:rsidP="00624439">
      <w:pPr>
        <w:tabs>
          <w:tab w:val="right" w:pos="6120"/>
        </w:tabs>
        <w:rPr>
          <w:rFonts w:cs="Arial"/>
          <w:b/>
          <w:color w:val="262626" w:themeColor="text1" w:themeTint="D9"/>
          <w:szCs w:val="18"/>
        </w:rPr>
      </w:pPr>
      <w:r w:rsidRPr="00E465A1">
        <w:rPr>
          <w:rFonts w:cs="Arial"/>
          <w:b/>
          <w:color w:val="262626" w:themeColor="text1" w:themeTint="D9"/>
          <w:sz w:val="24"/>
          <w:szCs w:val="24"/>
        </w:rPr>
        <w:lastRenderedPageBreak/>
        <w:t>Contents</w:t>
      </w:r>
      <w:r w:rsidRPr="00E465A1">
        <w:rPr>
          <w:rFonts w:cs="Arial"/>
          <w:color w:val="262626" w:themeColor="text1" w:themeTint="D9"/>
          <w:szCs w:val="18"/>
        </w:rPr>
        <w:tab/>
      </w:r>
      <w:r w:rsidRPr="00E465A1">
        <w:rPr>
          <w:rFonts w:cs="Arial"/>
          <w:b/>
          <w:color w:val="262626" w:themeColor="text1" w:themeTint="D9"/>
          <w:szCs w:val="18"/>
        </w:rPr>
        <w:t>Page</w:t>
      </w:r>
    </w:p>
    <w:p w:rsidR="00624439" w:rsidRPr="00E465A1" w:rsidRDefault="00624439" w:rsidP="00624439">
      <w:pPr>
        <w:tabs>
          <w:tab w:val="right" w:leader="dot" w:pos="6120"/>
        </w:tabs>
        <w:outlineLvl w:val="0"/>
        <w:rPr>
          <w:rFonts w:cs="Arial"/>
          <w:color w:val="262626" w:themeColor="text1" w:themeTint="D9"/>
          <w:szCs w:val="18"/>
        </w:rPr>
      </w:pPr>
      <w:r w:rsidRPr="00E465A1">
        <w:rPr>
          <w:rFonts w:cs="Arial"/>
          <w:color w:val="262626" w:themeColor="text1" w:themeTint="D9"/>
          <w:szCs w:val="18"/>
        </w:rPr>
        <w:t>Statement of Comprehensive Income</w:t>
      </w:r>
      <w:r w:rsidRPr="00E465A1">
        <w:rPr>
          <w:rFonts w:cs="Arial"/>
          <w:color w:val="262626" w:themeColor="text1" w:themeTint="D9"/>
          <w:szCs w:val="18"/>
        </w:rPr>
        <w:tab/>
        <w:t>3</w:t>
      </w:r>
    </w:p>
    <w:p w:rsidR="00624439" w:rsidRPr="00E465A1" w:rsidRDefault="00624439" w:rsidP="00624439">
      <w:pPr>
        <w:tabs>
          <w:tab w:val="right" w:leader="dot" w:pos="6120"/>
        </w:tabs>
        <w:outlineLvl w:val="0"/>
        <w:rPr>
          <w:rFonts w:cs="Arial"/>
          <w:color w:val="262626" w:themeColor="text1" w:themeTint="D9"/>
          <w:szCs w:val="18"/>
        </w:rPr>
      </w:pPr>
      <w:r w:rsidRPr="00E465A1">
        <w:rPr>
          <w:rFonts w:cs="Arial"/>
          <w:color w:val="262626" w:themeColor="text1" w:themeTint="D9"/>
          <w:szCs w:val="18"/>
        </w:rPr>
        <w:t>Statement of Financial Position</w:t>
      </w:r>
      <w:r w:rsidRPr="00E465A1">
        <w:rPr>
          <w:rFonts w:cs="Arial"/>
          <w:color w:val="262626" w:themeColor="text1" w:themeTint="D9"/>
          <w:szCs w:val="18"/>
        </w:rPr>
        <w:tab/>
        <w:t>4</w:t>
      </w:r>
    </w:p>
    <w:p w:rsidR="00624439" w:rsidRPr="00E465A1" w:rsidRDefault="00624439" w:rsidP="00624439">
      <w:pPr>
        <w:tabs>
          <w:tab w:val="right" w:leader="dot" w:pos="6120"/>
        </w:tabs>
        <w:outlineLvl w:val="0"/>
        <w:rPr>
          <w:rFonts w:cs="Arial"/>
          <w:color w:val="262626" w:themeColor="text1" w:themeTint="D9"/>
          <w:szCs w:val="18"/>
        </w:rPr>
      </w:pPr>
      <w:r w:rsidRPr="00E465A1">
        <w:rPr>
          <w:rFonts w:cs="Arial"/>
          <w:color w:val="262626" w:themeColor="text1" w:themeTint="D9"/>
          <w:szCs w:val="18"/>
        </w:rPr>
        <w:t>Statement of Changes in Equity</w:t>
      </w:r>
      <w:r w:rsidRPr="00E465A1">
        <w:rPr>
          <w:rFonts w:cs="Arial"/>
          <w:color w:val="262626" w:themeColor="text1" w:themeTint="D9"/>
          <w:szCs w:val="18"/>
        </w:rPr>
        <w:tab/>
        <w:t>5</w:t>
      </w:r>
    </w:p>
    <w:p w:rsidR="00624439" w:rsidRPr="00E465A1" w:rsidRDefault="00624439" w:rsidP="00624439">
      <w:pPr>
        <w:tabs>
          <w:tab w:val="right" w:leader="dot" w:pos="6120"/>
        </w:tabs>
        <w:outlineLvl w:val="0"/>
        <w:rPr>
          <w:rFonts w:cs="Arial"/>
          <w:color w:val="262626" w:themeColor="text1" w:themeTint="D9"/>
          <w:szCs w:val="18"/>
        </w:rPr>
      </w:pPr>
      <w:r w:rsidRPr="00E465A1">
        <w:rPr>
          <w:rFonts w:cs="Arial"/>
          <w:color w:val="262626" w:themeColor="text1" w:themeTint="D9"/>
          <w:szCs w:val="18"/>
        </w:rPr>
        <w:t>Statement of Cash Flows</w:t>
      </w:r>
      <w:r w:rsidRPr="00E465A1">
        <w:rPr>
          <w:rFonts w:cs="Arial"/>
          <w:color w:val="262626" w:themeColor="text1" w:themeTint="D9"/>
          <w:szCs w:val="18"/>
        </w:rPr>
        <w:tab/>
        <w:t>6</w:t>
      </w:r>
    </w:p>
    <w:p w:rsidR="00624439" w:rsidRPr="00E465A1" w:rsidRDefault="00624439" w:rsidP="00624439">
      <w:pPr>
        <w:tabs>
          <w:tab w:val="right" w:leader="dot" w:pos="6120"/>
        </w:tabs>
        <w:outlineLvl w:val="0"/>
        <w:rPr>
          <w:rFonts w:cs="Arial"/>
          <w:color w:val="262626" w:themeColor="text1" w:themeTint="D9"/>
          <w:szCs w:val="18"/>
        </w:rPr>
      </w:pPr>
      <w:r w:rsidRPr="00E465A1">
        <w:rPr>
          <w:rFonts w:cs="Arial"/>
          <w:color w:val="262626" w:themeColor="text1" w:themeTint="D9"/>
          <w:szCs w:val="18"/>
        </w:rPr>
        <w:t>Notes to and forming part of the Financial Statements</w:t>
      </w:r>
      <w:r w:rsidRPr="00E465A1">
        <w:rPr>
          <w:rFonts w:cs="Arial"/>
          <w:color w:val="262626" w:themeColor="text1" w:themeTint="D9"/>
          <w:szCs w:val="18"/>
        </w:rPr>
        <w:tab/>
        <w:t>7</w:t>
      </w:r>
      <w:r w:rsidR="00582CDB" w:rsidRPr="00E465A1">
        <w:rPr>
          <w:rFonts w:cs="Arial"/>
          <w:color w:val="262626" w:themeColor="text1" w:themeTint="D9"/>
          <w:szCs w:val="18"/>
        </w:rPr>
        <w:t>-</w:t>
      </w:r>
      <w:r w:rsidR="002A339F" w:rsidRPr="00E465A1">
        <w:rPr>
          <w:rFonts w:cs="Arial"/>
          <w:color w:val="262626" w:themeColor="text1" w:themeTint="D9"/>
          <w:szCs w:val="18"/>
        </w:rPr>
        <w:t>3</w:t>
      </w:r>
      <w:r w:rsidR="00BD3650" w:rsidRPr="00E465A1">
        <w:rPr>
          <w:rFonts w:cs="Arial"/>
          <w:color w:val="262626" w:themeColor="text1" w:themeTint="D9"/>
          <w:szCs w:val="18"/>
        </w:rPr>
        <w:t>2</w:t>
      </w:r>
    </w:p>
    <w:p w:rsidR="00624439" w:rsidRPr="00E465A1" w:rsidRDefault="00624439" w:rsidP="00624439">
      <w:pPr>
        <w:tabs>
          <w:tab w:val="right" w:leader="dot" w:pos="6120"/>
        </w:tabs>
        <w:outlineLvl w:val="0"/>
        <w:rPr>
          <w:rFonts w:cs="Arial"/>
          <w:color w:val="262626" w:themeColor="text1" w:themeTint="D9"/>
          <w:szCs w:val="18"/>
        </w:rPr>
      </w:pPr>
      <w:r w:rsidRPr="00E465A1">
        <w:rPr>
          <w:rFonts w:cs="Arial"/>
          <w:color w:val="262626" w:themeColor="text1" w:themeTint="D9"/>
          <w:szCs w:val="18"/>
        </w:rPr>
        <w:t>Management Cer</w:t>
      </w:r>
      <w:bookmarkStart w:id="0" w:name="_GoBack"/>
      <w:bookmarkEnd w:id="0"/>
      <w:r w:rsidRPr="00E465A1">
        <w:rPr>
          <w:rFonts w:cs="Arial"/>
          <w:color w:val="262626" w:themeColor="text1" w:themeTint="D9"/>
          <w:szCs w:val="18"/>
        </w:rPr>
        <w:t>tificate</w:t>
      </w:r>
      <w:r w:rsidRPr="00E465A1">
        <w:rPr>
          <w:rFonts w:cs="Arial"/>
          <w:color w:val="262626" w:themeColor="text1" w:themeTint="D9"/>
          <w:szCs w:val="18"/>
        </w:rPr>
        <w:tab/>
      </w:r>
      <w:r w:rsidR="002A339F" w:rsidRPr="00E465A1">
        <w:rPr>
          <w:rFonts w:cs="Arial"/>
          <w:color w:val="262626" w:themeColor="text1" w:themeTint="D9"/>
          <w:szCs w:val="18"/>
        </w:rPr>
        <w:t>3</w:t>
      </w:r>
      <w:r w:rsidR="00BD3650" w:rsidRPr="00E465A1">
        <w:rPr>
          <w:rFonts w:cs="Arial"/>
          <w:color w:val="262626" w:themeColor="text1" w:themeTint="D9"/>
          <w:szCs w:val="18"/>
        </w:rPr>
        <w:t>3</w:t>
      </w:r>
    </w:p>
    <w:p w:rsidR="00624439" w:rsidRPr="00E465A1" w:rsidRDefault="00624439" w:rsidP="00624439">
      <w:pPr>
        <w:tabs>
          <w:tab w:val="right" w:leader="dot" w:pos="6120"/>
        </w:tabs>
        <w:outlineLvl w:val="0"/>
        <w:rPr>
          <w:rFonts w:cs="Arial"/>
          <w:color w:val="262626" w:themeColor="text1" w:themeTint="D9"/>
          <w:szCs w:val="18"/>
        </w:rPr>
      </w:pPr>
    </w:p>
    <w:p w:rsidR="00624439" w:rsidRPr="00E465A1" w:rsidRDefault="00624439" w:rsidP="00624439">
      <w:pPr>
        <w:rPr>
          <w:rFonts w:cs="Arial"/>
          <w:color w:val="262626" w:themeColor="text1" w:themeTint="D9"/>
          <w:szCs w:val="18"/>
        </w:rPr>
      </w:pPr>
    </w:p>
    <w:p w:rsidR="00624439" w:rsidRPr="00E465A1" w:rsidRDefault="00624439" w:rsidP="00624439">
      <w:pPr>
        <w:outlineLvl w:val="0"/>
        <w:rPr>
          <w:rFonts w:cs="Arial"/>
          <w:color w:val="262626" w:themeColor="text1" w:themeTint="D9"/>
          <w:sz w:val="24"/>
          <w:szCs w:val="24"/>
        </w:rPr>
      </w:pPr>
      <w:r w:rsidRPr="00E465A1">
        <w:rPr>
          <w:rFonts w:cs="Arial"/>
          <w:color w:val="262626" w:themeColor="text1" w:themeTint="D9"/>
          <w:sz w:val="24"/>
          <w:szCs w:val="24"/>
        </w:rPr>
        <w:t>General information</w:t>
      </w:r>
    </w:p>
    <w:p w:rsidR="00624439" w:rsidRPr="00E465A1" w:rsidRDefault="00624439" w:rsidP="00290D89">
      <w:pPr>
        <w:pStyle w:val="Normal1stpara"/>
        <w:rPr>
          <w:color w:val="262626" w:themeColor="text1" w:themeTint="D9"/>
        </w:rPr>
      </w:pPr>
      <w:r w:rsidRPr="00E465A1">
        <w:rPr>
          <w:color w:val="262626" w:themeColor="text1" w:themeTint="D9"/>
        </w:rPr>
        <w:t>These financial statements cover the Crime and Corruption Commission</w:t>
      </w:r>
      <w:r w:rsidR="00CE7B1E" w:rsidRPr="00E465A1">
        <w:rPr>
          <w:color w:val="262626" w:themeColor="text1" w:themeTint="D9"/>
        </w:rPr>
        <w:t xml:space="preserve"> (CCC)</w:t>
      </w:r>
      <w:proofErr w:type="gramStart"/>
      <w:r w:rsidR="00DA1E72" w:rsidRPr="00E465A1">
        <w:rPr>
          <w:color w:val="262626" w:themeColor="text1" w:themeTint="D9"/>
        </w:rPr>
        <w:t>,</w:t>
      </w:r>
      <w:proofErr w:type="gramEnd"/>
      <w:r w:rsidR="00892B74" w:rsidRPr="00E465A1">
        <w:rPr>
          <w:color w:val="262626" w:themeColor="text1" w:themeTint="D9"/>
        </w:rPr>
        <w:br/>
      </w:r>
      <w:r w:rsidRPr="00E465A1">
        <w:rPr>
          <w:color w:val="262626" w:themeColor="text1" w:themeTint="D9"/>
        </w:rPr>
        <w:t>an independent statutory</w:t>
      </w:r>
      <w:r w:rsidR="00A86CEE" w:rsidRPr="00E465A1">
        <w:rPr>
          <w:color w:val="262626" w:themeColor="text1" w:themeTint="D9"/>
        </w:rPr>
        <w:t xml:space="preserve"> </w:t>
      </w:r>
      <w:r w:rsidRPr="00E465A1">
        <w:rPr>
          <w:color w:val="262626" w:themeColor="text1" w:themeTint="D9"/>
        </w:rPr>
        <w:t xml:space="preserve">body established under the </w:t>
      </w:r>
      <w:r w:rsidR="00A92BDA" w:rsidRPr="00E465A1">
        <w:rPr>
          <w:i/>
          <w:color w:val="262626" w:themeColor="text1" w:themeTint="D9"/>
        </w:rPr>
        <w:t xml:space="preserve">Crime and </w:t>
      </w:r>
      <w:r w:rsidRPr="00E465A1">
        <w:rPr>
          <w:i/>
          <w:color w:val="262626" w:themeColor="text1" w:themeTint="D9"/>
        </w:rPr>
        <w:t xml:space="preserve">Corruption </w:t>
      </w:r>
      <w:r w:rsidR="00F83A7B" w:rsidRPr="00E465A1">
        <w:rPr>
          <w:i/>
          <w:color w:val="262626" w:themeColor="text1" w:themeTint="D9"/>
        </w:rPr>
        <w:br/>
      </w:r>
      <w:r w:rsidRPr="00E465A1">
        <w:rPr>
          <w:i/>
          <w:color w:val="262626" w:themeColor="text1" w:themeTint="D9"/>
        </w:rPr>
        <w:t>Act 2001</w:t>
      </w:r>
      <w:r w:rsidRPr="00E465A1">
        <w:rPr>
          <w:color w:val="262626" w:themeColor="text1" w:themeTint="D9"/>
        </w:rPr>
        <w:t>, which reports directly to the Queensland Parliament.</w:t>
      </w:r>
    </w:p>
    <w:p w:rsidR="00624439" w:rsidRPr="00E465A1" w:rsidRDefault="00624439" w:rsidP="00290D89">
      <w:pPr>
        <w:outlineLvl w:val="0"/>
        <w:rPr>
          <w:rFonts w:cs="Arial"/>
          <w:color w:val="262626" w:themeColor="text1" w:themeTint="D9"/>
          <w:szCs w:val="18"/>
        </w:rPr>
      </w:pPr>
      <w:r w:rsidRPr="00E465A1">
        <w:rPr>
          <w:rFonts w:cs="Arial"/>
          <w:color w:val="262626" w:themeColor="text1" w:themeTint="D9"/>
          <w:szCs w:val="18"/>
        </w:rPr>
        <w:t xml:space="preserve">For financial reporting purposes, </w:t>
      </w:r>
      <w:r w:rsidRPr="00E465A1">
        <w:rPr>
          <w:color w:val="262626" w:themeColor="text1" w:themeTint="D9"/>
        </w:rPr>
        <w:t>the</w:t>
      </w:r>
      <w:r w:rsidRPr="00E465A1">
        <w:rPr>
          <w:rFonts w:cs="Arial"/>
          <w:color w:val="262626" w:themeColor="text1" w:themeTint="D9"/>
          <w:szCs w:val="18"/>
        </w:rPr>
        <w:t xml:space="preserve"> </w:t>
      </w:r>
      <w:r w:rsidR="00CE7B1E" w:rsidRPr="00E465A1">
        <w:rPr>
          <w:rFonts w:cs="Arial"/>
          <w:color w:val="262626" w:themeColor="text1" w:themeTint="D9"/>
          <w:szCs w:val="18"/>
        </w:rPr>
        <w:t xml:space="preserve">CCC </w:t>
      </w:r>
      <w:r w:rsidRPr="00E465A1">
        <w:rPr>
          <w:rFonts w:cs="Arial"/>
          <w:color w:val="262626" w:themeColor="text1" w:themeTint="D9"/>
          <w:szCs w:val="18"/>
        </w:rPr>
        <w:t>is a statutory body in terms</w:t>
      </w:r>
      <w:r w:rsidR="00F83A7B" w:rsidRPr="00E465A1">
        <w:rPr>
          <w:rFonts w:cs="Arial"/>
          <w:color w:val="262626" w:themeColor="text1" w:themeTint="D9"/>
          <w:szCs w:val="18"/>
        </w:rPr>
        <w:t xml:space="preserve"> </w:t>
      </w:r>
      <w:r w:rsidRPr="00E465A1">
        <w:rPr>
          <w:rFonts w:cs="Arial"/>
          <w:color w:val="262626" w:themeColor="text1" w:themeTint="D9"/>
          <w:szCs w:val="18"/>
        </w:rPr>
        <w:t xml:space="preserve">of the </w:t>
      </w:r>
      <w:r w:rsidR="00F83A7B" w:rsidRPr="00E465A1">
        <w:rPr>
          <w:rFonts w:cs="Arial"/>
          <w:color w:val="262626" w:themeColor="text1" w:themeTint="D9"/>
          <w:szCs w:val="18"/>
        </w:rPr>
        <w:br/>
      </w:r>
      <w:r w:rsidRPr="00E465A1">
        <w:rPr>
          <w:rFonts w:cs="Arial"/>
          <w:i/>
          <w:color w:val="262626" w:themeColor="text1" w:themeTint="D9"/>
          <w:szCs w:val="18"/>
        </w:rPr>
        <w:t>Financial Accountability Act 2009</w:t>
      </w:r>
      <w:r w:rsidRPr="00E465A1">
        <w:rPr>
          <w:rFonts w:cs="Arial"/>
          <w:color w:val="262626" w:themeColor="text1" w:themeTint="D9"/>
          <w:szCs w:val="18"/>
        </w:rPr>
        <w:t xml:space="preserve">, and is subsequently consolidated into the </w:t>
      </w:r>
      <w:r w:rsidR="00290D89" w:rsidRPr="00E465A1">
        <w:rPr>
          <w:rFonts w:cs="Arial"/>
          <w:color w:val="262626" w:themeColor="text1" w:themeTint="D9"/>
          <w:szCs w:val="18"/>
        </w:rPr>
        <w:br/>
      </w:r>
      <w:r w:rsidRPr="00E465A1">
        <w:rPr>
          <w:rFonts w:cs="Arial"/>
          <w:color w:val="262626" w:themeColor="text1" w:themeTint="D9"/>
          <w:szCs w:val="18"/>
        </w:rPr>
        <w:t xml:space="preserve">whole-of-government financial </w:t>
      </w:r>
      <w:r w:rsidR="001776D8" w:rsidRPr="00E465A1">
        <w:rPr>
          <w:rFonts w:cs="Arial"/>
          <w:color w:val="262626" w:themeColor="text1" w:themeTint="D9"/>
          <w:szCs w:val="18"/>
        </w:rPr>
        <w:t>statements</w:t>
      </w:r>
      <w:r w:rsidRPr="00E465A1">
        <w:rPr>
          <w:rFonts w:cs="Arial"/>
          <w:color w:val="262626" w:themeColor="text1" w:themeTint="D9"/>
          <w:szCs w:val="18"/>
        </w:rPr>
        <w:t>.</w:t>
      </w:r>
    </w:p>
    <w:p w:rsidR="00624439" w:rsidRPr="00E465A1" w:rsidRDefault="00624439" w:rsidP="00624439">
      <w:pPr>
        <w:rPr>
          <w:rFonts w:cs="Arial"/>
          <w:color w:val="262626" w:themeColor="text1" w:themeTint="D9"/>
          <w:szCs w:val="18"/>
        </w:rPr>
      </w:pPr>
      <w:r w:rsidRPr="00E465A1">
        <w:rPr>
          <w:rFonts w:cs="Arial"/>
          <w:color w:val="262626" w:themeColor="text1" w:themeTint="D9"/>
          <w:szCs w:val="18"/>
        </w:rPr>
        <w:t>The head office and principal place of business of the C</w:t>
      </w:r>
      <w:r w:rsidR="00CE7B1E" w:rsidRPr="00E465A1">
        <w:rPr>
          <w:rFonts w:cs="Arial"/>
          <w:color w:val="262626" w:themeColor="text1" w:themeTint="D9"/>
          <w:szCs w:val="18"/>
        </w:rPr>
        <w:t>CC</w:t>
      </w:r>
      <w:r w:rsidRPr="00E465A1">
        <w:rPr>
          <w:rFonts w:cs="Arial"/>
          <w:color w:val="262626" w:themeColor="text1" w:themeTint="D9"/>
          <w:szCs w:val="18"/>
        </w:rPr>
        <w:t xml:space="preserve"> is</w:t>
      </w:r>
      <w:proofErr w:type="gramStart"/>
      <w:r w:rsidRPr="00E465A1">
        <w:rPr>
          <w:rFonts w:cs="Arial"/>
          <w:color w:val="262626" w:themeColor="text1" w:themeTint="D9"/>
          <w:szCs w:val="18"/>
        </w:rPr>
        <w:t>:</w:t>
      </w:r>
      <w:proofErr w:type="gramEnd"/>
      <w:r w:rsidR="00290D89" w:rsidRPr="00E465A1">
        <w:rPr>
          <w:rFonts w:cs="Arial"/>
          <w:color w:val="262626" w:themeColor="text1" w:themeTint="D9"/>
          <w:szCs w:val="18"/>
        </w:rPr>
        <w:br/>
      </w:r>
      <w:r w:rsidRPr="00E465A1">
        <w:rPr>
          <w:rFonts w:cs="Arial"/>
          <w:color w:val="262626" w:themeColor="text1" w:themeTint="D9"/>
          <w:szCs w:val="18"/>
        </w:rPr>
        <w:t>Level 2, North Tower Green Square</w:t>
      </w:r>
      <w:r w:rsidR="00290D89" w:rsidRPr="00E465A1">
        <w:rPr>
          <w:rFonts w:cs="Arial"/>
          <w:color w:val="262626" w:themeColor="text1" w:themeTint="D9"/>
          <w:szCs w:val="18"/>
        </w:rPr>
        <w:br/>
      </w:r>
      <w:r w:rsidRPr="00E465A1">
        <w:rPr>
          <w:rFonts w:cs="Arial"/>
          <w:color w:val="262626" w:themeColor="text1" w:themeTint="D9"/>
          <w:szCs w:val="18"/>
        </w:rPr>
        <w:t>515 St Pauls Terrace</w:t>
      </w:r>
      <w:r w:rsidR="00290D89" w:rsidRPr="00E465A1">
        <w:rPr>
          <w:rFonts w:cs="Arial"/>
          <w:color w:val="262626" w:themeColor="text1" w:themeTint="D9"/>
          <w:szCs w:val="18"/>
        </w:rPr>
        <w:br/>
      </w:r>
      <w:r w:rsidRPr="00E465A1">
        <w:rPr>
          <w:rFonts w:cs="Arial"/>
          <w:color w:val="262626" w:themeColor="text1" w:themeTint="D9"/>
          <w:szCs w:val="18"/>
        </w:rPr>
        <w:t>FORTITUDE VALLEY QLD 4006</w:t>
      </w:r>
    </w:p>
    <w:p w:rsidR="0068108F" w:rsidRPr="00E465A1" w:rsidRDefault="0068108F" w:rsidP="00290D89">
      <w:pPr>
        <w:rPr>
          <w:color w:val="262626" w:themeColor="text1" w:themeTint="D9"/>
        </w:rPr>
      </w:pPr>
      <w:r w:rsidRPr="00E465A1">
        <w:rPr>
          <w:color w:val="262626" w:themeColor="text1" w:themeTint="D9"/>
        </w:rPr>
        <w:t>A description of the nature of the C</w:t>
      </w:r>
      <w:r w:rsidR="00CE7B1E" w:rsidRPr="00E465A1">
        <w:rPr>
          <w:color w:val="262626" w:themeColor="text1" w:themeTint="D9"/>
        </w:rPr>
        <w:t>CC</w:t>
      </w:r>
      <w:r w:rsidRPr="00E465A1">
        <w:rPr>
          <w:color w:val="262626" w:themeColor="text1" w:themeTint="D9"/>
        </w:rPr>
        <w:t xml:space="preserve">’s operations and its </w:t>
      </w:r>
      <w:r w:rsidR="00E70EF6" w:rsidRPr="00E465A1">
        <w:rPr>
          <w:color w:val="262626" w:themeColor="text1" w:themeTint="D9"/>
        </w:rPr>
        <w:br/>
      </w:r>
      <w:r w:rsidRPr="00E465A1">
        <w:rPr>
          <w:color w:val="262626" w:themeColor="text1" w:themeTint="D9"/>
        </w:rPr>
        <w:t>principal activities is included in the notes to the financial statements.</w:t>
      </w:r>
    </w:p>
    <w:p w:rsidR="0068108F" w:rsidRPr="00E465A1" w:rsidRDefault="0068108F" w:rsidP="00290D89">
      <w:pPr>
        <w:rPr>
          <w:color w:val="262626" w:themeColor="text1" w:themeTint="D9"/>
        </w:rPr>
      </w:pPr>
      <w:r w:rsidRPr="00E465A1">
        <w:rPr>
          <w:color w:val="262626" w:themeColor="text1" w:themeTint="D9"/>
        </w:rPr>
        <w:t xml:space="preserve">For information relating to the </w:t>
      </w:r>
      <w:r w:rsidR="00EC4E4D" w:rsidRPr="00E465A1">
        <w:rPr>
          <w:color w:val="262626" w:themeColor="text1" w:themeTint="D9"/>
        </w:rPr>
        <w:t>C</w:t>
      </w:r>
      <w:r w:rsidR="00CE7B1E" w:rsidRPr="00E465A1">
        <w:rPr>
          <w:color w:val="262626" w:themeColor="text1" w:themeTint="D9"/>
        </w:rPr>
        <w:t>CC</w:t>
      </w:r>
      <w:r w:rsidR="00EC4E4D" w:rsidRPr="00E465A1">
        <w:rPr>
          <w:color w:val="262626" w:themeColor="text1" w:themeTint="D9"/>
        </w:rPr>
        <w:t>’s</w:t>
      </w:r>
      <w:r w:rsidRPr="00E465A1">
        <w:rPr>
          <w:color w:val="262626" w:themeColor="text1" w:themeTint="D9"/>
        </w:rPr>
        <w:t xml:space="preserve"> fin</w:t>
      </w:r>
      <w:r w:rsidR="004F44C6" w:rsidRPr="00E465A1">
        <w:rPr>
          <w:color w:val="262626" w:themeColor="text1" w:themeTint="D9"/>
        </w:rPr>
        <w:t xml:space="preserve">ancial statements, </w:t>
      </w:r>
      <w:r w:rsidR="00E70EF6" w:rsidRPr="00E465A1">
        <w:rPr>
          <w:color w:val="262626" w:themeColor="text1" w:themeTint="D9"/>
        </w:rPr>
        <w:br/>
      </w:r>
      <w:r w:rsidR="004F44C6" w:rsidRPr="00E465A1">
        <w:rPr>
          <w:color w:val="262626" w:themeColor="text1" w:themeTint="D9"/>
        </w:rPr>
        <w:t>please call 07</w:t>
      </w:r>
      <w:r w:rsidRPr="00E465A1">
        <w:rPr>
          <w:color w:val="262626" w:themeColor="text1" w:themeTint="D9"/>
        </w:rPr>
        <w:t xml:space="preserve"> 3360 60</w:t>
      </w:r>
      <w:r w:rsidR="008F5E05" w:rsidRPr="00E465A1">
        <w:rPr>
          <w:color w:val="262626" w:themeColor="text1" w:themeTint="D9"/>
        </w:rPr>
        <w:t xml:space="preserve">60, </w:t>
      </w:r>
      <w:r w:rsidRPr="00E465A1">
        <w:rPr>
          <w:color w:val="262626" w:themeColor="text1" w:themeTint="D9"/>
        </w:rPr>
        <w:t xml:space="preserve">email </w:t>
      </w:r>
      <w:r w:rsidR="00900CF1" w:rsidRPr="00E465A1">
        <w:rPr>
          <w:color w:val="262626" w:themeColor="text1" w:themeTint="D9"/>
        </w:rPr>
        <w:t>&lt;</w:t>
      </w:r>
      <w:r w:rsidR="008F5E05" w:rsidRPr="00E465A1">
        <w:rPr>
          <w:color w:val="262626" w:themeColor="text1" w:themeTint="D9"/>
        </w:rPr>
        <w:t>mailbox@c</w:t>
      </w:r>
      <w:r w:rsidR="00E27BE1" w:rsidRPr="00E465A1">
        <w:rPr>
          <w:color w:val="262626" w:themeColor="text1" w:themeTint="D9"/>
        </w:rPr>
        <w:t>c</w:t>
      </w:r>
      <w:r w:rsidR="008F5E05" w:rsidRPr="00E465A1">
        <w:rPr>
          <w:color w:val="262626" w:themeColor="text1" w:themeTint="D9"/>
        </w:rPr>
        <w:t>c.qld.gov.au</w:t>
      </w:r>
      <w:r w:rsidR="00900CF1" w:rsidRPr="00E465A1">
        <w:rPr>
          <w:color w:val="262626" w:themeColor="text1" w:themeTint="D9"/>
        </w:rPr>
        <w:t>&gt;</w:t>
      </w:r>
      <w:r w:rsidR="008F5E05" w:rsidRPr="00E465A1">
        <w:rPr>
          <w:color w:val="262626" w:themeColor="text1" w:themeTint="D9"/>
        </w:rPr>
        <w:t xml:space="preserve"> or</w:t>
      </w:r>
      <w:r w:rsidRPr="00E465A1">
        <w:rPr>
          <w:color w:val="262626" w:themeColor="text1" w:themeTint="D9"/>
        </w:rPr>
        <w:t xml:space="preserve"> visit the </w:t>
      </w:r>
      <w:r w:rsidR="00E70EF6" w:rsidRPr="00E465A1">
        <w:rPr>
          <w:color w:val="262626" w:themeColor="text1" w:themeTint="D9"/>
        </w:rPr>
        <w:br/>
      </w:r>
      <w:r w:rsidRPr="00E465A1">
        <w:rPr>
          <w:color w:val="262626" w:themeColor="text1" w:themeTint="D9"/>
        </w:rPr>
        <w:t>C</w:t>
      </w:r>
      <w:r w:rsidR="00CE7B1E" w:rsidRPr="00E465A1">
        <w:rPr>
          <w:color w:val="262626" w:themeColor="text1" w:themeTint="D9"/>
        </w:rPr>
        <w:t>CC</w:t>
      </w:r>
      <w:r w:rsidRPr="00E465A1">
        <w:rPr>
          <w:color w:val="262626" w:themeColor="text1" w:themeTint="D9"/>
        </w:rPr>
        <w:t xml:space="preserve">’s </w:t>
      </w:r>
      <w:r w:rsidR="00B61FAA" w:rsidRPr="00E465A1">
        <w:rPr>
          <w:color w:val="262626" w:themeColor="text1" w:themeTint="D9"/>
        </w:rPr>
        <w:t>web</w:t>
      </w:r>
      <w:r w:rsidRPr="00E465A1">
        <w:rPr>
          <w:color w:val="262626" w:themeColor="text1" w:themeTint="D9"/>
        </w:rPr>
        <w:t xml:space="preserve">site </w:t>
      </w:r>
      <w:r w:rsidR="00900CF1" w:rsidRPr="00E465A1">
        <w:rPr>
          <w:color w:val="262626" w:themeColor="text1" w:themeTint="D9"/>
        </w:rPr>
        <w:t>at &lt;</w:t>
      </w:r>
      <w:r w:rsidR="00E27BE1" w:rsidRPr="00E465A1">
        <w:rPr>
          <w:color w:val="262626" w:themeColor="text1" w:themeTint="D9"/>
        </w:rPr>
        <w:t>www.cc</w:t>
      </w:r>
      <w:r w:rsidRPr="00E465A1">
        <w:rPr>
          <w:color w:val="262626" w:themeColor="text1" w:themeTint="D9"/>
        </w:rPr>
        <w:t>c.qld.gov.au</w:t>
      </w:r>
      <w:r w:rsidR="00900CF1" w:rsidRPr="00E465A1">
        <w:rPr>
          <w:color w:val="262626" w:themeColor="text1" w:themeTint="D9"/>
        </w:rPr>
        <w:t>&gt;</w:t>
      </w:r>
      <w:r w:rsidRPr="00E465A1">
        <w:rPr>
          <w:color w:val="262626" w:themeColor="text1" w:themeTint="D9"/>
        </w:rPr>
        <w:t>.</w:t>
      </w:r>
    </w:p>
    <w:p w:rsidR="00863E9C" w:rsidRPr="00E465A1" w:rsidRDefault="00863E9C" w:rsidP="00863E9C">
      <w:pPr>
        <w:spacing w:line="360" w:lineRule="auto"/>
        <w:rPr>
          <w:rFonts w:cs="Arial"/>
          <w:color w:val="262626" w:themeColor="text1" w:themeTint="D9"/>
        </w:rPr>
        <w:sectPr w:rsidR="00863E9C" w:rsidRPr="00E465A1" w:rsidSect="0093233E">
          <w:headerReference w:type="first" r:id="rId12"/>
          <w:footerReference w:type="first" r:id="rId13"/>
          <w:pgSz w:w="11906" w:h="16838" w:code="9"/>
          <w:pgMar w:top="2268" w:right="851" w:bottom="1418" w:left="851" w:header="567" w:footer="567" w:gutter="0"/>
          <w:cols w:space="708"/>
          <w:titlePg/>
          <w:docGrid w:linePitch="360"/>
        </w:sectPr>
      </w:pPr>
    </w:p>
    <w:tbl>
      <w:tblPr>
        <w:tblW w:w="10915" w:type="dxa"/>
        <w:tblLayout w:type="fixed"/>
        <w:tblCellMar>
          <w:left w:w="0" w:type="dxa"/>
          <w:bottom w:w="11" w:type="dxa"/>
          <w:right w:w="0" w:type="dxa"/>
        </w:tblCellMar>
        <w:tblLook w:val="0000" w:firstRow="0" w:lastRow="0" w:firstColumn="0" w:lastColumn="0" w:noHBand="0" w:noVBand="0"/>
      </w:tblPr>
      <w:tblGrid>
        <w:gridCol w:w="4536"/>
        <w:gridCol w:w="851"/>
        <w:gridCol w:w="1098"/>
        <w:gridCol w:w="1099"/>
        <w:gridCol w:w="1098"/>
        <w:gridCol w:w="1099"/>
        <w:gridCol w:w="1134"/>
      </w:tblGrid>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b/>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b/>
                <w:color w:val="262626" w:themeColor="text1" w:themeTint="D9"/>
              </w:rPr>
            </w:pPr>
            <w:r w:rsidRPr="00E465A1">
              <w:rPr>
                <w:b/>
                <w:color w:val="262626" w:themeColor="text1" w:themeTint="D9"/>
              </w:rPr>
              <w:t>Notes</w:t>
            </w: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b/>
                <w:color w:val="262626" w:themeColor="text1" w:themeTint="D9"/>
              </w:rPr>
            </w:pPr>
            <w:r w:rsidRPr="00E465A1">
              <w:rPr>
                <w:b/>
                <w:color w:val="262626" w:themeColor="text1" w:themeTint="D9"/>
              </w:rPr>
              <w:t>Actual</w:t>
            </w:r>
          </w:p>
        </w:tc>
        <w:tc>
          <w:tcPr>
            <w:tcW w:w="1099" w:type="dxa"/>
            <w:tcBorders>
              <w:top w:val="nil"/>
              <w:left w:val="nil"/>
              <w:bottom w:val="nil"/>
              <w:right w:val="nil"/>
            </w:tcBorders>
            <w:vAlign w:val="bottom"/>
          </w:tcPr>
          <w:p w:rsidR="004C066C" w:rsidRPr="00E465A1" w:rsidRDefault="004C066C" w:rsidP="0062181E">
            <w:pPr>
              <w:pStyle w:val="Normaltabletext1stpararight"/>
              <w:ind w:right="213"/>
              <w:rPr>
                <w:b/>
                <w:color w:val="262626" w:themeColor="text1" w:themeTint="D9"/>
              </w:rPr>
            </w:pPr>
            <w:r w:rsidRPr="00E465A1">
              <w:rPr>
                <w:b/>
                <w:color w:val="262626" w:themeColor="text1" w:themeTint="D9"/>
              </w:rPr>
              <w:t>Budget</w:t>
            </w: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b/>
                <w:color w:val="262626" w:themeColor="text1" w:themeTint="D9"/>
              </w:rPr>
            </w:pPr>
            <w:r w:rsidRPr="00E465A1">
              <w:rPr>
                <w:b/>
                <w:color w:val="262626" w:themeColor="text1" w:themeTint="D9"/>
              </w:rPr>
              <w:t>Budget</w:t>
            </w: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b/>
                <w:color w:val="262626" w:themeColor="text1" w:themeTint="D9"/>
              </w:rPr>
            </w:pPr>
            <w:r w:rsidRPr="00E465A1">
              <w:rPr>
                <w:b/>
                <w:color w:val="262626" w:themeColor="text1" w:themeTint="D9"/>
              </w:rPr>
              <w:t>Actual</w:t>
            </w: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b/>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b/>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b/>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b/>
                <w:color w:val="262626" w:themeColor="text1" w:themeTint="D9"/>
              </w:rPr>
            </w:pPr>
            <w:r w:rsidRPr="00E465A1">
              <w:rPr>
                <w:b/>
                <w:color w:val="262626" w:themeColor="text1" w:themeTint="D9"/>
              </w:rPr>
              <w:t>2018</w:t>
            </w:r>
          </w:p>
        </w:tc>
        <w:tc>
          <w:tcPr>
            <w:tcW w:w="1099" w:type="dxa"/>
            <w:tcBorders>
              <w:top w:val="nil"/>
              <w:left w:val="nil"/>
              <w:bottom w:val="nil"/>
              <w:right w:val="nil"/>
            </w:tcBorders>
            <w:vAlign w:val="bottom"/>
          </w:tcPr>
          <w:p w:rsidR="004C066C" w:rsidRPr="00E465A1" w:rsidRDefault="004C066C" w:rsidP="0062181E">
            <w:pPr>
              <w:pStyle w:val="Normaltabletext1stpararight"/>
              <w:ind w:right="213"/>
              <w:rPr>
                <w:b/>
                <w:color w:val="262626" w:themeColor="text1" w:themeTint="D9"/>
              </w:rPr>
            </w:pPr>
            <w:r w:rsidRPr="00E465A1">
              <w:rPr>
                <w:b/>
                <w:color w:val="262626" w:themeColor="text1" w:themeTint="D9"/>
              </w:rPr>
              <w:t>2018</w:t>
            </w: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C72DB2">
            <w:pPr>
              <w:pStyle w:val="Normaltabletext1stpararight"/>
              <w:ind w:right="-78"/>
              <w:rPr>
                <w:b/>
                <w:color w:val="262626" w:themeColor="text1" w:themeTint="D9"/>
              </w:rPr>
            </w:pPr>
            <w:r w:rsidRPr="00E465A1">
              <w:rPr>
                <w:b/>
                <w:color w:val="262626" w:themeColor="text1" w:themeTint="D9"/>
              </w:rPr>
              <w:t>Variance</w:t>
            </w:r>
            <w:r w:rsidR="00C72DB2" w:rsidRPr="00E465A1">
              <w:rPr>
                <w:b/>
                <w:color w:val="262626" w:themeColor="text1" w:themeTint="D9"/>
              </w:rPr>
              <w:t>*</w:t>
            </w: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b/>
                <w:color w:val="262626" w:themeColor="text1" w:themeTint="D9"/>
              </w:rPr>
            </w:pPr>
            <w:r w:rsidRPr="00E465A1">
              <w:rPr>
                <w:b/>
                <w:color w:val="262626" w:themeColor="text1" w:themeTint="D9"/>
              </w:rPr>
              <w:t>2017</w:t>
            </w: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b/>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b/>
                <w:color w:val="262626" w:themeColor="text1" w:themeTint="D9"/>
              </w:rPr>
            </w:pPr>
            <w:r w:rsidRPr="00E465A1">
              <w:rPr>
                <w:b/>
                <w:color w:val="262626" w:themeColor="text1" w:themeTint="D9"/>
              </w:rPr>
              <w:t>$’000</w:t>
            </w:r>
          </w:p>
        </w:tc>
        <w:tc>
          <w:tcPr>
            <w:tcW w:w="1099" w:type="dxa"/>
            <w:tcBorders>
              <w:top w:val="nil"/>
              <w:left w:val="nil"/>
              <w:bottom w:val="nil"/>
              <w:right w:val="nil"/>
            </w:tcBorders>
            <w:vAlign w:val="bottom"/>
          </w:tcPr>
          <w:p w:rsidR="004C066C" w:rsidRPr="00E465A1" w:rsidRDefault="004C066C" w:rsidP="0062181E">
            <w:pPr>
              <w:pStyle w:val="Normaltabletext1stpararight"/>
              <w:ind w:right="213"/>
              <w:rPr>
                <w:b/>
                <w:color w:val="262626" w:themeColor="text1" w:themeTint="D9"/>
              </w:rPr>
            </w:pPr>
            <w:r w:rsidRPr="00E465A1">
              <w:rPr>
                <w:b/>
                <w:color w:val="262626" w:themeColor="text1" w:themeTint="D9"/>
              </w:rPr>
              <w:t>$’000</w:t>
            </w: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b/>
                <w:color w:val="262626" w:themeColor="text1" w:themeTint="D9"/>
              </w:rPr>
            </w:pPr>
            <w:r w:rsidRPr="00E465A1">
              <w:rPr>
                <w:b/>
                <w:color w:val="262626" w:themeColor="text1" w:themeTint="D9"/>
              </w:rPr>
              <w:t>$’000</w:t>
            </w: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b/>
                <w:color w:val="262626" w:themeColor="text1" w:themeTint="D9"/>
              </w:rPr>
            </w:pPr>
            <w:r w:rsidRPr="00E465A1">
              <w:rPr>
                <w:b/>
                <w:color w:val="262626" w:themeColor="text1" w:themeTint="D9"/>
              </w:rPr>
              <w:t>$’000</w:t>
            </w: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b/>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b/>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b/>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b/>
                <w:color w:val="262626" w:themeColor="text1" w:themeTint="D9"/>
              </w:rPr>
            </w:pPr>
          </w:p>
        </w:tc>
        <w:tc>
          <w:tcPr>
            <w:tcW w:w="1099" w:type="dxa"/>
            <w:tcBorders>
              <w:top w:val="nil"/>
              <w:left w:val="nil"/>
              <w:bottom w:val="nil"/>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b/>
                <w:color w:val="262626" w:themeColor="text1" w:themeTint="D9"/>
              </w:rPr>
            </w:pP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b/>
                <w:color w:val="262626" w:themeColor="text1" w:themeTint="D9"/>
              </w:rPr>
            </w:pP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b/>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b/>
                <w:color w:val="262626" w:themeColor="text1" w:themeTint="D9"/>
              </w:rPr>
            </w:pPr>
            <w:r w:rsidRPr="00E465A1">
              <w:rPr>
                <w:b/>
                <w:color w:val="262626" w:themeColor="text1" w:themeTint="D9"/>
              </w:rPr>
              <w:t>Income from Continuing Operations</w:t>
            </w:r>
          </w:p>
        </w:tc>
        <w:tc>
          <w:tcPr>
            <w:tcW w:w="851" w:type="dxa"/>
            <w:tcBorders>
              <w:top w:val="nil"/>
              <w:left w:val="nil"/>
              <w:bottom w:val="nil"/>
              <w:right w:val="nil"/>
            </w:tcBorders>
            <w:noWrap/>
            <w:vAlign w:val="bottom"/>
          </w:tcPr>
          <w:p w:rsidR="004C066C" w:rsidRPr="00E465A1" w:rsidRDefault="004C066C" w:rsidP="004C066C">
            <w:pPr>
              <w:pStyle w:val="Normaltabletextcentred"/>
              <w:rPr>
                <w:b/>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b/>
                <w:color w:val="262626" w:themeColor="text1" w:themeTint="D9"/>
              </w:rPr>
            </w:pPr>
          </w:p>
        </w:tc>
        <w:tc>
          <w:tcPr>
            <w:tcW w:w="1099" w:type="dxa"/>
            <w:tcBorders>
              <w:top w:val="nil"/>
              <w:left w:val="nil"/>
              <w:bottom w:val="nil"/>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b/>
                <w:color w:val="262626" w:themeColor="text1" w:themeTint="D9"/>
              </w:rPr>
            </w:pP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b/>
                <w:color w:val="262626" w:themeColor="text1" w:themeTint="D9"/>
              </w:rPr>
            </w:pP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b/>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i/>
                <w:iCs/>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top w:val="nil"/>
              <w:left w:val="nil"/>
              <w:bottom w:val="nil"/>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r w:rsidRPr="00E465A1">
              <w:rPr>
                <w:color w:val="262626" w:themeColor="text1" w:themeTint="D9"/>
              </w:rPr>
              <w:t>Grants and other contributions</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r w:rsidRPr="00E465A1">
              <w:rPr>
                <w:color w:val="262626" w:themeColor="text1" w:themeTint="D9"/>
              </w:rPr>
              <w:t>2</w:t>
            </w:r>
          </w:p>
        </w:tc>
        <w:tc>
          <w:tcPr>
            <w:tcW w:w="1098" w:type="dxa"/>
            <w:tcBorders>
              <w:top w:val="nil"/>
              <w:left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r w:rsidRPr="00E465A1">
              <w:rPr>
                <w:color w:val="262626" w:themeColor="text1" w:themeTint="D9"/>
              </w:rPr>
              <w:t>56,152</w:t>
            </w:r>
          </w:p>
        </w:tc>
        <w:tc>
          <w:tcPr>
            <w:tcW w:w="1099" w:type="dxa"/>
            <w:tcBorders>
              <w:top w:val="nil"/>
              <w:left w:val="nil"/>
              <w:right w:val="nil"/>
            </w:tcBorders>
            <w:vAlign w:val="bottom"/>
          </w:tcPr>
          <w:p w:rsidR="004C066C" w:rsidRPr="00E465A1" w:rsidRDefault="004C066C" w:rsidP="0062181E">
            <w:pPr>
              <w:pStyle w:val="Normaltabletext1stpararight"/>
              <w:ind w:right="213"/>
              <w:rPr>
                <w:color w:val="262626" w:themeColor="text1" w:themeTint="D9"/>
              </w:rPr>
            </w:pPr>
            <w:r w:rsidRPr="00E465A1">
              <w:rPr>
                <w:color w:val="262626" w:themeColor="text1" w:themeTint="D9"/>
              </w:rPr>
              <w:t>55,245</w:t>
            </w:r>
          </w:p>
        </w:tc>
        <w:tc>
          <w:tcPr>
            <w:tcW w:w="1098" w:type="dxa"/>
            <w:tcBorders>
              <w:top w:val="nil"/>
              <w:left w:val="nil"/>
              <w:right w:val="nil"/>
            </w:tcBorders>
            <w:shd w:val="clear" w:color="auto" w:fill="FEE4B0"/>
            <w:noWrap/>
            <w:tcMar>
              <w:right w:w="113" w:type="dxa"/>
            </w:tcMar>
            <w:vAlign w:val="bottom"/>
          </w:tcPr>
          <w:p w:rsidR="004C066C" w:rsidRPr="00E465A1" w:rsidRDefault="00A826AD" w:rsidP="005D0C53">
            <w:pPr>
              <w:pStyle w:val="Normaltabletext1stpararight"/>
              <w:rPr>
                <w:color w:val="262626" w:themeColor="text1" w:themeTint="D9"/>
              </w:rPr>
            </w:pPr>
            <w:r w:rsidRPr="00E465A1">
              <w:rPr>
                <w:color w:val="262626" w:themeColor="text1" w:themeTint="D9"/>
              </w:rPr>
              <w:t>907</w:t>
            </w:r>
          </w:p>
        </w:tc>
        <w:tc>
          <w:tcPr>
            <w:tcW w:w="1099" w:type="dxa"/>
            <w:tcBorders>
              <w:top w:val="nil"/>
              <w:left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55,584</w:t>
            </w:r>
          </w:p>
        </w:tc>
        <w:tc>
          <w:tcPr>
            <w:tcW w:w="1134" w:type="dxa"/>
            <w:tcBorders>
              <w:top w:val="nil"/>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r w:rsidRPr="00E465A1">
              <w:rPr>
                <w:color w:val="262626" w:themeColor="text1" w:themeTint="D9"/>
              </w:rPr>
              <w:t>Interest</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r w:rsidRPr="00E465A1">
              <w:rPr>
                <w:color w:val="262626" w:themeColor="text1" w:themeTint="D9"/>
              </w:rPr>
              <w:t>452</w:t>
            </w:r>
          </w:p>
        </w:tc>
        <w:tc>
          <w:tcPr>
            <w:tcW w:w="1099" w:type="dxa"/>
            <w:tcBorders>
              <w:top w:val="nil"/>
              <w:left w:val="nil"/>
              <w:right w:val="nil"/>
            </w:tcBorders>
            <w:vAlign w:val="bottom"/>
          </w:tcPr>
          <w:p w:rsidR="004C066C" w:rsidRPr="00E465A1" w:rsidRDefault="004C066C" w:rsidP="0062181E">
            <w:pPr>
              <w:pStyle w:val="Normaltabletext1stpararight"/>
              <w:ind w:right="213"/>
              <w:rPr>
                <w:color w:val="262626" w:themeColor="text1" w:themeTint="D9"/>
              </w:rPr>
            </w:pPr>
            <w:r w:rsidRPr="00E465A1">
              <w:rPr>
                <w:color w:val="262626" w:themeColor="text1" w:themeTint="D9"/>
              </w:rPr>
              <w:t>500</w:t>
            </w:r>
          </w:p>
        </w:tc>
        <w:tc>
          <w:tcPr>
            <w:tcW w:w="1098" w:type="dxa"/>
            <w:tcBorders>
              <w:top w:val="nil"/>
              <w:left w:val="nil"/>
              <w:right w:val="nil"/>
            </w:tcBorders>
            <w:shd w:val="clear" w:color="auto" w:fill="FEE4B0"/>
            <w:noWrap/>
            <w:tcMar>
              <w:right w:w="113" w:type="dxa"/>
            </w:tcMar>
            <w:vAlign w:val="bottom"/>
          </w:tcPr>
          <w:p w:rsidR="004C066C" w:rsidRPr="00E465A1" w:rsidRDefault="00A826AD" w:rsidP="005D0C53">
            <w:pPr>
              <w:pStyle w:val="Normaltabletext1stpararight"/>
              <w:rPr>
                <w:color w:val="262626" w:themeColor="text1" w:themeTint="D9"/>
              </w:rPr>
            </w:pPr>
            <w:r w:rsidRPr="00E465A1">
              <w:rPr>
                <w:color w:val="262626" w:themeColor="text1" w:themeTint="D9"/>
              </w:rPr>
              <w:t>(48)</w:t>
            </w:r>
          </w:p>
        </w:tc>
        <w:tc>
          <w:tcPr>
            <w:tcW w:w="1099" w:type="dxa"/>
            <w:tcBorders>
              <w:top w:val="nil"/>
              <w:left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469</w:t>
            </w:r>
          </w:p>
        </w:tc>
        <w:tc>
          <w:tcPr>
            <w:tcW w:w="1134" w:type="dxa"/>
            <w:tcBorders>
              <w:top w:val="nil"/>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r w:rsidRPr="00E465A1">
              <w:rPr>
                <w:color w:val="262626" w:themeColor="text1" w:themeTint="D9"/>
              </w:rPr>
              <w:t>Other revenue</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r w:rsidRPr="00E465A1">
              <w:rPr>
                <w:color w:val="262626" w:themeColor="text1" w:themeTint="D9"/>
              </w:rPr>
              <w:t>3</w:t>
            </w:r>
          </w:p>
        </w:tc>
        <w:tc>
          <w:tcPr>
            <w:tcW w:w="1098" w:type="dxa"/>
            <w:tcBorders>
              <w:left w:val="nil"/>
              <w:bottom w:val="single" w:sz="4" w:space="0" w:color="auto"/>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r w:rsidRPr="00E465A1">
              <w:rPr>
                <w:color w:val="262626" w:themeColor="text1" w:themeTint="D9"/>
              </w:rPr>
              <w:t>401</w:t>
            </w:r>
          </w:p>
        </w:tc>
        <w:tc>
          <w:tcPr>
            <w:tcW w:w="1099" w:type="dxa"/>
            <w:tcBorders>
              <w:left w:val="nil"/>
              <w:bottom w:val="single" w:sz="4" w:space="0" w:color="auto"/>
              <w:right w:val="nil"/>
            </w:tcBorders>
            <w:vAlign w:val="bottom"/>
          </w:tcPr>
          <w:p w:rsidR="004C066C" w:rsidRPr="00E465A1" w:rsidRDefault="004C066C" w:rsidP="0062181E">
            <w:pPr>
              <w:pStyle w:val="Normaltabletext1stpararight"/>
              <w:ind w:right="213"/>
              <w:rPr>
                <w:color w:val="262626" w:themeColor="text1" w:themeTint="D9"/>
              </w:rPr>
            </w:pPr>
            <w:r w:rsidRPr="00E465A1">
              <w:rPr>
                <w:color w:val="262626" w:themeColor="text1" w:themeTint="D9"/>
              </w:rPr>
              <w:t>63</w:t>
            </w:r>
          </w:p>
        </w:tc>
        <w:tc>
          <w:tcPr>
            <w:tcW w:w="1098" w:type="dxa"/>
            <w:tcBorders>
              <w:left w:val="nil"/>
              <w:bottom w:val="single" w:sz="4" w:space="0" w:color="auto"/>
              <w:right w:val="nil"/>
            </w:tcBorders>
            <w:shd w:val="clear" w:color="auto" w:fill="FEE4B0"/>
            <w:noWrap/>
            <w:tcMar>
              <w:right w:w="113" w:type="dxa"/>
            </w:tcMar>
            <w:vAlign w:val="bottom"/>
          </w:tcPr>
          <w:p w:rsidR="004C066C" w:rsidRPr="00E465A1" w:rsidRDefault="00A826AD" w:rsidP="005D0C53">
            <w:pPr>
              <w:pStyle w:val="Normaltabletext1stpararight"/>
              <w:rPr>
                <w:color w:val="262626" w:themeColor="text1" w:themeTint="D9"/>
              </w:rPr>
            </w:pPr>
            <w:r w:rsidRPr="00E465A1">
              <w:rPr>
                <w:color w:val="262626" w:themeColor="text1" w:themeTint="D9"/>
              </w:rPr>
              <w:t>338</w:t>
            </w:r>
          </w:p>
        </w:tc>
        <w:tc>
          <w:tcPr>
            <w:tcW w:w="1099" w:type="dxa"/>
            <w:tcBorders>
              <w:left w:val="nil"/>
              <w:bottom w:val="single" w:sz="4" w:space="0" w:color="auto"/>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202</w:t>
            </w:r>
          </w:p>
        </w:tc>
        <w:tc>
          <w:tcPr>
            <w:tcW w:w="1134" w:type="dxa"/>
            <w:tcBorders>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b/>
                <w:color w:val="262626" w:themeColor="text1" w:themeTint="D9"/>
              </w:rPr>
            </w:pPr>
            <w:r w:rsidRPr="00E465A1">
              <w:rPr>
                <w:b/>
                <w:color w:val="262626" w:themeColor="text1" w:themeTint="D9"/>
              </w:rPr>
              <w:t>Total Revenue</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single" w:sz="4" w:space="0" w:color="auto"/>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r w:rsidRPr="00E465A1">
              <w:rPr>
                <w:color w:val="262626" w:themeColor="text1" w:themeTint="D9"/>
              </w:rPr>
              <w:t>57,005</w:t>
            </w:r>
          </w:p>
        </w:tc>
        <w:tc>
          <w:tcPr>
            <w:tcW w:w="1099" w:type="dxa"/>
            <w:tcBorders>
              <w:top w:val="single" w:sz="4" w:space="0" w:color="auto"/>
              <w:left w:val="nil"/>
              <w:bottom w:val="nil"/>
              <w:right w:val="nil"/>
            </w:tcBorders>
            <w:vAlign w:val="bottom"/>
          </w:tcPr>
          <w:p w:rsidR="004C066C" w:rsidRPr="00E465A1" w:rsidRDefault="004C066C" w:rsidP="0062181E">
            <w:pPr>
              <w:pStyle w:val="Normaltabletext1stpararight"/>
              <w:ind w:right="213"/>
              <w:rPr>
                <w:color w:val="262626" w:themeColor="text1" w:themeTint="D9"/>
              </w:rPr>
            </w:pPr>
            <w:r w:rsidRPr="00E465A1">
              <w:rPr>
                <w:color w:val="262626" w:themeColor="text1" w:themeTint="D9"/>
              </w:rPr>
              <w:t>55,808</w:t>
            </w:r>
          </w:p>
        </w:tc>
        <w:tc>
          <w:tcPr>
            <w:tcW w:w="1098" w:type="dxa"/>
            <w:tcBorders>
              <w:top w:val="single" w:sz="4" w:space="0" w:color="auto"/>
              <w:left w:val="nil"/>
              <w:bottom w:val="nil"/>
              <w:right w:val="nil"/>
            </w:tcBorders>
            <w:shd w:val="clear" w:color="auto" w:fill="FEE4B0"/>
            <w:noWrap/>
            <w:tcMar>
              <w:right w:w="113" w:type="dxa"/>
            </w:tcMar>
            <w:vAlign w:val="bottom"/>
          </w:tcPr>
          <w:p w:rsidR="004C066C" w:rsidRPr="00E465A1" w:rsidRDefault="00A826AD" w:rsidP="005D0C53">
            <w:pPr>
              <w:pStyle w:val="Normaltabletext1stpararight"/>
              <w:rPr>
                <w:color w:val="262626" w:themeColor="text1" w:themeTint="D9"/>
              </w:rPr>
            </w:pPr>
            <w:r w:rsidRPr="00E465A1">
              <w:rPr>
                <w:color w:val="262626" w:themeColor="text1" w:themeTint="D9"/>
              </w:rPr>
              <w:t>1,197</w:t>
            </w:r>
          </w:p>
        </w:tc>
        <w:tc>
          <w:tcPr>
            <w:tcW w:w="1099" w:type="dxa"/>
            <w:tcBorders>
              <w:top w:val="single" w:sz="4" w:space="0" w:color="auto"/>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56,255</w:t>
            </w:r>
          </w:p>
        </w:tc>
        <w:tc>
          <w:tcPr>
            <w:tcW w:w="1134" w:type="dxa"/>
            <w:tcBorders>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i/>
                <w:iCs/>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top w:val="nil"/>
              <w:left w:val="nil"/>
              <w:bottom w:val="nil"/>
              <w:right w:val="nil"/>
            </w:tcBorders>
            <w:vAlign w:val="bottom"/>
          </w:tcPr>
          <w:p w:rsidR="004C066C" w:rsidRPr="00E465A1" w:rsidRDefault="004C066C" w:rsidP="0062181E">
            <w:pPr>
              <w:pStyle w:val="Normaltabletext1stpararight"/>
              <w:ind w:right="213"/>
              <w:jc w:val="left"/>
              <w:rPr>
                <w:color w:val="262626" w:themeColor="text1" w:themeTint="D9"/>
              </w:rPr>
            </w:pP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r w:rsidRPr="00E465A1">
              <w:rPr>
                <w:color w:val="262626" w:themeColor="text1" w:themeTint="D9"/>
              </w:rPr>
              <w:t>Gains on disposal of property, plant and equipment</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r w:rsidRPr="00E465A1">
              <w:rPr>
                <w:color w:val="262626" w:themeColor="text1" w:themeTint="D9"/>
              </w:rPr>
              <w:t>123</w:t>
            </w:r>
          </w:p>
        </w:tc>
        <w:tc>
          <w:tcPr>
            <w:tcW w:w="1099" w:type="dxa"/>
            <w:tcBorders>
              <w:top w:val="nil"/>
              <w:left w:val="nil"/>
              <w:bottom w:val="nil"/>
              <w:right w:val="nil"/>
            </w:tcBorders>
            <w:vAlign w:val="bottom"/>
          </w:tcPr>
          <w:p w:rsidR="004C066C" w:rsidRPr="00E465A1" w:rsidRDefault="00AC46A6" w:rsidP="0062181E">
            <w:pPr>
              <w:pStyle w:val="Normaltabletext1stpararight"/>
              <w:ind w:right="213"/>
              <w:rPr>
                <w:color w:val="262626" w:themeColor="text1" w:themeTint="D9"/>
              </w:rPr>
            </w:pPr>
            <w:r w:rsidRPr="00E465A1">
              <w:rPr>
                <w:color w:val="262626" w:themeColor="text1" w:themeTint="D9"/>
              </w:rPr>
              <w:t>70</w:t>
            </w:r>
          </w:p>
        </w:tc>
        <w:tc>
          <w:tcPr>
            <w:tcW w:w="1098" w:type="dxa"/>
            <w:tcBorders>
              <w:top w:val="nil"/>
              <w:left w:val="nil"/>
              <w:bottom w:val="nil"/>
              <w:right w:val="nil"/>
            </w:tcBorders>
            <w:shd w:val="clear" w:color="auto" w:fill="FEE4B0"/>
            <w:noWrap/>
            <w:tcMar>
              <w:right w:w="113" w:type="dxa"/>
            </w:tcMar>
            <w:vAlign w:val="bottom"/>
          </w:tcPr>
          <w:p w:rsidR="004C066C" w:rsidRPr="00E465A1" w:rsidRDefault="00A826AD" w:rsidP="005D0C53">
            <w:pPr>
              <w:pStyle w:val="Normaltabletext1stpararight"/>
              <w:rPr>
                <w:color w:val="262626" w:themeColor="text1" w:themeTint="D9"/>
              </w:rPr>
            </w:pPr>
            <w:r w:rsidRPr="00E465A1">
              <w:rPr>
                <w:color w:val="262626" w:themeColor="text1" w:themeTint="D9"/>
              </w:rPr>
              <w:t>53</w:t>
            </w: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83</w:t>
            </w: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single" w:sz="4" w:space="0" w:color="auto"/>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top w:val="nil"/>
              <w:left w:val="nil"/>
              <w:bottom w:val="single" w:sz="4" w:space="0" w:color="auto"/>
              <w:right w:val="nil"/>
            </w:tcBorders>
            <w:vAlign w:val="bottom"/>
          </w:tcPr>
          <w:p w:rsidR="004C066C" w:rsidRPr="00E465A1" w:rsidRDefault="004C066C" w:rsidP="0062181E">
            <w:pPr>
              <w:pStyle w:val="Normaltabletext1stpararight"/>
              <w:ind w:right="213"/>
              <w:rPr>
                <w:color w:val="262626" w:themeColor="text1" w:themeTint="D9"/>
              </w:rPr>
            </w:pPr>
          </w:p>
        </w:tc>
        <w:tc>
          <w:tcPr>
            <w:tcW w:w="1098" w:type="dxa"/>
            <w:tcBorders>
              <w:top w:val="nil"/>
              <w:left w:val="nil"/>
              <w:bottom w:val="single" w:sz="4" w:space="0" w:color="auto"/>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top w:val="nil"/>
              <w:left w:val="nil"/>
              <w:bottom w:val="single" w:sz="4" w:space="0" w:color="auto"/>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top w:val="nil"/>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b/>
                <w:color w:val="262626" w:themeColor="text1" w:themeTint="D9"/>
              </w:rPr>
            </w:pPr>
            <w:r w:rsidRPr="00E465A1">
              <w:rPr>
                <w:b/>
                <w:color w:val="262626" w:themeColor="text1" w:themeTint="D9"/>
              </w:rPr>
              <w:t>Total Income from Continuing Operations</w:t>
            </w:r>
          </w:p>
        </w:tc>
        <w:tc>
          <w:tcPr>
            <w:tcW w:w="851" w:type="dxa"/>
            <w:tcBorders>
              <w:top w:val="nil"/>
              <w:left w:val="nil"/>
              <w:bottom w:val="nil"/>
              <w:right w:val="nil"/>
            </w:tcBorders>
            <w:noWrap/>
            <w:vAlign w:val="bottom"/>
          </w:tcPr>
          <w:p w:rsidR="004C066C" w:rsidRPr="00E465A1" w:rsidRDefault="004C066C" w:rsidP="004C066C">
            <w:pPr>
              <w:pStyle w:val="Normaltabletextcentred"/>
              <w:rPr>
                <w:b/>
                <w:color w:val="262626" w:themeColor="text1" w:themeTint="D9"/>
              </w:rPr>
            </w:pPr>
          </w:p>
        </w:tc>
        <w:tc>
          <w:tcPr>
            <w:tcW w:w="1098" w:type="dxa"/>
            <w:tcBorders>
              <w:top w:val="single" w:sz="4" w:space="0" w:color="auto"/>
              <w:left w:val="nil"/>
              <w:right w:val="nil"/>
            </w:tcBorders>
            <w:shd w:val="clear" w:color="auto" w:fill="FEE4B0"/>
            <w:tcMar>
              <w:right w:w="113" w:type="dxa"/>
            </w:tcMar>
            <w:vAlign w:val="bottom"/>
          </w:tcPr>
          <w:p w:rsidR="004C066C" w:rsidRPr="00E465A1" w:rsidRDefault="004C066C" w:rsidP="0062181E">
            <w:pPr>
              <w:pStyle w:val="Normaltabletext1stpararight"/>
              <w:rPr>
                <w:b/>
                <w:color w:val="262626" w:themeColor="text1" w:themeTint="D9"/>
              </w:rPr>
            </w:pPr>
            <w:r w:rsidRPr="00E465A1">
              <w:rPr>
                <w:b/>
                <w:color w:val="262626" w:themeColor="text1" w:themeTint="D9"/>
              </w:rPr>
              <w:t>57,128</w:t>
            </w:r>
          </w:p>
        </w:tc>
        <w:tc>
          <w:tcPr>
            <w:tcW w:w="1099" w:type="dxa"/>
            <w:tcBorders>
              <w:top w:val="single" w:sz="4" w:space="0" w:color="auto"/>
              <w:left w:val="nil"/>
              <w:right w:val="nil"/>
            </w:tcBorders>
            <w:vAlign w:val="bottom"/>
          </w:tcPr>
          <w:p w:rsidR="004C066C" w:rsidRPr="00E465A1" w:rsidRDefault="00AC46A6" w:rsidP="0062181E">
            <w:pPr>
              <w:pStyle w:val="Normaltabletext1stpararight"/>
              <w:ind w:right="213"/>
              <w:rPr>
                <w:b/>
                <w:color w:val="262626" w:themeColor="text1" w:themeTint="D9"/>
              </w:rPr>
            </w:pPr>
            <w:r w:rsidRPr="00E465A1">
              <w:rPr>
                <w:b/>
                <w:color w:val="262626" w:themeColor="text1" w:themeTint="D9"/>
              </w:rPr>
              <w:t>55,878</w:t>
            </w:r>
          </w:p>
        </w:tc>
        <w:tc>
          <w:tcPr>
            <w:tcW w:w="1098" w:type="dxa"/>
            <w:tcBorders>
              <w:top w:val="single" w:sz="4" w:space="0" w:color="auto"/>
              <w:left w:val="nil"/>
              <w:right w:val="nil"/>
            </w:tcBorders>
            <w:shd w:val="clear" w:color="auto" w:fill="FEE4B0"/>
            <w:noWrap/>
            <w:tcMar>
              <w:right w:w="113" w:type="dxa"/>
            </w:tcMar>
            <w:vAlign w:val="bottom"/>
          </w:tcPr>
          <w:p w:rsidR="004C066C" w:rsidRPr="00E465A1" w:rsidRDefault="00A826AD" w:rsidP="005D0C53">
            <w:pPr>
              <w:pStyle w:val="Normaltabletext1stpararight"/>
              <w:rPr>
                <w:b/>
                <w:color w:val="262626" w:themeColor="text1" w:themeTint="D9"/>
              </w:rPr>
            </w:pPr>
            <w:r w:rsidRPr="00E465A1">
              <w:rPr>
                <w:b/>
                <w:color w:val="262626" w:themeColor="text1" w:themeTint="D9"/>
              </w:rPr>
              <w:t>1,250</w:t>
            </w:r>
          </w:p>
        </w:tc>
        <w:tc>
          <w:tcPr>
            <w:tcW w:w="1099" w:type="dxa"/>
            <w:tcBorders>
              <w:top w:val="single" w:sz="4" w:space="0" w:color="auto"/>
              <w:left w:val="nil"/>
              <w:right w:val="nil"/>
            </w:tcBorders>
            <w:shd w:val="clear" w:color="auto" w:fill="FFFFFF" w:themeFill="background1"/>
            <w:vAlign w:val="bottom"/>
          </w:tcPr>
          <w:p w:rsidR="004C066C" w:rsidRPr="00E465A1" w:rsidRDefault="004C066C" w:rsidP="00D95E3F">
            <w:pPr>
              <w:pStyle w:val="Normaltabletext1stpararight"/>
              <w:ind w:right="142"/>
              <w:rPr>
                <w:b/>
                <w:color w:val="262626" w:themeColor="text1" w:themeTint="D9"/>
              </w:rPr>
            </w:pPr>
            <w:r w:rsidRPr="00E465A1">
              <w:rPr>
                <w:b/>
                <w:color w:val="262626" w:themeColor="text1" w:themeTint="D9"/>
              </w:rPr>
              <w:t>56,338</w:t>
            </w:r>
          </w:p>
        </w:tc>
        <w:tc>
          <w:tcPr>
            <w:tcW w:w="1134" w:type="dxa"/>
            <w:tcBorders>
              <w:left w:val="nil"/>
              <w:right w:val="nil"/>
            </w:tcBorders>
            <w:shd w:val="clear" w:color="auto" w:fill="FFFFFF" w:themeFill="background1"/>
          </w:tcPr>
          <w:p w:rsidR="004C066C" w:rsidRPr="00E465A1" w:rsidRDefault="004C066C" w:rsidP="004C066C">
            <w:pPr>
              <w:pStyle w:val="Normaltabletext1stpararight"/>
              <w:rPr>
                <w:b/>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left w:val="nil"/>
              <w:bottom w:val="nil"/>
              <w:right w:val="nil"/>
            </w:tcBorders>
            <w:vAlign w:val="bottom"/>
          </w:tcPr>
          <w:p w:rsidR="004C066C" w:rsidRPr="00E465A1" w:rsidRDefault="004C066C" w:rsidP="0062181E">
            <w:pPr>
              <w:pStyle w:val="Normaltabletext1stpararight"/>
              <w:ind w:right="213"/>
              <w:rPr>
                <w:b/>
                <w:color w:val="262626" w:themeColor="text1" w:themeTint="D9"/>
              </w:rPr>
            </w:pPr>
          </w:p>
        </w:tc>
        <w:tc>
          <w:tcPr>
            <w:tcW w:w="1098" w:type="dxa"/>
            <w:tcBorders>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7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top w:val="nil"/>
              <w:left w:val="nil"/>
              <w:bottom w:val="nil"/>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b/>
                <w:color w:val="262626" w:themeColor="text1" w:themeTint="D9"/>
              </w:rPr>
            </w:pPr>
            <w:r w:rsidRPr="00E465A1">
              <w:rPr>
                <w:b/>
                <w:color w:val="262626" w:themeColor="text1" w:themeTint="D9"/>
              </w:rPr>
              <w:t>Expenses from Continuing Operations</w:t>
            </w:r>
          </w:p>
        </w:tc>
        <w:tc>
          <w:tcPr>
            <w:tcW w:w="851" w:type="dxa"/>
            <w:tcBorders>
              <w:top w:val="nil"/>
              <w:left w:val="nil"/>
              <w:bottom w:val="nil"/>
              <w:right w:val="nil"/>
            </w:tcBorders>
            <w:noWrap/>
            <w:vAlign w:val="bottom"/>
          </w:tcPr>
          <w:p w:rsidR="004C066C" w:rsidRPr="00E465A1" w:rsidRDefault="004C066C" w:rsidP="004C066C">
            <w:pPr>
              <w:pStyle w:val="Normaltabletextcentred"/>
              <w:rPr>
                <w:b/>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b/>
                <w:color w:val="262626" w:themeColor="text1" w:themeTint="D9"/>
              </w:rPr>
            </w:pPr>
          </w:p>
        </w:tc>
        <w:tc>
          <w:tcPr>
            <w:tcW w:w="1099" w:type="dxa"/>
            <w:tcBorders>
              <w:top w:val="nil"/>
              <w:left w:val="nil"/>
              <w:bottom w:val="nil"/>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b/>
                <w:color w:val="262626" w:themeColor="text1" w:themeTint="D9"/>
              </w:rPr>
            </w:pP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b/>
                <w:color w:val="262626" w:themeColor="text1" w:themeTint="D9"/>
              </w:rPr>
            </w:pP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b/>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top w:val="nil"/>
              <w:left w:val="nil"/>
              <w:bottom w:val="nil"/>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top w:val="nil"/>
              <w:left w:val="nil"/>
              <w:bottom w:val="nil"/>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r w:rsidRPr="00E465A1">
              <w:rPr>
                <w:color w:val="262626" w:themeColor="text1" w:themeTint="D9"/>
              </w:rPr>
              <w:t>Employee expenses</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r w:rsidRPr="00E465A1">
              <w:rPr>
                <w:color w:val="262626" w:themeColor="text1" w:themeTint="D9"/>
              </w:rPr>
              <w:t>4</w:t>
            </w: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7A437E">
            <w:pPr>
              <w:pStyle w:val="Normaltabletext1stpararight"/>
              <w:rPr>
                <w:color w:val="262626" w:themeColor="text1" w:themeTint="D9"/>
              </w:rPr>
            </w:pPr>
            <w:r w:rsidRPr="00E465A1">
              <w:rPr>
                <w:color w:val="262626" w:themeColor="text1" w:themeTint="D9"/>
              </w:rPr>
              <w:t>40,</w:t>
            </w:r>
            <w:r w:rsidR="007A437E" w:rsidRPr="00E465A1">
              <w:rPr>
                <w:color w:val="262626" w:themeColor="text1" w:themeTint="D9"/>
              </w:rPr>
              <w:t>342</w:t>
            </w:r>
          </w:p>
        </w:tc>
        <w:tc>
          <w:tcPr>
            <w:tcW w:w="1099" w:type="dxa"/>
            <w:tcBorders>
              <w:top w:val="nil"/>
              <w:left w:val="nil"/>
              <w:bottom w:val="nil"/>
              <w:right w:val="nil"/>
            </w:tcBorders>
          </w:tcPr>
          <w:p w:rsidR="004C066C" w:rsidRPr="00E465A1" w:rsidRDefault="00AC46A6" w:rsidP="0062181E">
            <w:pPr>
              <w:pStyle w:val="Normaltabletext1stpararight"/>
              <w:ind w:right="213"/>
              <w:rPr>
                <w:color w:val="262626" w:themeColor="text1" w:themeTint="D9"/>
              </w:rPr>
            </w:pPr>
            <w:r w:rsidRPr="00E465A1">
              <w:rPr>
                <w:color w:val="262626" w:themeColor="text1" w:themeTint="D9"/>
              </w:rPr>
              <w:t>41,144</w:t>
            </w:r>
          </w:p>
        </w:tc>
        <w:tc>
          <w:tcPr>
            <w:tcW w:w="1098" w:type="dxa"/>
            <w:tcBorders>
              <w:top w:val="nil"/>
              <w:left w:val="nil"/>
              <w:bottom w:val="nil"/>
              <w:right w:val="nil"/>
            </w:tcBorders>
            <w:shd w:val="clear" w:color="auto" w:fill="FEE4B0"/>
            <w:noWrap/>
            <w:tcMar>
              <w:right w:w="113" w:type="dxa"/>
            </w:tcMar>
            <w:vAlign w:val="bottom"/>
          </w:tcPr>
          <w:p w:rsidR="004C066C" w:rsidRPr="00E465A1" w:rsidRDefault="00A826AD" w:rsidP="007A437E">
            <w:pPr>
              <w:pStyle w:val="Normaltabletext1stpararight"/>
              <w:rPr>
                <w:color w:val="262626" w:themeColor="text1" w:themeTint="D9"/>
              </w:rPr>
            </w:pPr>
            <w:r w:rsidRPr="00E465A1">
              <w:rPr>
                <w:color w:val="262626" w:themeColor="text1" w:themeTint="D9"/>
              </w:rPr>
              <w:t>(8</w:t>
            </w:r>
            <w:r w:rsidR="007A437E" w:rsidRPr="00E465A1">
              <w:rPr>
                <w:color w:val="262626" w:themeColor="text1" w:themeTint="D9"/>
              </w:rPr>
              <w:t>02</w:t>
            </w:r>
            <w:r w:rsidRPr="00E465A1">
              <w:rPr>
                <w:color w:val="262626" w:themeColor="text1" w:themeTint="D9"/>
              </w:rPr>
              <w:t>)</w:t>
            </w: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40,192</w:t>
            </w: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r w:rsidRPr="00E465A1">
              <w:rPr>
                <w:color w:val="262626" w:themeColor="text1" w:themeTint="D9"/>
              </w:rPr>
              <w:t>Supplies and services</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r w:rsidRPr="00E465A1">
              <w:rPr>
                <w:color w:val="262626" w:themeColor="text1" w:themeTint="D9"/>
              </w:rPr>
              <w:t>6</w:t>
            </w: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r w:rsidRPr="00E465A1">
              <w:rPr>
                <w:color w:val="262626" w:themeColor="text1" w:themeTint="D9"/>
              </w:rPr>
              <w:t>13,264</w:t>
            </w:r>
          </w:p>
        </w:tc>
        <w:tc>
          <w:tcPr>
            <w:tcW w:w="1099" w:type="dxa"/>
            <w:tcBorders>
              <w:top w:val="nil"/>
              <w:left w:val="nil"/>
              <w:bottom w:val="nil"/>
              <w:right w:val="nil"/>
            </w:tcBorders>
          </w:tcPr>
          <w:p w:rsidR="004C066C" w:rsidRPr="00E465A1" w:rsidRDefault="00AC46A6" w:rsidP="0062181E">
            <w:pPr>
              <w:pStyle w:val="Normaltabletext1stpararight"/>
              <w:ind w:right="213"/>
              <w:rPr>
                <w:color w:val="262626" w:themeColor="text1" w:themeTint="D9"/>
              </w:rPr>
            </w:pPr>
            <w:r w:rsidRPr="00E465A1">
              <w:rPr>
                <w:color w:val="262626" w:themeColor="text1" w:themeTint="D9"/>
              </w:rPr>
              <w:t>11,281</w:t>
            </w:r>
          </w:p>
        </w:tc>
        <w:tc>
          <w:tcPr>
            <w:tcW w:w="1098" w:type="dxa"/>
            <w:tcBorders>
              <w:top w:val="nil"/>
              <w:left w:val="nil"/>
              <w:bottom w:val="nil"/>
              <w:right w:val="nil"/>
            </w:tcBorders>
            <w:shd w:val="clear" w:color="auto" w:fill="FEE4B0"/>
            <w:noWrap/>
            <w:tcMar>
              <w:right w:w="113" w:type="dxa"/>
            </w:tcMar>
            <w:vAlign w:val="bottom"/>
          </w:tcPr>
          <w:p w:rsidR="004C066C" w:rsidRPr="00E465A1" w:rsidRDefault="00A826AD" w:rsidP="005D0C53">
            <w:pPr>
              <w:pStyle w:val="Normaltabletext1stpararight"/>
              <w:rPr>
                <w:color w:val="262626" w:themeColor="text1" w:themeTint="D9"/>
              </w:rPr>
            </w:pPr>
            <w:r w:rsidRPr="00E465A1">
              <w:rPr>
                <w:color w:val="262626" w:themeColor="text1" w:themeTint="D9"/>
              </w:rPr>
              <w:t>1,983</w:t>
            </w: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12,782</w:t>
            </w: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r w:rsidRPr="00E465A1">
              <w:rPr>
                <w:color w:val="262626" w:themeColor="text1" w:themeTint="D9"/>
              </w:rPr>
              <w:t>Depreciation and amortisation</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r w:rsidRPr="00E465A1">
              <w:rPr>
                <w:color w:val="262626" w:themeColor="text1" w:themeTint="D9"/>
              </w:rPr>
              <w:t>10</w:t>
            </w: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r w:rsidRPr="00E465A1">
              <w:rPr>
                <w:color w:val="262626" w:themeColor="text1" w:themeTint="D9"/>
              </w:rPr>
              <w:t>1,852</w:t>
            </w:r>
          </w:p>
        </w:tc>
        <w:tc>
          <w:tcPr>
            <w:tcW w:w="1099" w:type="dxa"/>
            <w:tcBorders>
              <w:top w:val="nil"/>
              <w:left w:val="nil"/>
              <w:bottom w:val="nil"/>
              <w:right w:val="nil"/>
            </w:tcBorders>
          </w:tcPr>
          <w:p w:rsidR="004C066C" w:rsidRPr="00E465A1" w:rsidRDefault="00AC46A6" w:rsidP="0062181E">
            <w:pPr>
              <w:pStyle w:val="Normaltabletext1stpararight"/>
              <w:ind w:right="213"/>
              <w:rPr>
                <w:color w:val="262626" w:themeColor="text1" w:themeTint="D9"/>
              </w:rPr>
            </w:pPr>
            <w:r w:rsidRPr="00E465A1">
              <w:rPr>
                <w:color w:val="262626" w:themeColor="text1" w:themeTint="D9"/>
              </w:rPr>
              <w:t>2,332</w:t>
            </w:r>
          </w:p>
        </w:tc>
        <w:tc>
          <w:tcPr>
            <w:tcW w:w="1098" w:type="dxa"/>
            <w:tcBorders>
              <w:top w:val="nil"/>
              <w:left w:val="nil"/>
              <w:bottom w:val="nil"/>
              <w:right w:val="nil"/>
            </w:tcBorders>
            <w:shd w:val="clear" w:color="auto" w:fill="FEE4B0"/>
            <w:noWrap/>
            <w:tcMar>
              <w:right w:w="113" w:type="dxa"/>
            </w:tcMar>
            <w:vAlign w:val="bottom"/>
          </w:tcPr>
          <w:p w:rsidR="004C066C" w:rsidRPr="00E465A1" w:rsidRDefault="00A826AD" w:rsidP="005D0C53">
            <w:pPr>
              <w:pStyle w:val="Normaltabletext1stpararight"/>
              <w:rPr>
                <w:color w:val="262626" w:themeColor="text1" w:themeTint="D9"/>
              </w:rPr>
            </w:pPr>
            <w:r w:rsidRPr="00E465A1">
              <w:rPr>
                <w:color w:val="262626" w:themeColor="text1" w:themeTint="D9"/>
              </w:rPr>
              <w:t>(480)</w:t>
            </w:r>
          </w:p>
        </w:tc>
        <w:tc>
          <w:tcPr>
            <w:tcW w:w="1099" w:type="dxa"/>
            <w:tcBorders>
              <w:top w:val="nil"/>
              <w:left w:val="nil"/>
              <w:bottom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2,105</w:t>
            </w:r>
          </w:p>
        </w:tc>
        <w:tc>
          <w:tcPr>
            <w:tcW w:w="1134" w:type="dxa"/>
            <w:tcBorders>
              <w:top w:val="nil"/>
              <w:left w:val="nil"/>
              <w:bottom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i/>
                <w:iCs/>
                <w:color w:val="262626" w:themeColor="text1" w:themeTint="D9"/>
              </w:rPr>
            </w:pPr>
            <w:r w:rsidRPr="00E465A1">
              <w:rPr>
                <w:color w:val="262626" w:themeColor="text1" w:themeTint="D9"/>
              </w:rPr>
              <w:t>Finance costs</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r w:rsidRPr="00E465A1">
              <w:rPr>
                <w:color w:val="262626" w:themeColor="text1" w:themeTint="D9"/>
              </w:rPr>
              <w:t>5</w:t>
            </w:r>
          </w:p>
        </w:tc>
        <w:tc>
          <w:tcPr>
            <w:tcW w:w="1099" w:type="dxa"/>
            <w:tcBorders>
              <w:top w:val="nil"/>
              <w:left w:val="nil"/>
              <w:bottom w:val="nil"/>
              <w:right w:val="nil"/>
            </w:tcBorders>
          </w:tcPr>
          <w:p w:rsidR="004C066C" w:rsidRPr="00E465A1" w:rsidRDefault="00AC46A6" w:rsidP="0062181E">
            <w:pPr>
              <w:pStyle w:val="Normaltabletext1stpararight"/>
              <w:ind w:right="213"/>
              <w:rPr>
                <w:color w:val="262626" w:themeColor="text1" w:themeTint="D9"/>
              </w:rPr>
            </w:pPr>
            <w:r w:rsidRPr="00E465A1">
              <w:rPr>
                <w:color w:val="262626" w:themeColor="text1" w:themeTint="D9"/>
              </w:rPr>
              <w:t>5</w:t>
            </w:r>
          </w:p>
        </w:tc>
        <w:tc>
          <w:tcPr>
            <w:tcW w:w="1098" w:type="dxa"/>
            <w:tcBorders>
              <w:top w:val="nil"/>
              <w:left w:val="nil"/>
              <w:right w:val="nil"/>
            </w:tcBorders>
            <w:shd w:val="clear" w:color="auto" w:fill="FEE4B0"/>
            <w:noWrap/>
            <w:tcMar>
              <w:right w:w="113" w:type="dxa"/>
            </w:tcMar>
            <w:vAlign w:val="bottom"/>
          </w:tcPr>
          <w:p w:rsidR="004C066C" w:rsidRPr="00E465A1" w:rsidRDefault="00A826AD" w:rsidP="005D0C53">
            <w:pPr>
              <w:pStyle w:val="Normaltabletext1stpararight"/>
              <w:rPr>
                <w:color w:val="262626" w:themeColor="text1" w:themeTint="D9"/>
              </w:rPr>
            </w:pPr>
            <w:r w:rsidRPr="00E465A1">
              <w:rPr>
                <w:rFonts w:cstheme="minorHAnsi"/>
                <w:color w:val="262626" w:themeColor="text1" w:themeTint="D9"/>
                <w:szCs w:val="19"/>
              </w:rPr>
              <w:t>–</w:t>
            </w:r>
          </w:p>
        </w:tc>
        <w:tc>
          <w:tcPr>
            <w:tcW w:w="1099" w:type="dxa"/>
            <w:tcBorders>
              <w:top w:val="nil"/>
              <w:left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6</w:t>
            </w:r>
          </w:p>
        </w:tc>
        <w:tc>
          <w:tcPr>
            <w:tcW w:w="1134" w:type="dxa"/>
            <w:tcBorders>
              <w:top w:val="nil"/>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r w:rsidRPr="00E465A1">
              <w:rPr>
                <w:color w:val="262626" w:themeColor="text1" w:themeTint="D9"/>
              </w:rPr>
              <w:t>Other expenses</w:t>
            </w: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r w:rsidRPr="00E465A1">
              <w:rPr>
                <w:color w:val="262626" w:themeColor="text1" w:themeTint="D9"/>
              </w:rPr>
              <w:t>7</w:t>
            </w:r>
          </w:p>
        </w:tc>
        <w:tc>
          <w:tcPr>
            <w:tcW w:w="1098" w:type="dxa"/>
            <w:tcBorders>
              <w:top w:val="nil"/>
              <w:left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r w:rsidRPr="00E465A1">
              <w:rPr>
                <w:color w:val="262626" w:themeColor="text1" w:themeTint="D9"/>
              </w:rPr>
              <w:t>1,258</w:t>
            </w:r>
          </w:p>
        </w:tc>
        <w:tc>
          <w:tcPr>
            <w:tcW w:w="1099" w:type="dxa"/>
            <w:tcBorders>
              <w:top w:val="nil"/>
              <w:left w:val="nil"/>
              <w:right w:val="nil"/>
            </w:tcBorders>
          </w:tcPr>
          <w:p w:rsidR="004C066C" w:rsidRPr="00E465A1" w:rsidRDefault="00AC46A6" w:rsidP="0062181E">
            <w:pPr>
              <w:pStyle w:val="Normaltabletext1stpararight"/>
              <w:ind w:right="213"/>
              <w:rPr>
                <w:color w:val="262626" w:themeColor="text1" w:themeTint="D9"/>
              </w:rPr>
            </w:pPr>
            <w:r w:rsidRPr="00E465A1">
              <w:rPr>
                <w:color w:val="262626" w:themeColor="text1" w:themeTint="D9"/>
              </w:rPr>
              <w:t>1,116</w:t>
            </w:r>
          </w:p>
        </w:tc>
        <w:tc>
          <w:tcPr>
            <w:tcW w:w="1098" w:type="dxa"/>
            <w:tcBorders>
              <w:top w:val="nil"/>
              <w:left w:val="nil"/>
              <w:right w:val="nil"/>
            </w:tcBorders>
            <w:shd w:val="clear" w:color="auto" w:fill="FEE4B0"/>
            <w:noWrap/>
            <w:tcMar>
              <w:right w:w="113" w:type="dxa"/>
            </w:tcMar>
            <w:vAlign w:val="bottom"/>
          </w:tcPr>
          <w:p w:rsidR="004C066C" w:rsidRPr="00E465A1" w:rsidRDefault="00A826AD" w:rsidP="005D0C53">
            <w:pPr>
              <w:pStyle w:val="Normaltabletext1stpararight"/>
              <w:rPr>
                <w:color w:val="262626" w:themeColor="text1" w:themeTint="D9"/>
              </w:rPr>
            </w:pPr>
            <w:r w:rsidRPr="00E465A1">
              <w:rPr>
                <w:color w:val="262626" w:themeColor="text1" w:themeTint="D9"/>
              </w:rPr>
              <w:t>142</w:t>
            </w:r>
          </w:p>
        </w:tc>
        <w:tc>
          <w:tcPr>
            <w:tcW w:w="1099" w:type="dxa"/>
            <w:tcBorders>
              <w:top w:val="nil"/>
              <w:left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r w:rsidRPr="00E465A1">
              <w:rPr>
                <w:color w:val="262626" w:themeColor="text1" w:themeTint="D9"/>
              </w:rPr>
              <w:t>1,275</w:t>
            </w:r>
          </w:p>
        </w:tc>
        <w:tc>
          <w:tcPr>
            <w:tcW w:w="1134" w:type="dxa"/>
            <w:tcBorders>
              <w:top w:val="nil"/>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single" w:sz="4" w:space="0" w:color="auto"/>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top w:val="nil"/>
              <w:left w:val="nil"/>
              <w:bottom w:val="single" w:sz="4" w:space="0" w:color="auto"/>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top w:val="nil"/>
              <w:left w:val="nil"/>
              <w:bottom w:val="single" w:sz="4" w:space="0" w:color="auto"/>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top w:val="nil"/>
              <w:left w:val="nil"/>
              <w:bottom w:val="single" w:sz="4" w:space="0" w:color="auto"/>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top w:val="nil"/>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b/>
                <w:color w:val="262626" w:themeColor="text1" w:themeTint="D9"/>
              </w:rPr>
            </w:pPr>
            <w:bookmarkStart w:id="1" w:name="_Hlk268242716"/>
            <w:r w:rsidRPr="00E465A1">
              <w:rPr>
                <w:b/>
                <w:color w:val="262626" w:themeColor="text1" w:themeTint="D9"/>
              </w:rPr>
              <w:t>Total Expenses from Continuing Operations</w:t>
            </w:r>
          </w:p>
        </w:tc>
        <w:tc>
          <w:tcPr>
            <w:tcW w:w="851" w:type="dxa"/>
            <w:tcBorders>
              <w:top w:val="nil"/>
              <w:left w:val="nil"/>
              <w:bottom w:val="nil"/>
              <w:right w:val="nil"/>
            </w:tcBorders>
            <w:noWrap/>
            <w:vAlign w:val="bottom"/>
          </w:tcPr>
          <w:p w:rsidR="004C066C" w:rsidRPr="00E465A1" w:rsidRDefault="004C066C" w:rsidP="004C066C">
            <w:pPr>
              <w:pStyle w:val="Normaltabletextcentred"/>
              <w:rPr>
                <w:b/>
                <w:color w:val="262626" w:themeColor="text1" w:themeTint="D9"/>
              </w:rPr>
            </w:pPr>
          </w:p>
        </w:tc>
        <w:tc>
          <w:tcPr>
            <w:tcW w:w="1098" w:type="dxa"/>
            <w:tcBorders>
              <w:top w:val="single" w:sz="4" w:space="0" w:color="auto"/>
              <w:left w:val="nil"/>
              <w:right w:val="nil"/>
            </w:tcBorders>
            <w:shd w:val="clear" w:color="auto" w:fill="FEE4B0"/>
            <w:tcMar>
              <w:right w:w="113" w:type="dxa"/>
            </w:tcMar>
            <w:vAlign w:val="bottom"/>
          </w:tcPr>
          <w:p w:rsidR="004C066C" w:rsidRPr="00E465A1" w:rsidRDefault="007A437E" w:rsidP="0062181E">
            <w:pPr>
              <w:pStyle w:val="Normaltabletext1stpararight"/>
              <w:rPr>
                <w:b/>
                <w:color w:val="262626" w:themeColor="text1" w:themeTint="D9"/>
              </w:rPr>
            </w:pPr>
            <w:r w:rsidRPr="00E465A1">
              <w:rPr>
                <w:b/>
                <w:color w:val="262626" w:themeColor="text1" w:themeTint="D9"/>
              </w:rPr>
              <w:t>56,721</w:t>
            </w:r>
          </w:p>
        </w:tc>
        <w:tc>
          <w:tcPr>
            <w:tcW w:w="1099" w:type="dxa"/>
            <w:tcBorders>
              <w:top w:val="single" w:sz="4" w:space="0" w:color="auto"/>
              <w:left w:val="nil"/>
              <w:right w:val="nil"/>
            </w:tcBorders>
          </w:tcPr>
          <w:p w:rsidR="004C066C" w:rsidRPr="00E465A1" w:rsidRDefault="00AC46A6" w:rsidP="0062181E">
            <w:pPr>
              <w:pStyle w:val="Normaltabletext1stpararight"/>
              <w:ind w:right="213"/>
              <w:rPr>
                <w:b/>
                <w:color w:val="262626" w:themeColor="text1" w:themeTint="D9"/>
              </w:rPr>
            </w:pPr>
            <w:r w:rsidRPr="00E465A1">
              <w:rPr>
                <w:b/>
                <w:color w:val="262626" w:themeColor="text1" w:themeTint="D9"/>
              </w:rPr>
              <w:t>55,878</w:t>
            </w:r>
          </w:p>
        </w:tc>
        <w:tc>
          <w:tcPr>
            <w:tcW w:w="1098" w:type="dxa"/>
            <w:tcBorders>
              <w:top w:val="single" w:sz="4" w:space="0" w:color="auto"/>
              <w:left w:val="nil"/>
              <w:right w:val="nil"/>
            </w:tcBorders>
            <w:shd w:val="clear" w:color="auto" w:fill="FEE4B0"/>
            <w:noWrap/>
            <w:tcMar>
              <w:right w:w="113" w:type="dxa"/>
            </w:tcMar>
            <w:vAlign w:val="bottom"/>
          </w:tcPr>
          <w:p w:rsidR="004C066C" w:rsidRPr="00E465A1" w:rsidRDefault="007A437E" w:rsidP="005D0C53">
            <w:pPr>
              <w:pStyle w:val="Normaltabletext1stpararight"/>
              <w:rPr>
                <w:b/>
                <w:color w:val="262626" w:themeColor="text1" w:themeTint="D9"/>
              </w:rPr>
            </w:pPr>
            <w:r w:rsidRPr="00E465A1">
              <w:rPr>
                <w:b/>
                <w:color w:val="262626" w:themeColor="text1" w:themeTint="D9"/>
              </w:rPr>
              <w:t>843</w:t>
            </w:r>
          </w:p>
        </w:tc>
        <w:tc>
          <w:tcPr>
            <w:tcW w:w="1099" w:type="dxa"/>
            <w:tcBorders>
              <w:top w:val="single" w:sz="4" w:space="0" w:color="auto"/>
              <w:left w:val="nil"/>
              <w:right w:val="nil"/>
            </w:tcBorders>
            <w:shd w:val="clear" w:color="auto" w:fill="FFFFFF" w:themeFill="background1"/>
            <w:vAlign w:val="bottom"/>
          </w:tcPr>
          <w:p w:rsidR="004C066C" w:rsidRPr="00E465A1" w:rsidRDefault="004C066C" w:rsidP="00D95E3F">
            <w:pPr>
              <w:pStyle w:val="Normaltabletext1stpararight"/>
              <w:ind w:right="142"/>
              <w:rPr>
                <w:b/>
                <w:color w:val="262626" w:themeColor="text1" w:themeTint="D9"/>
              </w:rPr>
            </w:pPr>
            <w:r w:rsidRPr="00E465A1">
              <w:rPr>
                <w:b/>
                <w:color w:val="262626" w:themeColor="text1" w:themeTint="D9"/>
              </w:rPr>
              <w:t>56,360</w:t>
            </w:r>
          </w:p>
        </w:tc>
        <w:tc>
          <w:tcPr>
            <w:tcW w:w="1134" w:type="dxa"/>
            <w:tcBorders>
              <w:left w:val="nil"/>
              <w:right w:val="nil"/>
            </w:tcBorders>
            <w:shd w:val="clear" w:color="auto" w:fill="FFFFFF" w:themeFill="background1"/>
          </w:tcPr>
          <w:p w:rsidR="004C066C" w:rsidRPr="00E465A1" w:rsidRDefault="004C066C" w:rsidP="004C066C">
            <w:pPr>
              <w:pStyle w:val="Normaltabletext1stpararight"/>
              <w:rPr>
                <w:b/>
                <w:color w:val="262626" w:themeColor="text1" w:themeTint="D9"/>
              </w:rPr>
            </w:pPr>
          </w:p>
        </w:tc>
      </w:tr>
      <w:bookmarkEnd w:id="1"/>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color w:val="262626" w:themeColor="text1" w:themeTint="D9"/>
              </w:rPr>
            </w:pPr>
          </w:p>
        </w:tc>
        <w:tc>
          <w:tcPr>
            <w:tcW w:w="851" w:type="dxa"/>
            <w:tcBorders>
              <w:top w:val="nil"/>
              <w:left w:val="nil"/>
              <w:bottom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nil"/>
              <w:left w:val="nil"/>
              <w:bottom w:val="single" w:sz="4" w:space="0" w:color="auto"/>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top w:val="nil"/>
              <w:left w:val="nil"/>
              <w:bottom w:val="single" w:sz="4" w:space="0" w:color="auto"/>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top w:val="nil"/>
              <w:left w:val="nil"/>
              <w:bottom w:val="single" w:sz="4" w:space="0" w:color="auto"/>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top w:val="nil"/>
              <w:left w:val="nil"/>
              <w:bottom w:val="single" w:sz="4" w:space="0" w:color="auto"/>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top w:val="nil"/>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bottom w:val="nil"/>
              <w:right w:val="nil"/>
            </w:tcBorders>
            <w:noWrap/>
            <w:tcMar>
              <w:right w:w="15" w:type="dxa"/>
            </w:tcMar>
            <w:vAlign w:val="bottom"/>
          </w:tcPr>
          <w:p w:rsidR="004C066C" w:rsidRPr="00E465A1" w:rsidRDefault="004C066C" w:rsidP="004C066C">
            <w:pPr>
              <w:pStyle w:val="Normaltabletextleft"/>
              <w:rPr>
                <w:b/>
                <w:color w:val="262626" w:themeColor="text1" w:themeTint="D9"/>
              </w:rPr>
            </w:pPr>
            <w:r w:rsidRPr="00E465A1">
              <w:rPr>
                <w:b/>
                <w:color w:val="262626" w:themeColor="text1" w:themeTint="D9"/>
              </w:rPr>
              <w:t>Operating Result from Continuing Operations</w:t>
            </w:r>
          </w:p>
        </w:tc>
        <w:tc>
          <w:tcPr>
            <w:tcW w:w="851" w:type="dxa"/>
            <w:tcBorders>
              <w:top w:val="nil"/>
              <w:left w:val="nil"/>
              <w:bottom w:val="nil"/>
              <w:right w:val="nil"/>
            </w:tcBorders>
            <w:noWrap/>
            <w:vAlign w:val="bottom"/>
          </w:tcPr>
          <w:p w:rsidR="004C066C" w:rsidRPr="00E465A1" w:rsidRDefault="004C066C" w:rsidP="004C066C">
            <w:pPr>
              <w:pStyle w:val="Normaltabletextcentred"/>
              <w:rPr>
                <w:b/>
                <w:color w:val="262626" w:themeColor="text1" w:themeTint="D9"/>
              </w:rPr>
            </w:pPr>
          </w:p>
        </w:tc>
        <w:tc>
          <w:tcPr>
            <w:tcW w:w="1098" w:type="dxa"/>
            <w:tcBorders>
              <w:top w:val="single" w:sz="4" w:space="0" w:color="auto"/>
              <w:left w:val="nil"/>
              <w:bottom w:val="double" w:sz="4" w:space="0" w:color="auto"/>
              <w:right w:val="nil"/>
            </w:tcBorders>
            <w:shd w:val="clear" w:color="auto" w:fill="FEE4B0"/>
            <w:tcMar>
              <w:right w:w="113" w:type="dxa"/>
            </w:tcMar>
            <w:vAlign w:val="bottom"/>
          </w:tcPr>
          <w:p w:rsidR="004C066C" w:rsidRPr="00E465A1" w:rsidRDefault="007A437E" w:rsidP="0062181E">
            <w:pPr>
              <w:pStyle w:val="Normaltabletext1stpararight"/>
              <w:rPr>
                <w:b/>
                <w:color w:val="262626" w:themeColor="text1" w:themeTint="D9"/>
              </w:rPr>
            </w:pPr>
            <w:r w:rsidRPr="00E465A1">
              <w:rPr>
                <w:b/>
                <w:color w:val="262626" w:themeColor="text1" w:themeTint="D9"/>
              </w:rPr>
              <w:t>407</w:t>
            </w:r>
          </w:p>
        </w:tc>
        <w:tc>
          <w:tcPr>
            <w:tcW w:w="1099" w:type="dxa"/>
            <w:tcBorders>
              <w:top w:val="single" w:sz="4" w:space="0" w:color="auto"/>
              <w:left w:val="nil"/>
              <w:bottom w:val="double" w:sz="4" w:space="0" w:color="auto"/>
              <w:right w:val="nil"/>
            </w:tcBorders>
          </w:tcPr>
          <w:p w:rsidR="004C066C" w:rsidRPr="00E465A1" w:rsidRDefault="00AC46A6" w:rsidP="0062181E">
            <w:pPr>
              <w:pStyle w:val="Normaltabletext1stpararight"/>
              <w:ind w:right="213"/>
              <w:rPr>
                <w:b/>
                <w:color w:val="262626" w:themeColor="text1" w:themeTint="D9"/>
              </w:rPr>
            </w:pPr>
            <w:r w:rsidRPr="00E465A1">
              <w:rPr>
                <w:rFonts w:cstheme="minorHAnsi"/>
                <w:b/>
                <w:color w:val="262626" w:themeColor="text1" w:themeTint="D9"/>
                <w:szCs w:val="19"/>
              </w:rPr>
              <w:t>–</w:t>
            </w:r>
          </w:p>
        </w:tc>
        <w:tc>
          <w:tcPr>
            <w:tcW w:w="1098" w:type="dxa"/>
            <w:tcBorders>
              <w:top w:val="single" w:sz="4" w:space="0" w:color="auto"/>
              <w:left w:val="nil"/>
              <w:bottom w:val="double" w:sz="4" w:space="0" w:color="auto"/>
              <w:right w:val="nil"/>
            </w:tcBorders>
            <w:shd w:val="clear" w:color="auto" w:fill="FEE4B0"/>
            <w:noWrap/>
            <w:tcMar>
              <w:right w:w="113" w:type="dxa"/>
            </w:tcMar>
            <w:vAlign w:val="bottom"/>
          </w:tcPr>
          <w:p w:rsidR="004C066C" w:rsidRPr="00E465A1" w:rsidRDefault="007A437E" w:rsidP="005D0C53">
            <w:pPr>
              <w:pStyle w:val="Normaltabletext1stpararight"/>
              <w:rPr>
                <w:b/>
                <w:color w:val="262626" w:themeColor="text1" w:themeTint="D9"/>
              </w:rPr>
            </w:pPr>
            <w:r w:rsidRPr="00E465A1">
              <w:rPr>
                <w:b/>
                <w:color w:val="262626" w:themeColor="text1" w:themeTint="D9"/>
              </w:rPr>
              <w:t>407</w:t>
            </w:r>
          </w:p>
        </w:tc>
        <w:tc>
          <w:tcPr>
            <w:tcW w:w="1099" w:type="dxa"/>
            <w:tcBorders>
              <w:top w:val="single" w:sz="4" w:space="0" w:color="auto"/>
              <w:left w:val="nil"/>
              <w:bottom w:val="double" w:sz="4" w:space="0" w:color="auto"/>
              <w:right w:val="nil"/>
            </w:tcBorders>
            <w:shd w:val="clear" w:color="auto" w:fill="FFFFFF" w:themeFill="background1"/>
            <w:vAlign w:val="bottom"/>
          </w:tcPr>
          <w:p w:rsidR="004C066C" w:rsidRPr="00E465A1" w:rsidRDefault="004C066C" w:rsidP="00D95E3F">
            <w:pPr>
              <w:pStyle w:val="Normaltabletext1stpararight"/>
              <w:ind w:right="142"/>
              <w:rPr>
                <w:b/>
                <w:color w:val="262626" w:themeColor="text1" w:themeTint="D9"/>
              </w:rPr>
            </w:pPr>
            <w:r w:rsidRPr="00E465A1">
              <w:rPr>
                <w:b/>
                <w:color w:val="262626" w:themeColor="text1" w:themeTint="D9"/>
              </w:rPr>
              <w:t>(22)</w:t>
            </w:r>
          </w:p>
        </w:tc>
        <w:tc>
          <w:tcPr>
            <w:tcW w:w="1134" w:type="dxa"/>
            <w:tcBorders>
              <w:left w:val="nil"/>
              <w:right w:val="nil"/>
            </w:tcBorders>
            <w:shd w:val="clear" w:color="auto" w:fill="FFFFFF" w:themeFill="background1"/>
          </w:tcPr>
          <w:p w:rsidR="004C066C" w:rsidRPr="00E465A1" w:rsidRDefault="004C066C" w:rsidP="004C066C">
            <w:pPr>
              <w:pStyle w:val="Normaltabletext1stpararight"/>
              <w:rPr>
                <w:b/>
                <w:color w:val="262626" w:themeColor="text1" w:themeTint="D9"/>
              </w:rPr>
            </w:pPr>
          </w:p>
        </w:tc>
      </w:tr>
      <w:tr w:rsidR="00E465A1" w:rsidRPr="00E465A1" w:rsidTr="00AD6577">
        <w:trPr>
          <w:trHeight w:val="20"/>
        </w:trPr>
        <w:tc>
          <w:tcPr>
            <w:tcW w:w="4536" w:type="dxa"/>
            <w:tcBorders>
              <w:top w:val="nil"/>
              <w:left w:val="nil"/>
              <w:right w:val="nil"/>
            </w:tcBorders>
            <w:noWrap/>
            <w:tcMar>
              <w:right w:w="15" w:type="dxa"/>
            </w:tcMar>
            <w:vAlign w:val="bottom"/>
          </w:tcPr>
          <w:p w:rsidR="004C066C" w:rsidRPr="00E465A1" w:rsidRDefault="004C066C" w:rsidP="004C066C">
            <w:pPr>
              <w:pStyle w:val="Normaltabletextleft"/>
              <w:rPr>
                <w:color w:val="262626" w:themeColor="text1" w:themeTint="D9"/>
              </w:rPr>
            </w:pPr>
          </w:p>
        </w:tc>
        <w:tc>
          <w:tcPr>
            <w:tcW w:w="851" w:type="dxa"/>
            <w:tcBorders>
              <w:top w:val="nil"/>
              <w:left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top w:val="double" w:sz="4" w:space="0" w:color="auto"/>
              <w:left w:val="nil"/>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top w:val="double" w:sz="4" w:space="0" w:color="auto"/>
              <w:left w:val="nil"/>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top w:val="double" w:sz="4" w:space="0" w:color="auto"/>
              <w:left w:val="nil"/>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top w:val="double" w:sz="4" w:space="0" w:color="auto"/>
              <w:left w:val="nil"/>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top w:val="nil"/>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right w:val="nil"/>
            </w:tcBorders>
            <w:noWrap/>
            <w:tcMar>
              <w:right w:w="15" w:type="dxa"/>
            </w:tcMar>
            <w:vAlign w:val="bottom"/>
          </w:tcPr>
          <w:p w:rsidR="004C066C" w:rsidRPr="00E465A1" w:rsidRDefault="004C066C" w:rsidP="004C066C">
            <w:pPr>
              <w:pStyle w:val="Normaltabletextleft"/>
              <w:rPr>
                <w:color w:val="262626" w:themeColor="text1" w:themeTint="D9"/>
              </w:rPr>
            </w:pPr>
          </w:p>
        </w:tc>
        <w:tc>
          <w:tcPr>
            <w:tcW w:w="851" w:type="dxa"/>
            <w:tcBorders>
              <w:top w:val="nil"/>
              <w:left w:val="nil"/>
              <w:right w:val="nil"/>
            </w:tcBorders>
            <w:noWrap/>
            <w:vAlign w:val="bottom"/>
          </w:tcPr>
          <w:p w:rsidR="004C066C" w:rsidRPr="00E465A1" w:rsidRDefault="004C066C" w:rsidP="004C066C">
            <w:pPr>
              <w:pStyle w:val="Normaltabletextcentred"/>
              <w:rPr>
                <w:color w:val="262626" w:themeColor="text1" w:themeTint="D9"/>
              </w:rPr>
            </w:pPr>
          </w:p>
        </w:tc>
        <w:tc>
          <w:tcPr>
            <w:tcW w:w="1098" w:type="dxa"/>
            <w:tcBorders>
              <w:left w:val="nil"/>
              <w:bottom w:val="single" w:sz="4" w:space="0" w:color="auto"/>
              <w:right w:val="nil"/>
            </w:tcBorders>
            <w:shd w:val="clear" w:color="auto" w:fill="FEE4B0"/>
            <w:tcMar>
              <w:right w:w="113" w:type="dxa"/>
            </w:tcMar>
            <w:vAlign w:val="bottom"/>
          </w:tcPr>
          <w:p w:rsidR="004C066C" w:rsidRPr="00E465A1" w:rsidRDefault="004C066C" w:rsidP="0062181E">
            <w:pPr>
              <w:pStyle w:val="Normaltabletext1stpararight"/>
              <w:rPr>
                <w:color w:val="262626" w:themeColor="text1" w:themeTint="D9"/>
              </w:rPr>
            </w:pPr>
          </w:p>
        </w:tc>
        <w:tc>
          <w:tcPr>
            <w:tcW w:w="1099" w:type="dxa"/>
            <w:tcBorders>
              <w:left w:val="nil"/>
              <w:bottom w:val="single" w:sz="4" w:space="0" w:color="auto"/>
              <w:right w:val="nil"/>
            </w:tcBorders>
          </w:tcPr>
          <w:p w:rsidR="004C066C" w:rsidRPr="00E465A1" w:rsidRDefault="004C066C" w:rsidP="0062181E">
            <w:pPr>
              <w:pStyle w:val="Normaltabletext1stpararight"/>
              <w:ind w:right="213"/>
              <w:rPr>
                <w:b/>
                <w:color w:val="262626" w:themeColor="text1" w:themeTint="D9"/>
              </w:rPr>
            </w:pPr>
          </w:p>
        </w:tc>
        <w:tc>
          <w:tcPr>
            <w:tcW w:w="1098" w:type="dxa"/>
            <w:tcBorders>
              <w:left w:val="nil"/>
              <w:bottom w:val="single" w:sz="4" w:space="0" w:color="auto"/>
              <w:right w:val="nil"/>
            </w:tcBorders>
            <w:shd w:val="clear" w:color="auto" w:fill="FEE4B0"/>
            <w:noWrap/>
            <w:tcMar>
              <w:right w:w="113" w:type="dxa"/>
            </w:tcMar>
            <w:vAlign w:val="bottom"/>
          </w:tcPr>
          <w:p w:rsidR="004C066C" w:rsidRPr="00E465A1" w:rsidRDefault="004C066C" w:rsidP="005D0C53">
            <w:pPr>
              <w:pStyle w:val="Normaltabletext1stpararight"/>
              <w:rPr>
                <w:color w:val="262626" w:themeColor="text1" w:themeTint="D9"/>
              </w:rPr>
            </w:pPr>
          </w:p>
        </w:tc>
        <w:tc>
          <w:tcPr>
            <w:tcW w:w="1099" w:type="dxa"/>
            <w:tcBorders>
              <w:left w:val="nil"/>
              <w:bottom w:val="single" w:sz="4" w:space="0" w:color="auto"/>
              <w:right w:val="nil"/>
            </w:tcBorders>
            <w:shd w:val="clear" w:color="auto" w:fill="FFFFFF" w:themeFill="background1"/>
            <w:vAlign w:val="bottom"/>
          </w:tcPr>
          <w:p w:rsidR="004C066C" w:rsidRPr="00E465A1" w:rsidRDefault="004C066C" w:rsidP="00D95E3F">
            <w:pPr>
              <w:pStyle w:val="Normaltabletext1stpararight"/>
              <w:ind w:right="142"/>
              <w:rPr>
                <w:color w:val="262626" w:themeColor="text1" w:themeTint="D9"/>
              </w:rPr>
            </w:pPr>
          </w:p>
        </w:tc>
        <w:tc>
          <w:tcPr>
            <w:tcW w:w="1134" w:type="dxa"/>
            <w:tcBorders>
              <w:left w:val="nil"/>
              <w:right w:val="nil"/>
            </w:tcBorders>
            <w:shd w:val="clear" w:color="auto" w:fill="FFFFFF" w:themeFill="background1"/>
          </w:tcPr>
          <w:p w:rsidR="004C066C" w:rsidRPr="00E465A1" w:rsidRDefault="004C066C" w:rsidP="004C066C">
            <w:pPr>
              <w:pStyle w:val="Normaltabletext1stpararight"/>
              <w:rPr>
                <w:color w:val="262626" w:themeColor="text1" w:themeTint="D9"/>
              </w:rPr>
            </w:pPr>
          </w:p>
        </w:tc>
      </w:tr>
      <w:tr w:rsidR="00E465A1" w:rsidRPr="00E465A1" w:rsidTr="00AD6577">
        <w:trPr>
          <w:trHeight w:val="20"/>
        </w:trPr>
        <w:tc>
          <w:tcPr>
            <w:tcW w:w="4536" w:type="dxa"/>
            <w:tcBorders>
              <w:top w:val="nil"/>
              <w:left w:val="nil"/>
              <w:right w:val="nil"/>
            </w:tcBorders>
            <w:noWrap/>
            <w:tcMar>
              <w:right w:w="15" w:type="dxa"/>
            </w:tcMar>
            <w:vAlign w:val="bottom"/>
          </w:tcPr>
          <w:p w:rsidR="00D95E3F" w:rsidRPr="00E465A1" w:rsidRDefault="00D95E3F" w:rsidP="00D95E3F">
            <w:pPr>
              <w:pStyle w:val="Normaltabletextleft"/>
              <w:rPr>
                <w:b/>
                <w:color w:val="262626" w:themeColor="text1" w:themeTint="D9"/>
              </w:rPr>
            </w:pPr>
            <w:r w:rsidRPr="00E465A1">
              <w:rPr>
                <w:b/>
                <w:color w:val="262626" w:themeColor="text1" w:themeTint="D9"/>
              </w:rPr>
              <w:t>Total Comprehensive Income</w:t>
            </w:r>
          </w:p>
        </w:tc>
        <w:tc>
          <w:tcPr>
            <w:tcW w:w="851" w:type="dxa"/>
            <w:tcBorders>
              <w:top w:val="nil"/>
              <w:left w:val="nil"/>
              <w:right w:val="nil"/>
            </w:tcBorders>
            <w:noWrap/>
            <w:vAlign w:val="bottom"/>
          </w:tcPr>
          <w:p w:rsidR="00D95E3F" w:rsidRPr="00E465A1" w:rsidRDefault="00D95E3F" w:rsidP="00D95E3F">
            <w:pPr>
              <w:pStyle w:val="Normaltabletextcentred"/>
              <w:rPr>
                <w:color w:val="262626" w:themeColor="text1" w:themeTint="D9"/>
              </w:rPr>
            </w:pPr>
          </w:p>
        </w:tc>
        <w:tc>
          <w:tcPr>
            <w:tcW w:w="1098" w:type="dxa"/>
            <w:tcBorders>
              <w:top w:val="single" w:sz="4" w:space="0" w:color="auto"/>
              <w:left w:val="nil"/>
              <w:bottom w:val="double" w:sz="4" w:space="0" w:color="auto"/>
              <w:right w:val="nil"/>
            </w:tcBorders>
            <w:shd w:val="clear" w:color="auto" w:fill="FEE4B0"/>
            <w:tcMar>
              <w:right w:w="113" w:type="dxa"/>
            </w:tcMar>
            <w:vAlign w:val="bottom"/>
          </w:tcPr>
          <w:p w:rsidR="00D95E3F" w:rsidRPr="00E465A1" w:rsidRDefault="007A437E" w:rsidP="0062181E">
            <w:pPr>
              <w:pStyle w:val="Normaltabletext1stpararight"/>
              <w:rPr>
                <w:b/>
                <w:color w:val="262626" w:themeColor="text1" w:themeTint="D9"/>
              </w:rPr>
            </w:pPr>
            <w:r w:rsidRPr="00E465A1">
              <w:rPr>
                <w:b/>
                <w:color w:val="262626" w:themeColor="text1" w:themeTint="D9"/>
              </w:rPr>
              <w:t>407</w:t>
            </w:r>
          </w:p>
        </w:tc>
        <w:tc>
          <w:tcPr>
            <w:tcW w:w="1099" w:type="dxa"/>
            <w:tcBorders>
              <w:top w:val="single" w:sz="4" w:space="0" w:color="auto"/>
              <w:left w:val="nil"/>
              <w:bottom w:val="double" w:sz="4" w:space="0" w:color="auto"/>
              <w:right w:val="nil"/>
            </w:tcBorders>
          </w:tcPr>
          <w:p w:rsidR="00D95E3F" w:rsidRPr="00E465A1" w:rsidRDefault="00AC46A6" w:rsidP="0062181E">
            <w:pPr>
              <w:pStyle w:val="Normaltabletext1stpararight"/>
              <w:ind w:right="213"/>
              <w:rPr>
                <w:b/>
                <w:color w:val="262626" w:themeColor="text1" w:themeTint="D9"/>
              </w:rPr>
            </w:pPr>
            <w:r w:rsidRPr="00E465A1">
              <w:rPr>
                <w:rFonts w:cstheme="minorHAnsi"/>
                <w:b/>
                <w:color w:val="262626" w:themeColor="text1" w:themeTint="D9"/>
                <w:szCs w:val="19"/>
              </w:rPr>
              <w:t>–</w:t>
            </w:r>
          </w:p>
        </w:tc>
        <w:tc>
          <w:tcPr>
            <w:tcW w:w="1098" w:type="dxa"/>
            <w:tcBorders>
              <w:top w:val="single" w:sz="4" w:space="0" w:color="auto"/>
              <w:left w:val="nil"/>
              <w:bottom w:val="double" w:sz="4" w:space="0" w:color="auto"/>
              <w:right w:val="nil"/>
            </w:tcBorders>
            <w:shd w:val="clear" w:color="auto" w:fill="FEE4B0"/>
            <w:noWrap/>
            <w:tcMar>
              <w:right w:w="113" w:type="dxa"/>
            </w:tcMar>
            <w:vAlign w:val="bottom"/>
          </w:tcPr>
          <w:p w:rsidR="00D95E3F" w:rsidRPr="00E465A1" w:rsidRDefault="005743A4" w:rsidP="007A437E">
            <w:pPr>
              <w:pStyle w:val="Normaltabletext1stpararight"/>
              <w:rPr>
                <w:b/>
                <w:color w:val="262626" w:themeColor="text1" w:themeTint="D9"/>
              </w:rPr>
            </w:pPr>
            <w:r w:rsidRPr="00E465A1">
              <w:rPr>
                <w:b/>
                <w:color w:val="262626" w:themeColor="text1" w:themeTint="D9"/>
              </w:rPr>
              <w:t>4</w:t>
            </w:r>
            <w:r w:rsidR="007A437E" w:rsidRPr="00E465A1">
              <w:rPr>
                <w:b/>
                <w:color w:val="262626" w:themeColor="text1" w:themeTint="D9"/>
              </w:rPr>
              <w:t>07</w:t>
            </w:r>
          </w:p>
        </w:tc>
        <w:tc>
          <w:tcPr>
            <w:tcW w:w="1099" w:type="dxa"/>
            <w:tcBorders>
              <w:top w:val="single" w:sz="4" w:space="0" w:color="auto"/>
              <w:left w:val="nil"/>
              <w:bottom w:val="double" w:sz="4" w:space="0" w:color="auto"/>
              <w:right w:val="nil"/>
            </w:tcBorders>
            <w:shd w:val="clear" w:color="auto" w:fill="FFFFFF" w:themeFill="background1"/>
            <w:vAlign w:val="bottom"/>
          </w:tcPr>
          <w:p w:rsidR="00D95E3F" w:rsidRPr="00E465A1" w:rsidRDefault="00D95E3F" w:rsidP="00D95E3F">
            <w:pPr>
              <w:pStyle w:val="Normaltabletext1stpararight"/>
              <w:ind w:right="142"/>
              <w:rPr>
                <w:b/>
                <w:color w:val="262626" w:themeColor="text1" w:themeTint="D9"/>
              </w:rPr>
            </w:pPr>
            <w:r w:rsidRPr="00E465A1">
              <w:rPr>
                <w:b/>
                <w:color w:val="262626" w:themeColor="text1" w:themeTint="D9"/>
              </w:rPr>
              <w:t>(22)</w:t>
            </w:r>
          </w:p>
        </w:tc>
        <w:tc>
          <w:tcPr>
            <w:tcW w:w="1134" w:type="dxa"/>
            <w:tcBorders>
              <w:left w:val="nil"/>
              <w:right w:val="nil"/>
            </w:tcBorders>
            <w:shd w:val="clear" w:color="auto" w:fill="FFFFFF" w:themeFill="background1"/>
          </w:tcPr>
          <w:p w:rsidR="00D95E3F" w:rsidRPr="00E465A1" w:rsidRDefault="00D95E3F" w:rsidP="00D95E3F">
            <w:pPr>
              <w:pStyle w:val="Normaltabletext1stpararight"/>
              <w:rPr>
                <w:b/>
                <w:color w:val="262626" w:themeColor="text1" w:themeTint="D9"/>
              </w:rPr>
            </w:pPr>
          </w:p>
        </w:tc>
      </w:tr>
    </w:tbl>
    <w:p w:rsidR="00E46DEE" w:rsidRPr="00E465A1" w:rsidRDefault="00276E72" w:rsidP="00C72DB2">
      <w:pPr>
        <w:pStyle w:val="Notes"/>
        <w:rPr>
          <w:i/>
          <w:color w:val="262626" w:themeColor="text1" w:themeTint="D9"/>
        </w:rPr>
      </w:pPr>
      <w:r w:rsidRPr="00E465A1">
        <w:rPr>
          <w:i/>
          <w:color w:val="262626" w:themeColor="text1" w:themeTint="D9"/>
        </w:rPr>
        <w:t>The accompanying notes form part of these statements.</w:t>
      </w:r>
    </w:p>
    <w:p w:rsidR="00C72DB2" w:rsidRPr="00E465A1" w:rsidRDefault="00C72DB2" w:rsidP="00C72DB2">
      <w:pPr>
        <w:tabs>
          <w:tab w:val="left" w:pos="4500"/>
        </w:tabs>
        <w:rPr>
          <w:rFonts w:cs="Arial"/>
          <w:i/>
          <w:color w:val="262626" w:themeColor="text1" w:themeTint="D9"/>
          <w:sz w:val="17"/>
          <w:szCs w:val="17"/>
        </w:rPr>
      </w:pPr>
      <w:r w:rsidRPr="00E465A1">
        <w:rPr>
          <w:rFonts w:cs="Arial"/>
          <w:i/>
          <w:color w:val="262626" w:themeColor="text1" w:themeTint="D9"/>
          <w:sz w:val="17"/>
          <w:szCs w:val="17"/>
        </w:rPr>
        <w:t>* An explanation of major variances is included at Note 21.</w:t>
      </w:r>
    </w:p>
    <w:p w:rsidR="00C72DB2" w:rsidRPr="00E465A1" w:rsidRDefault="00C72DB2" w:rsidP="00EE154B">
      <w:pPr>
        <w:rPr>
          <w:rFonts w:cs="Arial"/>
          <w:color w:val="262626" w:themeColor="text1" w:themeTint="D9"/>
        </w:rPr>
        <w:sectPr w:rsidR="00C72DB2" w:rsidRPr="00E465A1" w:rsidSect="0093233E">
          <w:headerReference w:type="even" r:id="rId14"/>
          <w:headerReference w:type="default" r:id="rId15"/>
          <w:footerReference w:type="default" r:id="rId16"/>
          <w:headerReference w:type="first" r:id="rId17"/>
          <w:pgSz w:w="11906" w:h="16838" w:code="9"/>
          <w:pgMar w:top="2268" w:right="851" w:bottom="1418" w:left="851" w:header="567" w:footer="567" w:gutter="0"/>
          <w:cols w:space="708"/>
          <w:docGrid w:linePitch="360"/>
        </w:sectPr>
      </w:pPr>
    </w:p>
    <w:tbl>
      <w:tblPr>
        <w:tblW w:w="4916" w:type="pct"/>
        <w:tblInd w:w="15" w:type="dxa"/>
        <w:tblLayout w:type="fixed"/>
        <w:tblCellMar>
          <w:left w:w="0" w:type="dxa"/>
          <w:bottom w:w="11" w:type="dxa"/>
          <w:right w:w="0" w:type="dxa"/>
        </w:tblCellMar>
        <w:tblLook w:val="0000" w:firstRow="0" w:lastRow="0" w:firstColumn="0" w:lastColumn="0" w:noHBand="0" w:noVBand="0"/>
      </w:tblPr>
      <w:tblGrid>
        <w:gridCol w:w="4891"/>
        <w:gridCol w:w="908"/>
        <w:gridCol w:w="1063"/>
        <w:gridCol w:w="1063"/>
        <w:gridCol w:w="1061"/>
        <w:gridCol w:w="1047"/>
      </w:tblGrid>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r w:rsidRPr="00E465A1">
              <w:rPr>
                <w:b/>
                <w:color w:val="262626" w:themeColor="text1" w:themeTint="D9"/>
              </w:rPr>
              <w:t>Notes</w:t>
            </w: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r w:rsidRPr="00E465A1">
              <w:rPr>
                <w:b/>
                <w:color w:val="262626" w:themeColor="text1" w:themeTint="D9"/>
              </w:rPr>
              <w:t xml:space="preserve">Actual </w:t>
            </w: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b/>
                <w:color w:val="262626" w:themeColor="text1" w:themeTint="D9"/>
              </w:rPr>
            </w:pPr>
            <w:r w:rsidRPr="00E465A1">
              <w:rPr>
                <w:b/>
                <w:color w:val="262626" w:themeColor="text1" w:themeTint="D9"/>
              </w:rPr>
              <w:t xml:space="preserve">Budget </w:t>
            </w:r>
          </w:p>
        </w:tc>
        <w:tc>
          <w:tcPr>
            <w:tcW w:w="529" w:type="pct"/>
            <w:tcBorders>
              <w:top w:val="nil"/>
              <w:left w:val="nil"/>
              <w:bottom w:val="nil"/>
              <w:right w:val="nil"/>
            </w:tcBorders>
            <w:shd w:val="clear" w:color="auto" w:fill="FEE4B0"/>
            <w:tcMar>
              <w:left w:w="0"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Budget</w:t>
            </w:r>
          </w:p>
        </w:tc>
        <w:tc>
          <w:tcPr>
            <w:tcW w:w="523" w:type="pct"/>
            <w:tcBorders>
              <w:top w:val="nil"/>
              <w:left w:val="nil"/>
              <w:bottom w:val="nil"/>
              <w:right w:val="nil"/>
            </w:tcBorders>
            <w:shd w:val="clear" w:color="auto" w:fill="FFFFFF" w:themeFill="background1"/>
            <w:noWrap/>
            <w:tcMar>
              <w:left w:w="0" w:type="dxa"/>
              <w:right w:w="113" w:type="dxa"/>
            </w:tcMar>
            <w:vAlign w:val="bottom"/>
          </w:tcPr>
          <w:p w:rsidR="005D0C53" w:rsidRPr="00E465A1" w:rsidRDefault="005D0C53" w:rsidP="005D0C53">
            <w:pPr>
              <w:pStyle w:val="Normaltabletext1stpararight"/>
              <w:ind w:right="12"/>
              <w:rPr>
                <w:b/>
                <w:color w:val="262626" w:themeColor="text1" w:themeTint="D9"/>
              </w:rPr>
            </w:pPr>
            <w:r w:rsidRPr="00E465A1">
              <w:rPr>
                <w:b/>
                <w:color w:val="262626" w:themeColor="text1" w:themeTint="D9"/>
              </w:rPr>
              <w:t>Actual</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r w:rsidRPr="00E465A1">
              <w:rPr>
                <w:b/>
                <w:color w:val="262626" w:themeColor="text1" w:themeTint="D9"/>
              </w:rPr>
              <w:t>2018</w:t>
            </w: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b/>
                <w:color w:val="262626" w:themeColor="text1" w:themeTint="D9"/>
              </w:rPr>
            </w:pPr>
            <w:r w:rsidRPr="00E465A1">
              <w:rPr>
                <w:b/>
                <w:color w:val="262626" w:themeColor="text1" w:themeTint="D9"/>
              </w:rPr>
              <w:t>2018</w:t>
            </w:r>
          </w:p>
        </w:tc>
        <w:tc>
          <w:tcPr>
            <w:tcW w:w="529" w:type="pct"/>
            <w:tcBorders>
              <w:top w:val="nil"/>
              <w:left w:val="nil"/>
              <w:bottom w:val="nil"/>
              <w:right w:val="nil"/>
            </w:tcBorders>
            <w:shd w:val="clear" w:color="auto" w:fill="FEE4B0"/>
            <w:tcMar>
              <w:left w:w="0" w:type="dxa"/>
              <w:right w:w="113" w:type="dxa"/>
            </w:tcMar>
            <w:vAlign w:val="bottom"/>
          </w:tcPr>
          <w:p w:rsidR="005D0C53" w:rsidRPr="00E465A1" w:rsidRDefault="005D0C53" w:rsidP="00C72DB2">
            <w:pPr>
              <w:pStyle w:val="Normaltabletext1stpararight"/>
              <w:ind w:right="-43"/>
              <w:rPr>
                <w:b/>
                <w:color w:val="262626" w:themeColor="text1" w:themeTint="D9"/>
              </w:rPr>
            </w:pPr>
            <w:r w:rsidRPr="00E465A1">
              <w:rPr>
                <w:b/>
                <w:color w:val="262626" w:themeColor="text1" w:themeTint="D9"/>
              </w:rPr>
              <w:t>Variance</w:t>
            </w:r>
            <w:r w:rsidR="00C72DB2" w:rsidRPr="00E465A1">
              <w:rPr>
                <w:b/>
                <w:color w:val="262626" w:themeColor="text1" w:themeTint="D9"/>
              </w:rPr>
              <w:t>*</w:t>
            </w:r>
          </w:p>
        </w:tc>
        <w:tc>
          <w:tcPr>
            <w:tcW w:w="523" w:type="pct"/>
            <w:tcBorders>
              <w:top w:val="nil"/>
              <w:left w:val="nil"/>
              <w:bottom w:val="nil"/>
              <w:right w:val="nil"/>
            </w:tcBorders>
            <w:shd w:val="clear" w:color="auto" w:fill="FFFFFF" w:themeFill="background1"/>
            <w:noWrap/>
            <w:tcMar>
              <w:left w:w="0" w:type="dxa"/>
              <w:right w:w="113" w:type="dxa"/>
            </w:tcMar>
            <w:vAlign w:val="bottom"/>
          </w:tcPr>
          <w:p w:rsidR="005D0C53" w:rsidRPr="00E465A1" w:rsidRDefault="005D0C53" w:rsidP="005D0C53">
            <w:pPr>
              <w:pStyle w:val="Normaltabletext1stpararight"/>
              <w:ind w:right="12"/>
              <w:rPr>
                <w:b/>
                <w:color w:val="262626" w:themeColor="text1" w:themeTint="D9"/>
              </w:rPr>
            </w:pPr>
            <w:r w:rsidRPr="00E465A1">
              <w:rPr>
                <w:b/>
                <w:color w:val="262626" w:themeColor="text1" w:themeTint="D9"/>
              </w:rPr>
              <w:t>2017</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r w:rsidRPr="00E465A1">
              <w:rPr>
                <w:b/>
                <w:color w:val="262626" w:themeColor="text1" w:themeTint="D9"/>
              </w:rPr>
              <w:t>$’000</w:t>
            </w: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b/>
                <w:color w:val="262626" w:themeColor="text1" w:themeTint="D9"/>
              </w:rPr>
            </w:pPr>
            <w:r w:rsidRPr="00E465A1">
              <w:rPr>
                <w:b/>
                <w:color w:val="262626" w:themeColor="text1" w:themeTint="D9"/>
              </w:rPr>
              <w:t>$’000</w:t>
            </w:r>
          </w:p>
        </w:tc>
        <w:tc>
          <w:tcPr>
            <w:tcW w:w="529" w:type="pct"/>
            <w:tcBorders>
              <w:top w:val="nil"/>
              <w:left w:val="nil"/>
              <w:bottom w:val="nil"/>
              <w:right w:val="nil"/>
            </w:tcBorders>
            <w:shd w:val="clear" w:color="auto" w:fill="FEE4B0"/>
            <w:tcMar>
              <w:left w:w="0"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$’000</w:t>
            </w:r>
          </w:p>
        </w:tc>
        <w:tc>
          <w:tcPr>
            <w:tcW w:w="523" w:type="pct"/>
            <w:tcBorders>
              <w:top w:val="nil"/>
              <w:left w:val="nil"/>
              <w:bottom w:val="nil"/>
              <w:right w:val="nil"/>
            </w:tcBorders>
            <w:shd w:val="clear" w:color="auto" w:fill="FFFFFF" w:themeFill="background1"/>
            <w:noWrap/>
            <w:tcMar>
              <w:left w:w="0" w:type="dxa"/>
              <w:right w:w="113" w:type="dxa"/>
            </w:tcMar>
            <w:vAlign w:val="bottom"/>
          </w:tcPr>
          <w:p w:rsidR="005D0C53" w:rsidRPr="00E465A1" w:rsidRDefault="005D0C53" w:rsidP="005D0C53">
            <w:pPr>
              <w:pStyle w:val="Normaltabletext1stpararight"/>
              <w:ind w:right="12"/>
              <w:rPr>
                <w:b/>
                <w:color w:val="262626" w:themeColor="text1" w:themeTint="D9"/>
              </w:rPr>
            </w:pPr>
            <w:r w:rsidRPr="00E465A1">
              <w:rPr>
                <w:b/>
                <w:color w:val="262626" w:themeColor="text1" w:themeTint="D9"/>
              </w:rPr>
              <w:t>$’000</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i/>
                <w:iCs/>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i/>
                <w:iCs/>
                <w:color w:val="262626" w:themeColor="text1" w:themeTint="D9"/>
              </w:rPr>
            </w:pP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i/>
                <w:iCs/>
                <w:color w:val="262626" w:themeColor="text1" w:themeTint="D9"/>
              </w:rPr>
            </w:pP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i/>
                <w:iCs/>
                <w:color w:val="262626" w:themeColor="text1" w:themeTint="D9"/>
              </w:rPr>
            </w:pP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i/>
                <w:iCs/>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Current Assets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b/>
                <w:color w:val="262626" w:themeColor="text1" w:themeTint="D9"/>
              </w:rPr>
            </w:pP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b/>
                <w:color w:val="262626" w:themeColor="text1" w:themeTint="D9"/>
              </w:rPr>
            </w:pP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Cash and cash equivalents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r w:rsidRPr="00E465A1">
              <w:rPr>
                <w:color w:val="262626" w:themeColor="text1" w:themeTint="D9"/>
              </w:rPr>
              <w:t>8</w:t>
            </w: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16,718</w:t>
            </w:r>
          </w:p>
        </w:tc>
        <w:tc>
          <w:tcPr>
            <w:tcW w:w="530" w:type="pct"/>
            <w:tcBorders>
              <w:top w:val="nil"/>
              <w:left w:val="nil"/>
              <w:bottom w:val="nil"/>
              <w:right w:val="nil"/>
            </w:tcBorders>
            <w:shd w:val="clear" w:color="auto" w:fill="auto"/>
            <w:vAlign w:val="bottom"/>
          </w:tcPr>
          <w:p w:rsidR="005D0C53" w:rsidRPr="00E465A1" w:rsidRDefault="00CC25BD" w:rsidP="005D0C53">
            <w:pPr>
              <w:pStyle w:val="Normaltabletext1stpararight"/>
              <w:ind w:right="139"/>
              <w:rPr>
                <w:color w:val="262626" w:themeColor="text1" w:themeTint="D9"/>
              </w:rPr>
            </w:pPr>
            <w:r w:rsidRPr="00E465A1">
              <w:rPr>
                <w:color w:val="262626" w:themeColor="text1" w:themeTint="D9"/>
              </w:rPr>
              <w:t>12,465</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color w:val="262626" w:themeColor="text1" w:themeTint="D9"/>
              </w:rPr>
              <w:t>4,253</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14,953</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Receivables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693</w:t>
            </w:r>
          </w:p>
        </w:tc>
        <w:tc>
          <w:tcPr>
            <w:tcW w:w="530" w:type="pct"/>
            <w:tcBorders>
              <w:top w:val="nil"/>
              <w:left w:val="nil"/>
              <w:bottom w:val="nil"/>
              <w:right w:val="nil"/>
            </w:tcBorders>
            <w:shd w:val="clear" w:color="auto" w:fill="auto"/>
            <w:vAlign w:val="bottom"/>
          </w:tcPr>
          <w:p w:rsidR="005D0C53" w:rsidRPr="00E465A1" w:rsidRDefault="00CC25BD" w:rsidP="005D0C53">
            <w:pPr>
              <w:pStyle w:val="Normaltabletext1stpararight"/>
              <w:ind w:right="139"/>
              <w:rPr>
                <w:color w:val="262626" w:themeColor="text1" w:themeTint="D9"/>
              </w:rPr>
            </w:pPr>
            <w:r w:rsidRPr="00E465A1">
              <w:rPr>
                <w:color w:val="262626" w:themeColor="text1" w:themeTint="D9"/>
              </w:rPr>
              <w:t>705</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color w:val="262626" w:themeColor="text1" w:themeTint="D9"/>
              </w:rPr>
              <w:t>(12)</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450</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Other assets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r w:rsidRPr="00E465A1">
              <w:rPr>
                <w:color w:val="262626" w:themeColor="text1" w:themeTint="D9"/>
              </w:rPr>
              <w:t>9</w:t>
            </w: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565</w:t>
            </w:r>
          </w:p>
        </w:tc>
        <w:tc>
          <w:tcPr>
            <w:tcW w:w="530" w:type="pct"/>
            <w:tcBorders>
              <w:top w:val="nil"/>
              <w:left w:val="nil"/>
              <w:bottom w:val="nil"/>
              <w:right w:val="nil"/>
            </w:tcBorders>
            <w:shd w:val="clear" w:color="auto" w:fill="auto"/>
            <w:vAlign w:val="bottom"/>
          </w:tcPr>
          <w:p w:rsidR="005D0C53" w:rsidRPr="00E465A1" w:rsidRDefault="00CC25BD" w:rsidP="005D0C53">
            <w:pPr>
              <w:pStyle w:val="Normaltabletext1stpararight"/>
              <w:ind w:right="139"/>
              <w:rPr>
                <w:color w:val="262626" w:themeColor="text1" w:themeTint="D9"/>
              </w:rPr>
            </w:pPr>
            <w:r w:rsidRPr="00E465A1">
              <w:rPr>
                <w:color w:val="262626" w:themeColor="text1" w:themeTint="D9"/>
              </w:rPr>
              <w:t>376</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color w:val="262626" w:themeColor="text1" w:themeTint="D9"/>
              </w:rPr>
              <w:t>189</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552</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Total Current Assets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single" w:sz="8" w:space="0" w:color="auto"/>
              <w:left w:val="nil"/>
              <w:bottom w:val="single" w:sz="8" w:space="0" w:color="auto"/>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r w:rsidRPr="00E465A1">
              <w:rPr>
                <w:b/>
                <w:color w:val="262626" w:themeColor="text1" w:themeTint="D9"/>
              </w:rPr>
              <w:t>17,976</w:t>
            </w:r>
          </w:p>
        </w:tc>
        <w:tc>
          <w:tcPr>
            <w:tcW w:w="530" w:type="pct"/>
            <w:tcBorders>
              <w:top w:val="single" w:sz="8" w:space="0" w:color="auto"/>
              <w:left w:val="nil"/>
              <w:bottom w:val="single" w:sz="8" w:space="0" w:color="auto"/>
              <w:right w:val="nil"/>
            </w:tcBorders>
            <w:shd w:val="clear" w:color="auto" w:fill="auto"/>
            <w:vAlign w:val="bottom"/>
          </w:tcPr>
          <w:p w:rsidR="005D0C53" w:rsidRPr="00E465A1" w:rsidRDefault="00CC25BD" w:rsidP="005D0C53">
            <w:pPr>
              <w:pStyle w:val="Normaltabletext1stpararight"/>
              <w:ind w:right="139"/>
              <w:rPr>
                <w:b/>
                <w:color w:val="262626" w:themeColor="text1" w:themeTint="D9"/>
              </w:rPr>
            </w:pPr>
            <w:r w:rsidRPr="00E465A1">
              <w:rPr>
                <w:b/>
                <w:color w:val="262626" w:themeColor="text1" w:themeTint="D9"/>
              </w:rPr>
              <w:t>13,546</w:t>
            </w:r>
          </w:p>
        </w:tc>
        <w:tc>
          <w:tcPr>
            <w:tcW w:w="529" w:type="pct"/>
            <w:tcBorders>
              <w:top w:val="single" w:sz="8" w:space="0" w:color="auto"/>
              <w:left w:val="nil"/>
              <w:bottom w:val="single" w:sz="8" w:space="0" w:color="auto"/>
              <w:right w:val="nil"/>
            </w:tcBorders>
            <w:shd w:val="clear" w:color="auto" w:fill="FEE4B0"/>
            <w:tcMar>
              <w:left w:w="15" w:type="dxa"/>
              <w:right w:w="113" w:type="dxa"/>
            </w:tcMar>
            <w:vAlign w:val="bottom"/>
          </w:tcPr>
          <w:p w:rsidR="005D0C53" w:rsidRPr="00E465A1" w:rsidRDefault="007569F4" w:rsidP="005D0C53">
            <w:pPr>
              <w:pStyle w:val="Normaltabletext1stpararight"/>
              <w:rPr>
                <w:b/>
                <w:color w:val="262626" w:themeColor="text1" w:themeTint="D9"/>
              </w:rPr>
            </w:pPr>
            <w:r w:rsidRPr="00E465A1">
              <w:rPr>
                <w:b/>
                <w:color w:val="262626" w:themeColor="text1" w:themeTint="D9"/>
              </w:rPr>
              <w:t>4,430</w:t>
            </w:r>
          </w:p>
        </w:tc>
        <w:tc>
          <w:tcPr>
            <w:tcW w:w="523" w:type="pct"/>
            <w:tcBorders>
              <w:top w:val="single" w:sz="8" w:space="0" w:color="auto"/>
              <w:left w:val="nil"/>
              <w:bottom w:val="single" w:sz="8"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15,955</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color w:val="262626" w:themeColor="text1" w:themeTint="D9"/>
              </w:rPr>
            </w:pP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color w:val="262626" w:themeColor="text1" w:themeTint="D9"/>
              </w:rPr>
            </w:pP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Non-Current Assets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b/>
                <w:color w:val="262626" w:themeColor="text1" w:themeTint="D9"/>
              </w:rPr>
            </w:pP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b/>
                <w:color w:val="262626" w:themeColor="text1" w:themeTint="D9"/>
              </w:rPr>
            </w:pP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Intangible assets</w:t>
            </w:r>
          </w:p>
        </w:tc>
        <w:tc>
          <w:tcPr>
            <w:tcW w:w="452" w:type="pct"/>
            <w:tcBorders>
              <w:top w:val="nil"/>
              <w:left w:val="nil"/>
              <w:bottom w:val="nil"/>
              <w:right w:val="nil"/>
            </w:tcBorders>
            <w:noWrap/>
            <w:vAlign w:val="bottom"/>
          </w:tcPr>
          <w:p w:rsidR="005D0C53" w:rsidRPr="00E465A1" w:rsidRDefault="005D0C53" w:rsidP="005D0C53">
            <w:pPr>
              <w:pStyle w:val="Normaltabletextcentred"/>
              <w:tabs>
                <w:tab w:val="left" w:pos="428"/>
              </w:tabs>
              <w:rPr>
                <w:color w:val="262626" w:themeColor="text1" w:themeTint="D9"/>
              </w:rPr>
            </w:pPr>
            <w:r w:rsidRPr="00E465A1">
              <w:rPr>
                <w:color w:val="262626" w:themeColor="text1" w:themeTint="D9"/>
              </w:rPr>
              <w:t>10</w:t>
            </w: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335</w:t>
            </w:r>
          </w:p>
        </w:tc>
        <w:tc>
          <w:tcPr>
            <w:tcW w:w="530" w:type="pct"/>
            <w:tcBorders>
              <w:top w:val="nil"/>
              <w:left w:val="nil"/>
              <w:bottom w:val="nil"/>
              <w:right w:val="nil"/>
            </w:tcBorders>
            <w:shd w:val="clear" w:color="auto" w:fill="auto"/>
            <w:vAlign w:val="bottom"/>
          </w:tcPr>
          <w:p w:rsidR="005D0C53" w:rsidRPr="00E465A1" w:rsidRDefault="00CC25BD" w:rsidP="005D0C53">
            <w:pPr>
              <w:pStyle w:val="Normaltabletext1stpararight"/>
              <w:ind w:right="139"/>
              <w:rPr>
                <w:color w:val="262626" w:themeColor="text1" w:themeTint="D9"/>
              </w:rPr>
            </w:pPr>
            <w:r w:rsidRPr="00E465A1">
              <w:rPr>
                <w:color w:val="262626" w:themeColor="text1" w:themeTint="D9"/>
              </w:rPr>
              <w:t>4,080</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color w:val="262626" w:themeColor="text1" w:themeTint="D9"/>
              </w:rPr>
              <w:t>(3,745)</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276</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Property, plant and equipment</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r w:rsidRPr="00E465A1">
              <w:rPr>
                <w:color w:val="262626" w:themeColor="text1" w:themeTint="D9"/>
              </w:rPr>
              <w:t>10</w:t>
            </w: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9,062</w:t>
            </w:r>
          </w:p>
        </w:tc>
        <w:tc>
          <w:tcPr>
            <w:tcW w:w="530" w:type="pct"/>
            <w:tcBorders>
              <w:top w:val="nil"/>
              <w:left w:val="nil"/>
              <w:bottom w:val="nil"/>
              <w:right w:val="nil"/>
            </w:tcBorders>
            <w:shd w:val="clear" w:color="auto" w:fill="auto"/>
            <w:vAlign w:val="bottom"/>
          </w:tcPr>
          <w:p w:rsidR="005D0C53" w:rsidRPr="00E465A1" w:rsidRDefault="00CC25BD" w:rsidP="005D0C53">
            <w:pPr>
              <w:pStyle w:val="Normaltabletext1stpararight"/>
              <w:ind w:right="139"/>
              <w:rPr>
                <w:color w:val="262626" w:themeColor="text1" w:themeTint="D9"/>
              </w:rPr>
            </w:pPr>
            <w:r w:rsidRPr="00E465A1">
              <w:rPr>
                <w:color w:val="262626" w:themeColor="text1" w:themeTint="D9"/>
              </w:rPr>
              <w:t>9,795</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color w:val="262626" w:themeColor="text1" w:themeTint="D9"/>
              </w:rPr>
              <w:t>(733)</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7,459</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Other assets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r w:rsidRPr="00E465A1">
              <w:rPr>
                <w:color w:val="262626" w:themeColor="text1" w:themeTint="D9"/>
              </w:rPr>
              <w:t>9</w:t>
            </w: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72</w:t>
            </w:r>
          </w:p>
        </w:tc>
        <w:tc>
          <w:tcPr>
            <w:tcW w:w="530" w:type="pct"/>
            <w:tcBorders>
              <w:top w:val="nil"/>
              <w:left w:val="nil"/>
              <w:bottom w:val="nil"/>
              <w:right w:val="nil"/>
            </w:tcBorders>
            <w:shd w:val="clear" w:color="auto" w:fill="auto"/>
            <w:vAlign w:val="bottom"/>
          </w:tcPr>
          <w:p w:rsidR="005D0C53" w:rsidRPr="00E465A1" w:rsidRDefault="00CC25BD" w:rsidP="005D0C53">
            <w:pPr>
              <w:pStyle w:val="Normaltabletext1stpararight"/>
              <w:ind w:right="139"/>
              <w:rPr>
                <w:color w:val="262626" w:themeColor="text1" w:themeTint="D9"/>
              </w:rPr>
            </w:pPr>
            <w:r w:rsidRPr="00E465A1">
              <w:rPr>
                <w:color w:val="262626" w:themeColor="text1" w:themeTint="D9"/>
              </w:rPr>
              <w:t>156</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color w:val="262626" w:themeColor="text1" w:themeTint="D9"/>
              </w:rPr>
              <w:t>(84)</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115</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Total Non-Current Assets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single" w:sz="8" w:space="0" w:color="auto"/>
              <w:left w:val="nil"/>
              <w:bottom w:val="single" w:sz="8" w:space="0" w:color="auto"/>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r w:rsidRPr="00E465A1">
              <w:rPr>
                <w:b/>
                <w:color w:val="262626" w:themeColor="text1" w:themeTint="D9"/>
              </w:rPr>
              <w:t>9,469</w:t>
            </w:r>
          </w:p>
        </w:tc>
        <w:tc>
          <w:tcPr>
            <w:tcW w:w="530" w:type="pct"/>
            <w:tcBorders>
              <w:top w:val="single" w:sz="8" w:space="0" w:color="auto"/>
              <w:left w:val="nil"/>
              <w:bottom w:val="single" w:sz="8" w:space="0" w:color="auto"/>
              <w:right w:val="nil"/>
            </w:tcBorders>
            <w:shd w:val="clear" w:color="auto" w:fill="auto"/>
            <w:vAlign w:val="bottom"/>
          </w:tcPr>
          <w:p w:rsidR="005D0C53" w:rsidRPr="00E465A1" w:rsidRDefault="00CC25BD" w:rsidP="005D0C53">
            <w:pPr>
              <w:pStyle w:val="Normaltabletext1stpararight"/>
              <w:ind w:right="139"/>
              <w:rPr>
                <w:b/>
                <w:color w:val="262626" w:themeColor="text1" w:themeTint="D9"/>
              </w:rPr>
            </w:pPr>
            <w:r w:rsidRPr="00E465A1">
              <w:rPr>
                <w:b/>
                <w:color w:val="262626" w:themeColor="text1" w:themeTint="D9"/>
              </w:rPr>
              <w:t>14,031</w:t>
            </w:r>
          </w:p>
        </w:tc>
        <w:tc>
          <w:tcPr>
            <w:tcW w:w="529" w:type="pct"/>
            <w:tcBorders>
              <w:top w:val="single" w:sz="8" w:space="0" w:color="auto"/>
              <w:left w:val="nil"/>
              <w:bottom w:val="single" w:sz="8" w:space="0" w:color="auto"/>
              <w:right w:val="nil"/>
            </w:tcBorders>
            <w:shd w:val="clear" w:color="auto" w:fill="FEE4B0"/>
            <w:tcMar>
              <w:left w:w="15" w:type="dxa"/>
              <w:right w:w="113" w:type="dxa"/>
            </w:tcMar>
            <w:vAlign w:val="bottom"/>
          </w:tcPr>
          <w:p w:rsidR="005D0C53" w:rsidRPr="00E465A1" w:rsidRDefault="007569F4" w:rsidP="005D0C53">
            <w:pPr>
              <w:pStyle w:val="Normaltabletext1stpararight"/>
              <w:rPr>
                <w:b/>
                <w:color w:val="262626" w:themeColor="text1" w:themeTint="D9"/>
              </w:rPr>
            </w:pPr>
            <w:r w:rsidRPr="00E465A1">
              <w:rPr>
                <w:b/>
                <w:color w:val="262626" w:themeColor="text1" w:themeTint="D9"/>
              </w:rPr>
              <w:t>(4,562)</w:t>
            </w:r>
          </w:p>
        </w:tc>
        <w:tc>
          <w:tcPr>
            <w:tcW w:w="523" w:type="pct"/>
            <w:tcBorders>
              <w:top w:val="single" w:sz="8" w:space="0" w:color="auto"/>
              <w:left w:val="nil"/>
              <w:bottom w:val="single" w:sz="8"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7,850</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nil"/>
              <w:left w:val="nil"/>
              <w:bottom w:val="single" w:sz="8" w:space="0" w:color="auto"/>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p>
        </w:tc>
        <w:tc>
          <w:tcPr>
            <w:tcW w:w="530" w:type="pct"/>
            <w:tcBorders>
              <w:top w:val="nil"/>
              <w:left w:val="nil"/>
              <w:bottom w:val="single" w:sz="8" w:space="0" w:color="auto"/>
              <w:right w:val="nil"/>
            </w:tcBorders>
            <w:shd w:val="clear" w:color="auto" w:fill="auto"/>
            <w:vAlign w:val="bottom"/>
          </w:tcPr>
          <w:p w:rsidR="005D0C53" w:rsidRPr="00E465A1" w:rsidRDefault="005D0C53" w:rsidP="005D0C53">
            <w:pPr>
              <w:pStyle w:val="Normaltabletext1stpararight"/>
              <w:ind w:right="139"/>
              <w:rPr>
                <w:color w:val="262626" w:themeColor="text1" w:themeTint="D9"/>
              </w:rPr>
            </w:pPr>
          </w:p>
        </w:tc>
        <w:tc>
          <w:tcPr>
            <w:tcW w:w="529" w:type="pct"/>
            <w:tcBorders>
              <w:top w:val="nil"/>
              <w:left w:val="nil"/>
              <w:bottom w:val="single" w:sz="8" w:space="0" w:color="auto"/>
              <w:right w:val="nil"/>
            </w:tcBorders>
            <w:shd w:val="clear" w:color="auto" w:fill="FEE4B0"/>
            <w:tcMar>
              <w:left w:w="15" w:type="dxa"/>
              <w:right w:w="113" w:type="dxa"/>
            </w:tcMar>
            <w:vAlign w:val="bottom"/>
          </w:tcPr>
          <w:p w:rsidR="005D0C53" w:rsidRPr="00E465A1" w:rsidRDefault="005D0C53" w:rsidP="005D0C53">
            <w:pPr>
              <w:pStyle w:val="Normaltabletext1stpararight"/>
              <w:rPr>
                <w:color w:val="262626" w:themeColor="text1" w:themeTint="D9"/>
              </w:rPr>
            </w:pPr>
          </w:p>
        </w:tc>
        <w:tc>
          <w:tcPr>
            <w:tcW w:w="523" w:type="pct"/>
            <w:tcBorders>
              <w:top w:val="nil"/>
              <w:left w:val="nil"/>
              <w:bottom w:val="single" w:sz="8"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Total Assets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single" w:sz="8" w:space="0" w:color="auto"/>
              <w:left w:val="nil"/>
              <w:bottom w:val="double" w:sz="6" w:space="0" w:color="auto"/>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r w:rsidRPr="00E465A1">
              <w:rPr>
                <w:b/>
                <w:color w:val="262626" w:themeColor="text1" w:themeTint="D9"/>
              </w:rPr>
              <w:t>27,445</w:t>
            </w:r>
          </w:p>
        </w:tc>
        <w:tc>
          <w:tcPr>
            <w:tcW w:w="530" w:type="pct"/>
            <w:tcBorders>
              <w:top w:val="single" w:sz="8" w:space="0" w:color="auto"/>
              <w:left w:val="nil"/>
              <w:bottom w:val="double" w:sz="6" w:space="0" w:color="auto"/>
              <w:right w:val="nil"/>
            </w:tcBorders>
            <w:shd w:val="clear" w:color="auto" w:fill="auto"/>
            <w:vAlign w:val="bottom"/>
          </w:tcPr>
          <w:p w:rsidR="005D0C53" w:rsidRPr="00E465A1" w:rsidRDefault="00CC25BD" w:rsidP="005D0C53">
            <w:pPr>
              <w:pStyle w:val="Normaltabletext1stpararight"/>
              <w:ind w:right="139"/>
              <w:rPr>
                <w:b/>
                <w:color w:val="262626" w:themeColor="text1" w:themeTint="D9"/>
              </w:rPr>
            </w:pPr>
            <w:r w:rsidRPr="00E465A1">
              <w:rPr>
                <w:b/>
                <w:color w:val="262626" w:themeColor="text1" w:themeTint="D9"/>
              </w:rPr>
              <w:t>27,577</w:t>
            </w:r>
          </w:p>
        </w:tc>
        <w:tc>
          <w:tcPr>
            <w:tcW w:w="529" w:type="pct"/>
            <w:tcBorders>
              <w:top w:val="single" w:sz="8" w:space="0" w:color="auto"/>
              <w:left w:val="nil"/>
              <w:bottom w:val="double" w:sz="6" w:space="0" w:color="auto"/>
              <w:right w:val="nil"/>
            </w:tcBorders>
            <w:shd w:val="clear" w:color="auto" w:fill="FEE4B0"/>
            <w:tcMar>
              <w:left w:w="15" w:type="dxa"/>
              <w:right w:w="113" w:type="dxa"/>
            </w:tcMar>
            <w:vAlign w:val="bottom"/>
          </w:tcPr>
          <w:p w:rsidR="005D0C53" w:rsidRPr="00E465A1" w:rsidRDefault="007569F4" w:rsidP="005D0C53">
            <w:pPr>
              <w:pStyle w:val="Normaltabletext1stpararight"/>
              <w:rPr>
                <w:b/>
                <w:color w:val="262626" w:themeColor="text1" w:themeTint="D9"/>
              </w:rPr>
            </w:pPr>
            <w:r w:rsidRPr="00E465A1">
              <w:rPr>
                <w:b/>
                <w:color w:val="262626" w:themeColor="text1" w:themeTint="D9"/>
              </w:rPr>
              <w:t>(132)</w:t>
            </w:r>
          </w:p>
        </w:tc>
        <w:tc>
          <w:tcPr>
            <w:tcW w:w="523" w:type="pct"/>
            <w:tcBorders>
              <w:top w:val="single" w:sz="8" w:space="0" w:color="auto"/>
              <w:left w:val="nil"/>
              <w:bottom w:val="double" w:sz="6"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23,805</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double" w:sz="6" w:space="0" w:color="auto"/>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p>
        </w:tc>
        <w:tc>
          <w:tcPr>
            <w:tcW w:w="530" w:type="pct"/>
            <w:tcBorders>
              <w:top w:val="double" w:sz="6" w:space="0" w:color="auto"/>
              <w:left w:val="nil"/>
              <w:bottom w:val="nil"/>
              <w:right w:val="nil"/>
            </w:tcBorders>
            <w:shd w:val="clear" w:color="auto" w:fill="auto"/>
            <w:vAlign w:val="bottom"/>
          </w:tcPr>
          <w:p w:rsidR="005D0C53" w:rsidRPr="00E465A1" w:rsidRDefault="005D0C53" w:rsidP="005D0C53">
            <w:pPr>
              <w:pStyle w:val="Normaltabletext1stpararight"/>
              <w:ind w:right="139"/>
              <w:rPr>
                <w:color w:val="262626" w:themeColor="text1" w:themeTint="D9"/>
              </w:rPr>
            </w:pPr>
          </w:p>
        </w:tc>
        <w:tc>
          <w:tcPr>
            <w:tcW w:w="529" w:type="pct"/>
            <w:tcBorders>
              <w:top w:val="double" w:sz="6" w:space="0" w:color="auto"/>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color w:val="262626" w:themeColor="text1" w:themeTint="D9"/>
              </w:rPr>
            </w:pPr>
          </w:p>
        </w:tc>
        <w:tc>
          <w:tcPr>
            <w:tcW w:w="523" w:type="pct"/>
            <w:tcBorders>
              <w:top w:val="double" w:sz="6" w:space="0" w:color="auto"/>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color w:val="262626" w:themeColor="text1" w:themeTint="D9"/>
              </w:rPr>
            </w:pP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color w:val="262626" w:themeColor="text1" w:themeTint="D9"/>
              </w:rPr>
            </w:pP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Current Liabilities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b/>
                <w:color w:val="262626" w:themeColor="text1" w:themeTint="D9"/>
              </w:rPr>
            </w:pP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b/>
                <w:color w:val="262626" w:themeColor="text1" w:themeTint="D9"/>
              </w:rPr>
            </w:pP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Payables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r w:rsidRPr="00E465A1">
              <w:rPr>
                <w:color w:val="262626" w:themeColor="text1" w:themeTint="D9"/>
              </w:rPr>
              <w:t xml:space="preserve"> 11</w:t>
            </w:r>
          </w:p>
        </w:tc>
        <w:tc>
          <w:tcPr>
            <w:tcW w:w="530" w:type="pct"/>
            <w:tcBorders>
              <w:top w:val="nil"/>
              <w:left w:val="nil"/>
              <w:bottom w:val="nil"/>
              <w:right w:val="nil"/>
            </w:tcBorders>
            <w:shd w:val="clear" w:color="auto" w:fill="FEE4B0"/>
            <w:vAlign w:val="bottom"/>
          </w:tcPr>
          <w:p w:rsidR="005D0C53" w:rsidRPr="00E465A1" w:rsidRDefault="005D0C53" w:rsidP="00D174DB">
            <w:pPr>
              <w:pStyle w:val="Normaltabletext1stpararight"/>
              <w:ind w:right="69"/>
              <w:rPr>
                <w:color w:val="262626" w:themeColor="text1" w:themeTint="D9"/>
              </w:rPr>
            </w:pPr>
            <w:r w:rsidRPr="00E465A1">
              <w:rPr>
                <w:color w:val="262626" w:themeColor="text1" w:themeTint="D9"/>
              </w:rPr>
              <w:t>4,8</w:t>
            </w:r>
            <w:r w:rsidR="00D174DB" w:rsidRPr="00E465A1">
              <w:rPr>
                <w:color w:val="262626" w:themeColor="text1" w:themeTint="D9"/>
              </w:rPr>
              <w:t>69</w:t>
            </w:r>
          </w:p>
        </w:tc>
        <w:tc>
          <w:tcPr>
            <w:tcW w:w="530" w:type="pct"/>
            <w:tcBorders>
              <w:top w:val="nil"/>
              <w:left w:val="nil"/>
              <w:bottom w:val="nil"/>
              <w:right w:val="nil"/>
            </w:tcBorders>
            <w:shd w:val="clear" w:color="auto" w:fill="auto"/>
            <w:vAlign w:val="bottom"/>
          </w:tcPr>
          <w:p w:rsidR="005D0C53" w:rsidRPr="00E465A1" w:rsidRDefault="00CC25BD" w:rsidP="005D0C53">
            <w:pPr>
              <w:pStyle w:val="Normaltabletext1stpararight"/>
              <w:ind w:right="139"/>
              <w:rPr>
                <w:color w:val="262626" w:themeColor="text1" w:themeTint="D9"/>
              </w:rPr>
            </w:pPr>
            <w:r w:rsidRPr="00E465A1">
              <w:rPr>
                <w:color w:val="262626" w:themeColor="text1" w:themeTint="D9"/>
              </w:rPr>
              <w:t>2,458</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D174DB">
            <w:pPr>
              <w:pStyle w:val="Normaltabletext1stpararight"/>
              <w:rPr>
                <w:color w:val="262626" w:themeColor="text1" w:themeTint="D9"/>
              </w:rPr>
            </w:pPr>
            <w:r w:rsidRPr="00E465A1">
              <w:rPr>
                <w:color w:val="262626" w:themeColor="text1" w:themeTint="D9"/>
              </w:rPr>
              <w:t>2,</w:t>
            </w:r>
            <w:r w:rsidR="00D174DB" w:rsidRPr="00E465A1">
              <w:rPr>
                <w:color w:val="262626" w:themeColor="text1" w:themeTint="D9"/>
              </w:rPr>
              <w:t>411</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2,971</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Lease liabilities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r w:rsidRPr="00E465A1">
              <w:rPr>
                <w:color w:val="262626" w:themeColor="text1" w:themeTint="D9"/>
              </w:rPr>
              <w:t xml:space="preserve"> 12</w:t>
            </w: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26</w:t>
            </w:r>
          </w:p>
        </w:tc>
        <w:tc>
          <w:tcPr>
            <w:tcW w:w="530" w:type="pct"/>
            <w:tcBorders>
              <w:top w:val="nil"/>
              <w:left w:val="nil"/>
              <w:bottom w:val="nil"/>
              <w:right w:val="nil"/>
            </w:tcBorders>
            <w:shd w:val="clear" w:color="auto" w:fill="auto"/>
            <w:vAlign w:val="bottom"/>
          </w:tcPr>
          <w:p w:rsidR="005D0C53" w:rsidRPr="00E465A1" w:rsidRDefault="00A41587" w:rsidP="005D0C53">
            <w:pPr>
              <w:pStyle w:val="Normaltabletext1stpararight"/>
              <w:ind w:right="139"/>
              <w:rPr>
                <w:color w:val="262626" w:themeColor="text1" w:themeTint="D9"/>
              </w:rPr>
            </w:pPr>
            <w:r w:rsidRPr="00E465A1">
              <w:rPr>
                <w:color w:val="262626" w:themeColor="text1" w:themeTint="D9"/>
              </w:rPr>
              <w:t>26</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rFonts w:cstheme="minorHAnsi"/>
                <w:color w:val="262626" w:themeColor="text1" w:themeTint="D9"/>
                <w:szCs w:val="19"/>
              </w:rPr>
              <w:t>–</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26</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Unearned revenue</w:t>
            </w:r>
          </w:p>
        </w:tc>
        <w:tc>
          <w:tcPr>
            <w:tcW w:w="452" w:type="pct"/>
            <w:tcBorders>
              <w:top w:val="nil"/>
              <w:left w:val="nil"/>
              <w:bottom w:val="nil"/>
              <w:right w:val="nil"/>
            </w:tcBorders>
            <w:noWrap/>
            <w:vAlign w:val="bottom"/>
          </w:tcPr>
          <w:p w:rsidR="005D0C53" w:rsidRPr="00E465A1" w:rsidRDefault="005922FF" w:rsidP="005D0C53">
            <w:pPr>
              <w:pStyle w:val="Normaltabletextcentred"/>
              <w:jc w:val="left"/>
              <w:rPr>
                <w:color w:val="262626" w:themeColor="text1" w:themeTint="D9"/>
              </w:rPr>
            </w:pPr>
            <w:r w:rsidRPr="00E465A1">
              <w:rPr>
                <w:color w:val="262626" w:themeColor="text1" w:themeTint="D9"/>
              </w:rPr>
              <w:t xml:space="preserve">        </w:t>
            </w:r>
            <w:r w:rsidR="005D0C53" w:rsidRPr="00E465A1">
              <w:rPr>
                <w:color w:val="262626" w:themeColor="text1" w:themeTint="D9"/>
              </w:rPr>
              <w:t>13</w:t>
            </w: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713</w:t>
            </w:r>
          </w:p>
        </w:tc>
        <w:tc>
          <w:tcPr>
            <w:tcW w:w="530" w:type="pct"/>
            <w:tcBorders>
              <w:top w:val="nil"/>
              <w:left w:val="nil"/>
              <w:bottom w:val="nil"/>
              <w:right w:val="nil"/>
            </w:tcBorders>
            <w:shd w:val="clear" w:color="auto" w:fill="auto"/>
            <w:vAlign w:val="bottom"/>
          </w:tcPr>
          <w:p w:rsidR="005D0C53" w:rsidRPr="00E465A1" w:rsidRDefault="00A41587" w:rsidP="005D0C53">
            <w:pPr>
              <w:pStyle w:val="Normaltabletext1stpararight"/>
              <w:ind w:right="139"/>
              <w:rPr>
                <w:color w:val="262626" w:themeColor="text1" w:themeTint="D9"/>
              </w:rPr>
            </w:pPr>
            <w:r w:rsidRPr="00E465A1">
              <w:rPr>
                <w:color w:val="262626" w:themeColor="text1" w:themeTint="D9"/>
              </w:rPr>
              <w:t>3</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color w:val="262626" w:themeColor="text1" w:themeTint="D9"/>
              </w:rPr>
              <w:t>710</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13</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Accrued employee benefits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r w:rsidRPr="00E465A1">
              <w:rPr>
                <w:color w:val="262626" w:themeColor="text1" w:themeTint="D9"/>
              </w:rPr>
              <w:t xml:space="preserve"> 14</w:t>
            </w:r>
          </w:p>
        </w:tc>
        <w:tc>
          <w:tcPr>
            <w:tcW w:w="530" w:type="pct"/>
            <w:tcBorders>
              <w:top w:val="nil"/>
              <w:left w:val="nil"/>
              <w:bottom w:val="nil"/>
              <w:right w:val="nil"/>
            </w:tcBorders>
            <w:shd w:val="clear" w:color="auto" w:fill="FEE4B0"/>
            <w:vAlign w:val="bottom"/>
          </w:tcPr>
          <w:p w:rsidR="005D0C53" w:rsidRPr="00E465A1" w:rsidRDefault="005D0C53" w:rsidP="00D174DB">
            <w:pPr>
              <w:pStyle w:val="Normaltabletext1stpararight"/>
              <w:ind w:right="69"/>
              <w:rPr>
                <w:color w:val="262626" w:themeColor="text1" w:themeTint="D9"/>
              </w:rPr>
            </w:pPr>
            <w:r w:rsidRPr="00E465A1">
              <w:rPr>
                <w:color w:val="262626" w:themeColor="text1" w:themeTint="D9"/>
              </w:rPr>
              <w:t>3,</w:t>
            </w:r>
            <w:r w:rsidR="00D174DB" w:rsidRPr="00E465A1">
              <w:rPr>
                <w:color w:val="262626" w:themeColor="text1" w:themeTint="D9"/>
              </w:rPr>
              <w:t>215</w:t>
            </w:r>
          </w:p>
        </w:tc>
        <w:tc>
          <w:tcPr>
            <w:tcW w:w="530" w:type="pct"/>
            <w:tcBorders>
              <w:top w:val="nil"/>
              <w:left w:val="nil"/>
              <w:bottom w:val="nil"/>
              <w:right w:val="nil"/>
            </w:tcBorders>
            <w:shd w:val="clear" w:color="auto" w:fill="auto"/>
            <w:vAlign w:val="bottom"/>
          </w:tcPr>
          <w:p w:rsidR="005D0C53" w:rsidRPr="00E465A1" w:rsidRDefault="00CC25BD" w:rsidP="005D0C53">
            <w:pPr>
              <w:pStyle w:val="Normaltabletext1stpararight"/>
              <w:ind w:right="139"/>
              <w:rPr>
                <w:color w:val="262626" w:themeColor="text1" w:themeTint="D9"/>
              </w:rPr>
            </w:pPr>
            <w:r w:rsidRPr="00E465A1">
              <w:rPr>
                <w:color w:val="262626" w:themeColor="text1" w:themeTint="D9"/>
              </w:rPr>
              <w:t>3,997</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82478E">
            <w:pPr>
              <w:pStyle w:val="Normaltabletext1stpararight"/>
              <w:rPr>
                <w:color w:val="262626" w:themeColor="text1" w:themeTint="D9"/>
              </w:rPr>
            </w:pPr>
            <w:r w:rsidRPr="00E465A1">
              <w:rPr>
                <w:color w:val="262626" w:themeColor="text1" w:themeTint="D9"/>
              </w:rPr>
              <w:t>(</w:t>
            </w:r>
            <w:r w:rsidR="0082478E" w:rsidRPr="00E465A1">
              <w:rPr>
                <w:color w:val="262626" w:themeColor="text1" w:themeTint="D9"/>
              </w:rPr>
              <w:t>782</w:t>
            </w:r>
            <w:r w:rsidRPr="00E465A1">
              <w:rPr>
                <w:color w:val="262626" w:themeColor="text1" w:themeTint="D9"/>
              </w:rPr>
              <w:t>)</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3,328</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Total Current Liabilities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single" w:sz="8" w:space="0" w:color="auto"/>
              <w:left w:val="nil"/>
              <w:bottom w:val="single" w:sz="8" w:space="0" w:color="auto"/>
              <w:right w:val="nil"/>
            </w:tcBorders>
            <w:shd w:val="clear" w:color="auto" w:fill="FEE4B0"/>
            <w:vAlign w:val="bottom"/>
          </w:tcPr>
          <w:p w:rsidR="005D0C53" w:rsidRPr="00E465A1" w:rsidRDefault="005D0C53" w:rsidP="00BC0DBE">
            <w:pPr>
              <w:pStyle w:val="Normaltabletext1stpararight"/>
              <w:ind w:right="69"/>
              <w:rPr>
                <w:b/>
                <w:color w:val="262626" w:themeColor="text1" w:themeTint="D9"/>
              </w:rPr>
            </w:pPr>
            <w:r w:rsidRPr="00E465A1">
              <w:rPr>
                <w:b/>
                <w:color w:val="262626" w:themeColor="text1" w:themeTint="D9"/>
              </w:rPr>
              <w:t>8,</w:t>
            </w:r>
            <w:r w:rsidR="00BC0DBE" w:rsidRPr="00E465A1">
              <w:rPr>
                <w:b/>
                <w:color w:val="262626" w:themeColor="text1" w:themeTint="D9"/>
              </w:rPr>
              <w:t>823</w:t>
            </w:r>
          </w:p>
        </w:tc>
        <w:tc>
          <w:tcPr>
            <w:tcW w:w="530" w:type="pct"/>
            <w:tcBorders>
              <w:top w:val="single" w:sz="8" w:space="0" w:color="auto"/>
              <w:left w:val="nil"/>
              <w:bottom w:val="single" w:sz="8" w:space="0" w:color="auto"/>
              <w:right w:val="nil"/>
            </w:tcBorders>
            <w:shd w:val="clear" w:color="auto" w:fill="auto"/>
            <w:vAlign w:val="bottom"/>
          </w:tcPr>
          <w:p w:rsidR="005D0C53" w:rsidRPr="00E465A1" w:rsidRDefault="00A41587" w:rsidP="005D0C53">
            <w:pPr>
              <w:pStyle w:val="Normaltabletext1stpararight"/>
              <w:ind w:right="139"/>
              <w:rPr>
                <w:b/>
                <w:color w:val="262626" w:themeColor="text1" w:themeTint="D9"/>
              </w:rPr>
            </w:pPr>
            <w:r w:rsidRPr="00E465A1">
              <w:rPr>
                <w:b/>
                <w:color w:val="262626" w:themeColor="text1" w:themeTint="D9"/>
              </w:rPr>
              <w:t>6,484</w:t>
            </w:r>
          </w:p>
        </w:tc>
        <w:tc>
          <w:tcPr>
            <w:tcW w:w="529" w:type="pct"/>
            <w:tcBorders>
              <w:top w:val="single" w:sz="8" w:space="0" w:color="auto"/>
              <w:left w:val="nil"/>
              <w:bottom w:val="single" w:sz="8" w:space="0" w:color="auto"/>
              <w:right w:val="nil"/>
            </w:tcBorders>
            <w:shd w:val="clear" w:color="auto" w:fill="FEE4B0"/>
            <w:tcMar>
              <w:left w:w="15" w:type="dxa"/>
              <w:right w:w="113" w:type="dxa"/>
            </w:tcMar>
            <w:vAlign w:val="bottom"/>
          </w:tcPr>
          <w:p w:rsidR="005D0C53" w:rsidRPr="00E465A1" w:rsidRDefault="007569F4" w:rsidP="0082478E">
            <w:pPr>
              <w:pStyle w:val="Normaltabletext1stpararight"/>
              <w:rPr>
                <w:b/>
                <w:color w:val="262626" w:themeColor="text1" w:themeTint="D9"/>
              </w:rPr>
            </w:pPr>
            <w:r w:rsidRPr="00E465A1">
              <w:rPr>
                <w:b/>
                <w:color w:val="262626" w:themeColor="text1" w:themeTint="D9"/>
              </w:rPr>
              <w:t>2,</w:t>
            </w:r>
            <w:r w:rsidR="0082478E" w:rsidRPr="00E465A1">
              <w:rPr>
                <w:b/>
                <w:color w:val="262626" w:themeColor="text1" w:themeTint="D9"/>
              </w:rPr>
              <w:t>339</w:t>
            </w:r>
          </w:p>
        </w:tc>
        <w:tc>
          <w:tcPr>
            <w:tcW w:w="523" w:type="pct"/>
            <w:tcBorders>
              <w:top w:val="single" w:sz="8" w:space="0" w:color="auto"/>
              <w:left w:val="nil"/>
              <w:bottom w:val="single" w:sz="8"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6,338</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single" w:sz="8" w:space="0" w:color="auto"/>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p>
        </w:tc>
        <w:tc>
          <w:tcPr>
            <w:tcW w:w="530" w:type="pct"/>
            <w:tcBorders>
              <w:top w:val="single" w:sz="8" w:space="0" w:color="auto"/>
              <w:left w:val="nil"/>
              <w:bottom w:val="nil"/>
              <w:right w:val="nil"/>
            </w:tcBorders>
            <w:shd w:val="clear" w:color="auto" w:fill="auto"/>
            <w:vAlign w:val="bottom"/>
          </w:tcPr>
          <w:p w:rsidR="005D0C53" w:rsidRPr="00E465A1" w:rsidRDefault="005D0C53" w:rsidP="005D0C53">
            <w:pPr>
              <w:pStyle w:val="Normaltabletext1stpararight"/>
              <w:ind w:right="139"/>
              <w:rPr>
                <w:color w:val="262626" w:themeColor="text1" w:themeTint="D9"/>
              </w:rPr>
            </w:pPr>
          </w:p>
        </w:tc>
        <w:tc>
          <w:tcPr>
            <w:tcW w:w="529" w:type="pct"/>
            <w:tcBorders>
              <w:top w:val="single" w:sz="8" w:space="0" w:color="auto"/>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color w:val="262626" w:themeColor="text1" w:themeTint="D9"/>
              </w:rPr>
            </w:pPr>
          </w:p>
        </w:tc>
        <w:tc>
          <w:tcPr>
            <w:tcW w:w="523" w:type="pct"/>
            <w:tcBorders>
              <w:top w:val="single" w:sz="8" w:space="0" w:color="auto"/>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Non-Current Liabilities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nil"/>
              <w:left w:val="nil"/>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p>
        </w:tc>
        <w:tc>
          <w:tcPr>
            <w:tcW w:w="530" w:type="pct"/>
            <w:tcBorders>
              <w:top w:val="nil"/>
              <w:left w:val="nil"/>
              <w:right w:val="nil"/>
            </w:tcBorders>
            <w:shd w:val="clear" w:color="auto" w:fill="auto"/>
            <w:vAlign w:val="bottom"/>
          </w:tcPr>
          <w:p w:rsidR="005D0C53" w:rsidRPr="00E465A1" w:rsidRDefault="005D0C53" w:rsidP="005D0C53">
            <w:pPr>
              <w:pStyle w:val="Normaltabletext1stpararight"/>
              <w:ind w:right="139"/>
              <w:rPr>
                <w:b/>
                <w:color w:val="262626" w:themeColor="text1" w:themeTint="D9"/>
              </w:rPr>
            </w:pPr>
          </w:p>
        </w:tc>
        <w:tc>
          <w:tcPr>
            <w:tcW w:w="529" w:type="pct"/>
            <w:tcBorders>
              <w:top w:val="nil"/>
              <w:left w:val="nil"/>
              <w:right w:val="nil"/>
            </w:tcBorders>
            <w:shd w:val="clear" w:color="auto" w:fill="FEE4B0"/>
            <w:tcMar>
              <w:left w:w="15" w:type="dxa"/>
              <w:right w:w="113" w:type="dxa"/>
            </w:tcMar>
            <w:vAlign w:val="bottom"/>
          </w:tcPr>
          <w:p w:rsidR="005D0C53" w:rsidRPr="00E465A1" w:rsidRDefault="005D0C53" w:rsidP="005D0C53">
            <w:pPr>
              <w:pStyle w:val="Normaltabletext1stpararight"/>
              <w:rPr>
                <w:b/>
                <w:color w:val="262626" w:themeColor="text1" w:themeTint="D9"/>
              </w:rPr>
            </w:pPr>
          </w:p>
        </w:tc>
        <w:tc>
          <w:tcPr>
            <w:tcW w:w="523" w:type="pct"/>
            <w:tcBorders>
              <w:top w:val="nil"/>
              <w:left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Lease liabilities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r w:rsidRPr="00E465A1">
              <w:rPr>
                <w:color w:val="262626" w:themeColor="text1" w:themeTint="D9"/>
              </w:rPr>
              <w:t>12</w:t>
            </w:r>
          </w:p>
        </w:tc>
        <w:tc>
          <w:tcPr>
            <w:tcW w:w="530" w:type="pct"/>
            <w:tcBorders>
              <w:top w:val="nil"/>
              <w:left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482</w:t>
            </w:r>
          </w:p>
        </w:tc>
        <w:tc>
          <w:tcPr>
            <w:tcW w:w="530" w:type="pct"/>
            <w:tcBorders>
              <w:top w:val="nil"/>
              <w:left w:val="nil"/>
              <w:right w:val="nil"/>
            </w:tcBorders>
            <w:shd w:val="clear" w:color="auto" w:fill="auto"/>
            <w:vAlign w:val="bottom"/>
          </w:tcPr>
          <w:p w:rsidR="005D0C53" w:rsidRPr="00E465A1" w:rsidRDefault="00A41587" w:rsidP="005D0C53">
            <w:pPr>
              <w:pStyle w:val="Normaltabletext1stpararight"/>
              <w:ind w:right="139"/>
              <w:rPr>
                <w:color w:val="262626" w:themeColor="text1" w:themeTint="D9"/>
              </w:rPr>
            </w:pPr>
            <w:r w:rsidRPr="00E465A1">
              <w:rPr>
                <w:color w:val="262626" w:themeColor="text1" w:themeTint="D9"/>
              </w:rPr>
              <w:t>482</w:t>
            </w:r>
          </w:p>
        </w:tc>
        <w:tc>
          <w:tcPr>
            <w:tcW w:w="529" w:type="pct"/>
            <w:tcBorders>
              <w:top w:val="nil"/>
              <w:left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rFonts w:cstheme="minorHAnsi"/>
                <w:color w:val="262626" w:themeColor="text1" w:themeTint="D9"/>
                <w:szCs w:val="19"/>
              </w:rPr>
              <w:t>–</w:t>
            </w:r>
          </w:p>
        </w:tc>
        <w:tc>
          <w:tcPr>
            <w:tcW w:w="523" w:type="pct"/>
            <w:tcBorders>
              <w:top w:val="nil"/>
              <w:left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352</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Provisions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r w:rsidRPr="00E465A1">
              <w:rPr>
                <w:color w:val="262626" w:themeColor="text1" w:themeTint="D9"/>
              </w:rPr>
              <w:t>15</w:t>
            </w:r>
          </w:p>
        </w:tc>
        <w:tc>
          <w:tcPr>
            <w:tcW w:w="530" w:type="pct"/>
            <w:tcBorders>
              <w:left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246</w:t>
            </w:r>
          </w:p>
        </w:tc>
        <w:tc>
          <w:tcPr>
            <w:tcW w:w="530" w:type="pct"/>
            <w:tcBorders>
              <w:left w:val="nil"/>
              <w:right w:val="nil"/>
            </w:tcBorders>
            <w:shd w:val="clear" w:color="auto" w:fill="auto"/>
            <w:vAlign w:val="bottom"/>
          </w:tcPr>
          <w:p w:rsidR="005D0C53" w:rsidRPr="00E465A1" w:rsidRDefault="00A41587" w:rsidP="005D0C53">
            <w:pPr>
              <w:pStyle w:val="Normaltabletext1stpararight"/>
              <w:ind w:right="139"/>
              <w:rPr>
                <w:color w:val="262626" w:themeColor="text1" w:themeTint="D9"/>
              </w:rPr>
            </w:pPr>
            <w:r w:rsidRPr="00E465A1">
              <w:rPr>
                <w:color w:val="262626" w:themeColor="text1" w:themeTint="D9"/>
              </w:rPr>
              <w:t>342</w:t>
            </w:r>
          </w:p>
        </w:tc>
        <w:tc>
          <w:tcPr>
            <w:tcW w:w="529" w:type="pct"/>
            <w:tcBorders>
              <w:left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color w:val="262626" w:themeColor="text1" w:themeTint="D9"/>
              </w:rPr>
              <w:t>(96)</w:t>
            </w:r>
          </w:p>
        </w:tc>
        <w:tc>
          <w:tcPr>
            <w:tcW w:w="523" w:type="pct"/>
            <w:tcBorders>
              <w:left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328</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Total Non-Current Liabilities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single" w:sz="8" w:space="0" w:color="auto"/>
              <w:left w:val="nil"/>
              <w:bottom w:val="single" w:sz="8" w:space="0" w:color="auto"/>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r w:rsidRPr="00E465A1">
              <w:rPr>
                <w:b/>
                <w:color w:val="262626" w:themeColor="text1" w:themeTint="D9"/>
              </w:rPr>
              <w:t>728</w:t>
            </w:r>
          </w:p>
        </w:tc>
        <w:tc>
          <w:tcPr>
            <w:tcW w:w="530" w:type="pct"/>
            <w:tcBorders>
              <w:top w:val="single" w:sz="8" w:space="0" w:color="auto"/>
              <w:left w:val="nil"/>
              <w:bottom w:val="single" w:sz="8" w:space="0" w:color="auto"/>
              <w:right w:val="nil"/>
            </w:tcBorders>
            <w:shd w:val="clear" w:color="auto" w:fill="auto"/>
            <w:vAlign w:val="bottom"/>
          </w:tcPr>
          <w:p w:rsidR="005D0C53" w:rsidRPr="00E465A1" w:rsidRDefault="00A41587" w:rsidP="005D0C53">
            <w:pPr>
              <w:pStyle w:val="Normaltabletext1stpararight"/>
              <w:ind w:right="139"/>
              <w:rPr>
                <w:b/>
                <w:color w:val="262626" w:themeColor="text1" w:themeTint="D9"/>
              </w:rPr>
            </w:pPr>
            <w:r w:rsidRPr="00E465A1">
              <w:rPr>
                <w:b/>
                <w:color w:val="262626" w:themeColor="text1" w:themeTint="D9"/>
              </w:rPr>
              <w:t>824</w:t>
            </w:r>
          </w:p>
        </w:tc>
        <w:tc>
          <w:tcPr>
            <w:tcW w:w="529" w:type="pct"/>
            <w:tcBorders>
              <w:top w:val="single" w:sz="8" w:space="0" w:color="auto"/>
              <w:left w:val="nil"/>
              <w:bottom w:val="single" w:sz="8" w:space="0" w:color="auto"/>
              <w:right w:val="nil"/>
            </w:tcBorders>
            <w:shd w:val="clear" w:color="auto" w:fill="FEE4B0"/>
            <w:tcMar>
              <w:left w:w="15" w:type="dxa"/>
              <w:right w:w="113" w:type="dxa"/>
            </w:tcMar>
            <w:vAlign w:val="bottom"/>
          </w:tcPr>
          <w:p w:rsidR="005D0C53" w:rsidRPr="00E465A1" w:rsidRDefault="007569F4" w:rsidP="005D0C53">
            <w:pPr>
              <w:pStyle w:val="Normaltabletext1stpararight"/>
              <w:rPr>
                <w:b/>
                <w:color w:val="262626" w:themeColor="text1" w:themeTint="D9"/>
              </w:rPr>
            </w:pPr>
            <w:r w:rsidRPr="00E465A1">
              <w:rPr>
                <w:b/>
                <w:color w:val="262626" w:themeColor="text1" w:themeTint="D9"/>
              </w:rPr>
              <w:t>(96)</w:t>
            </w:r>
          </w:p>
        </w:tc>
        <w:tc>
          <w:tcPr>
            <w:tcW w:w="523" w:type="pct"/>
            <w:tcBorders>
              <w:top w:val="single" w:sz="8" w:space="0" w:color="auto"/>
              <w:left w:val="nil"/>
              <w:bottom w:val="single" w:sz="8"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680</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nil"/>
              <w:left w:val="nil"/>
              <w:bottom w:val="single" w:sz="8" w:space="0" w:color="auto"/>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p>
        </w:tc>
        <w:tc>
          <w:tcPr>
            <w:tcW w:w="530" w:type="pct"/>
            <w:tcBorders>
              <w:top w:val="nil"/>
              <w:left w:val="nil"/>
              <w:bottom w:val="single" w:sz="8" w:space="0" w:color="auto"/>
              <w:right w:val="nil"/>
            </w:tcBorders>
            <w:shd w:val="clear" w:color="auto" w:fill="auto"/>
            <w:vAlign w:val="bottom"/>
          </w:tcPr>
          <w:p w:rsidR="005D0C53" w:rsidRPr="00E465A1" w:rsidRDefault="005D0C53" w:rsidP="005D0C53">
            <w:pPr>
              <w:pStyle w:val="Normaltabletext1stpararight"/>
              <w:ind w:right="139"/>
              <w:rPr>
                <w:color w:val="262626" w:themeColor="text1" w:themeTint="D9"/>
              </w:rPr>
            </w:pPr>
          </w:p>
        </w:tc>
        <w:tc>
          <w:tcPr>
            <w:tcW w:w="529" w:type="pct"/>
            <w:tcBorders>
              <w:top w:val="nil"/>
              <w:left w:val="nil"/>
              <w:bottom w:val="single" w:sz="8" w:space="0" w:color="auto"/>
              <w:right w:val="nil"/>
            </w:tcBorders>
            <w:shd w:val="clear" w:color="auto" w:fill="FEE4B0"/>
            <w:tcMar>
              <w:left w:w="15" w:type="dxa"/>
              <w:right w:w="113" w:type="dxa"/>
            </w:tcMar>
            <w:vAlign w:val="bottom"/>
          </w:tcPr>
          <w:p w:rsidR="005D0C53" w:rsidRPr="00E465A1" w:rsidRDefault="005D0C53" w:rsidP="005D0C53">
            <w:pPr>
              <w:pStyle w:val="Normaltabletext1stpararight"/>
              <w:rPr>
                <w:color w:val="262626" w:themeColor="text1" w:themeTint="D9"/>
              </w:rPr>
            </w:pPr>
          </w:p>
        </w:tc>
        <w:tc>
          <w:tcPr>
            <w:tcW w:w="523" w:type="pct"/>
            <w:tcBorders>
              <w:top w:val="nil"/>
              <w:left w:val="nil"/>
              <w:bottom w:val="single" w:sz="8"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Total Liabilities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single" w:sz="8" w:space="0" w:color="auto"/>
              <w:left w:val="nil"/>
              <w:bottom w:val="double" w:sz="6" w:space="0" w:color="auto"/>
              <w:right w:val="nil"/>
            </w:tcBorders>
            <w:shd w:val="clear" w:color="auto" w:fill="FEE4B0"/>
            <w:vAlign w:val="bottom"/>
          </w:tcPr>
          <w:p w:rsidR="005D0C53" w:rsidRPr="00E465A1" w:rsidRDefault="005D0C53" w:rsidP="0082478E">
            <w:pPr>
              <w:pStyle w:val="Normaltabletext1stpararight"/>
              <w:ind w:right="69"/>
              <w:rPr>
                <w:b/>
                <w:color w:val="262626" w:themeColor="text1" w:themeTint="D9"/>
              </w:rPr>
            </w:pPr>
            <w:r w:rsidRPr="00E465A1">
              <w:rPr>
                <w:b/>
                <w:color w:val="262626" w:themeColor="text1" w:themeTint="D9"/>
              </w:rPr>
              <w:t>9</w:t>
            </w:r>
            <w:r w:rsidR="0082478E" w:rsidRPr="00E465A1">
              <w:rPr>
                <w:b/>
                <w:color w:val="262626" w:themeColor="text1" w:themeTint="D9"/>
              </w:rPr>
              <w:t>,551</w:t>
            </w:r>
          </w:p>
        </w:tc>
        <w:tc>
          <w:tcPr>
            <w:tcW w:w="530" w:type="pct"/>
            <w:tcBorders>
              <w:top w:val="single" w:sz="8" w:space="0" w:color="auto"/>
              <w:left w:val="nil"/>
              <w:bottom w:val="double" w:sz="6" w:space="0" w:color="auto"/>
              <w:right w:val="nil"/>
            </w:tcBorders>
            <w:shd w:val="clear" w:color="auto" w:fill="auto"/>
            <w:vAlign w:val="bottom"/>
          </w:tcPr>
          <w:p w:rsidR="005D0C53" w:rsidRPr="00E465A1" w:rsidRDefault="00A41587" w:rsidP="005D0C53">
            <w:pPr>
              <w:pStyle w:val="Normaltabletext1stpararight"/>
              <w:ind w:right="139"/>
              <w:rPr>
                <w:b/>
                <w:color w:val="262626" w:themeColor="text1" w:themeTint="D9"/>
              </w:rPr>
            </w:pPr>
            <w:r w:rsidRPr="00E465A1">
              <w:rPr>
                <w:b/>
                <w:color w:val="262626" w:themeColor="text1" w:themeTint="D9"/>
              </w:rPr>
              <w:t>7,308</w:t>
            </w:r>
          </w:p>
        </w:tc>
        <w:tc>
          <w:tcPr>
            <w:tcW w:w="529" w:type="pct"/>
            <w:tcBorders>
              <w:top w:val="single" w:sz="8" w:space="0" w:color="auto"/>
              <w:left w:val="nil"/>
              <w:bottom w:val="double" w:sz="6" w:space="0" w:color="auto"/>
              <w:right w:val="nil"/>
            </w:tcBorders>
            <w:shd w:val="clear" w:color="auto" w:fill="FEE4B0"/>
            <w:tcMar>
              <w:left w:w="15" w:type="dxa"/>
              <w:right w:w="113" w:type="dxa"/>
            </w:tcMar>
            <w:vAlign w:val="bottom"/>
          </w:tcPr>
          <w:p w:rsidR="005D0C53" w:rsidRPr="00E465A1" w:rsidRDefault="007569F4" w:rsidP="0082478E">
            <w:pPr>
              <w:pStyle w:val="Normaltabletext1stpararight"/>
              <w:rPr>
                <w:b/>
                <w:color w:val="262626" w:themeColor="text1" w:themeTint="D9"/>
              </w:rPr>
            </w:pPr>
            <w:r w:rsidRPr="00E465A1">
              <w:rPr>
                <w:b/>
                <w:color w:val="262626" w:themeColor="text1" w:themeTint="D9"/>
              </w:rPr>
              <w:t>2</w:t>
            </w:r>
            <w:r w:rsidR="0082478E" w:rsidRPr="00E465A1">
              <w:rPr>
                <w:b/>
                <w:color w:val="262626" w:themeColor="text1" w:themeTint="D9"/>
              </w:rPr>
              <w:t>,243</w:t>
            </w:r>
          </w:p>
        </w:tc>
        <w:tc>
          <w:tcPr>
            <w:tcW w:w="523" w:type="pct"/>
            <w:tcBorders>
              <w:top w:val="single" w:sz="8" w:space="0" w:color="auto"/>
              <w:left w:val="nil"/>
              <w:bottom w:val="double" w:sz="6"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7,018</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double" w:sz="6" w:space="0" w:color="auto"/>
              <w:left w:val="nil"/>
              <w:bottom w:val="single" w:sz="8" w:space="0" w:color="auto"/>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p>
        </w:tc>
        <w:tc>
          <w:tcPr>
            <w:tcW w:w="530" w:type="pct"/>
            <w:tcBorders>
              <w:top w:val="double" w:sz="6" w:space="0" w:color="auto"/>
              <w:left w:val="nil"/>
              <w:bottom w:val="single" w:sz="8" w:space="0" w:color="auto"/>
              <w:right w:val="nil"/>
            </w:tcBorders>
            <w:shd w:val="clear" w:color="auto" w:fill="auto"/>
            <w:vAlign w:val="bottom"/>
          </w:tcPr>
          <w:p w:rsidR="005D0C53" w:rsidRPr="00E465A1" w:rsidRDefault="005D0C53" w:rsidP="005D0C53">
            <w:pPr>
              <w:pStyle w:val="Normaltabletext1stpararight"/>
              <w:ind w:right="139"/>
              <w:rPr>
                <w:color w:val="262626" w:themeColor="text1" w:themeTint="D9"/>
              </w:rPr>
            </w:pPr>
          </w:p>
        </w:tc>
        <w:tc>
          <w:tcPr>
            <w:tcW w:w="529" w:type="pct"/>
            <w:tcBorders>
              <w:top w:val="double" w:sz="6" w:space="0" w:color="auto"/>
              <w:left w:val="nil"/>
              <w:bottom w:val="single" w:sz="8" w:space="0" w:color="auto"/>
              <w:right w:val="nil"/>
            </w:tcBorders>
            <w:shd w:val="clear" w:color="auto" w:fill="FEE4B0"/>
            <w:tcMar>
              <w:left w:w="15" w:type="dxa"/>
              <w:right w:w="113" w:type="dxa"/>
            </w:tcMar>
            <w:vAlign w:val="bottom"/>
          </w:tcPr>
          <w:p w:rsidR="005D0C53" w:rsidRPr="00E465A1" w:rsidRDefault="005D0C53" w:rsidP="005D0C53">
            <w:pPr>
              <w:pStyle w:val="Normaltabletext1stpararight"/>
              <w:rPr>
                <w:color w:val="262626" w:themeColor="text1" w:themeTint="D9"/>
              </w:rPr>
            </w:pPr>
          </w:p>
        </w:tc>
        <w:tc>
          <w:tcPr>
            <w:tcW w:w="523" w:type="pct"/>
            <w:tcBorders>
              <w:top w:val="double" w:sz="6" w:space="0" w:color="auto"/>
              <w:left w:val="nil"/>
              <w:bottom w:val="single" w:sz="8"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Net Assets</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nil"/>
              <w:left w:val="nil"/>
              <w:bottom w:val="double" w:sz="6" w:space="0" w:color="auto"/>
              <w:right w:val="nil"/>
            </w:tcBorders>
            <w:shd w:val="clear" w:color="auto" w:fill="FEE4B0"/>
            <w:vAlign w:val="bottom"/>
          </w:tcPr>
          <w:p w:rsidR="005D0C53" w:rsidRPr="00E465A1" w:rsidRDefault="0082478E" w:rsidP="0082478E">
            <w:pPr>
              <w:pStyle w:val="Normaltabletext1stpararight"/>
              <w:ind w:right="69"/>
              <w:rPr>
                <w:b/>
                <w:color w:val="262626" w:themeColor="text1" w:themeTint="D9"/>
              </w:rPr>
            </w:pPr>
            <w:r w:rsidRPr="00E465A1">
              <w:rPr>
                <w:b/>
                <w:color w:val="262626" w:themeColor="text1" w:themeTint="D9"/>
              </w:rPr>
              <w:t>17,894</w:t>
            </w:r>
          </w:p>
        </w:tc>
        <w:tc>
          <w:tcPr>
            <w:tcW w:w="530" w:type="pct"/>
            <w:tcBorders>
              <w:top w:val="nil"/>
              <w:left w:val="nil"/>
              <w:bottom w:val="double" w:sz="6" w:space="0" w:color="auto"/>
              <w:right w:val="nil"/>
            </w:tcBorders>
            <w:shd w:val="clear" w:color="auto" w:fill="auto"/>
            <w:vAlign w:val="bottom"/>
          </w:tcPr>
          <w:p w:rsidR="005D0C53" w:rsidRPr="00E465A1" w:rsidRDefault="00A41587" w:rsidP="005D0C53">
            <w:pPr>
              <w:pStyle w:val="Normaltabletext1stpararight"/>
              <w:ind w:right="139"/>
              <w:rPr>
                <w:b/>
                <w:color w:val="262626" w:themeColor="text1" w:themeTint="D9"/>
              </w:rPr>
            </w:pPr>
            <w:r w:rsidRPr="00E465A1">
              <w:rPr>
                <w:b/>
                <w:color w:val="262626" w:themeColor="text1" w:themeTint="D9"/>
              </w:rPr>
              <w:t>20,269</w:t>
            </w:r>
          </w:p>
        </w:tc>
        <w:tc>
          <w:tcPr>
            <w:tcW w:w="529" w:type="pct"/>
            <w:tcBorders>
              <w:top w:val="nil"/>
              <w:left w:val="nil"/>
              <w:bottom w:val="double" w:sz="6" w:space="0" w:color="auto"/>
              <w:right w:val="nil"/>
            </w:tcBorders>
            <w:shd w:val="clear" w:color="auto" w:fill="FEE4B0"/>
            <w:tcMar>
              <w:left w:w="15" w:type="dxa"/>
              <w:right w:w="113" w:type="dxa"/>
            </w:tcMar>
            <w:vAlign w:val="bottom"/>
          </w:tcPr>
          <w:p w:rsidR="005D0C53" w:rsidRPr="00E465A1" w:rsidRDefault="007569F4" w:rsidP="0082478E">
            <w:pPr>
              <w:pStyle w:val="Normaltabletext1stpararight"/>
              <w:rPr>
                <w:b/>
                <w:color w:val="262626" w:themeColor="text1" w:themeTint="D9"/>
              </w:rPr>
            </w:pPr>
            <w:r w:rsidRPr="00E465A1">
              <w:rPr>
                <w:b/>
                <w:color w:val="262626" w:themeColor="text1" w:themeTint="D9"/>
              </w:rPr>
              <w:t>(2,</w:t>
            </w:r>
            <w:r w:rsidR="0082478E" w:rsidRPr="00E465A1">
              <w:rPr>
                <w:b/>
                <w:color w:val="262626" w:themeColor="text1" w:themeTint="D9"/>
              </w:rPr>
              <w:t>375</w:t>
            </w:r>
            <w:r w:rsidRPr="00E465A1">
              <w:rPr>
                <w:b/>
                <w:color w:val="262626" w:themeColor="text1" w:themeTint="D9"/>
              </w:rPr>
              <w:t>)</w:t>
            </w:r>
          </w:p>
        </w:tc>
        <w:tc>
          <w:tcPr>
            <w:tcW w:w="523" w:type="pct"/>
            <w:tcBorders>
              <w:top w:val="nil"/>
              <w:left w:val="nil"/>
              <w:bottom w:val="double" w:sz="6"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16,787</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color w:val="262626" w:themeColor="text1" w:themeTint="D9"/>
              </w:rPr>
            </w:pP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color w:val="262626" w:themeColor="text1" w:themeTint="D9"/>
              </w:rPr>
            </w:pP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Equity</w:t>
            </w:r>
          </w:p>
        </w:tc>
        <w:tc>
          <w:tcPr>
            <w:tcW w:w="452" w:type="pct"/>
            <w:tcBorders>
              <w:top w:val="nil"/>
              <w:left w:val="nil"/>
              <w:bottom w:val="nil"/>
              <w:right w:val="nil"/>
            </w:tcBorders>
            <w:noWrap/>
            <w:vAlign w:val="bottom"/>
          </w:tcPr>
          <w:p w:rsidR="005D0C53" w:rsidRPr="00E465A1" w:rsidRDefault="005D0C53" w:rsidP="005D0C53">
            <w:pPr>
              <w:pStyle w:val="Normaltabletextcentred"/>
              <w:rPr>
                <w:b/>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b/>
                <w:color w:val="262626" w:themeColor="text1" w:themeTint="D9"/>
              </w:rPr>
            </w:pPr>
          </w:p>
        </w:tc>
        <w:tc>
          <w:tcPr>
            <w:tcW w:w="530" w:type="pct"/>
            <w:tcBorders>
              <w:top w:val="nil"/>
              <w:left w:val="nil"/>
              <w:bottom w:val="nil"/>
              <w:right w:val="nil"/>
            </w:tcBorders>
            <w:shd w:val="clear" w:color="auto" w:fill="auto"/>
            <w:vAlign w:val="bottom"/>
          </w:tcPr>
          <w:p w:rsidR="005D0C53" w:rsidRPr="00E465A1" w:rsidRDefault="005D0C53" w:rsidP="005D0C53">
            <w:pPr>
              <w:pStyle w:val="Normaltabletext1stpararight"/>
              <w:ind w:right="139"/>
              <w:rPr>
                <w:b/>
                <w:color w:val="262626" w:themeColor="text1" w:themeTint="D9"/>
              </w:rPr>
            </w:pP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5D0C53" w:rsidP="005D0C53">
            <w:pPr>
              <w:pStyle w:val="Normaltabletext1stpararight"/>
              <w:rPr>
                <w:b/>
                <w:color w:val="262626" w:themeColor="text1" w:themeTint="D9"/>
              </w:rPr>
            </w:pP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Contributed equity</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nil"/>
              <w:left w:val="nil"/>
              <w:bottom w:val="nil"/>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r w:rsidRPr="00E465A1">
              <w:rPr>
                <w:color w:val="262626" w:themeColor="text1" w:themeTint="D9"/>
              </w:rPr>
              <w:t>12,921</w:t>
            </w:r>
          </w:p>
        </w:tc>
        <w:tc>
          <w:tcPr>
            <w:tcW w:w="530" w:type="pct"/>
            <w:tcBorders>
              <w:top w:val="nil"/>
              <w:left w:val="nil"/>
              <w:bottom w:val="nil"/>
              <w:right w:val="nil"/>
            </w:tcBorders>
            <w:shd w:val="clear" w:color="auto" w:fill="auto"/>
            <w:vAlign w:val="bottom"/>
          </w:tcPr>
          <w:p w:rsidR="005D0C53" w:rsidRPr="00E465A1" w:rsidRDefault="00A41587" w:rsidP="005D0C53">
            <w:pPr>
              <w:pStyle w:val="Normaltabletext1stpararight"/>
              <w:ind w:right="139"/>
              <w:rPr>
                <w:color w:val="262626" w:themeColor="text1" w:themeTint="D9"/>
              </w:rPr>
            </w:pPr>
            <w:r w:rsidRPr="00E465A1">
              <w:rPr>
                <w:color w:val="262626" w:themeColor="text1" w:themeTint="D9"/>
              </w:rPr>
              <w:t>15,857</w:t>
            </w:r>
          </w:p>
        </w:tc>
        <w:tc>
          <w:tcPr>
            <w:tcW w:w="529" w:type="pct"/>
            <w:tcBorders>
              <w:top w:val="nil"/>
              <w:left w:val="nil"/>
              <w:bottom w:val="nil"/>
              <w:right w:val="nil"/>
            </w:tcBorders>
            <w:shd w:val="clear" w:color="auto" w:fill="FEE4B0"/>
            <w:tcMar>
              <w:left w:w="15" w:type="dxa"/>
              <w:right w:w="113" w:type="dxa"/>
            </w:tcMar>
            <w:vAlign w:val="bottom"/>
          </w:tcPr>
          <w:p w:rsidR="005D0C53" w:rsidRPr="00E465A1" w:rsidRDefault="007569F4" w:rsidP="005D0C53">
            <w:pPr>
              <w:pStyle w:val="Normaltabletext1stpararight"/>
              <w:rPr>
                <w:color w:val="262626" w:themeColor="text1" w:themeTint="D9"/>
              </w:rPr>
            </w:pPr>
            <w:r w:rsidRPr="00E465A1">
              <w:rPr>
                <w:color w:val="262626" w:themeColor="text1" w:themeTint="D9"/>
              </w:rPr>
              <w:t>(2,936)</w:t>
            </w:r>
          </w:p>
        </w:tc>
        <w:tc>
          <w:tcPr>
            <w:tcW w:w="523" w:type="pct"/>
            <w:tcBorders>
              <w:top w:val="nil"/>
              <w:left w:val="nil"/>
              <w:bottom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12,221</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r w:rsidRPr="00E465A1">
              <w:rPr>
                <w:color w:val="262626" w:themeColor="text1" w:themeTint="D9"/>
              </w:rPr>
              <w:t>Accumulated surplus</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nil"/>
              <w:left w:val="nil"/>
              <w:right w:val="nil"/>
            </w:tcBorders>
            <w:shd w:val="clear" w:color="auto" w:fill="FEE4B0"/>
            <w:vAlign w:val="bottom"/>
          </w:tcPr>
          <w:p w:rsidR="005D0C53" w:rsidRPr="00E465A1" w:rsidRDefault="0082478E" w:rsidP="005D0C53">
            <w:pPr>
              <w:pStyle w:val="Normaltabletext1stpararight"/>
              <w:ind w:right="69"/>
              <w:rPr>
                <w:color w:val="262626" w:themeColor="text1" w:themeTint="D9"/>
              </w:rPr>
            </w:pPr>
            <w:r w:rsidRPr="00E465A1">
              <w:rPr>
                <w:color w:val="262626" w:themeColor="text1" w:themeTint="D9"/>
              </w:rPr>
              <w:t>4,973</w:t>
            </w:r>
          </w:p>
        </w:tc>
        <w:tc>
          <w:tcPr>
            <w:tcW w:w="530" w:type="pct"/>
            <w:tcBorders>
              <w:top w:val="nil"/>
              <w:left w:val="nil"/>
              <w:right w:val="nil"/>
            </w:tcBorders>
            <w:shd w:val="clear" w:color="auto" w:fill="auto"/>
            <w:vAlign w:val="bottom"/>
          </w:tcPr>
          <w:p w:rsidR="005D0C53" w:rsidRPr="00E465A1" w:rsidRDefault="00A41587" w:rsidP="005D0C53">
            <w:pPr>
              <w:pStyle w:val="Normaltabletext1stpararight"/>
              <w:ind w:right="139"/>
              <w:rPr>
                <w:color w:val="262626" w:themeColor="text1" w:themeTint="D9"/>
              </w:rPr>
            </w:pPr>
            <w:r w:rsidRPr="00E465A1">
              <w:rPr>
                <w:color w:val="262626" w:themeColor="text1" w:themeTint="D9"/>
              </w:rPr>
              <w:t>4,412</w:t>
            </w:r>
          </w:p>
        </w:tc>
        <w:tc>
          <w:tcPr>
            <w:tcW w:w="529" w:type="pct"/>
            <w:tcBorders>
              <w:top w:val="nil"/>
              <w:left w:val="nil"/>
              <w:right w:val="nil"/>
            </w:tcBorders>
            <w:shd w:val="clear" w:color="auto" w:fill="FEE4B0"/>
            <w:tcMar>
              <w:left w:w="15" w:type="dxa"/>
              <w:right w:w="113" w:type="dxa"/>
            </w:tcMar>
            <w:vAlign w:val="bottom"/>
          </w:tcPr>
          <w:p w:rsidR="005D0C53" w:rsidRPr="00E465A1" w:rsidRDefault="0082478E" w:rsidP="005D0C53">
            <w:pPr>
              <w:pStyle w:val="Normaltabletext1stpararight"/>
              <w:rPr>
                <w:color w:val="262626" w:themeColor="text1" w:themeTint="D9"/>
              </w:rPr>
            </w:pPr>
            <w:r w:rsidRPr="00E465A1">
              <w:rPr>
                <w:color w:val="262626" w:themeColor="text1" w:themeTint="D9"/>
              </w:rPr>
              <w:t>561</w:t>
            </w:r>
          </w:p>
        </w:tc>
        <w:tc>
          <w:tcPr>
            <w:tcW w:w="523" w:type="pct"/>
            <w:tcBorders>
              <w:top w:val="nil"/>
              <w:left w:val="nil"/>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r w:rsidRPr="00E465A1">
              <w:rPr>
                <w:color w:val="262626" w:themeColor="text1" w:themeTint="D9"/>
              </w:rPr>
              <w:t>4,566</w:t>
            </w: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color w:val="262626" w:themeColor="text1" w:themeTint="D9"/>
              </w:rPr>
            </w:pP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left w:val="nil"/>
              <w:bottom w:val="single" w:sz="8" w:space="0" w:color="auto"/>
              <w:right w:val="nil"/>
            </w:tcBorders>
            <w:shd w:val="clear" w:color="auto" w:fill="FEE4B0"/>
            <w:vAlign w:val="bottom"/>
          </w:tcPr>
          <w:p w:rsidR="005D0C53" w:rsidRPr="00E465A1" w:rsidRDefault="005D0C53" w:rsidP="005D0C53">
            <w:pPr>
              <w:pStyle w:val="Normaltabletext1stpararight"/>
              <w:ind w:right="69"/>
              <w:rPr>
                <w:color w:val="262626" w:themeColor="text1" w:themeTint="D9"/>
              </w:rPr>
            </w:pPr>
          </w:p>
        </w:tc>
        <w:tc>
          <w:tcPr>
            <w:tcW w:w="530" w:type="pct"/>
            <w:tcBorders>
              <w:left w:val="nil"/>
              <w:bottom w:val="single" w:sz="8" w:space="0" w:color="auto"/>
              <w:right w:val="nil"/>
            </w:tcBorders>
            <w:shd w:val="clear" w:color="auto" w:fill="auto"/>
            <w:vAlign w:val="bottom"/>
          </w:tcPr>
          <w:p w:rsidR="005D0C53" w:rsidRPr="00E465A1" w:rsidRDefault="005D0C53" w:rsidP="005D0C53">
            <w:pPr>
              <w:pStyle w:val="Normaltabletext1stpararight"/>
              <w:ind w:right="139"/>
              <w:rPr>
                <w:color w:val="262626" w:themeColor="text1" w:themeTint="D9"/>
              </w:rPr>
            </w:pPr>
          </w:p>
        </w:tc>
        <w:tc>
          <w:tcPr>
            <w:tcW w:w="529" w:type="pct"/>
            <w:tcBorders>
              <w:left w:val="nil"/>
              <w:bottom w:val="single" w:sz="8" w:space="0" w:color="auto"/>
              <w:right w:val="nil"/>
            </w:tcBorders>
            <w:shd w:val="clear" w:color="auto" w:fill="FEE4B0"/>
            <w:tcMar>
              <w:left w:w="15" w:type="dxa"/>
              <w:right w:w="113" w:type="dxa"/>
            </w:tcMar>
            <w:vAlign w:val="bottom"/>
          </w:tcPr>
          <w:p w:rsidR="005D0C53" w:rsidRPr="00E465A1" w:rsidRDefault="005D0C53" w:rsidP="005D0C53">
            <w:pPr>
              <w:pStyle w:val="Normaltabletext1stpararight"/>
              <w:rPr>
                <w:color w:val="262626" w:themeColor="text1" w:themeTint="D9"/>
              </w:rPr>
            </w:pPr>
          </w:p>
        </w:tc>
        <w:tc>
          <w:tcPr>
            <w:tcW w:w="523" w:type="pct"/>
            <w:tcBorders>
              <w:left w:val="nil"/>
              <w:bottom w:val="single" w:sz="8"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color w:val="262626" w:themeColor="text1" w:themeTint="D9"/>
              </w:rPr>
            </w:pPr>
          </w:p>
        </w:tc>
      </w:tr>
      <w:tr w:rsidR="00E465A1" w:rsidRPr="00E465A1" w:rsidTr="00AD6577">
        <w:trPr>
          <w:trHeight w:val="23"/>
        </w:trPr>
        <w:tc>
          <w:tcPr>
            <w:tcW w:w="2437" w:type="pct"/>
            <w:tcBorders>
              <w:top w:val="nil"/>
              <w:left w:val="nil"/>
              <w:bottom w:val="nil"/>
              <w:right w:val="nil"/>
            </w:tcBorders>
            <w:noWrap/>
            <w:tcMar>
              <w:left w:w="15" w:type="dxa"/>
              <w:right w:w="15" w:type="dxa"/>
            </w:tcMar>
            <w:vAlign w:val="bottom"/>
          </w:tcPr>
          <w:p w:rsidR="005D0C53" w:rsidRPr="00E465A1" w:rsidRDefault="005D0C53" w:rsidP="005D0C53">
            <w:pPr>
              <w:pStyle w:val="Normaltabletextleft"/>
              <w:rPr>
                <w:b/>
                <w:color w:val="262626" w:themeColor="text1" w:themeTint="D9"/>
              </w:rPr>
            </w:pPr>
            <w:r w:rsidRPr="00E465A1">
              <w:rPr>
                <w:b/>
                <w:color w:val="262626" w:themeColor="text1" w:themeTint="D9"/>
              </w:rPr>
              <w:t>Total Equity</w:t>
            </w:r>
          </w:p>
        </w:tc>
        <w:tc>
          <w:tcPr>
            <w:tcW w:w="452" w:type="pct"/>
            <w:tcBorders>
              <w:top w:val="nil"/>
              <w:left w:val="nil"/>
              <w:bottom w:val="nil"/>
              <w:right w:val="nil"/>
            </w:tcBorders>
            <w:noWrap/>
            <w:vAlign w:val="bottom"/>
          </w:tcPr>
          <w:p w:rsidR="005D0C53" w:rsidRPr="00E465A1" w:rsidRDefault="005D0C53" w:rsidP="005D0C53">
            <w:pPr>
              <w:pStyle w:val="Normaltabletextcentred"/>
              <w:rPr>
                <w:color w:val="262626" w:themeColor="text1" w:themeTint="D9"/>
              </w:rPr>
            </w:pPr>
          </w:p>
        </w:tc>
        <w:tc>
          <w:tcPr>
            <w:tcW w:w="530" w:type="pct"/>
            <w:tcBorders>
              <w:top w:val="single" w:sz="8" w:space="0" w:color="auto"/>
              <w:left w:val="nil"/>
              <w:bottom w:val="double" w:sz="6" w:space="0" w:color="auto"/>
              <w:right w:val="nil"/>
            </w:tcBorders>
            <w:shd w:val="clear" w:color="auto" w:fill="FEE4B0"/>
            <w:vAlign w:val="bottom"/>
          </w:tcPr>
          <w:p w:rsidR="005D0C53" w:rsidRPr="00E465A1" w:rsidRDefault="005D0C53" w:rsidP="0082478E">
            <w:pPr>
              <w:pStyle w:val="Normaltabletext1stpararight"/>
              <w:ind w:right="69"/>
              <w:rPr>
                <w:b/>
                <w:color w:val="262626" w:themeColor="text1" w:themeTint="D9"/>
              </w:rPr>
            </w:pPr>
            <w:r w:rsidRPr="00E465A1">
              <w:rPr>
                <w:b/>
                <w:color w:val="262626" w:themeColor="text1" w:themeTint="D9"/>
              </w:rPr>
              <w:t>17,</w:t>
            </w:r>
            <w:r w:rsidR="0082478E" w:rsidRPr="00E465A1">
              <w:rPr>
                <w:b/>
                <w:color w:val="262626" w:themeColor="text1" w:themeTint="D9"/>
              </w:rPr>
              <w:t>894</w:t>
            </w:r>
          </w:p>
        </w:tc>
        <w:tc>
          <w:tcPr>
            <w:tcW w:w="530" w:type="pct"/>
            <w:tcBorders>
              <w:top w:val="single" w:sz="8" w:space="0" w:color="auto"/>
              <w:left w:val="nil"/>
              <w:bottom w:val="double" w:sz="6" w:space="0" w:color="auto"/>
              <w:right w:val="nil"/>
            </w:tcBorders>
            <w:shd w:val="clear" w:color="auto" w:fill="auto"/>
            <w:vAlign w:val="bottom"/>
          </w:tcPr>
          <w:p w:rsidR="005D0C53" w:rsidRPr="00E465A1" w:rsidRDefault="00A41587" w:rsidP="005D0C53">
            <w:pPr>
              <w:pStyle w:val="Normaltabletext1stpararight"/>
              <w:ind w:right="139"/>
              <w:rPr>
                <w:b/>
                <w:color w:val="262626" w:themeColor="text1" w:themeTint="D9"/>
              </w:rPr>
            </w:pPr>
            <w:r w:rsidRPr="00E465A1">
              <w:rPr>
                <w:b/>
                <w:color w:val="262626" w:themeColor="text1" w:themeTint="D9"/>
              </w:rPr>
              <w:t>20,269</w:t>
            </w:r>
          </w:p>
        </w:tc>
        <w:tc>
          <w:tcPr>
            <w:tcW w:w="529" w:type="pct"/>
            <w:tcBorders>
              <w:top w:val="single" w:sz="8" w:space="0" w:color="auto"/>
              <w:left w:val="nil"/>
              <w:bottom w:val="double" w:sz="6" w:space="0" w:color="auto"/>
              <w:right w:val="nil"/>
            </w:tcBorders>
            <w:shd w:val="clear" w:color="auto" w:fill="FEE4B0"/>
            <w:tcMar>
              <w:left w:w="15" w:type="dxa"/>
              <w:right w:w="113" w:type="dxa"/>
            </w:tcMar>
            <w:vAlign w:val="bottom"/>
          </w:tcPr>
          <w:p w:rsidR="005D0C53" w:rsidRPr="00E465A1" w:rsidRDefault="007569F4" w:rsidP="0082478E">
            <w:pPr>
              <w:pStyle w:val="Normaltabletext1stpararight"/>
              <w:rPr>
                <w:b/>
                <w:color w:val="262626" w:themeColor="text1" w:themeTint="D9"/>
              </w:rPr>
            </w:pPr>
            <w:r w:rsidRPr="00E465A1">
              <w:rPr>
                <w:b/>
                <w:color w:val="262626" w:themeColor="text1" w:themeTint="D9"/>
              </w:rPr>
              <w:t>(2,</w:t>
            </w:r>
            <w:r w:rsidR="0082478E" w:rsidRPr="00E465A1">
              <w:rPr>
                <w:b/>
                <w:color w:val="262626" w:themeColor="text1" w:themeTint="D9"/>
              </w:rPr>
              <w:t>375</w:t>
            </w:r>
            <w:r w:rsidRPr="00E465A1">
              <w:rPr>
                <w:b/>
                <w:color w:val="262626" w:themeColor="text1" w:themeTint="D9"/>
              </w:rPr>
              <w:t>)</w:t>
            </w:r>
          </w:p>
        </w:tc>
        <w:tc>
          <w:tcPr>
            <w:tcW w:w="523" w:type="pct"/>
            <w:tcBorders>
              <w:top w:val="single" w:sz="8" w:space="0" w:color="auto"/>
              <w:left w:val="nil"/>
              <w:bottom w:val="double" w:sz="6" w:space="0" w:color="auto"/>
              <w:right w:val="nil"/>
            </w:tcBorders>
            <w:shd w:val="clear" w:color="auto" w:fill="FFFFFF" w:themeFill="background1"/>
            <w:noWrap/>
            <w:tcMar>
              <w:left w:w="15" w:type="dxa"/>
              <w:right w:w="113" w:type="dxa"/>
            </w:tcMar>
            <w:vAlign w:val="bottom"/>
          </w:tcPr>
          <w:p w:rsidR="005D0C53" w:rsidRPr="00E465A1" w:rsidRDefault="005D0C53" w:rsidP="005D0C53">
            <w:pPr>
              <w:pStyle w:val="Normaltabletext1stpararight"/>
              <w:rPr>
                <w:b/>
                <w:color w:val="262626" w:themeColor="text1" w:themeTint="D9"/>
              </w:rPr>
            </w:pPr>
            <w:r w:rsidRPr="00E465A1">
              <w:rPr>
                <w:b/>
                <w:color w:val="262626" w:themeColor="text1" w:themeTint="D9"/>
              </w:rPr>
              <w:t>16,787</w:t>
            </w:r>
          </w:p>
        </w:tc>
      </w:tr>
    </w:tbl>
    <w:p w:rsidR="00D9480F" w:rsidRPr="00E465A1" w:rsidRDefault="00276E72" w:rsidP="00EE154B">
      <w:pPr>
        <w:pStyle w:val="Notes"/>
        <w:rPr>
          <w:i/>
          <w:color w:val="262626" w:themeColor="text1" w:themeTint="D9"/>
        </w:rPr>
      </w:pPr>
      <w:r w:rsidRPr="00E465A1">
        <w:rPr>
          <w:i/>
          <w:color w:val="262626" w:themeColor="text1" w:themeTint="D9"/>
        </w:rPr>
        <w:t>The accompanying notes form part of these statements.</w:t>
      </w:r>
    </w:p>
    <w:p w:rsidR="00C72DB2" w:rsidRPr="00E465A1" w:rsidRDefault="00C72DB2" w:rsidP="00C72DB2">
      <w:pPr>
        <w:tabs>
          <w:tab w:val="left" w:pos="4500"/>
        </w:tabs>
        <w:rPr>
          <w:rFonts w:cs="Arial"/>
          <w:i/>
          <w:color w:val="262626" w:themeColor="text1" w:themeTint="D9"/>
          <w:sz w:val="17"/>
          <w:szCs w:val="17"/>
        </w:rPr>
      </w:pPr>
      <w:r w:rsidRPr="00E465A1">
        <w:rPr>
          <w:rFonts w:cs="Arial"/>
          <w:i/>
          <w:color w:val="262626" w:themeColor="text1" w:themeTint="D9"/>
          <w:sz w:val="17"/>
          <w:szCs w:val="17"/>
        </w:rPr>
        <w:t>* An explanation of major variances is included at Note 21.</w:t>
      </w:r>
    </w:p>
    <w:p w:rsidR="00EE154B" w:rsidRPr="00E465A1" w:rsidRDefault="00EE154B" w:rsidP="00EE154B">
      <w:pPr>
        <w:rPr>
          <w:color w:val="262626" w:themeColor="text1" w:themeTint="D9"/>
        </w:rPr>
      </w:pPr>
    </w:p>
    <w:p w:rsidR="00C72DB2" w:rsidRPr="00E465A1" w:rsidRDefault="00C72DB2" w:rsidP="00EE154B">
      <w:pPr>
        <w:rPr>
          <w:color w:val="262626" w:themeColor="text1" w:themeTint="D9"/>
        </w:rPr>
      </w:pPr>
    </w:p>
    <w:p w:rsidR="00C72DB2" w:rsidRPr="00E465A1" w:rsidRDefault="00C72DB2" w:rsidP="00EE154B">
      <w:pPr>
        <w:rPr>
          <w:color w:val="262626" w:themeColor="text1" w:themeTint="D9"/>
        </w:rPr>
        <w:sectPr w:rsidR="00C72DB2" w:rsidRPr="00E465A1" w:rsidSect="0093233E">
          <w:headerReference w:type="even" r:id="rId18"/>
          <w:headerReference w:type="default" r:id="rId19"/>
          <w:headerReference w:type="first" r:id="rId20"/>
          <w:pgSz w:w="11906" w:h="16838" w:code="9"/>
          <w:pgMar w:top="2268" w:right="851" w:bottom="1418" w:left="851" w:header="567" w:footer="567" w:gutter="0"/>
          <w:cols w:space="708"/>
          <w:docGrid w:linePitch="360"/>
        </w:sectPr>
      </w:pPr>
    </w:p>
    <w:tbl>
      <w:tblPr>
        <w:tblW w:w="4861" w:type="pct"/>
        <w:tblLayout w:type="fixed"/>
        <w:tblCellMar>
          <w:bottom w:w="11" w:type="dxa"/>
        </w:tblCellMar>
        <w:tblLook w:val="01E0" w:firstRow="1" w:lastRow="1" w:firstColumn="1" w:lastColumn="1" w:noHBand="0" w:noVBand="0"/>
      </w:tblPr>
      <w:tblGrid>
        <w:gridCol w:w="5669"/>
        <w:gridCol w:w="1417"/>
        <w:gridCol w:w="1417"/>
        <w:gridCol w:w="1417"/>
      </w:tblGrid>
      <w:tr w:rsidR="00E465A1" w:rsidRPr="00E465A1" w:rsidTr="00EA3F96">
        <w:trPr>
          <w:trHeight w:val="20"/>
        </w:trPr>
        <w:tc>
          <w:tcPr>
            <w:tcW w:w="2857" w:type="pct"/>
            <w:tcMar>
              <w:left w:w="0" w:type="dxa"/>
              <w:right w:w="0" w:type="dxa"/>
            </w:tcMar>
            <w:vAlign w:val="bottom"/>
          </w:tcPr>
          <w:p w:rsidR="00CD3064" w:rsidRPr="00E465A1" w:rsidRDefault="00CD3064" w:rsidP="006D5F66">
            <w:pPr>
              <w:pStyle w:val="Normaltabletextleft"/>
              <w:rPr>
                <w:color w:val="262626" w:themeColor="text1" w:themeTint="D9"/>
              </w:rPr>
            </w:pPr>
          </w:p>
        </w:tc>
        <w:tc>
          <w:tcPr>
            <w:tcW w:w="714" w:type="pct"/>
            <w:tcMar>
              <w:left w:w="0" w:type="dxa"/>
              <w:right w:w="113" w:type="dxa"/>
            </w:tcMar>
            <w:vAlign w:val="bottom"/>
          </w:tcPr>
          <w:p w:rsidR="00CD3064" w:rsidRPr="00E465A1" w:rsidRDefault="00CD3064" w:rsidP="006D5F66">
            <w:pPr>
              <w:pStyle w:val="Normaltabletext1stpararight"/>
              <w:jc w:val="center"/>
              <w:rPr>
                <w:b/>
                <w:color w:val="262626" w:themeColor="text1" w:themeTint="D9"/>
              </w:rPr>
            </w:pPr>
            <w:r w:rsidRPr="00E465A1">
              <w:rPr>
                <w:b/>
                <w:color w:val="262626" w:themeColor="text1" w:themeTint="D9"/>
              </w:rPr>
              <w:t>Accumulated Surplus</w:t>
            </w:r>
            <w:r w:rsidRPr="00E465A1">
              <w:rPr>
                <w:b/>
                <w:color w:val="262626" w:themeColor="text1" w:themeTint="D9"/>
              </w:rPr>
              <w:br/>
            </w:r>
          </w:p>
          <w:p w:rsidR="00CD3064" w:rsidRPr="00E465A1" w:rsidRDefault="00CD3064" w:rsidP="006D5F66">
            <w:pPr>
              <w:pStyle w:val="Normaltabletext1stpararight"/>
              <w:rPr>
                <w:b/>
                <w:color w:val="262626" w:themeColor="text1" w:themeTint="D9"/>
              </w:rPr>
            </w:pPr>
            <w:r w:rsidRPr="00E465A1">
              <w:rPr>
                <w:b/>
                <w:color w:val="262626" w:themeColor="text1" w:themeTint="D9"/>
              </w:rPr>
              <w:t>$’000</w:t>
            </w:r>
          </w:p>
        </w:tc>
        <w:tc>
          <w:tcPr>
            <w:tcW w:w="714" w:type="pct"/>
            <w:tcMar>
              <w:left w:w="0" w:type="dxa"/>
              <w:right w:w="113" w:type="dxa"/>
            </w:tcMar>
            <w:vAlign w:val="bottom"/>
          </w:tcPr>
          <w:p w:rsidR="00CD3064" w:rsidRPr="00E465A1" w:rsidRDefault="00CD3064" w:rsidP="006D5F66">
            <w:pPr>
              <w:pStyle w:val="Normaltabletext1stpararight"/>
              <w:jc w:val="center"/>
              <w:rPr>
                <w:b/>
                <w:color w:val="262626" w:themeColor="text1" w:themeTint="D9"/>
              </w:rPr>
            </w:pPr>
            <w:r w:rsidRPr="00E465A1">
              <w:rPr>
                <w:b/>
                <w:color w:val="262626" w:themeColor="text1" w:themeTint="D9"/>
              </w:rPr>
              <w:t>Contributed Equity</w:t>
            </w:r>
            <w:r w:rsidRPr="00E465A1">
              <w:rPr>
                <w:b/>
                <w:color w:val="262626" w:themeColor="text1" w:themeTint="D9"/>
              </w:rPr>
              <w:br/>
            </w:r>
          </w:p>
          <w:p w:rsidR="00CD3064" w:rsidRPr="00E465A1" w:rsidRDefault="00CD3064" w:rsidP="006D5F66">
            <w:pPr>
              <w:pStyle w:val="Normaltabletext1stpararight"/>
              <w:rPr>
                <w:b/>
                <w:color w:val="262626" w:themeColor="text1" w:themeTint="D9"/>
              </w:rPr>
            </w:pPr>
            <w:r w:rsidRPr="00E465A1">
              <w:rPr>
                <w:b/>
                <w:color w:val="262626" w:themeColor="text1" w:themeTint="D9"/>
              </w:rPr>
              <w:t>$’000</w:t>
            </w:r>
          </w:p>
        </w:tc>
        <w:tc>
          <w:tcPr>
            <w:tcW w:w="714" w:type="pct"/>
            <w:tcMar>
              <w:left w:w="0" w:type="dxa"/>
              <w:right w:w="113" w:type="dxa"/>
            </w:tcMar>
            <w:vAlign w:val="bottom"/>
          </w:tcPr>
          <w:p w:rsidR="00CD3064" w:rsidRPr="00E465A1" w:rsidRDefault="00CD3064" w:rsidP="006D5F66">
            <w:pPr>
              <w:pStyle w:val="Normaltabletext1stpararight"/>
              <w:jc w:val="center"/>
              <w:rPr>
                <w:b/>
                <w:color w:val="262626" w:themeColor="text1" w:themeTint="D9"/>
              </w:rPr>
            </w:pPr>
            <w:r w:rsidRPr="00E465A1">
              <w:rPr>
                <w:b/>
                <w:color w:val="262626" w:themeColor="text1" w:themeTint="D9"/>
              </w:rPr>
              <w:t>TOTAL</w:t>
            </w:r>
            <w:r w:rsidRPr="00E465A1">
              <w:rPr>
                <w:b/>
                <w:color w:val="262626" w:themeColor="text1" w:themeTint="D9"/>
              </w:rPr>
              <w:br/>
            </w:r>
            <w:r w:rsidRPr="00E465A1">
              <w:rPr>
                <w:b/>
                <w:color w:val="262626" w:themeColor="text1" w:themeTint="D9"/>
              </w:rPr>
              <w:br/>
            </w:r>
          </w:p>
          <w:p w:rsidR="00CD3064" w:rsidRPr="00E465A1" w:rsidRDefault="00CD3064" w:rsidP="006D5F66">
            <w:pPr>
              <w:pStyle w:val="Normaltabletext1stpararight"/>
              <w:rPr>
                <w:b/>
                <w:color w:val="262626" w:themeColor="text1" w:themeTint="D9"/>
              </w:rPr>
            </w:pPr>
            <w:r w:rsidRPr="00E465A1">
              <w:rPr>
                <w:b/>
                <w:color w:val="262626" w:themeColor="text1" w:themeTint="D9"/>
              </w:rPr>
              <w:t>$’000</w:t>
            </w:r>
          </w:p>
        </w:tc>
      </w:tr>
      <w:tr w:rsidR="00E465A1" w:rsidRPr="00E465A1" w:rsidTr="00EA3F96">
        <w:trPr>
          <w:trHeight w:val="20"/>
        </w:trPr>
        <w:tc>
          <w:tcPr>
            <w:tcW w:w="2857" w:type="pct"/>
            <w:tcMar>
              <w:left w:w="0" w:type="dxa"/>
              <w:right w:w="0" w:type="dxa"/>
            </w:tcMar>
          </w:tcPr>
          <w:p w:rsidR="00CD3064" w:rsidRPr="00E465A1" w:rsidRDefault="00CD3064" w:rsidP="006D5F66">
            <w:pPr>
              <w:pStyle w:val="Normaltabletextleft"/>
              <w:rPr>
                <w:color w:val="262626" w:themeColor="text1" w:themeTint="D9"/>
              </w:rPr>
            </w:pPr>
          </w:p>
        </w:tc>
        <w:tc>
          <w:tcPr>
            <w:tcW w:w="714" w:type="pct"/>
            <w:shd w:val="clear" w:color="auto" w:fill="auto"/>
            <w:tcMar>
              <w:left w:w="0" w:type="dxa"/>
              <w:right w:w="113" w:type="dxa"/>
            </w:tcMar>
            <w:vAlign w:val="center"/>
          </w:tcPr>
          <w:p w:rsidR="00CD3064" w:rsidRPr="00E465A1" w:rsidRDefault="00CD3064" w:rsidP="006D5F66">
            <w:pPr>
              <w:pStyle w:val="Normaltabletext1stpararight"/>
              <w:rPr>
                <w:color w:val="262626" w:themeColor="text1" w:themeTint="D9"/>
              </w:rPr>
            </w:pPr>
          </w:p>
        </w:tc>
        <w:tc>
          <w:tcPr>
            <w:tcW w:w="714" w:type="pct"/>
            <w:shd w:val="clear" w:color="auto" w:fill="auto"/>
            <w:tcMar>
              <w:left w:w="0" w:type="dxa"/>
              <w:right w:w="113" w:type="dxa"/>
            </w:tcMar>
            <w:vAlign w:val="center"/>
          </w:tcPr>
          <w:p w:rsidR="00CD3064" w:rsidRPr="00E465A1" w:rsidRDefault="00CD3064" w:rsidP="006D5F66">
            <w:pPr>
              <w:pStyle w:val="Normaltabletext1stpararight"/>
              <w:rPr>
                <w:color w:val="262626" w:themeColor="text1" w:themeTint="D9"/>
              </w:rPr>
            </w:pPr>
          </w:p>
        </w:tc>
        <w:tc>
          <w:tcPr>
            <w:tcW w:w="714" w:type="pct"/>
            <w:shd w:val="clear" w:color="auto" w:fill="auto"/>
            <w:tcMar>
              <w:left w:w="0" w:type="dxa"/>
              <w:right w:w="113" w:type="dxa"/>
            </w:tcMar>
            <w:vAlign w:val="center"/>
          </w:tcPr>
          <w:p w:rsidR="00CD3064" w:rsidRPr="00E465A1" w:rsidRDefault="00CD3064" w:rsidP="006D5F66">
            <w:pPr>
              <w:pStyle w:val="Normaltabletext1stpararight"/>
              <w:rPr>
                <w:color w:val="262626" w:themeColor="text1" w:themeTint="D9"/>
              </w:rPr>
            </w:pPr>
          </w:p>
        </w:tc>
      </w:tr>
      <w:tr w:rsidR="00E465A1" w:rsidRPr="00E465A1" w:rsidTr="00EA3F96">
        <w:trPr>
          <w:trHeight w:val="20"/>
        </w:trPr>
        <w:tc>
          <w:tcPr>
            <w:tcW w:w="2857" w:type="pct"/>
            <w:tcMar>
              <w:left w:w="0" w:type="dxa"/>
              <w:right w:w="0" w:type="dxa"/>
            </w:tcMar>
          </w:tcPr>
          <w:p w:rsidR="00EA3F96" w:rsidRPr="00E465A1" w:rsidRDefault="005D7DB6" w:rsidP="00EA3F96">
            <w:pPr>
              <w:pStyle w:val="Normaltabletextleft"/>
              <w:rPr>
                <w:b/>
                <w:color w:val="262626" w:themeColor="text1" w:themeTint="D9"/>
              </w:rPr>
            </w:pPr>
            <w:r w:rsidRPr="00E465A1">
              <w:rPr>
                <w:b/>
                <w:color w:val="262626" w:themeColor="text1" w:themeTint="D9"/>
              </w:rPr>
              <w:t>Balance as at 1 July 2016</w:t>
            </w:r>
          </w:p>
        </w:tc>
        <w:tc>
          <w:tcPr>
            <w:tcW w:w="714" w:type="pct"/>
            <w:shd w:val="clear" w:color="auto" w:fill="auto"/>
            <w:tcMar>
              <w:left w:w="0" w:type="dxa"/>
              <w:right w:w="113" w:type="dxa"/>
            </w:tcMar>
            <w:vAlign w:val="center"/>
          </w:tcPr>
          <w:p w:rsidR="00EA3F96" w:rsidRPr="00E465A1" w:rsidRDefault="005D7DB6" w:rsidP="00EA3F96">
            <w:pPr>
              <w:pStyle w:val="Normaltabletext1stpararight"/>
              <w:rPr>
                <w:b/>
                <w:color w:val="262626" w:themeColor="text1" w:themeTint="D9"/>
              </w:rPr>
            </w:pPr>
            <w:r w:rsidRPr="00E465A1">
              <w:rPr>
                <w:b/>
                <w:color w:val="262626" w:themeColor="text1" w:themeTint="D9"/>
              </w:rPr>
              <w:t>4,588</w:t>
            </w:r>
          </w:p>
        </w:tc>
        <w:tc>
          <w:tcPr>
            <w:tcW w:w="714" w:type="pct"/>
            <w:shd w:val="clear" w:color="auto" w:fill="auto"/>
            <w:tcMar>
              <w:left w:w="0" w:type="dxa"/>
              <w:right w:w="113" w:type="dxa"/>
            </w:tcMar>
            <w:vAlign w:val="center"/>
          </w:tcPr>
          <w:p w:rsidR="00EA3F96" w:rsidRPr="00E465A1" w:rsidRDefault="00EA3F96" w:rsidP="00EA3F96">
            <w:pPr>
              <w:pStyle w:val="Normaltabletext1stpararight"/>
              <w:rPr>
                <w:b/>
                <w:color w:val="262626" w:themeColor="text1" w:themeTint="D9"/>
              </w:rPr>
            </w:pPr>
            <w:r w:rsidRPr="00E465A1">
              <w:rPr>
                <w:b/>
                <w:color w:val="262626" w:themeColor="text1" w:themeTint="D9"/>
              </w:rPr>
              <w:t>12,221</w:t>
            </w:r>
          </w:p>
        </w:tc>
        <w:tc>
          <w:tcPr>
            <w:tcW w:w="714" w:type="pct"/>
            <w:shd w:val="clear" w:color="auto" w:fill="auto"/>
            <w:tcMar>
              <w:left w:w="0" w:type="dxa"/>
              <w:right w:w="113" w:type="dxa"/>
            </w:tcMar>
            <w:vAlign w:val="center"/>
          </w:tcPr>
          <w:p w:rsidR="00EA3F96" w:rsidRPr="00E465A1" w:rsidRDefault="005D7DB6" w:rsidP="00EA3F96">
            <w:pPr>
              <w:pStyle w:val="Normaltabletext1stpararight"/>
              <w:rPr>
                <w:b/>
                <w:color w:val="262626" w:themeColor="text1" w:themeTint="D9"/>
              </w:rPr>
            </w:pPr>
            <w:r w:rsidRPr="00E465A1">
              <w:rPr>
                <w:b/>
                <w:color w:val="262626" w:themeColor="text1" w:themeTint="D9"/>
              </w:rPr>
              <w:t>16,809</w:t>
            </w:r>
          </w:p>
        </w:tc>
      </w:tr>
      <w:tr w:rsidR="00E465A1" w:rsidRPr="00E465A1" w:rsidTr="00EA3F96">
        <w:trPr>
          <w:trHeight w:val="20"/>
        </w:trPr>
        <w:tc>
          <w:tcPr>
            <w:tcW w:w="2857" w:type="pct"/>
            <w:tcMar>
              <w:left w:w="0" w:type="dxa"/>
              <w:right w:w="0" w:type="dxa"/>
            </w:tcMar>
          </w:tcPr>
          <w:p w:rsidR="00EA3F96" w:rsidRPr="00E465A1" w:rsidRDefault="00EA3F96" w:rsidP="00EA3F96">
            <w:pPr>
              <w:pStyle w:val="Normaltabletextleft"/>
              <w:rPr>
                <w:color w:val="262626" w:themeColor="text1" w:themeTint="D9"/>
              </w:rPr>
            </w:pPr>
          </w:p>
        </w:tc>
        <w:tc>
          <w:tcPr>
            <w:tcW w:w="714" w:type="pct"/>
            <w:shd w:val="clear" w:color="auto" w:fill="auto"/>
            <w:tcMar>
              <w:left w:w="0" w:type="dxa"/>
              <w:right w:w="113" w:type="dxa"/>
            </w:tcMar>
            <w:vAlign w:val="center"/>
          </w:tcPr>
          <w:p w:rsidR="00EA3F96" w:rsidRPr="00E465A1" w:rsidRDefault="00EA3F96" w:rsidP="00EA3F96">
            <w:pPr>
              <w:pStyle w:val="Normaltabletext1stpararight"/>
              <w:rPr>
                <w:color w:val="262626" w:themeColor="text1" w:themeTint="D9"/>
              </w:rPr>
            </w:pPr>
          </w:p>
        </w:tc>
        <w:tc>
          <w:tcPr>
            <w:tcW w:w="714" w:type="pct"/>
            <w:shd w:val="clear" w:color="auto" w:fill="auto"/>
            <w:tcMar>
              <w:left w:w="0" w:type="dxa"/>
              <w:right w:w="113" w:type="dxa"/>
            </w:tcMar>
            <w:vAlign w:val="center"/>
          </w:tcPr>
          <w:p w:rsidR="00EA3F96" w:rsidRPr="00E465A1" w:rsidRDefault="00EA3F96" w:rsidP="00EA3F96">
            <w:pPr>
              <w:pStyle w:val="Normaltabletext1stpararight"/>
              <w:rPr>
                <w:color w:val="262626" w:themeColor="text1" w:themeTint="D9"/>
              </w:rPr>
            </w:pPr>
          </w:p>
        </w:tc>
        <w:tc>
          <w:tcPr>
            <w:tcW w:w="714" w:type="pct"/>
            <w:shd w:val="clear" w:color="auto" w:fill="auto"/>
            <w:tcMar>
              <w:left w:w="0" w:type="dxa"/>
              <w:right w:w="113" w:type="dxa"/>
            </w:tcMar>
            <w:vAlign w:val="center"/>
          </w:tcPr>
          <w:p w:rsidR="00EA3F96" w:rsidRPr="00E465A1" w:rsidRDefault="00EA3F96" w:rsidP="00EA3F96">
            <w:pPr>
              <w:pStyle w:val="Normaltabletext1stpararight"/>
              <w:rPr>
                <w:color w:val="262626" w:themeColor="text1" w:themeTint="D9"/>
              </w:rPr>
            </w:pPr>
          </w:p>
        </w:tc>
      </w:tr>
      <w:tr w:rsidR="00E465A1" w:rsidRPr="00E465A1" w:rsidTr="00EA3F96">
        <w:trPr>
          <w:trHeight w:val="20"/>
        </w:trPr>
        <w:tc>
          <w:tcPr>
            <w:tcW w:w="2857" w:type="pct"/>
            <w:tcMar>
              <w:left w:w="0" w:type="dxa"/>
              <w:right w:w="0" w:type="dxa"/>
            </w:tcMar>
          </w:tcPr>
          <w:p w:rsidR="00EA3F96" w:rsidRPr="00E465A1" w:rsidRDefault="00EA3F96" w:rsidP="00EA3F96">
            <w:pPr>
              <w:pStyle w:val="Normaltabletextleft"/>
              <w:rPr>
                <w:color w:val="262626" w:themeColor="text1" w:themeTint="D9"/>
              </w:rPr>
            </w:pPr>
            <w:r w:rsidRPr="00E465A1">
              <w:rPr>
                <w:color w:val="262626" w:themeColor="text1" w:themeTint="D9"/>
              </w:rPr>
              <w:t>Operating result from continuing operations</w:t>
            </w:r>
          </w:p>
        </w:tc>
        <w:tc>
          <w:tcPr>
            <w:tcW w:w="714" w:type="pct"/>
            <w:shd w:val="clear" w:color="auto" w:fill="auto"/>
            <w:tcMar>
              <w:left w:w="0" w:type="dxa"/>
              <w:right w:w="113" w:type="dxa"/>
            </w:tcMar>
            <w:vAlign w:val="center"/>
          </w:tcPr>
          <w:p w:rsidR="00EA3F96" w:rsidRPr="00E465A1" w:rsidRDefault="005D7DB6" w:rsidP="00EA3F96">
            <w:pPr>
              <w:pStyle w:val="Normaltabletext1stpararight"/>
              <w:rPr>
                <w:color w:val="262626" w:themeColor="text1" w:themeTint="D9"/>
              </w:rPr>
            </w:pPr>
            <w:r w:rsidRPr="00E465A1">
              <w:rPr>
                <w:color w:val="262626" w:themeColor="text1" w:themeTint="D9"/>
              </w:rPr>
              <w:t>(22)</w:t>
            </w:r>
          </w:p>
        </w:tc>
        <w:tc>
          <w:tcPr>
            <w:tcW w:w="714" w:type="pct"/>
            <w:shd w:val="clear" w:color="auto" w:fill="auto"/>
            <w:tcMar>
              <w:left w:w="0" w:type="dxa"/>
              <w:right w:w="113" w:type="dxa"/>
            </w:tcMar>
            <w:vAlign w:val="center"/>
          </w:tcPr>
          <w:p w:rsidR="00EA3F96" w:rsidRPr="00E465A1" w:rsidRDefault="00EA3F96" w:rsidP="00EA3F96">
            <w:pPr>
              <w:pStyle w:val="Normaltabletext1stpararight"/>
              <w:rPr>
                <w:color w:val="262626" w:themeColor="text1" w:themeTint="D9"/>
              </w:rPr>
            </w:pPr>
            <w:r w:rsidRPr="00E465A1">
              <w:rPr>
                <w:color w:val="262626" w:themeColor="text1" w:themeTint="D9"/>
              </w:rPr>
              <w:t>–</w:t>
            </w:r>
          </w:p>
        </w:tc>
        <w:tc>
          <w:tcPr>
            <w:tcW w:w="714" w:type="pct"/>
            <w:shd w:val="clear" w:color="auto" w:fill="auto"/>
            <w:tcMar>
              <w:left w:w="0" w:type="dxa"/>
              <w:right w:w="113" w:type="dxa"/>
            </w:tcMar>
            <w:vAlign w:val="center"/>
          </w:tcPr>
          <w:p w:rsidR="00EA3F96" w:rsidRPr="00E465A1" w:rsidRDefault="0048384F" w:rsidP="00EA3F96">
            <w:pPr>
              <w:pStyle w:val="Normaltabletext1stpararight"/>
              <w:rPr>
                <w:color w:val="262626" w:themeColor="text1" w:themeTint="D9"/>
              </w:rPr>
            </w:pPr>
            <w:r w:rsidRPr="00E465A1">
              <w:rPr>
                <w:color w:val="262626" w:themeColor="text1" w:themeTint="D9"/>
              </w:rPr>
              <w:t>(22)</w:t>
            </w:r>
          </w:p>
        </w:tc>
      </w:tr>
      <w:tr w:rsidR="00E465A1" w:rsidRPr="00E465A1" w:rsidTr="00EA3F96">
        <w:trPr>
          <w:trHeight w:val="20"/>
        </w:trPr>
        <w:tc>
          <w:tcPr>
            <w:tcW w:w="2857" w:type="pct"/>
            <w:tcMar>
              <w:left w:w="0" w:type="dxa"/>
              <w:right w:w="0" w:type="dxa"/>
            </w:tcMar>
            <w:vAlign w:val="bottom"/>
          </w:tcPr>
          <w:p w:rsidR="00EA3F96" w:rsidRPr="00E465A1" w:rsidRDefault="00EA3F96" w:rsidP="00EA3F96">
            <w:pPr>
              <w:pStyle w:val="Normaltabletextleft"/>
              <w:rPr>
                <w:color w:val="262626" w:themeColor="text1" w:themeTint="D9"/>
              </w:rPr>
            </w:pPr>
          </w:p>
        </w:tc>
        <w:tc>
          <w:tcPr>
            <w:tcW w:w="714" w:type="pct"/>
            <w:shd w:val="clear" w:color="auto" w:fill="auto"/>
            <w:tcMar>
              <w:left w:w="0" w:type="dxa"/>
              <w:right w:w="113" w:type="dxa"/>
            </w:tcMar>
            <w:vAlign w:val="center"/>
          </w:tcPr>
          <w:p w:rsidR="00EA3F96" w:rsidRPr="00E465A1" w:rsidRDefault="00EA3F96" w:rsidP="00EA3F96">
            <w:pPr>
              <w:pStyle w:val="Normaltabletext1stpararight"/>
              <w:rPr>
                <w:color w:val="262626" w:themeColor="text1" w:themeTint="D9"/>
              </w:rPr>
            </w:pPr>
          </w:p>
        </w:tc>
        <w:tc>
          <w:tcPr>
            <w:tcW w:w="714" w:type="pct"/>
            <w:shd w:val="clear" w:color="auto" w:fill="auto"/>
            <w:tcMar>
              <w:left w:w="0" w:type="dxa"/>
              <w:right w:w="113" w:type="dxa"/>
            </w:tcMar>
            <w:vAlign w:val="center"/>
          </w:tcPr>
          <w:p w:rsidR="00EA3F96" w:rsidRPr="00E465A1" w:rsidRDefault="00EA3F96" w:rsidP="00EA3F96">
            <w:pPr>
              <w:pStyle w:val="Normaltabletext1stpararight"/>
              <w:rPr>
                <w:color w:val="262626" w:themeColor="text1" w:themeTint="D9"/>
              </w:rPr>
            </w:pPr>
          </w:p>
        </w:tc>
        <w:tc>
          <w:tcPr>
            <w:tcW w:w="714" w:type="pct"/>
            <w:shd w:val="clear" w:color="auto" w:fill="auto"/>
            <w:tcMar>
              <w:left w:w="0" w:type="dxa"/>
              <w:right w:w="113" w:type="dxa"/>
            </w:tcMar>
            <w:vAlign w:val="center"/>
          </w:tcPr>
          <w:p w:rsidR="00EA3F96" w:rsidRPr="00E465A1" w:rsidRDefault="00EA3F96" w:rsidP="00EA3F96">
            <w:pPr>
              <w:pStyle w:val="Normaltabletext1stpararight"/>
              <w:rPr>
                <w:color w:val="262626" w:themeColor="text1" w:themeTint="D9"/>
              </w:rPr>
            </w:pPr>
          </w:p>
        </w:tc>
      </w:tr>
      <w:tr w:rsidR="00E465A1" w:rsidRPr="00E465A1" w:rsidTr="00EA3F96">
        <w:trPr>
          <w:trHeight w:val="20"/>
        </w:trPr>
        <w:tc>
          <w:tcPr>
            <w:tcW w:w="2857" w:type="pct"/>
            <w:tcMar>
              <w:left w:w="0" w:type="dxa"/>
              <w:right w:w="0" w:type="dxa"/>
            </w:tcMar>
          </w:tcPr>
          <w:p w:rsidR="00EA3F96" w:rsidRPr="00E465A1" w:rsidRDefault="0048384F" w:rsidP="00EA3F96">
            <w:pPr>
              <w:pStyle w:val="Normaltabletextleft"/>
              <w:rPr>
                <w:b/>
                <w:color w:val="262626" w:themeColor="text1" w:themeTint="D9"/>
              </w:rPr>
            </w:pPr>
            <w:r w:rsidRPr="00E465A1">
              <w:rPr>
                <w:b/>
                <w:color w:val="262626" w:themeColor="text1" w:themeTint="D9"/>
              </w:rPr>
              <w:t>Balance as at 30 June 2017</w:t>
            </w:r>
          </w:p>
        </w:tc>
        <w:tc>
          <w:tcPr>
            <w:tcW w:w="714" w:type="pct"/>
            <w:tcBorders>
              <w:top w:val="single" w:sz="4" w:space="0" w:color="auto"/>
              <w:bottom w:val="double" w:sz="4" w:space="0" w:color="auto"/>
            </w:tcBorders>
            <w:tcMar>
              <w:right w:w="113" w:type="dxa"/>
            </w:tcMar>
            <w:vAlign w:val="center"/>
          </w:tcPr>
          <w:p w:rsidR="00EA3F96" w:rsidRPr="00E465A1" w:rsidRDefault="005D7DB6" w:rsidP="00EA3F96">
            <w:pPr>
              <w:pStyle w:val="Normaltabletext1stpararight"/>
              <w:rPr>
                <w:b/>
                <w:color w:val="262626" w:themeColor="text1" w:themeTint="D9"/>
              </w:rPr>
            </w:pPr>
            <w:r w:rsidRPr="00E465A1">
              <w:rPr>
                <w:b/>
                <w:color w:val="262626" w:themeColor="text1" w:themeTint="D9"/>
              </w:rPr>
              <w:t>4,566</w:t>
            </w:r>
          </w:p>
        </w:tc>
        <w:tc>
          <w:tcPr>
            <w:tcW w:w="714" w:type="pct"/>
            <w:tcBorders>
              <w:top w:val="single" w:sz="4" w:space="0" w:color="auto"/>
              <w:bottom w:val="double" w:sz="4" w:space="0" w:color="auto"/>
            </w:tcBorders>
            <w:tcMar>
              <w:right w:w="113" w:type="dxa"/>
            </w:tcMar>
            <w:vAlign w:val="center"/>
          </w:tcPr>
          <w:p w:rsidR="00EA3F96" w:rsidRPr="00E465A1" w:rsidRDefault="00EA3F96" w:rsidP="00EA3F96">
            <w:pPr>
              <w:pStyle w:val="Normaltabletext1stpararight"/>
              <w:rPr>
                <w:b/>
                <w:color w:val="262626" w:themeColor="text1" w:themeTint="D9"/>
              </w:rPr>
            </w:pPr>
            <w:r w:rsidRPr="00E465A1">
              <w:rPr>
                <w:b/>
                <w:color w:val="262626" w:themeColor="text1" w:themeTint="D9"/>
              </w:rPr>
              <w:t>12,221</w:t>
            </w:r>
          </w:p>
        </w:tc>
        <w:tc>
          <w:tcPr>
            <w:tcW w:w="714" w:type="pct"/>
            <w:tcBorders>
              <w:top w:val="single" w:sz="4" w:space="0" w:color="auto"/>
              <w:left w:val="nil"/>
              <w:bottom w:val="double" w:sz="4" w:space="0" w:color="auto"/>
            </w:tcBorders>
            <w:tcMar>
              <w:right w:w="113" w:type="dxa"/>
            </w:tcMar>
            <w:vAlign w:val="center"/>
          </w:tcPr>
          <w:p w:rsidR="00EA3F96" w:rsidRPr="00E465A1" w:rsidRDefault="005D7DB6" w:rsidP="00EA3F96">
            <w:pPr>
              <w:pStyle w:val="Normaltabletext1stpararight"/>
              <w:rPr>
                <w:b/>
                <w:color w:val="262626" w:themeColor="text1" w:themeTint="D9"/>
              </w:rPr>
            </w:pPr>
            <w:r w:rsidRPr="00E465A1">
              <w:rPr>
                <w:b/>
                <w:color w:val="262626" w:themeColor="text1" w:themeTint="D9"/>
              </w:rPr>
              <w:t>16,787</w:t>
            </w:r>
          </w:p>
        </w:tc>
      </w:tr>
      <w:tr w:rsidR="00E465A1" w:rsidRPr="00E465A1" w:rsidTr="00EA3F96">
        <w:trPr>
          <w:trHeight w:val="20"/>
        </w:trPr>
        <w:tc>
          <w:tcPr>
            <w:tcW w:w="2857" w:type="pct"/>
            <w:tcMar>
              <w:left w:w="0" w:type="dxa"/>
              <w:right w:w="0" w:type="dxa"/>
            </w:tcMar>
          </w:tcPr>
          <w:p w:rsidR="00EA3F96" w:rsidRPr="00E465A1" w:rsidRDefault="00EA3F96" w:rsidP="00EA3F96">
            <w:pPr>
              <w:pStyle w:val="Normaltabletextleft"/>
              <w:rPr>
                <w:color w:val="262626" w:themeColor="text1" w:themeTint="D9"/>
              </w:rPr>
            </w:pPr>
          </w:p>
        </w:tc>
        <w:tc>
          <w:tcPr>
            <w:tcW w:w="714" w:type="pct"/>
            <w:tcBorders>
              <w:top w:val="double" w:sz="4" w:space="0" w:color="auto"/>
            </w:tcBorders>
            <w:tcMar>
              <w:right w:w="113" w:type="dxa"/>
            </w:tcMar>
            <w:vAlign w:val="center"/>
          </w:tcPr>
          <w:p w:rsidR="00EA3F96" w:rsidRPr="00E465A1" w:rsidRDefault="00EA3F96" w:rsidP="00EA3F96">
            <w:pPr>
              <w:pStyle w:val="Normaltabletext1stpararight"/>
              <w:rPr>
                <w:color w:val="262626" w:themeColor="text1" w:themeTint="D9"/>
              </w:rPr>
            </w:pPr>
          </w:p>
        </w:tc>
        <w:tc>
          <w:tcPr>
            <w:tcW w:w="714" w:type="pct"/>
            <w:tcBorders>
              <w:top w:val="double" w:sz="4" w:space="0" w:color="auto"/>
            </w:tcBorders>
            <w:tcMar>
              <w:right w:w="113" w:type="dxa"/>
            </w:tcMar>
            <w:vAlign w:val="center"/>
          </w:tcPr>
          <w:p w:rsidR="00EA3F96" w:rsidRPr="00E465A1" w:rsidRDefault="00EA3F96" w:rsidP="00EA3F96">
            <w:pPr>
              <w:pStyle w:val="Normaltabletext1stpararight"/>
              <w:rPr>
                <w:color w:val="262626" w:themeColor="text1" w:themeTint="D9"/>
              </w:rPr>
            </w:pPr>
          </w:p>
        </w:tc>
        <w:tc>
          <w:tcPr>
            <w:tcW w:w="714" w:type="pct"/>
            <w:tcBorders>
              <w:top w:val="double" w:sz="4" w:space="0" w:color="auto"/>
              <w:left w:val="nil"/>
            </w:tcBorders>
            <w:tcMar>
              <w:right w:w="113" w:type="dxa"/>
            </w:tcMar>
            <w:vAlign w:val="center"/>
          </w:tcPr>
          <w:p w:rsidR="00EA3F96" w:rsidRPr="00E465A1" w:rsidRDefault="00EA3F96" w:rsidP="00EA3F96">
            <w:pPr>
              <w:pStyle w:val="Normaltabletext1stpararight"/>
              <w:rPr>
                <w:color w:val="262626" w:themeColor="text1" w:themeTint="D9"/>
              </w:rPr>
            </w:pPr>
          </w:p>
        </w:tc>
      </w:tr>
      <w:tr w:rsidR="00E465A1" w:rsidRPr="00E465A1" w:rsidTr="00EA3F96">
        <w:trPr>
          <w:trHeight w:val="20"/>
        </w:trPr>
        <w:tc>
          <w:tcPr>
            <w:tcW w:w="2857" w:type="pct"/>
            <w:tcMar>
              <w:left w:w="0" w:type="dxa"/>
              <w:right w:w="0" w:type="dxa"/>
            </w:tcMar>
            <w:vAlign w:val="bottom"/>
          </w:tcPr>
          <w:p w:rsidR="00EA3F96" w:rsidRPr="00E465A1" w:rsidRDefault="00EA3F96" w:rsidP="00EA3F96">
            <w:pPr>
              <w:pStyle w:val="Normaltabletextleft"/>
              <w:rPr>
                <w:color w:val="262626" w:themeColor="text1" w:themeTint="D9"/>
              </w:rPr>
            </w:pPr>
          </w:p>
        </w:tc>
        <w:tc>
          <w:tcPr>
            <w:tcW w:w="714" w:type="pct"/>
            <w:tcMar>
              <w:left w:w="0" w:type="dxa"/>
              <w:right w:w="113" w:type="dxa"/>
            </w:tcMar>
            <w:vAlign w:val="bottom"/>
          </w:tcPr>
          <w:p w:rsidR="00EA3F96" w:rsidRPr="00E465A1" w:rsidRDefault="00EA3F96" w:rsidP="00EA3F96">
            <w:pPr>
              <w:pStyle w:val="Normaltabletext1stpararight"/>
              <w:jc w:val="center"/>
              <w:rPr>
                <w:b/>
                <w:color w:val="262626" w:themeColor="text1" w:themeTint="D9"/>
              </w:rPr>
            </w:pPr>
          </w:p>
        </w:tc>
        <w:tc>
          <w:tcPr>
            <w:tcW w:w="714" w:type="pct"/>
            <w:tcMar>
              <w:left w:w="0" w:type="dxa"/>
              <w:right w:w="113" w:type="dxa"/>
            </w:tcMar>
            <w:vAlign w:val="bottom"/>
          </w:tcPr>
          <w:p w:rsidR="00EA3F96" w:rsidRPr="00E465A1" w:rsidRDefault="00EA3F96" w:rsidP="00EA3F96">
            <w:pPr>
              <w:pStyle w:val="Normaltabletext1stpararight"/>
              <w:jc w:val="center"/>
              <w:rPr>
                <w:b/>
                <w:color w:val="262626" w:themeColor="text1" w:themeTint="D9"/>
              </w:rPr>
            </w:pPr>
          </w:p>
        </w:tc>
        <w:tc>
          <w:tcPr>
            <w:tcW w:w="714" w:type="pct"/>
            <w:tcMar>
              <w:left w:w="0" w:type="dxa"/>
              <w:right w:w="113" w:type="dxa"/>
            </w:tcMar>
            <w:vAlign w:val="bottom"/>
          </w:tcPr>
          <w:p w:rsidR="00EA3F96" w:rsidRPr="00E465A1" w:rsidRDefault="00EA3F96" w:rsidP="00EA3F96">
            <w:pPr>
              <w:pStyle w:val="Normaltabletext1stpararight"/>
              <w:jc w:val="center"/>
              <w:rPr>
                <w:b/>
                <w:color w:val="262626" w:themeColor="text1" w:themeTint="D9"/>
              </w:rPr>
            </w:pPr>
          </w:p>
        </w:tc>
      </w:tr>
      <w:tr w:rsidR="00E465A1" w:rsidRPr="00E465A1" w:rsidTr="00EA3F96">
        <w:trPr>
          <w:trHeight w:val="20"/>
        </w:trPr>
        <w:tc>
          <w:tcPr>
            <w:tcW w:w="2857" w:type="pct"/>
            <w:tcMar>
              <w:left w:w="0" w:type="dxa"/>
              <w:right w:w="0" w:type="dxa"/>
            </w:tcMar>
            <w:vAlign w:val="bottom"/>
          </w:tcPr>
          <w:p w:rsidR="00EA3F96" w:rsidRPr="00E465A1" w:rsidRDefault="00EA3F96" w:rsidP="00EA3F96">
            <w:pPr>
              <w:pStyle w:val="Normaltabletextleft"/>
              <w:rPr>
                <w:color w:val="262626" w:themeColor="text1" w:themeTint="D9"/>
              </w:rPr>
            </w:pPr>
          </w:p>
        </w:tc>
        <w:tc>
          <w:tcPr>
            <w:tcW w:w="714" w:type="pct"/>
            <w:tcMar>
              <w:left w:w="0" w:type="dxa"/>
              <w:right w:w="113" w:type="dxa"/>
            </w:tcMar>
            <w:vAlign w:val="bottom"/>
          </w:tcPr>
          <w:p w:rsidR="00EA3F96" w:rsidRPr="00E465A1" w:rsidRDefault="00EA3F96" w:rsidP="00EA3F96">
            <w:pPr>
              <w:pStyle w:val="Normaltabletext1stpararight"/>
              <w:jc w:val="center"/>
              <w:rPr>
                <w:b/>
                <w:color w:val="262626" w:themeColor="text1" w:themeTint="D9"/>
              </w:rPr>
            </w:pPr>
            <w:r w:rsidRPr="00E465A1">
              <w:rPr>
                <w:b/>
                <w:color w:val="262626" w:themeColor="text1" w:themeTint="D9"/>
              </w:rPr>
              <w:t>Accumulated Surplus</w:t>
            </w:r>
            <w:r w:rsidRPr="00E465A1">
              <w:rPr>
                <w:b/>
                <w:color w:val="262626" w:themeColor="text1" w:themeTint="D9"/>
              </w:rPr>
              <w:br/>
            </w:r>
          </w:p>
          <w:p w:rsidR="00EA3F96" w:rsidRPr="00E465A1" w:rsidRDefault="00EA3F96" w:rsidP="00EA3F96">
            <w:pPr>
              <w:pStyle w:val="Normaltabletext1stpararight"/>
              <w:rPr>
                <w:b/>
                <w:color w:val="262626" w:themeColor="text1" w:themeTint="D9"/>
              </w:rPr>
            </w:pPr>
            <w:r w:rsidRPr="00E465A1">
              <w:rPr>
                <w:b/>
                <w:color w:val="262626" w:themeColor="text1" w:themeTint="D9"/>
              </w:rPr>
              <w:t>$’000</w:t>
            </w:r>
          </w:p>
        </w:tc>
        <w:tc>
          <w:tcPr>
            <w:tcW w:w="714" w:type="pct"/>
            <w:tcMar>
              <w:left w:w="0" w:type="dxa"/>
              <w:right w:w="113" w:type="dxa"/>
            </w:tcMar>
            <w:vAlign w:val="bottom"/>
          </w:tcPr>
          <w:p w:rsidR="00EA3F96" w:rsidRPr="00E465A1" w:rsidRDefault="00EA3F96" w:rsidP="00EA3F96">
            <w:pPr>
              <w:pStyle w:val="Normaltabletext1stpararight"/>
              <w:jc w:val="center"/>
              <w:rPr>
                <w:b/>
                <w:color w:val="262626" w:themeColor="text1" w:themeTint="D9"/>
              </w:rPr>
            </w:pPr>
            <w:r w:rsidRPr="00E465A1">
              <w:rPr>
                <w:b/>
                <w:color w:val="262626" w:themeColor="text1" w:themeTint="D9"/>
              </w:rPr>
              <w:t>Contributed Equity</w:t>
            </w:r>
            <w:r w:rsidRPr="00E465A1">
              <w:rPr>
                <w:b/>
                <w:color w:val="262626" w:themeColor="text1" w:themeTint="D9"/>
              </w:rPr>
              <w:br/>
            </w:r>
          </w:p>
          <w:p w:rsidR="00EA3F96" w:rsidRPr="00E465A1" w:rsidRDefault="00EA3F96" w:rsidP="00EA3F96">
            <w:pPr>
              <w:pStyle w:val="Normaltabletext1stpararight"/>
              <w:rPr>
                <w:b/>
                <w:color w:val="262626" w:themeColor="text1" w:themeTint="D9"/>
              </w:rPr>
            </w:pPr>
            <w:r w:rsidRPr="00E465A1">
              <w:rPr>
                <w:b/>
                <w:color w:val="262626" w:themeColor="text1" w:themeTint="D9"/>
              </w:rPr>
              <w:t>$’000</w:t>
            </w:r>
          </w:p>
        </w:tc>
        <w:tc>
          <w:tcPr>
            <w:tcW w:w="714" w:type="pct"/>
            <w:tcMar>
              <w:left w:w="0" w:type="dxa"/>
              <w:right w:w="113" w:type="dxa"/>
            </w:tcMar>
            <w:vAlign w:val="bottom"/>
          </w:tcPr>
          <w:p w:rsidR="00EA3F96" w:rsidRPr="00E465A1" w:rsidRDefault="00EA3F96" w:rsidP="00EA3F96">
            <w:pPr>
              <w:pStyle w:val="Normaltabletext1stpararight"/>
              <w:jc w:val="center"/>
              <w:rPr>
                <w:b/>
                <w:color w:val="262626" w:themeColor="text1" w:themeTint="D9"/>
              </w:rPr>
            </w:pPr>
            <w:r w:rsidRPr="00E465A1">
              <w:rPr>
                <w:b/>
                <w:color w:val="262626" w:themeColor="text1" w:themeTint="D9"/>
              </w:rPr>
              <w:t>TOTAL</w:t>
            </w:r>
            <w:r w:rsidRPr="00E465A1">
              <w:rPr>
                <w:b/>
                <w:color w:val="262626" w:themeColor="text1" w:themeTint="D9"/>
              </w:rPr>
              <w:br/>
            </w:r>
            <w:r w:rsidRPr="00E465A1">
              <w:rPr>
                <w:b/>
                <w:color w:val="262626" w:themeColor="text1" w:themeTint="D9"/>
              </w:rPr>
              <w:br/>
            </w:r>
          </w:p>
          <w:p w:rsidR="00EA3F96" w:rsidRPr="00E465A1" w:rsidRDefault="00EA3F96" w:rsidP="00EA3F96">
            <w:pPr>
              <w:pStyle w:val="Normaltabletext1stpararight"/>
              <w:rPr>
                <w:b/>
                <w:color w:val="262626" w:themeColor="text1" w:themeTint="D9"/>
              </w:rPr>
            </w:pPr>
            <w:r w:rsidRPr="00E465A1">
              <w:rPr>
                <w:b/>
                <w:color w:val="262626" w:themeColor="text1" w:themeTint="D9"/>
              </w:rPr>
              <w:t>$’000</w:t>
            </w:r>
          </w:p>
        </w:tc>
      </w:tr>
      <w:tr w:rsidR="00E465A1" w:rsidRPr="00E465A1" w:rsidTr="00EA3F96">
        <w:trPr>
          <w:trHeight w:val="20"/>
        </w:trPr>
        <w:tc>
          <w:tcPr>
            <w:tcW w:w="2857" w:type="pct"/>
            <w:tcMar>
              <w:left w:w="0" w:type="dxa"/>
              <w:right w:w="0" w:type="dxa"/>
            </w:tcMar>
          </w:tcPr>
          <w:p w:rsidR="00EA3F96" w:rsidRPr="00E465A1" w:rsidRDefault="00EA3F96" w:rsidP="00EA3F96">
            <w:pPr>
              <w:pStyle w:val="Normaltabletextleft"/>
              <w:rPr>
                <w:color w:val="262626" w:themeColor="text1" w:themeTint="D9"/>
              </w:rPr>
            </w:pPr>
          </w:p>
        </w:tc>
        <w:tc>
          <w:tcPr>
            <w:tcW w:w="714" w:type="pct"/>
            <w:tcMar>
              <w:right w:w="113" w:type="dxa"/>
            </w:tcMar>
            <w:vAlign w:val="center"/>
          </w:tcPr>
          <w:p w:rsidR="00EA3F96" w:rsidRPr="00E465A1" w:rsidRDefault="00EA3F96" w:rsidP="00EA3F96">
            <w:pPr>
              <w:pStyle w:val="Normaltabletext1stpararight"/>
              <w:rPr>
                <w:color w:val="262626" w:themeColor="text1" w:themeTint="D9"/>
              </w:rPr>
            </w:pPr>
          </w:p>
        </w:tc>
        <w:tc>
          <w:tcPr>
            <w:tcW w:w="714" w:type="pct"/>
            <w:tcMar>
              <w:right w:w="113" w:type="dxa"/>
            </w:tcMar>
            <w:vAlign w:val="center"/>
          </w:tcPr>
          <w:p w:rsidR="00EA3F96" w:rsidRPr="00E465A1" w:rsidRDefault="00EA3F96" w:rsidP="00EA3F96">
            <w:pPr>
              <w:pStyle w:val="Normaltabletext1stpararight"/>
              <w:rPr>
                <w:color w:val="262626" w:themeColor="text1" w:themeTint="D9"/>
              </w:rPr>
            </w:pPr>
          </w:p>
        </w:tc>
        <w:tc>
          <w:tcPr>
            <w:tcW w:w="714" w:type="pct"/>
            <w:tcBorders>
              <w:left w:val="nil"/>
            </w:tcBorders>
            <w:tcMar>
              <w:right w:w="113" w:type="dxa"/>
            </w:tcMar>
            <w:vAlign w:val="center"/>
          </w:tcPr>
          <w:p w:rsidR="00EA3F96" w:rsidRPr="00E465A1" w:rsidRDefault="00EA3F96" w:rsidP="00EA3F96">
            <w:pPr>
              <w:pStyle w:val="Normaltabletext1stpararight"/>
              <w:rPr>
                <w:color w:val="262626" w:themeColor="text1" w:themeTint="D9"/>
              </w:rPr>
            </w:pPr>
          </w:p>
        </w:tc>
      </w:tr>
      <w:tr w:rsidR="00E465A1" w:rsidRPr="00E465A1" w:rsidTr="00EA3F96">
        <w:trPr>
          <w:trHeight w:val="20"/>
        </w:trPr>
        <w:tc>
          <w:tcPr>
            <w:tcW w:w="2857" w:type="pct"/>
            <w:tcMar>
              <w:left w:w="0" w:type="dxa"/>
              <w:right w:w="0" w:type="dxa"/>
            </w:tcMar>
          </w:tcPr>
          <w:p w:rsidR="00EA3F96" w:rsidRPr="00E465A1" w:rsidRDefault="005D7DB6" w:rsidP="00EA3F96">
            <w:pPr>
              <w:pStyle w:val="Normaltabletextleft"/>
              <w:rPr>
                <w:b/>
                <w:color w:val="262626" w:themeColor="text1" w:themeTint="D9"/>
              </w:rPr>
            </w:pPr>
            <w:r w:rsidRPr="00E465A1">
              <w:rPr>
                <w:b/>
                <w:color w:val="262626" w:themeColor="text1" w:themeTint="D9"/>
              </w:rPr>
              <w:t>Balance as at 1 July 2017</w:t>
            </w:r>
          </w:p>
        </w:tc>
        <w:tc>
          <w:tcPr>
            <w:tcW w:w="714" w:type="pct"/>
            <w:tcMar>
              <w:right w:w="113" w:type="dxa"/>
            </w:tcMar>
            <w:vAlign w:val="center"/>
          </w:tcPr>
          <w:p w:rsidR="00EA3F96" w:rsidRPr="00E465A1" w:rsidRDefault="0048384F" w:rsidP="00EA3F96">
            <w:pPr>
              <w:pStyle w:val="Normaltabletext1stpararight"/>
              <w:rPr>
                <w:b/>
                <w:color w:val="262626" w:themeColor="text1" w:themeTint="D9"/>
              </w:rPr>
            </w:pPr>
            <w:r w:rsidRPr="00E465A1">
              <w:rPr>
                <w:b/>
                <w:color w:val="262626" w:themeColor="text1" w:themeTint="D9"/>
              </w:rPr>
              <w:t>4,566</w:t>
            </w:r>
          </w:p>
        </w:tc>
        <w:tc>
          <w:tcPr>
            <w:tcW w:w="714" w:type="pct"/>
            <w:tcMar>
              <w:right w:w="113" w:type="dxa"/>
            </w:tcMar>
            <w:vAlign w:val="center"/>
          </w:tcPr>
          <w:p w:rsidR="00EA3F96" w:rsidRPr="00E465A1" w:rsidRDefault="00EA3F96" w:rsidP="00EA3F96">
            <w:pPr>
              <w:pStyle w:val="Normaltabletext1stpararight"/>
              <w:rPr>
                <w:b/>
                <w:color w:val="262626" w:themeColor="text1" w:themeTint="D9"/>
              </w:rPr>
            </w:pPr>
            <w:r w:rsidRPr="00E465A1">
              <w:rPr>
                <w:b/>
                <w:color w:val="262626" w:themeColor="text1" w:themeTint="D9"/>
              </w:rPr>
              <w:t>12,221</w:t>
            </w:r>
          </w:p>
        </w:tc>
        <w:tc>
          <w:tcPr>
            <w:tcW w:w="714" w:type="pct"/>
            <w:tcBorders>
              <w:left w:val="nil"/>
            </w:tcBorders>
            <w:tcMar>
              <w:right w:w="113" w:type="dxa"/>
            </w:tcMar>
            <w:vAlign w:val="center"/>
          </w:tcPr>
          <w:p w:rsidR="00EA3F96" w:rsidRPr="00E465A1" w:rsidRDefault="00F12509" w:rsidP="00EA3F96">
            <w:pPr>
              <w:pStyle w:val="Normaltabletext1stpararight"/>
              <w:rPr>
                <w:b/>
                <w:color w:val="262626" w:themeColor="text1" w:themeTint="D9"/>
              </w:rPr>
            </w:pPr>
            <w:r w:rsidRPr="00E465A1">
              <w:rPr>
                <w:b/>
                <w:color w:val="262626" w:themeColor="text1" w:themeTint="D9"/>
              </w:rPr>
              <w:t>16,787</w:t>
            </w:r>
          </w:p>
        </w:tc>
      </w:tr>
      <w:tr w:rsidR="00E465A1" w:rsidRPr="00E465A1" w:rsidTr="00EA3F96">
        <w:trPr>
          <w:trHeight w:val="20"/>
        </w:trPr>
        <w:tc>
          <w:tcPr>
            <w:tcW w:w="2857" w:type="pct"/>
            <w:tcMar>
              <w:left w:w="0" w:type="dxa"/>
              <w:right w:w="0" w:type="dxa"/>
            </w:tcMar>
          </w:tcPr>
          <w:p w:rsidR="00EA3F96" w:rsidRPr="00E465A1" w:rsidRDefault="00EA3F96" w:rsidP="00EA3F96">
            <w:pPr>
              <w:pStyle w:val="Normaltabletextleft"/>
              <w:rPr>
                <w:color w:val="262626" w:themeColor="text1" w:themeTint="D9"/>
              </w:rPr>
            </w:pPr>
          </w:p>
        </w:tc>
        <w:tc>
          <w:tcPr>
            <w:tcW w:w="714" w:type="pct"/>
            <w:tcMar>
              <w:right w:w="113" w:type="dxa"/>
            </w:tcMar>
            <w:vAlign w:val="center"/>
          </w:tcPr>
          <w:p w:rsidR="00EA3F96" w:rsidRPr="00E465A1" w:rsidRDefault="00EA3F96" w:rsidP="00EA3F96">
            <w:pPr>
              <w:pStyle w:val="Normaltabletext1stpararight"/>
              <w:rPr>
                <w:color w:val="262626" w:themeColor="text1" w:themeTint="D9"/>
              </w:rPr>
            </w:pPr>
          </w:p>
        </w:tc>
        <w:tc>
          <w:tcPr>
            <w:tcW w:w="714" w:type="pct"/>
            <w:tcMar>
              <w:right w:w="113" w:type="dxa"/>
            </w:tcMar>
            <w:vAlign w:val="center"/>
          </w:tcPr>
          <w:p w:rsidR="00EA3F96" w:rsidRPr="00E465A1" w:rsidRDefault="00EA3F96" w:rsidP="00EA3F96">
            <w:pPr>
              <w:pStyle w:val="Normaltabletext1stpararight"/>
              <w:rPr>
                <w:color w:val="262626" w:themeColor="text1" w:themeTint="D9"/>
              </w:rPr>
            </w:pPr>
          </w:p>
        </w:tc>
        <w:tc>
          <w:tcPr>
            <w:tcW w:w="714" w:type="pct"/>
            <w:tcBorders>
              <w:left w:val="nil"/>
            </w:tcBorders>
            <w:tcMar>
              <w:right w:w="113" w:type="dxa"/>
            </w:tcMar>
            <w:vAlign w:val="center"/>
          </w:tcPr>
          <w:p w:rsidR="00EA3F96" w:rsidRPr="00E465A1" w:rsidRDefault="00EA3F96" w:rsidP="00EA3F96">
            <w:pPr>
              <w:pStyle w:val="Normaltabletext1stpararight"/>
              <w:rPr>
                <w:color w:val="262626" w:themeColor="text1" w:themeTint="D9"/>
              </w:rPr>
            </w:pPr>
          </w:p>
        </w:tc>
      </w:tr>
      <w:tr w:rsidR="00E465A1" w:rsidRPr="00E465A1" w:rsidTr="00AD14D2">
        <w:trPr>
          <w:trHeight w:val="20"/>
        </w:trPr>
        <w:tc>
          <w:tcPr>
            <w:tcW w:w="2857" w:type="pct"/>
            <w:tcMar>
              <w:left w:w="0" w:type="dxa"/>
              <w:right w:w="0" w:type="dxa"/>
            </w:tcMar>
          </w:tcPr>
          <w:p w:rsidR="00EA3F96" w:rsidRPr="00E465A1" w:rsidRDefault="00EA3F96" w:rsidP="00EA3F96">
            <w:pPr>
              <w:pStyle w:val="Normaltabletextleft"/>
              <w:rPr>
                <w:color w:val="262626" w:themeColor="text1" w:themeTint="D9"/>
              </w:rPr>
            </w:pPr>
            <w:r w:rsidRPr="00E465A1">
              <w:rPr>
                <w:color w:val="262626" w:themeColor="text1" w:themeTint="D9"/>
              </w:rPr>
              <w:t>Operating result from continuing operations</w:t>
            </w:r>
          </w:p>
          <w:p w:rsidR="00EA3F96" w:rsidRPr="00E465A1" w:rsidRDefault="00EA3F96" w:rsidP="00EA3F96">
            <w:pPr>
              <w:pStyle w:val="Normaltabletextleft"/>
              <w:rPr>
                <w:color w:val="262626" w:themeColor="text1" w:themeTint="D9"/>
              </w:rPr>
            </w:pPr>
          </w:p>
        </w:tc>
        <w:tc>
          <w:tcPr>
            <w:tcW w:w="714" w:type="pct"/>
            <w:tcMar>
              <w:right w:w="113" w:type="dxa"/>
            </w:tcMar>
          </w:tcPr>
          <w:p w:rsidR="00EA3F96" w:rsidRPr="00E465A1" w:rsidRDefault="00105530" w:rsidP="007A3B1D">
            <w:pPr>
              <w:pStyle w:val="Normaltabletext1stpararight"/>
              <w:rPr>
                <w:color w:val="262626" w:themeColor="text1" w:themeTint="D9"/>
              </w:rPr>
            </w:pPr>
            <w:r w:rsidRPr="00E465A1">
              <w:rPr>
                <w:color w:val="262626" w:themeColor="text1" w:themeTint="D9"/>
              </w:rPr>
              <w:t>4</w:t>
            </w:r>
            <w:r w:rsidR="007A3B1D" w:rsidRPr="00E465A1">
              <w:rPr>
                <w:color w:val="262626" w:themeColor="text1" w:themeTint="D9"/>
              </w:rPr>
              <w:t>07</w:t>
            </w:r>
          </w:p>
        </w:tc>
        <w:tc>
          <w:tcPr>
            <w:tcW w:w="714" w:type="pct"/>
            <w:tcMar>
              <w:right w:w="113" w:type="dxa"/>
            </w:tcMar>
          </w:tcPr>
          <w:p w:rsidR="00EA3F96" w:rsidRPr="00E465A1" w:rsidRDefault="00345B59" w:rsidP="00EA3F96">
            <w:pPr>
              <w:pStyle w:val="Normaltabletext1stpararight"/>
              <w:rPr>
                <w:color w:val="262626" w:themeColor="text1" w:themeTint="D9"/>
              </w:rPr>
            </w:pPr>
            <w:r w:rsidRPr="00E465A1">
              <w:rPr>
                <w:color w:val="262626" w:themeColor="text1" w:themeTint="D9"/>
              </w:rPr>
              <w:t>–</w:t>
            </w:r>
          </w:p>
        </w:tc>
        <w:tc>
          <w:tcPr>
            <w:tcW w:w="714" w:type="pct"/>
            <w:tcBorders>
              <w:left w:val="nil"/>
            </w:tcBorders>
            <w:tcMar>
              <w:right w:w="113" w:type="dxa"/>
            </w:tcMar>
          </w:tcPr>
          <w:p w:rsidR="00EA3F96" w:rsidRPr="00E465A1" w:rsidRDefault="007A3B1D" w:rsidP="001609EA">
            <w:pPr>
              <w:pStyle w:val="Normaltabletext1stpararight"/>
              <w:rPr>
                <w:b/>
                <w:color w:val="262626" w:themeColor="text1" w:themeTint="D9"/>
              </w:rPr>
            </w:pPr>
            <w:r w:rsidRPr="00E465A1">
              <w:rPr>
                <w:b/>
                <w:color w:val="262626" w:themeColor="text1" w:themeTint="D9"/>
              </w:rPr>
              <w:t>407</w:t>
            </w:r>
          </w:p>
        </w:tc>
      </w:tr>
      <w:tr w:rsidR="00E465A1" w:rsidRPr="00E465A1" w:rsidTr="00AD14D2">
        <w:trPr>
          <w:trHeight w:val="20"/>
        </w:trPr>
        <w:tc>
          <w:tcPr>
            <w:tcW w:w="2857" w:type="pct"/>
            <w:tcMar>
              <w:left w:w="0" w:type="dxa"/>
              <w:right w:w="0" w:type="dxa"/>
            </w:tcMar>
          </w:tcPr>
          <w:p w:rsidR="00DA74C5" w:rsidRPr="00E465A1" w:rsidRDefault="00DA74C5" w:rsidP="00EA3F96">
            <w:pPr>
              <w:pStyle w:val="Normaltabletextleft"/>
              <w:rPr>
                <w:i/>
                <w:color w:val="262626" w:themeColor="text1" w:themeTint="D9"/>
              </w:rPr>
            </w:pPr>
            <w:r w:rsidRPr="00E465A1">
              <w:rPr>
                <w:i/>
                <w:color w:val="262626" w:themeColor="text1" w:themeTint="D9"/>
              </w:rPr>
              <w:t>Transactions with Owners as Owners:</w:t>
            </w:r>
          </w:p>
          <w:p w:rsidR="00802FCD" w:rsidRPr="00E465A1" w:rsidRDefault="00DA74C5" w:rsidP="00D316B0">
            <w:pPr>
              <w:pStyle w:val="Normaltabletextleft"/>
              <w:numPr>
                <w:ilvl w:val="0"/>
                <w:numId w:val="6"/>
              </w:numPr>
              <w:rPr>
                <w:color w:val="262626" w:themeColor="text1" w:themeTint="D9"/>
              </w:rPr>
            </w:pPr>
            <w:r w:rsidRPr="00E465A1">
              <w:rPr>
                <w:color w:val="262626" w:themeColor="text1" w:themeTint="D9"/>
              </w:rPr>
              <w:t>Non appropriated e</w:t>
            </w:r>
            <w:r w:rsidR="00345B59" w:rsidRPr="00E465A1">
              <w:rPr>
                <w:color w:val="262626" w:themeColor="text1" w:themeTint="D9"/>
              </w:rPr>
              <w:t>quity injection</w:t>
            </w:r>
            <w:r w:rsidR="00D316B0" w:rsidRPr="00E465A1">
              <w:rPr>
                <w:color w:val="262626" w:themeColor="text1" w:themeTint="D9"/>
              </w:rPr>
              <w:t>¹</w:t>
            </w:r>
          </w:p>
        </w:tc>
        <w:tc>
          <w:tcPr>
            <w:tcW w:w="714" w:type="pct"/>
            <w:tcMar>
              <w:right w:w="113" w:type="dxa"/>
            </w:tcMar>
          </w:tcPr>
          <w:p w:rsidR="00DA74C5" w:rsidRPr="00E465A1" w:rsidRDefault="00DA74C5" w:rsidP="001609EA">
            <w:pPr>
              <w:pStyle w:val="Normaltabletext1stpararight"/>
              <w:rPr>
                <w:color w:val="262626" w:themeColor="text1" w:themeTint="D9"/>
              </w:rPr>
            </w:pPr>
          </w:p>
          <w:p w:rsidR="00345B59" w:rsidRPr="00E465A1" w:rsidRDefault="00DA74C5" w:rsidP="001609EA">
            <w:pPr>
              <w:pStyle w:val="Normaltabletext1stpararight"/>
              <w:rPr>
                <w:color w:val="262626" w:themeColor="text1" w:themeTint="D9"/>
              </w:rPr>
            </w:pPr>
            <w:r w:rsidRPr="00E465A1">
              <w:rPr>
                <w:color w:val="262626" w:themeColor="text1" w:themeTint="D9"/>
              </w:rPr>
              <w:t>–</w:t>
            </w:r>
          </w:p>
        </w:tc>
        <w:tc>
          <w:tcPr>
            <w:tcW w:w="714" w:type="pct"/>
            <w:tcMar>
              <w:right w:w="113" w:type="dxa"/>
            </w:tcMar>
          </w:tcPr>
          <w:p w:rsidR="00DA74C5" w:rsidRPr="00E465A1" w:rsidRDefault="00DA74C5" w:rsidP="00EA3F96">
            <w:pPr>
              <w:pStyle w:val="Normaltabletext1stpararight"/>
              <w:rPr>
                <w:color w:val="262626" w:themeColor="text1" w:themeTint="D9"/>
              </w:rPr>
            </w:pPr>
          </w:p>
          <w:p w:rsidR="00345B59" w:rsidRPr="00E465A1" w:rsidRDefault="00DA74C5" w:rsidP="00EA3F96">
            <w:pPr>
              <w:pStyle w:val="Normaltabletext1stpararight"/>
              <w:rPr>
                <w:color w:val="262626" w:themeColor="text1" w:themeTint="D9"/>
              </w:rPr>
            </w:pPr>
            <w:r w:rsidRPr="00E465A1">
              <w:rPr>
                <w:color w:val="262626" w:themeColor="text1" w:themeTint="D9"/>
              </w:rPr>
              <w:t>700</w:t>
            </w:r>
          </w:p>
        </w:tc>
        <w:tc>
          <w:tcPr>
            <w:tcW w:w="714" w:type="pct"/>
            <w:tcBorders>
              <w:left w:val="nil"/>
            </w:tcBorders>
            <w:tcMar>
              <w:right w:w="113" w:type="dxa"/>
            </w:tcMar>
          </w:tcPr>
          <w:p w:rsidR="00345B59" w:rsidRPr="00E465A1" w:rsidRDefault="00345B59" w:rsidP="001609EA">
            <w:pPr>
              <w:pStyle w:val="Normaltabletext1stpararight"/>
              <w:rPr>
                <w:b/>
                <w:color w:val="262626" w:themeColor="text1" w:themeTint="D9"/>
              </w:rPr>
            </w:pPr>
          </w:p>
          <w:p w:rsidR="00DA74C5" w:rsidRPr="00E465A1" w:rsidRDefault="00DA74C5" w:rsidP="001609EA">
            <w:pPr>
              <w:pStyle w:val="Normaltabletext1stpararight"/>
              <w:rPr>
                <w:b/>
                <w:color w:val="262626" w:themeColor="text1" w:themeTint="D9"/>
              </w:rPr>
            </w:pPr>
            <w:r w:rsidRPr="00E465A1">
              <w:rPr>
                <w:b/>
                <w:color w:val="262626" w:themeColor="text1" w:themeTint="D9"/>
              </w:rPr>
              <w:t>700</w:t>
            </w:r>
          </w:p>
        </w:tc>
      </w:tr>
      <w:tr w:rsidR="00E465A1" w:rsidRPr="00E465A1" w:rsidTr="00EA3F96">
        <w:trPr>
          <w:trHeight w:val="20"/>
        </w:trPr>
        <w:tc>
          <w:tcPr>
            <w:tcW w:w="2857" w:type="pct"/>
            <w:tcMar>
              <w:left w:w="0" w:type="dxa"/>
              <w:right w:w="0" w:type="dxa"/>
            </w:tcMar>
          </w:tcPr>
          <w:p w:rsidR="00EA3F96" w:rsidRPr="00E465A1" w:rsidRDefault="00EA3F96" w:rsidP="00EA3F96">
            <w:pPr>
              <w:pStyle w:val="Normaltabletextleft"/>
              <w:rPr>
                <w:color w:val="262626" w:themeColor="text1" w:themeTint="D9"/>
              </w:rPr>
            </w:pPr>
          </w:p>
        </w:tc>
        <w:tc>
          <w:tcPr>
            <w:tcW w:w="714" w:type="pct"/>
            <w:tcBorders>
              <w:bottom w:val="single" w:sz="4" w:space="0" w:color="auto"/>
            </w:tcBorders>
            <w:tcMar>
              <w:right w:w="113" w:type="dxa"/>
            </w:tcMar>
            <w:vAlign w:val="center"/>
          </w:tcPr>
          <w:p w:rsidR="00EA3F96" w:rsidRPr="00E465A1" w:rsidRDefault="00EA3F96" w:rsidP="00EA3F96">
            <w:pPr>
              <w:pStyle w:val="Normaltabletext1stpararight"/>
              <w:rPr>
                <w:color w:val="262626" w:themeColor="text1" w:themeTint="D9"/>
              </w:rPr>
            </w:pPr>
          </w:p>
        </w:tc>
        <w:tc>
          <w:tcPr>
            <w:tcW w:w="714" w:type="pct"/>
            <w:tcBorders>
              <w:bottom w:val="single" w:sz="4" w:space="0" w:color="auto"/>
            </w:tcBorders>
            <w:tcMar>
              <w:right w:w="113" w:type="dxa"/>
            </w:tcMar>
            <w:vAlign w:val="center"/>
          </w:tcPr>
          <w:p w:rsidR="00EA3F96" w:rsidRPr="00E465A1" w:rsidRDefault="00EA3F96" w:rsidP="00EA3F96">
            <w:pPr>
              <w:pStyle w:val="Normaltabletext1stpararight"/>
              <w:rPr>
                <w:color w:val="262626" w:themeColor="text1" w:themeTint="D9"/>
              </w:rPr>
            </w:pPr>
          </w:p>
        </w:tc>
        <w:tc>
          <w:tcPr>
            <w:tcW w:w="714" w:type="pct"/>
            <w:tcBorders>
              <w:left w:val="nil"/>
              <w:bottom w:val="single" w:sz="4" w:space="0" w:color="auto"/>
            </w:tcBorders>
            <w:tcMar>
              <w:right w:w="113" w:type="dxa"/>
            </w:tcMar>
            <w:vAlign w:val="center"/>
          </w:tcPr>
          <w:p w:rsidR="00EA3F96" w:rsidRPr="00E465A1" w:rsidRDefault="00EA3F96" w:rsidP="00EA3F96">
            <w:pPr>
              <w:pStyle w:val="Normaltabletext1stpararight"/>
              <w:rPr>
                <w:color w:val="262626" w:themeColor="text1" w:themeTint="D9"/>
              </w:rPr>
            </w:pPr>
          </w:p>
        </w:tc>
      </w:tr>
      <w:tr w:rsidR="00E465A1" w:rsidRPr="00E465A1" w:rsidTr="00EA3F96">
        <w:trPr>
          <w:trHeight w:val="20"/>
        </w:trPr>
        <w:tc>
          <w:tcPr>
            <w:tcW w:w="2857" w:type="pct"/>
            <w:tcMar>
              <w:left w:w="0" w:type="dxa"/>
              <w:right w:w="0" w:type="dxa"/>
            </w:tcMar>
          </w:tcPr>
          <w:p w:rsidR="00EA3F96" w:rsidRPr="00E465A1" w:rsidRDefault="00EC07A9" w:rsidP="00055403">
            <w:pPr>
              <w:pStyle w:val="Normaltabletextleft"/>
              <w:rPr>
                <w:b/>
                <w:color w:val="262626" w:themeColor="text1" w:themeTint="D9"/>
              </w:rPr>
            </w:pPr>
            <w:r w:rsidRPr="00E465A1">
              <w:rPr>
                <w:b/>
                <w:color w:val="262626" w:themeColor="text1" w:themeTint="D9"/>
              </w:rPr>
              <w:t xml:space="preserve">Balance as at 30 </w:t>
            </w:r>
            <w:r w:rsidR="00055403" w:rsidRPr="00E465A1">
              <w:rPr>
                <w:b/>
                <w:color w:val="262626" w:themeColor="text1" w:themeTint="D9"/>
              </w:rPr>
              <w:t>June</w:t>
            </w:r>
            <w:r w:rsidR="0048384F" w:rsidRPr="00E465A1">
              <w:rPr>
                <w:b/>
                <w:color w:val="262626" w:themeColor="text1" w:themeTint="D9"/>
              </w:rPr>
              <w:t xml:space="preserve"> 2018</w:t>
            </w:r>
          </w:p>
        </w:tc>
        <w:tc>
          <w:tcPr>
            <w:tcW w:w="714" w:type="pct"/>
            <w:tcBorders>
              <w:top w:val="single" w:sz="4" w:space="0" w:color="auto"/>
            </w:tcBorders>
            <w:tcMar>
              <w:right w:w="113" w:type="dxa"/>
            </w:tcMar>
            <w:vAlign w:val="center"/>
          </w:tcPr>
          <w:p w:rsidR="00EA3F96" w:rsidRPr="00E465A1" w:rsidRDefault="007A3B1D" w:rsidP="001609EA">
            <w:pPr>
              <w:pStyle w:val="Normaltabletext1stpararight"/>
              <w:rPr>
                <w:b/>
                <w:color w:val="262626" w:themeColor="text1" w:themeTint="D9"/>
              </w:rPr>
            </w:pPr>
            <w:r w:rsidRPr="00E465A1">
              <w:rPr>
                <w:b/>
                <w:color w:val="262626" w:themeColor="text1" w:themeTint="D9"/>
              </w:rPr>
              <w:t>4,973</w:t>
            </w:r>
          </w:p>
        </w:tc>
        <w:tc>
          <w:tcPr>
            <w:tcW w:w="714" w:type="pct"/>
            <w:tcBorders>
              <w:top w:val="single" w:sz="4" w:space="0" w:color="auto"/>
            </w:tcBorders>
            <w:tcMar>
              <w:right w:w="113" w:type="dxa"/>
            </w:tcMar>
            <w:vAlign w:val="center"/>
          </w:tcPr>
          <w:p w:rsidR="00EA3F96" w:rsidRPr="00E465A1" w:rsidRDefault="00DA74C5" w:rsidP="00EA3F96">
            <w:pPr>
              <w:pStyle w:val="Normaltabletext1stpararight"/>
              <w:rPr>
                <w:b/>
                <w:color w:val="262626" w:themeColor="text1" w:themeTint="D9"/>
              </w:rPr>
            </w:pPr>
            <w:r w:rsidRPr="00E465A1">
              <w:rPr>
                <w:b/>
                <w:color w:val="262626" w:themeColor="text1" w:themeTint="D9"/>
              </w:rPr>
              <w:t>12,921</w:t>
            </w:r>
          </w:p>
        </w:tc>
        <w:tc>
          <w:tcPr>
            <w:tcW w:w="714" w:type="pct"/>
            <w:tcBorders>
              <w:top w:val="single" w:sz="4" w:space="0" w:color="auto"/>
              <w:left w:val="nil"/>
            </w:tcBorders>
            <w:tcMar>
              <w:right w:w="113" w:type="dxa"/>
            </w:tcMar>
            <w:vAlign w:val="center"/>
          </w:tcPr>
          <w:p w:rsidR="00EA3F96" w:rsidRPr="00E465A1" w:rsidRDefault="00105530" w:rsidP="007A3B1D">
            <w:pPr>
              <w:pStyle w:val="Normaltabletext1stpararight"/>
              <w:rPr>
                <w:b/>
                <w:color w:val="262626" w:themeColor="text1" w:themeTint="D9"/>
              </w:rPr>
            </w:pPr>
            <w:r w:rsidRPr="00E465A1">
              <w:rPr>
                <w:b/>
                <w:color w:val="262626" w:themeColor="text1" w:themeTint="D9"/>
              </w:rPr>
              <w:t>17</w:t>
            </w:r>
            <w:r w:rsidR="007A3B1D" w:rsidRPr="00E465A1">
              <w:rPr>
                <w:b/>
                <w:color w:val="262626" w:themeColor="text1" w:themeTint="D9"/>
              </w:rPr>
              <w:t>,894</w:t>
            </w:r>
          </w:p>
        </w:tc>
      </w:tr>
      <w:tr w:rsidR="00E465A1" w:rsidRPr="00E465A1" w:rsidTr="00EA3F96">
        <w:trPr>
          <w:trHeight w:val="20"/>
        </w:trPr>
        <w:tc>
          <w:tcPr>
            <w:tcW w:w="2857" w:type="pct"/>
            <w:tcMar>
              <w:left w:w="0" w:type="dxa"/>
              <w:right w:w="0" w:type="dxa"/>
            </w:tcMar>
          </w:tcPr>
          <w:p w:rsidR="00EA3F96" w:rsidRPr="00E465A1" w:rsidRDefault="00EA3F96" w:rsidP="00EA3F96">
            <w:pPr>
              <w:pStyle w:val="Normaltabletextleft"/>
              <w:rPr>
                <w:color w:val="262626" w:themeColor="text1" w:themeTint="D9"/>
              </w:rPr>
            </w:pPr>
          </w:p>
        </w:tc>
        <w:tc>
          <w:tcPr>
            <w:tcW w:w="714" w:type="pct"/>
            <w:tcBorders>
              <w:top w:val="double" w:sz="6" w:space="0" w:color="auto"/>
            </w:tcBorders>
            <w:tcMar>
              <w:right w:w="113" w:type="dxa"/>
            </w:tcMar>
            <w:vAlign w:val="bottom"/>
          </w:tcPr>
          <w:p w:rsidR="00EA3F96" w:rsidRPr="00E465A1" w:rsidRDefault="00EA3F96" w:rsidP="00EA3F96">
            <w:pPr>
              <w:pStyle w:val="Normaltabletext1stpararight"/>
              <w:rPr>
                <w:color w:val="262626" w:themeColor="text1" w:themeTint="D9"/>
              </w:rPr>
            </w:pPr>
          </w:p>
        </w:tc>
        <w:tc>
          <w:tcPr>
            <w:tcW w:w="714" w:type="pct"/>
            <w:tcBorders>
              <w:top w:val="double" w:sz="6" w:space="0" w:color="auto"/>
            </w:tcBorders>
            <w:tcMar>
              <w:right w:w="113" w:type="dxa"/>
            </w:tcMar>
            <w:vAlign w:val="bottom"/>
          </w:tcPr>
          <w:p w:rsidR="00EA3F96" w:rsidRPr="00E465A1" w:rsidRDefault="00EA3F96" w:rsidP="00EA3F96">
            <w:pPr>
              <w:pStyle w:val="Normaltabletext1stpararight"/>
              <w:rPr>
                <w:color w:val="262626" w:themeColor="text1" w:themeTint="D9"/>
              </w:rPr>
            </w:pPr>
          </w:p>
        </w:tc>
        <w:tc>
          <w:tcPr>
            <w:tcW w:w="714" w:type="pct"/>
            <w:tcBorders>
              <w:top w:val="double" w:sz="6" w:space="0" w:color="auto"/>
              <w:left w:val="nil"/>
            </w:tcBorders>
            <w:tcMar>
              <w:right w:w="113" w:type="dxa"/>
            </w:tcMar>
            <w:vAlign w:val="bottom"/>
          </w:tcPr>
          <w:p w:rsidR="00EA3F96" w:rsidRPr="00E465A1" w:rsidRDefault="00EA3F96" w:rsidP="00EA3F96">
            <w:pPr>
              <w:pStyle w:val="Normaltabletext1stpararight"/>
              <w:rPr>
                <w:color w:val="262626" w:themeColor="text1" w:themeTint="D9"/>
              </w:rPr>
            </w:pPr>
          </w:p>
        </w:tc>
      </w:tr>
    </w:tbl>
    <w:p w:rsidR="00802FCD" w:rsidRPr="00E465A1" w:rsidRDefault="00D316B0" w:rsidP="006D5F66">
      <w:pPr>
        <w:pStyle w:val="Notes"/>
        <w:rPr>
          <w:color w:val="262626" w:themeColor="text1" w:themeTint="D9"/>
        </w:rPr>
      </w:pPr>
      <w:r w:rsidRPr="00E465A1">
        <w:rPr>
          <w:color w:val="262626" w:themeColor="text1" w:themeTint="D9"/>
        </w:rPr>
        <w:t xml:space="preserve">¹ The CCC received </w:t>
      </w:r>
      <w:r w:rsidR="003F04B8" w:rsidRPr="00E465A1">
        <w:rPr>
          <w:color w:val="262626" w:themeColor="text1" w:themeTint="D9"/>
        </w:rPr>
        <w:t xml:space="preserve">a </w:t>
      </w:r>
      <w:r w:rsidRPr="00E465A1">
        <w:rPr>
          <w:color w:val="262626" w:themeColor="text1" w:themeTint="D9"/>
        </w:rPr>
        <w:t xml:space="preserve">$700,000 non-appropriated equity injection in 2017-18 </w:t>
      </w:r>
      <w:r w:rsidR="003F04B8" w:rsidRPr="00E465A1">
        <w:rPr>
          <w:color w:val="262626" w:themeColor="text1" w:themeTint="D9"/>
        </w:rPr>
        <w:t xml:space="preserve">to fund the development of a </w:t>
      </w:r>
      <w:r w:rsidRPr="00E465A1">
        <w:rPr>
          <w:color w:val="262626" w:themeColor="text1" w:themeTint="D9"/>
        </w:rPr>
        <w:t>new</w:t>
      </w:r>
      <w:r w:rsidR="00B85FCF" w:rsidRPr="00E465A1">
        <w:rPr>
          <w:color w:val="262626" w:themeColor="text1" w:themeTint="D9"/>
        </w:rPr>
        <w:t xml:space="preserve"> I</w:t>
      </w:r>
      <w:r w:rsidR="004669D4" w:rsidRPr="00E465A1">
        <w:rPr>
          <w:color w:val="262626" w:themeColor="text1" w:themeTint="D9"/>
        </w:rPr>
        <w:t xml:space="preserve">ntegrated </w:t>
      </w:r>
      <w:r w:rsidR="00B85FCF" w:rsidRPr="00E465A1">
        <w:rPr>
          <w:color w:val="262626" w:themeColor="text1" w:themeTint="D9"/>
        </w:rPr>
        <w:t>C</w:t>
      </w:r>
      <w:r w:rsidR="004669D4" w:rsidRPr="00E465A1">
        <w:rPr>
          <w:color w:val="262626" w:themeColor="text1" w:themeTint="D9"/>
        </w:rPr>
        <w:t xml:space="preserve">ase </w:t>
      </w:r>
      <w:r w:rsidR="00B85FCF" w:rsidRPr="00E465A1">
        <w:rPr>
          <w:color w:val="262626" w:themeColor="text1" w:themeTint="D9"/>
        </w:rPr>
        <w:t>M</w:t>
      </w:r>
      <w:r w:rsidR="004669D4" w:rsidRPr="00E465A1">
        <w:rPr>
          <w:color w:val="262626" w:themeColor="text1" w:themeTint="D9"/>
        </w:rPr>
        <w:t xml:space="preserve">anagement </w:t>
      </w:r>
      <w:r w:rsidR="00B85FCF" w:rsidRPr="00E465A1">
        <w:rPr>
          <w:color w:val="262626" w:themeColor="text1" w:themeTint="D9"/>
        </w:rPr>
        <w:t>S</w:t>
      </w:r>
      <w:r w:rsidR="004669D4" w:rsidRPr="00E465A1">
        <w:rPr>
          <w:color w:val="262626" w:themeColor="text1" w:themeTint="D9"/>
        </w:rPr>
        <w:t>ystem (</w:t>
      </w:r>
      <w:proofErr w:type="spellStart"/>
      <w:r w:rsidR="004669D4" w:rsidRPr="00E465A1">
        <w:rPr>
          <w:color w:val="262626" w:themeColor="text1" w:themeTint="D9"/>
        </w:rPr>
        <w:t>ICMS</w:t>
      </w:r>
      <w:proofErr w:type="spellEnd"/>
      <w:r w:rsidR="004669D4" w:rsidRPr="00E465A1">
        <w:rPr>
          <w:color w:val="262626" w:themeColor="text1" w:themeTint="D9"/>
        </w:rPr>
        <w:t>)</w:t>
      </w:r>
      <w:r w:rsidR="00B85FCF" w:rsidRPr="00E465A1">
        <w:rPr>
          <w:color w:val="262626" w:themeColor="text1" w:themeTint="D9"/>
        </w:rPr>
        <w:t>.</w:t>
      </w:r>
      <w:r w:rsidRPr="00E465A1">
        <w:rPr>
          <w:color w:val="262626" w:themeColor="text1" w:themeTint="D9"/>
        </w:rPr>
        <w:t xml:space="preserve"> </w:t>
      </w:r>
    </w:p>
    <w:p w:rsidR="00802FCD" w:rsidRPr="00E465A1" w:rsidRDefault="00802FCD" w:rsidP="006D5F66">
      <w:pPr>
        <w:pStyle w:val="Notes"/>
        <w:rPr>
          <w:i/>
          <w:color w:val="262626" w:themeColor="text1" w:themeTint="D9"/>
        </w:rPr>
      </w:pPr>
    </w:p>
    <w:p w:rsidR="00CF0C0B" w:rsidRPr="00E465A1" w:rsidRDefault="00276E72" w:rsidP="006D5F66">
      <w:pPr>
        <w:pStyle w:val="Notes"/>
        <w:rPr>
          <w:i/>
          <w:color w:val="262626" w:themeColor="text1" w:themeTint="D9"/>
        </w:rPr>
      </w:pPr>
      <w:r w:rsidRPr="00E465A1">
        <w:rPr>
          <w:i/>
          <w:color w:val="262626" w:themeColor="text1" w:themeTint="D9"/>
        </w:rPr>
        <w:t>The accompanying notes form part of these statements.</w:t>
      </w:r>
    </w:p>
    <w:p w:rsidR="00BB1BE6" w:rsidRPr="00E465A1" w:rsidRDefault="00BB1BE6" w:rsidP="00F83A7B">
      <w:pPr>
        <w:rPr>
          <w:color w:val="262626" w:themeColor="text1" w:themeTint="D9"/>
        </w:rPr>
      </w:pPr>
    </w:p>
    <w:p w:rsidR="009971FD" w:rsidRPr="00E465A1" w:rsidRDefault="009971FD" w:rsidP="00F83A7B">
      <w:pPr>
        <w:rPr>
          <w:b/>
          <w:strike/>
          <w:color w:val="262626" w:themeColor="text1" w:themeTint="D9"/>
        </w:rPr>
      </w:pPr>
    </w:p>
    <w:p w:rsidR="009971FD" w:rsidRPr="00E465A1" w:rsidRDefault="009971FD" w:rsidP="00F83A7B">
      <w:pPr>
        <w:rPr>
          <w:color w:val="262626" w:themeColor="text1" w:themeTint="D9"/>
        </w:rPr>
      </w:pPr>
    </w:p>
    <w:p w:rsidR="009971FD" w:rsidRPr="00E465A1" w:rsidRDefault="009971FD" w:rsidP="00F83A7B">
      <w:pPr>
        <w:rPr>
          <w:color w:val="262626" w:themeColor="text1" w:themeTint="D9"/>
        </w:rPr>
      </w:pPr>
    </w:p>
    <w:p w:rsidR="009971FD" w:rsidRPr="00E465A1" w:rsidRDefault="009971FD" w:rsidP="00F83A7B">
      <w:pPr>
        <w:rPr>
          <w:color w:val="262626" w:themeColor="text1" w:themeTint="D9"/>
        </w:rPr>
      </w:pPr>
    </w:p>
    <w:p w:rsidR="009971FD" w:rsidRPr="00E465A1" w:rsidRDefault="009971FD" w:rsidP="00F83A7B">
      <w:pPr>
        <w:rPr>
          <w:color w:val="262626" w:themeColor="text1" w:themeTint="D9"/>
        </w:rPr>
      </w:pPr>
    </w:p>
    <w:p w:rsidR="002E653A" w:rsidRPr="00E465A1" w:rsidRDefault="002E653A" w:rsidP="00347FCD">
      <w:pPr>
        <w:pStyle w:val="Normal115pttextnospacebefore"/>
        <w:rPr>
          <w:color w:val="262626" w:themeColor="text1" w:themeTint="D9"/>
        </w:rPr>
        <w:sectPr w:rsidR="002E653A" w:rsidRPr="00E465A1" w:rsidSect="0093233E">
          <w:headerReference w:type="even" r:id="rId21"/>
          <w:headerReference w:type="default" r:id="rId22"/>
          <w:headerReference w:type="first" r:id="rId23"/>
          <w:pgSz w:w="11906" w:h="16838" w:code="9"/>
          <w:pgMar w:top="2268" w:right="851" w:bottom="1418" w:left="851" w:header="567" w:footer="567" w:gutter="0"/>
          <w:cols w:space="708"/>
          <w:docGrid w:linePitch="360"/>
        </w:sectPr>
      </w:pPr>
    </w:p>
    <w:p w:rsidR="009971FD" w:rsidRPr="00E465A1" w:rsidRDefault="009971FD" w:rsidP="00F83A7B">
      <w:pPr>
        <w:pStyle w:val="Normal1stpara"/>
        <w:rPr>
          <w:color w:val="262626" w:themeColor="text1" w:themeTint="D9"/>
        </w:rPr>
      </w:pPr>
    </w:p>
    <w:tbl>
      <w:tblPr>
        <w:tblW w:w="10065" w:type="dxa"/>
        <w:tblLayout w:type="fixed"/>
        <w:tblCellMar>
          <w:left w:w="0" w:type="dxa"/>
          <w:bottom w:w="11" w:type="dxa"/>
          <w:right w:w="0" w:type="dxa"/>
        </w:tblCellMar>
        <w:tblLook w:val="0000" w:firstRow="0" w:lastRow="0" w:firstColumn="0" w:lastColumn="0" w:noHBand="0" w:noVBand="0"/>
      </w:tblPr>
      <w:tblGrid>
        <w:gridCol w:w="1807"/>
        <w:gridCol w:w="1808"/>
        <w:gridCol w:w="1630"/>
        <w:gridCol w:w="180"/>
        <w:gridCol w:w="671"/>
        <w:gridCol w:w="992"/>
        <w:gridCol w:w="185"/>
        <w:gridCol w:w="807"/>
        <w:gridCol w:w="992"/>
        <w:gridCol w:w="50"/>
        <w:gridCol w:w="943"/>
      </w:tblGrid>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color w:val="262626" w:themeColor="text1" w:themeTint="D9"/>
              </w:rPr>
            </w:pP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b/>
                <w:color w:val="262626" w:themeColor="text1" w:themeTint="D9"/>
              </w:rPr>
            </w:pPr>
            <w:r w:rsidRPr="00E465A1">
              <w:rPr>
                <w:b/>
                <w:color w:val="262626" w:themeColor="text1" w:themeTint="D9"/>
              </w:rPr>
              <w:t>Notes</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ind w:right="69"/>
              <w:rPr>
                <w:b/>
                <w:color w:val="262626" w:themeColor="text1" w:themeTint="D9"/>
              </w:rPr>
            </w:pPr>
            <w:r w:rsidRPr="00E465A1">
              <w:rPr>
                <w:b/>
                <w:color w:val="262626" w:themeColor="text1" w:themeTint="D9"/>
              </w:rPr>
              <w:t xml:space="preserve">Actual </w:t>
            </w:r>
          </w:p>
        </w:tc>
        <w:tc>
          <w:tcPr>
            <w:tcW w:w="992" w:type="dxa"/>
            <w:gridSpan w:val="2"/>
            <w:tcBorders>
              <w:top w:val="nil"/>
              <w:left w:val="nil"/>
              <w:bottom w:val="nil"/>
              <w:right w:val="nil"/>
            </w:tcBorders>
            <w:vAlign w:val="bottom"/>
          </w:tcPr>
          <w:p w:rsidR="00034867" w:rsidRPr="00E465A1" w:rsidRDefault="00034867" w:rsidP="00034867">
            <w:pPr>
              <w:pStyle w:val="Normaltabletext1stpararight"/>
              <w:ind w:right="139"/>
              <w:rPr>
                <w:b/>
                <w:color w:val="262626" w:themeColor="text1" w:themeTint="D9"/>
              </w:rPr>
            </w:pPr>
            <w:r w:rsidRPr="00E465A1">
              <w:rPr>
                <w:b/>
                <w:color w:val="262626" w:themeColor="text1" w:themeTint="D9"/>
              </w:rPr>
              <w:t xml:space="preserve">Budget </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ind w:right="-1"/>
              <w:rPr>
                <w:b/>
                <w:color w:val="262626" w:themeColor="text1" w:themeTint="D9"/>
              </w:rPr>
            </w:pPr>
            <w:r w:rsidRPr="00E465A1">
              <w:rPr>
                <w:b/>
                <w:color w:val="262626" w:themeColor="text1" w:themeTint="D9"/>
              </w:rPr>
              <w:t>Budget</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r w:rsidRPr="00E465A1">
              <w:rPr>
                <w:b/>
                <w:color w:val="262626" w:themeColor="text1" w:themeTint="D9"/>
              </w:rPr>
              <w:t>Actual</w:t>
            </w:r>
          </w:p>
        </w:tc>
      </w:tr>
      <w:tr w:rsidR="00E465A1" w:rsidRPr="00E465A1" w:rsidTr="00AD6577">
        <w:trPr>
          <w:trHeight w:val="296"/>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color w:val="262626" w:themeColor="text1" w:themeTint="D9"/>
              </w:rPr>
            </w:pPr>
          </w:p>
        </w:tc>
        <w:tc>
          <w:tcPr>
            <w:tcW w:w="851" w:type="dxa"/>
            <w:gridSpan w:val="2"/>
            <w:tcBorders>
              <w:top w:val="nil"/>
              <w:left w:val="nil"/>
              <w:bottom w:val="nil"/>
              <w:right w:val="nil"/>
            </w:tcBorders>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ind w:right="69"/>
              <w:rPr>
                <w:b/>
                <w:color w:val="262626" w:themeColor="text1" w:themeTint="D9"/>
              </w:rPr>
            </w:pPr>
            <w:r w:rsidRPr="00E465A1">
              <w:rPr>
                <w:b/>
                <w:color w:val="262626" w:themeColor="text1" w:themeTint="D9"/>
              </w:rPr>
              <w:t>2018</w:t>
            </w:r>
          </w:p>
        </w:tc>
        <w:tc>
          <w:tcPr>
            <w:tcW w:w="992" w:type="dxa"/>
            <w:gridSpan w:val="2"/>
            <w:tcBorders>
              <w:top w:val="nil"/>
              <w:left w:val="nil"/>
              <w:bottom w:val="nil"/>
              <w:right w:val="nil"/>
            </w:tcBorders>
            <w:vAlign w:val="bottom"/>
          </w:tcPr>
          <w:p w:rsidR="00034867" w:rsidRPr="00E465A1" w:rsidRDefault="00034867" w:rsidP="00034867">
            <w:pPr>
              <w:pStyle w:val="Normaltabletext1stpararight"/>
              <w:ind w:right="139"/>
              <w:rPr>
                <w:b/>
                <w:color w:val="262626" w:themeColor="text1" w:themeTint="D9"/>
              </w:rPr>
            </w:pPr>
            <w:r w:rsidRPr="00E465A1">
              <w:rPr>
                <w:b/>
                <w:color w:val="262626" w:themeColor="text1" w:themeTint="D9"/>
              </w:rPr>
              <w:t>2018</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C72DB2">
            <w:pPr>
              <w:pStyle w:val="Normaltabletext1stpararight"/>
              <w:ind w:right="-113"/>
              <w:rPr>
                <w:b/>
                <w:color w:val="262626" w:themeColor="text1" w:themeTint="D9"/>
              </w:rPr>
            </w:pPr>
            <w:r w:rsidRPr="00E465A1">
              <w:rPr>
                <w:b/>
                <w:color w:val="262626" w:themeColor="text1" w:themeTint="D9"/>
              </w:rPr>
              <w:t>Variance</w:t>
            </w:r>
            <w:r w:rsidR="00C72DB2" w:rsidRPr="00E465A1">
              <w:rPr>
                <w:b/>
                <w:color w:val="262626" w:themeColor="text1" w:themeTint="D9"/>
              </w:rPr>
              <w:t>*</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r w:rsidRPr="00E465A1">
              <w:rPr>
                <w:b/>
                <w:color w:val="262626" w:themeColor="text1" w:themeTint="D9"/>
              </w:rPr>
              <w:t>2017</w:t>
            </w:r>
          </w:p>
        </w:tc>
      </w:tr>
      <w:tr w:rsidR="00E465A1" w:rsidRPr="00E465A1" w:rsidTr="00AD6577">
        <w:trPr>
          <w:trHeight w:val="93"/>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color w:val="262626" w:themeColor="text1" w:themeTint="D9"/>
              </w:rPr>
            </w:pPr>
          </w:p>
        </w:tc>
        <w:tc>
          <w:tcPr>
            <w:tcW w:w="851" w:type="dxa"/>
            <w:gridSpan w:val="2"/>
            <w:tcBorders>
              <w:top w:val="nil"/>
              <w:left w:val="nil"/>
              <w:bottom w:val="nil"/>
              <w:right w:val="nil"/>
            </w:tcBorders>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ind w:right="69"/>
              <w:rPr>
                <w:b/>
                <w:color w:val="262626" w:themeColor="text1" w:themeTint="D9"/>
              </w:rPr>
            </w:pPr>
            <w:r w:rsidRPr="00E465A1">
              <w:rPr>
                <w:b/>
                <w:color w:val="262626" w:themeColor="text1" w:themeTint="D9"/>
              </w:rPr>
              <w:t>$’000</w:t>
            </w:r>
          </w:p>
        </w:tc>
        <w:tc>
          <w:tcPr>
            <w:tcW w:w="992" w:type="dxa"/>
            <w:gridSpan w:val="2"/>
            <w:tcBorders>
              <w:top w:val="nil"/>
              <w:left w:val="nil"/>
              <w:bottom w:val="nil"/>
              <w:right w:val="nil"/>
            </w:tcBorders>
            <w:vAlign w:val="bottom"/>
          </w:tcPr>
          <w:p w:rsidR="00034867" w:rsidRPr="00E465A1" w:rsidRDefault="00034867" w:rsidP="00034867">
            <w:pPr>
              <w:pStyle w:val="Normaltabletext1stpararight"/>
              <w:ind w:right="139"/>
              <w:rPr>
                <w:b/>
                <w:color w:val="262626" w:themeColor="text1" w:themeTint="D9"/>
              </w:rPr>
            </w:pPr>
            <w:r w:rsidRPr="00E465A1">
              <w:rPr>
                <w:b/>
                <w:color w:val="262626" w:themeColor="text1" w:themeTint="D9"/>
              </w:rPr>
              <w:t>$’000</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ind w:right="-1"/>
              <w:rPr>
                <w:b/>
                <w:color w:val="262626" w:themeColor="text1" w:themeTint="D9"/>
              </w:rPr>
            </w:pPr>
            <w:r w:rsidRPr="00E465A1">
              <w:rPr>
                <w:b/>
                <w:color w:val="262626" w:themeColor="text1" w:themeTint="D9"/>
              </w:rPr>
              <w:t>$’000</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r w:rsidRPr="00E465A1">
              <w:rPr>
                <w:b/>
                <w:color w:val="262626" w:themeColor="text1" w:themeTint="D9"/>
              </w:rPr>
              <w:t>$’000</w:t>
            </w:r>
          </w:p>
        </w:tc>
      </w:tr>
      <w:tr w:rsidR="00E465A1" w:rsidRPr="00E465A1" w:rsidTr="00AD6577">
        <w:trPr>
          <w:trHeight w:val="296"/>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color w:val="262626" w:themeColor="text1" w:themeTint="D9"/>
              </w:rPr>
            </w:pPr>
            <w:r w:rsidRPr="00E465A1">
              <w:rPr>
                <w:b/>
                <w:color w:val="262626" w:themeColor="text1" w:themeTint="D9"/>
              </w:rPr>
              <w:t>Cash flows from operating activities</w:t>
            </w:r>
          </w:p>
        </w:tc>
        <w:tc>
          <w:tcPr>
            <w:tcW w:w="851" w:type="dxa"/>
            <w:gridSpan w:val="2"/>
            <w:tcBorders>
              <w:top w:val="nil"/>
              <w:left w:val="nil"/>
              <w:bottom w:val="nil"/>
              <w:right w:val="nil"/>
            </w:tcBorders>
            <w:vAlign w:val="bottom"/>
          </w:tcPr>
          <w:p w:rsidR="00034867" w:rsidRPr="00E465A1" w:rsidRDefault="00034867" w:rsidP="00034867">
            <w:pPr>
              <w:pStyle w:val="Normaltabletextcentred"/>
              <w:rPr>
                <w:color w:val="262626" w:themeColor="text1" w:themeTint="D9"/>
              </w:rPr>
            </w:pPr>
          </w:p>
        </w:tc>
        <w:tc>
          <w:tcPr>
            <w:tcW w:w="992" w:type="dxa"/>
            <w:tcBorders>
              <w:top w:val="nil"/>
              <w:left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color w:val="262626" w:themeColor="text1" w:themeTint="D9"/>
              </w:rPr>
            </w:pPr>
          </w:p>
        </w:tc>
        <w:tc>
          <w:tcPr>
            <w:tcW w:w="992" w:type="dxa"/>
            <w:gridSpan w:val="2"/>
            <w:tcBorders>
              <w:top w:val="nil"/>
              <w:left w:val="nil"/>
              <w:bottom w:val="nil"/>
              <w:right w:val="nil"/>
            </w:tcBorders>
          </w:tcPr>
          <w:p w:rsidR="00034867" w:rsidRPr="00E465A1" w:rsidRDefault="00034867" w:rsidP="00034867">
            <w:pPr>
              <w:pStyle w:val="Normaltabletext1stpararight"/>
              <w:rPr>
                <w:b/>
                <w:color w:val="262626" w:themeColor="text1" w:themeTint="D9"/>
              </w:rPr>
            </w:pP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b/>
                <w:color w:val="262626" w:themeColor="text1" w:themeTint="D9"/>
              </w:rPr>
            </w:pP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top w:val="nil"/>
              <w:left w:val="nil"/>
              <w:bottom w:val="nil"/>
              <w:right w:val="nil"/>
            </w:tcBorders>
          </w:tcPr>
          <w:p w:rsidR="00034867" w:rsidRPr="00E465A1" w:rsidRDefault="00034867" w:rsidP="00034867">
            <w:pPr>
              <w:pStyle w:val="Normaltabletext1stpararight"/>
              <w:rPr>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i/>
                <w:color w:val="262626" w:themeColor="text1" w:themeTint="D9"/>
              </w:rPr>
            </w:pPr>
            <w:r w:rsidRPr="00E465A1">
              <w:rPr>
                <w:b/>
                <w:i/>
                <w:color w:val="262626" w:themeColor="text1" w:themeTint="D9"/>
              </w:rPr>
              <w:t>Inflows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i/>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i/>
                <w:color w:val="262626" w:themeColor="text1" w:themeTint="D9"/>
              </w:rPr>
            </w:pPr>
          </w:p>
        </w:tc>
        <w:tc>
          <w:tcPr>
            <w:tcW w:w="992" w:type="dxa"/>
            <w:gridSpan w:val="2"/>
            <w:tcBorders>
              <w:top w:val="nil"/>
              <w:left w:val="nil"/>
              <w:bottom w:val="nil"/>
              <w:right w:val="nil"/>
            </w:tcBorders>
          </w:tcPr>
          <w:p w:rsidR="00034867" w:rsidRPr="00E465A1" w:rsidRDefault="00034867" w:rsidP="00034867">
            <w:pPr>
              <w:pStyle w:val="Normaltabletext1stpararight"/>
              <w:rPr>
                <w:b/>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i/>
                <w:color w:val="262626" w:themeColor="text1" w:themeTint="D9"/>
              </w:rPr>
            </w:pP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b/>
                <w:i/>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Grants and other contributions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55,013</w:t>
            </w:r>
          </w:p>
        </w:tc>
        <w:tc>
          <w:tcPr>
            <w:tcW w:w="992" w:type="dxa"/>
            <w:gridSpan w:val="2"/>
            <w:tcBorders>
              <w:top w:val="nil"/>
              <w:left w:val="nil"/>
              <w:bottom w:val="nil"/>
              <w:right w:val="nil"/>
            </w:tcBorders>
          </w:tcPr>
          <w:p w:rsidR="00034867" w:rsidRPr="00E465A1" w:rsidRDefault="00034867" w:rsidP="00034867">
            <w:pPr>
              <w:pStyle w:val="Normaltabletext1stpararight"/>
              <w:ind w:right="142"/>
              <w:rPr>
                <w:color w:val="262626" w:themeColor="text1" w:themeTint="D9"/>
              </w:rPr>
            </w:pPr>
            <w:r w:rsidRPr="00E465A1">
              <w:rPr>
                <w:color w:val="262626" w:themeColor="text1" w:themeTint="D9"/>
              </w:rPr>
              <w:t>54,245</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768</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54,461</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Interest receipts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491</w:t>
            </w:r>
          </w:p>
        </w:tc>
        <w:tc>
          <w:tcPr>
            <w:tcW w:w="992" w:type="dxa"/>
            <w:gridSpan w:val="2"/>
            <w:tcBorders>
              <w:top w:val="nil"/>
              <w:left w:val="nil"/>
              <w:bottom w:val="nil"/>
              <w:right w:val="nil"/>
            </w:tcBorders>
          </w:tcPr>
          <w:p w:rsidR="00034867" w:rsidRPr="00E465A1" w:rsidRDefault="000B12D2" w:rsidP="00034867">
            <w:pPr>
              <w:pStyle w:val="Normaltabletext1stpararight"/>
              <w:ind w:right="142"/>
              <w:rPr>
                <w:color w:val="262626" w:themeColor="text1" w:themeTint="D9"/>
              </w:rPr>
            </w:pPr>
            <w:r w:rsidRPr="00E465A1">
              <w:rPr>
                <w:color w:val="262626" w:themeColor="text1" w:themeTint="D9"/>
              </w:rPr>
              <w:t>500</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923B22">
            <w:pPr>
              <w:pStyle w:val="Normaltabletext1stpararight"/>
              <w:rPr>
                <w:color w:val="262626" w:themeColor="text1" w:themeTint="D9"/>
              </w:rPr>
            </w:pPr>
            <w:r w:rsidRPr="00E465A1">
              <w:rPr>
                <w:color w:val="262626" w:themeColor="text1" w:themeTint="D9"/>
              </w:rPr>
              <w:t>(9)</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499</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GST input tax credits from ATO</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1,445</w:t>
            </w:r>
          </w:p>
        </w:tc>
        <w:tc>
          <w:tcPr>
            <w:tcW w:w="992" w:type="dxa"/>
            <w:gridSpan w:val="2"/>
            <w:tcBorders>
              <w:top w:val="nil"/>
              <w:left w:val="nil"/>
              <w:bottom w:val="nil"/>
              <w:right w:val="nil"/>
            </w:tcBorders>
          </w:tcPr>
          <w:p w:rsidR="00034867" w:rsidRPr="00E465A1" w:rsidRDefault="000B12D2" w:rsidP="00034867">
            <w:pPr>
              <w:pStyle w:val="Normaltabletext1stpararight"/>
              <w:ind w:right="142"/>
              <w:rPr>
                <w:color w:val="262626" w:themeColor="text1" w:themeTint="D9"/>
              </w:rPr>
            </w:pPr>
            <w:r w:rsidRPr="00E465A1">
              <w:rPr>
                <w:color w:val="262626" w:themeColor="text1" w:themeTint="D9"/>
              </w:rPr>
              <w:t>1,166</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279</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1,388</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GST collected from customers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45</w:t>
            </w:r>
          </w:p>
        </w:tc>
        <w:tc>
          <w:tcPr>
            <w:tcW w:w="992" w:type="dxa"/>
            <w:gridSpan w:val="2"/>
            <w:tcBorders>
              <w:top w:val="nil"/>
              <w:left w:val="nil"/>
              <w:bottom w:val="nil"/>
              <w:right w:val="nil"/>
            </w:tcBorders>
          </w:tcPr>
          <w:p w:rsidR="00034867" w:rsidRPr="00E465A1" w:rsidRDefault="000B12D2" w:rsidP="00034867">
            <w:pPr>
              <w:pStyle w:val="Normaltabletext1stpararight"/>
              <w:ind w:right="142"/>
              <w:rPr>
                <w:color w:val="262626" w:themeColor="text1" w:themeTint="D9"/>
              </w:rPr>
            </w:pPr>
            <w:r w:rsidRPr="00E465A1">
              <w:rPr>
                <w:color w:val="262626" w:themeColor="text1" w:themeTint="D9"/>
              </w:rPr>
              <w:t>–</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45</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47</w:t>
            </w:r>
          </w:p>
        </w:tc>
      </w:tr>
      <w:tr w:rsidR="00E465A1" w:rsidRPr="00E465A1" w:rsidTr="00AD6577">
        <w:trPr>
          <w:trHeight w:val="267"/>
        </w:trPr>
        <w:tc>
          <w:tcPr>
            <w:tcW w:w="5245" w:type="dxa"/>
            <w:gridSpan w:val="3"/>
            <w:tcBorders>
              <w:top w:val="nil"/>
              <w:left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Other</w:t>
            </w:r>
          </w:p>
        </w:tc>
        <w:tc>
          <w:tcPr>
            <w:tcW w:w="851" w:type="dxa"/>
            <w:gridSpan w:val="2"/>
            <w:tcBorders>
              <w:top w:val="nil"/>
              <w:left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210</w:t>
            </w:r>
          </w:p>
        </w:tc>
        <w:tc>
          <w:tcPr>
            <w:tcW w:w="992" w:type="dxa"/>
            <w:gridSpan w:val="2"/>
            <w:tcBorders>
              <w:top w:val="nil"/>
              <w:left w:val="nil"/>
              <w:right w:val="nil"/>
            </w:tcBorders>
          </w:tcPr>
          <w:p w:rsidR="00034867" w:rsidRPr="00E465A1" w:rsidRDefault="000B12D2" w:rsidP="00034867">
            <w:pPr>
              <w:pStyle w:val="Normaltabletext1stpararight"/>
              <w:ind w:right="142"/>
              <w:rPr>
                <w:color w:val="262626" w:themeColor="text1" w:themeTint="D9"/>
              </w:rPr>
            </w:pPr>
            <w:r w:rsidRPr="00E465A1">
              <w:rPr>
                <w:color w:val="262626" w:themeColor="text1" w:themeTint="D9"/>
              </w:rPr>
              <w:t>63</w:t>
            </w:r>
          </w:p>
        </w:tc>
        <w:tc>
          <w:tcPr>
            <w:tcW w:w="992" w:type="dxa"/>
            <w:tcBorders>
              <w:top w:val="nil"/>
              <w:left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147</w:t>
            </w:r>
          </w:p>
        </w:tc>
        <w:tc>
          <w:tcPr>
            <w:tcW w:w="993" w:type="dxa"/>
            <w:gridSpan w:val="2"/>
            <w:tcBorders>
              <w:top w:val="nil"/>
              <w:left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245</w:t>
            </w:r>
          </w:p>
        </w:tc>
      </w:tr>
      <w:tr w:rsidR="00E465A1" w:rsidRPr="00E465A1" w:rsidTr="00AD6577">
        <w:trPr>
          <w:trHeight w:val="267"/>
        </w:trPr>
        <w:tc>
          <w:tcPr>
            <w:tcW w:w="5245" w:type="dxa"/>
            <w:gridSpan w:val="3"/>
            <w:tcBorders>
              <w:top w:val="nil"/>
              <w:left w:val="nil"/>
              <w:right w:val="nil"/>
            </w:tcBorders>
            <w:noWrap/>
            <w:vAlign w:val="bottom"/>
          </w:tcPr>
          <w:p w:rsidR="00034867" w:rsidRPr="00E465A1" w:rsidRDefault="00034867" w:rsidP="00034867">
            <w:pPr>
              <w:pStyle w:val="Normaltabletextleft"/>
              <w:rPr>
                <w:color w:val="262626" w:themeColor="text1" w:themeTint="D9"/>
              </w:rPr>
            </w:pPr>
          </w:p>
        </w:tc>
        <w:tc>
          <w:tcPr>
            <w:tcW w:w="851" w:type="dxa"/>
            <w:gridSpan w:val="2"/>
            <w:tcBorders>
              <w:top w:val="nil"/>
              <w:left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top w:val="nil"/>
              <w:left w:val="nil"/>
              <w:right w:val="nil"/>
            </w:tcBorders>
          </w:tcPr>
          <w:p w:rsidR="00034867" w:rsidRPr="00E465A1" w:rsidRDefault="00034867" w:rsidP="00034867">
            <w:pPr>
              <w:pStyle w:val="Normaltabletext1stpararight"/>
              <w:ind w:right="142"/>
              <w:rPr>
                <w:b/>
                <w:color w:val="262626" w:themeColor="text1" w:themeTint="D9"/>
              </w:rPr>
            </w:pPr>
          </w:p>
        </w:tc>
        <w:tc>
          <w:tcPr>
            <w:tcW w:w="992" w:type="dxa"/>
            <w:tcBorders>
              <w:top w:val="nil"/>
              <w:left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top w:val="nil"/>
              <w:left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252"/>
        </w:trPr>
        <w:tc>
          <w:tcPr>
            <w:tcW w:w="5245" w:type="dxa"/>
            <w:gridSpan w:val="3"/>
            <w:tcBorders>
              <w:left w:val="nil"/>
              <w:bottom w:val="nil"/>
              <w:right w:val="nil"/>
            </w:tcBorders>
            <w:noWrap/>
            <w:vAlign w:val="bottom"/>
          </w:tcPr>
          <w:p w:rsidR="00034867" w:rsidRPr="00E465A1" w:rsidRDefault="00034867" w:rsidP="00034867">
            <w:pPr>
              <w:pStyle w:val="Normaltabletextleft"/>
              <w:rPr>
                <w:b/>
                <w:i/>
                <w:color w:val="262626" w:themeColor="text1" w:themeTint="D9"/>
              </w:rPr>
            </w:pPr>
            <w:r w:rsidRPr="00E465A1">
              <w:rPr>
                <w:b/>
                <w:i/>
                <w:color w:val="262626" w:themeColor="text1" w:themeTint="D9"/>
              </w:rPr>
              <w:t>Outflows</w:t>
            </w:r>
          </w:p>
        </w:tc>
        <w:tc>
          <w:tcPr>
            <w:tcW w:w="851" w:type="dxa"/>
            <w:gridSpan w:val="2"/>
            <w:tcBorders>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i/>
                <w:color w:val="262626" w:themeColor="text1" w:themeTint="D9"/>
              </w:rPr>
            </w:pPr>
          </w:p>
        </w:tc>
        <w:tc>
          <w:tcPr>
            <w:tcW w:w="992" w:type="dxa"/>
            <w:tcBorders>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i/>
                <w:color w:val="262626" w:themeColor="text1" w:themeTint="D9"/>
              </w:rPr>
            </w:pPr>
          </w:p>
        </w:tc>
        <w:tc>
          <w:tcPr>
            <w:tcW w:w="992" w:type="dxa"/>
            <w:gridSpan w:val="2"/>
            <w:tcBorders>
              <w:left w:val="nil"/>
              <w:bottom w:val="nil"/>
              <w:right w:val="nil"/>
            </w:tcBorders>
          </w:tcPr>
          <w:p w:rsidR="00034867" w:rsidRPr="00E465A1" w:rsidRDefault="00034867" w:rsidP="00034867">
            <w:pPr>
              <w:pStyle w:val="Normaltabletext1stpararight"/>
              <w:ind w:right="142"/>
              <w:rPr>
                <w:b/>
                <w:color w:val="262626" w:themeColor="text1" w:themeTint="D9"/>
              </w:rPr>
            </w:pPr>
          </w:p>
        </w:tc>
        <w:tc>
          <w:tcPr>
            <w:tcW w:w="992" w:type="dxa"/>
            <w:tcBorders>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b/>
                <w:i/>
                <w:color w:val="262626" w:themeColor="text1" w:themeTint="D9"/>
              </w:rPr>
            </w:pPr>
          </w:p>
        </w:tc>
        <w:tc>
          <w:tcPr>
            <w:tcW w:w="993" w:type="dxa"/>
            <w:gridSpan w:val="2"/>
            <w:tcBorders>
              <w:left w:val="nil"/>
              <w:bottom w:val="nil"/>
              <w:right w:val="nil"/>
            </w:tcBorders>
            <w:shd w:val="clear" w:color="auto" w:fill="FFFFFF" w:themeFill="background1"/>
            <w:vAlign w:val="bottom"/>
          </w:tcPr>
          <w:p w:rsidR="00034867" w:rsidRPr="00E465A1" w:rsidRDefault="00034867" w:rsidP="00923B22">
            <w:pPr>
              <w:pStyle w:val="Normaltabletext1stpararight"/>
              <w:ind w:right="12"/>
              <w:rPr>
                <w:b/>
                <w:i/>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Employee expenses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C06EA2">
            <w:pPr>
              <w:pStyle w:val="Normaltabletext1stpararight"/>
              <w:rPr>
                <w:color w:val="262626" w:themeColor="text1" w:themeTint="D9"/>
              </w:rPr>
            </w:pPr>
            <w:r w:rsidRPr="00E465A1">
              <w:rPr>
                <w:color w:val="262626" w:themeColor="text1" w:themeTint="D9"/>
              </w:rPr>
              <w:t>(40,</w:t>
            </w:r>
            <w:r w:rsidR="00C06EA2" w:rsidRPr="00E465A1">
              <w:rPr>
                <w:color w:val="262626" w:themeColor="text1" w:themeTint="D9"/>
              </w:rPr>
              <w:t>599</w:t>
            </w:r>
            <w:r w:rsidRPr="00E465A1">
              <w:rPr>
                <w:color w:val="262626" w:themeColor="text1" w:themeTint="D9"/>
              </w:rPr>
              <w:t>)</w:t>
            </w:r>
          </w:p>
        </w:tc>
        <w:tc>
          <w:tcPr>
            <w:tcW w:w="992" w:type="dxa"/>
            <w:gridSpan w:val="2"/>
            <w:tcBorders>
              <w:top w:val="nil"/>
              <w:left w:val="nil"/>
              <w:bottom w:val="nil"/>
              <w:right w:val="nil"/>
            </w:tcBorders>
          </w:tcPr>
          <w:p w:rsidR="00034867" w:rsidRPr="00E465A1" w:rsidRDefault="000B12D2" w:rsidP="00034867">
            <w:pPr>
              <w:pStyle w:val="Normaltabletext1stpararight"/>
              <w:ind w:right="142"/>
              <w:rPr>
                <w:color w:val="262626" w:themeColor="text1" w:themeTint="D9"/>
              </w:rPr>
            </w:pPr>
            <w:r w:rsidRPr="00E465A1">
              <w:rPr>
                <w:color w:val="262626" w:themeColor="text1" w:themeTint="D9"/>
              </w:rPr>
              <w:t>(41,164)</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C06EA2">
            <w:pPr>
              <w:pStyle w:val="Normaltabletext1stpararight"/>
              <w:rPr>
                <w:color w:val="262626" w:themeColor="text1" w:themeTint="D9"/>
              </w:rPr>
            </w:pPr>
            <w:r w:rsidRPr="00E465A1">
              <w:rPr>
                <w:color w:val="262626" w:themeColor="text1" w:themeTint="D9"/>
              </w:rPr>
              <w:t>5</w:t>
            </w:r>
            <w:r w:rsidR="00C06EA2" w:rsidRPr="00E465A1">
              <w:rPr>
                <w:color w:val="262626" w:themeColor="text1" w:themeTint="D9"/>
              </w:rPr>
              <w:t>65</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(39,448)</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Supplies and services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C06EA2">
            <w:pPr>
              <w:pStyle w:val="Normaltabletext1stpararight"/>
              <w:rPr>
                <w:color w:val="262626" w:themeColor="text1" w:themeTint="D9"/>
              </w:rPr>
            </w:pPr>
            <w:r w:rsidRPr="00E465A1">
              <w:rPr>
                <w:color w:val="262626" w:themeColor="text1" w:themeTint="D9"/>
              </w:rPr>
              <w:t>(10,</w:t>
            </w:r>
            <w:r w:rsidR="00C06EA2" w:rsidRPr="00E465A1">
              <w:rPr>
                <w:color w:val="262626" w:themeColor="text1" w:themeTint="D9"/>
              </w:rPr>
              <w:t>481</w:t>
            </w:r>
            <w:r w:rsidRPr="00E465A1">
              <w:rPr>
                <w:color w:val="262626" w:themeColor="text1" w:themeTint="D9"/>
              </w:rPr>
              <w:t>)</w:t>
            </w:r>
          </w:p>
        </w:tc>
        <w:tc>
          <w:tcPr>
            <w:tcW w:w="992" w:type="dxa"/>
            <w:gridSpan w:val="2"/>
            <w:tcBorders>
              <w:top w:val="nil"/>
              <w:left w:val="nil"/>
              <w:bottom w:val="nil"/>
              <w:right w:val="nil"/>
            </w:tcBorders>
          </w:tcPr>
          <w:p w:rsidR="00034867" w:rsidRPr="00E465A1" w:rsidRDefault="000B12D2" w:rsidP="00884B00">
            <w:pPr>
              <w:pStyle w:val="Normaltabletext1stpararight"/>
              <w:ind w:right="142"/>
              <w:rPr>
                <w:color w:val="262626" w:themeColor="text1" w:themeTint="D9"/>
              </w:rPr>
            </w:pPr>
            <w:r w:rsidRPr="00E465A1">
              <w:rPr>
                <w:color w:val="262626" w:themeColor="text1" w:themeTint="D9"/>
              </w:rPr>
              <w:t>(</w:t>
            </w:r>
            <w:r w:rsidR="00884B00" w:rsidRPr="00E465A1">
              <w:rPr>
                <w:color w:val="262626" w:themeColor="text1" w:themeTint="D9"/>
              </w:rPr>
              <w:t>11,351</w:t>
            </w:r>
            <w:r w:rsidRPr="00E465A1">
              <w:rPr>
                <w:color w:val="262626" w:themeColor="text1" w:themeTint="D9"/>
              </w:rPr>
              <w:t>)</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C06EA2">
            <w:pPr>
              <w:pStyle w:val="Normaltabletext1stpararight"/>
              <w:rPr>
                <w:color w:val="262626" w:themeColor="text1" w:themeTint="D9"/>
              </w:rPr>
            </w:pPr>
            <w:r w:rsidRPr="00E465A1">
              <w:rPr>
                <w:color w:val="262626" w:themeColor="text1" w:themeTint="D9"/>
              </w:rPr>
              <w:t>8</w:t>
            </w:r>
            <w:r w:rsidR="00C06EA2" w:rsidRPr="00E465A1">
              <w:rPr>
                <w:color w:val="262626" w:themeColor="text1" w:themeTint="D9"/>
              </w:rPr>
              <w:t>70</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(13,234)</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GST paid to suppliers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(1,576)</w:t>
            </w:r>
          </w:p>
        </w:tc>
        <w:tc>
          <w:tcPr>
            <w:tcW w:w="992" w:type="dxa"/>
            <w:gridSpan w:val="2"/>
            <w:tcBorders>
              <w:top w:val="nil"/>
              <w:left w:val="nil"/>
              <w:bottom w:val="nil"/>
              <w:right w:val="nil"/>
            </w:tcBorders>
          </w:tcPr>
          <w:p w:rsidR="00034867" w:rsidRPr="00E465A1" w:rsidRDefault="00884B00" w:rsidP="00884B00">
            <w:pPr>
              <w:pStyle w:val="Normaltabletext1stpararight"/>
              <w:ind w:right="142"/>
              <w:rPr>
                <w:color w:val="262626" w:themeColor="text1" w:themeTint="D9"/>
              </w:rPr>
            </w:pPr>
            <w:r w:rsidRPr="00E465A1">
              <w:rPr>
                <w:color w:val="262626" w:themeColor="text1" w:themeTint="D9"/>
              </w:rPr>
              <w:t>(1,140)</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(436)</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(1,308)</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GST remitted to ATO</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(46)</w:t>
            </w:r>
          </w:p>
        </w:tc>
        <w:tc>
          <w:tcPr>
            <w:tcW w:w="992" w:type="dxa"/>
            <w:gridSpan w:val="2"/>
            <w:tcBorders>
              <w:top w:val="nil"/>
              <w:left w:val="nil"/>
              <w:bottom w:val="nil"/>
              <w:right w:val="nil"/>
            </w:tcBorders>
          </w:tcPr>
          <w:p w:rsidR="00034867" w:rsidRPr="00E465A1" w:rsidRDefault="00884B00" w:rsidP="00884B00">
            <w:pPr>
              <w:pStyle w:val="Normaltabletext1stpararight"/>
              <w:ind w:right="142"/>
              <w:rPr>
                <w:color w:val="262626" w:themeColor="text1" w:themeTint="D9"/>
              </w:rPr>
            </w:pPr>
            <w:r w:rsidRPr="00E465A1">
              <w:rPr>
                <w:color w:val="262626" w:themeColor="text1" w:themeTint="D9"/>
              </w:rPr>
              <w:t>–</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(46)</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(43)</w:t>
            </w:r>
          </w:p>
        </w:tc>
      </w:tr>
      <w:tr w:rsidR="00E465A1" w:rsidRPr="00E465A1" w:rsidTr="00AD6577">
        <w:trPr>
          <w:trHeight w:val="267"/>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Other</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single" w:sz="8" w:space="0" w:color="auto"/>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(118)</w:t>
            </w:r>
          </w:p>
        </w:tc>
        <w:tc>
          <w:tcPr>
            <w:tcW w:w="992" w:type="dxa"/>
            <w:gridSpan w:val="2"/>
            <w:tcBorders>
              <w:top w:val="nil"/>
              <w:left w:val="nil"/>
              <w:bottom w:val="single" w:sz="4" w:space="0" w:color="auto"/>
              <w:right w:val="nil"/>
            </w:tcBorders>
          </w:tcPr>
          <w:p w:rsidR="00034867" w:rsidRPr="00E465A1" w:rsidRDefault="00884B00" w:rsidP="00884B00">
            <w:pPr>
              <w:pStyle w:val="Normaltabletext1stpararight"/>
              <w:ind w:right="142"/>
              <w:rPr>
                <w:color w:val="262626" w:themeColor="text1" w:themeTint="D9"/>
              </w:rPr>
            </w:pPr>
            <w:r w:rsidRPr="00E465A1">
              <w:rPr>
                <w:color w:val="262626" w:themeColor="text1" w:themeTint="D9"/>
              </w:rPr>
              <w:t>(10)</w:t>
            </w:r>
          </w:p>
        </w:tc>
        <w:tc>
          <w:tcPr>
            <w:tcW w:w="992" w:type="dxa"/>
            <w:tcBorders>
              <w:top w:val="nil"/>
              <w:left w:val="nil"/>
              <w:bottom w:val="single" w:sz="8" w:space="0" w:color="auto"/>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(108)</w:t>
            </w:r>
          </w:p>
        </w:tc>
        <w:tc>
          <w:tcPr>
            <w:tcW w:w="993" w:type="dxa"/>
            <w:gridSpan w:val="2"/>
            <w:tcBorders>
              <w:top w:val="nil"/>
              <w:left w:val="nil"/>
              <w:bottom w:val="single" w:sz="8" w:space="0" w:color="auto"/>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(115)</w:t>
            </w:r>
          </w:p>
        </w:tc>
      </w:tr>
      <w:tr w:rsidR="00E465A1" w:rsidRPr="00E465A1" w:rsidTr="00AD6577">
        <w:trPr>
          <w:trHeight w:val="267"/>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color w:val="262626" w:themeColor="text1" w:themeTint="D9"/>
              </w:rPr>
            </w:pPr>
            <w:r w:rsidRPr="00E465A1">
              <w:rPr>
                <w:b/>
                <w:color w:val="262626" w:themeColor="text1" w:themeTint="D9"/>
              </w:rPr>
              <w:t>Net cash provided by operating activities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r w:rsidRPr="00E465A1">
              <w:rPr>
                <w:color w:val="262626" w:themeColor="text1" w:themeTint="D9"/>
              </w:rPr>
              <w:t>16</w:t>
            </w:r>
          </w:p>
        </w:tc>
        <w:tc>
          <w:tcPr>
            <w:tcW w:w="992" w:type="dxa"/>
            <w:tcBorders>
              <w:top w:val="single" w:sz="8" w:space="0" w:color="auto"/>
              <w:left w:val="nil"/>
              <w:bottom w:val="single" w:sz="8" w:space="0" w:color="auto"/>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color w:val="262626" w:themeColor="text1" w:themeTint="D9"/>
              </w:rPr>
            </w:pPr>
            <w:r w:rsidRPr="00E465A1">
              <w:rPr>
                <w:b/>
                <w:color w:val="262626" w:themeColor="text1" w:themeTint="D9"/>
              </w:rPr>
              <w:t>4,384</w:t>
            </w:r>
          </w:p>
        </w:tc>
        <w:tc>
          <w:tcPr>
            <w:tcW w:w="992" w:type="dxa"/>
            <w:gridSpan w:val="2"/>
            <w:tcBorders>
              <w:top w:val="single" w:sz="4" w:space="0" w:color="auto"/>
              <w:left w:val="nil"/>
              <w:bottom w:val="single" w:sz="4" w:space="0" w:color="auto"/>
              <w:right w:val="nil"/>
            </w:tcBorders>
          </w:tcPr>
          <w:p w:rsidR="00034867" w:rsidRPr="00E465A1" w:rsidRDefault="00884B00" w:rsidP="00034867">
            <w:pPr>
              <w:pStyle w:val="Normaltabletext1stpararight"/>
              <w:ind w:right="142"/>
              <w:rPr>
                <w:b/>
                <w:color w:val="262626" w:themeColor="text1" w:themeTint="D9"/>
              </w:rPr>
            </w:pPr>
            <w:r w:rsidRPr="00E465A1">
              <w:rPr>
                <w:b/>
                <w:color w:val="262626" w:themeColor="text1" w:themeTint="D9"/>
              </w:rPr>
              <w:t>2,309</w:t>
            </w:r>
          </w:p>
        </w:tc>
        <w:tc>
          <w:tcPr>
            <w:tcW w:w="992" w:type="dxa"/>
            <w:tcBorders>
              <w:top w:val="single" w:sz="8" w:space="0" w:color="auto"/>
              <w:left w:val="nil"/>
              <w:bottom w:val="single" w:sz="8" w:space="0" w:color="auto"/>
              <w:right w:val="nil"/>
            </w:tcBorders>
            <w:shd w:val="clear" w:color="auto" w:fill="FEE4B0"/>
            <w:noWrap/>
            <w:tcMar>
              <w:left w:w="0" w:type="dxa"/>
              <w:right w:w="113" w:type="dxa"/>
            </w:tcMar>
            <w:vAlign w:val="bottom"/>
          </w:tcPr>
          <w:p w:rsidR="00034867" w:rsidRPr="00E465A1" w:rsidRDefault="00923B22" w:rsidP="00034867">
            <w:pPr>
              <w:pStyle w:val="Normaltabletext1stpararight"/>
              <w:rPr>
                <w:b/>
                <w:color w:val="262626" w:themeColor="text1" w:themeTint="D9"/>
              </w:rPr>
            </w:pPr>
            <w:r w:rsidRPr="00E465A1">
              <w:rPr>
                <w:b/>
                <w:color w:val="262626" w:themeColor="text1" w:themeTint="D9"/>
              </w:rPr>
              <w:t>2,075</w:t>
            </w:r>
          </w:p>
        </w:tc>
        <w:tc>
          <w:tcPr>
            <w:tcW w:w="993" w:type="dxa"/>
            <w:gridSpan w:val="2"/>
            <w:tcBorders>
              <w:top w:val="single" w:sz="8" w:space="0" w:color="auto"/>
              <w:left w:val="nil"/>
              <w:bottom w:val="single" w:sz="8" w:space="0" w:color="auto"/>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r w:rsidRPr="00E465A1">
              <w:rPr>
                <w:b/>
                <w:color w:val="262626" w:themeColor="text1" w:themeTint="D9"/>
              </w:rPr>
              <w:t>2,492</w:t>
            </w:r>
          </w:p>
        </w:tc>
      </w:tr>
      <w:tr w:rsidR="00E465A1" w:rsidRPr="00E465A1" w:rsidTr="00AD6577">
        <w:trPr>
          <w:trHeight w:val="267"/>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single" w:sz="8" w:space="0" w:color="auto"/>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top w:val="single" w:sz="4" w:space="0" w:color="auto"/>
              <w:left w:val="nil"/>
              <w:bottom w:val="nil"/>
              <w:right w:val="nil"/>
            </w:tcBorders>
          </w:tcPr>
          <w:p w:rsidR="00034867" w:rsidRPr="00E465A1" w:rsidRDefault="00034867" w:rsidP="00034867">
            <w:pPr>
              <w:pStyle w:val="Normaltabletext1stpararight"/>
              <w:ind w:right="142"/>
              <w:rPr>
                <w:color w:val="262626" w:themeColor="text1" w:themeTint="D9"/>
              </w:rPr>
            </w:pPr>
          </w:p>
        </w:tc>
        <w:tc>
          <w:tcPr>
            <w:tcW w:w="992" w:type="dxa"/>
            <w:tcBorders>
              <w:top w:val="single" w:sz="8" w:space="0" w:color="auto"/>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top w:val="single" w:sz="8" w:space="0" w:color="auto"/>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296"/>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color w:val="262626" w:themeColor="text1" w:themeTint="D9"/>
              </w:rPr>
            </w:pPr>
            <w:r w:rsidRPr="00E465A1">
              <w:rPr>
                <w:b/>
                <w:color w:val="262626" w:themeColor="text1" w:themeTint="D9"/>
              </w:rPr>
              <w:t>Cash flows from investing activities</w:t>
            </w:r>
          </w:p>
        </w:tc>
        <w:tc>
          <w:tcPr>
            <w:tcW w:w="851" w:type="dxa"/>
            <w:gridSpan w:val="2"/>
            <w:tcBorders>
              <w:top w:val="nil"/>
              <w:left w:val="nil"/>
              <w:bottom w:val="nil"/>
              <w:right w:val="nil"/>
            </w:tcBorders>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color w:val="262626" w:themeColor="text1" w:themeTint="D9"/>
              </w:rPr>
            </w:pPr>
          </w:p>
        </w:tc>
        <w:tc>
          <w:tcPr>
            <w:tcW w:w="992" w:type="dxa"/>
            <w:gridSpan w:val="2"/>
            <w:tcBorders>
              <w:top w:val="nil"/>
              <w:left w:val="nil"/>
              <w:bottom w:val="nil"/>
              <w:right w:val="nil"/>
            </w:tcBorders>
          </w:tcPr>
          <w:p w:rsidR="00034867" w:rsidRPr="00E465A1" w:rsidRDefault="00034867" w:rsidP="00034867">
            <w:pPr>
              <w:pStyle w:val="Normaltabletext1stpararight"/>
              <w:ind w:right="142"/>
              <w:rPr>
                <w:b/>
                <w:color w:val="262626" w:themeColor="text1" w:themeTint="D9"/>
              </w:rPr>
            </w:pP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b/>
                <w:color w:val="262626" w:themeColor="text1" w:themeTint="D9"/>
              </w:rPr>
            </w:pP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top w:val="nil"/>
              <w:left w:val="nil"/>
              <w:bottom w:val="nil"/>
              <w:right w:val="nil"/>
            </w:tcBorders>
          </w:tcPr>
          <w:p w:rsidR="00034867" w:rsidRPr="00E465A1" w:rsidRDefault="00034867" w:rsidP="00034867">
            <w:pPr>
              <w:pStyle w:val="Normaltabletext1stpararight"/>
              <w:ind w:right="142"/>
              <w:rPr>
                <w:color w:val="262626" w:themeColor="text1" w:themeTint="D9"/>
              </w:rPr>
            </w:pP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252"/>
        </w:trPr>
        <w:tc>
          <w:tcPr>
            <w:tcW w:w="5245" w:type="dxa"/>
            <w:gridSpan w:val="3"/>
            <w:tcBorders>
              <w:top w:val="nil"/>
              <w:left w:val="nil"/>
              <w:right w:val="nil"/>
            </w:tcBorders>
            <w:noWrap/>
            <w:vAlign w:val="bottom"/>
          </w:tcPr>
          <w:p w:rsidR="00034867" w:rsidRPr="00E465A1" w:rsidRDefault="00034867" w:rsidP="00034867">
            <w:pPr>
              <w:pStyle w:val="Normaltabletextleft"/>
              <w:rPr>
                <w:b/>
                <w:i/>
                <w:color w:val="262626" w:themeColor="text1" w:themeTint="D9"/>
              </w:rPr>
            </w:pPr>
            <w:r w:rsidRPr="00E465A1">
              <w:rPr>
                <w:b/>
                <w:i/>
                <w:color w:val="262626" w:themeColor="text1" w:themeTint="D9"/>
              </w:rPr>
              <w:t>Inflows</w:t>
            </w:r>
          </w:p>
        </w:tc>
        <w:tc>
          <w:tcPr>
            <w:tcW w:w="851" w:type="dxa"/>
            <w:gridSpan w:val="2"/>
            <w:tcBorders>
              <w:top w:val="nil"/>
              <w:left w:val="nil"/>
              <w:right w:val="nil"/>
            </w:tcBorders>
            <w:noWrap/>
            <w:tcMar>
              <w:top w:w="15" w:type="dxa"/>
              <w:left w:w="15" w:type="dxa"/>
              <w:right w:w="15" w:type="dxa"/>
            </w:tcMar>
            <w:vAlign w:val="bottom"/>
          </w:tcPr>
          <w:p w:rsidR="00034867" w:rsidRPr="00E465A1" w:rsidRDefault="00034867" w:rsidP="00034867">
            <w:pPr>
              <w:pStyle w:val="Normaltabletextcentred"/>
              <w:rPr>
                <w:i/>
                <w:color w:val="262626" w:themeColor="text1" w:themeTint="D9"/>
              </w:rPr>
            </w:pPr>
          </w:p>
        </w:tc>
        <w:tc>
          <w:tcPr>
            <w:tcW w:w="992" w:type="dxa"/>
            <w:tcBorders>
              <w:top w:val="nil"/>
              <w:left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color w:val="262626" w:themeColor="text1" w:themeTint="D9"/>
              </w:rPr>
            </w:pPr>
          </w:p>
        </w:tc>
        <w:tc>
          <w:tcPr>
            <w:tcW w:w="992" w:type="dxa"/>
            <w:gridSpan w:val="2"/>
            <w:tcBorders>
              <w:top w:val="nil"/>
              <w:left w:val="nil"/>
              <w:right w:val="nil"/>
            </w:tcBorders>
          </w:tcPr>
          <w:p w:rsidR="00034867" w:rsidRPr="00E465A1" w:rsidRDefault="00034867" w:rsidP="00034867">
            <w:pPr>
              <w:pStyle w:val="Normaltabletext1stpararight"/>
              <w:ind w:right="142"/>
              <w:rPr>
                <w:b/>
                <w:color w:val="262626" w:themeColor="text1" w:themeTint="D9"/>
              </w:rPr>
            </w:pPr>
          </w:p>
        </w:tc>
        <w:tc>
          <w:tcPr>
            <w:tcW w:w="992" w:type="dxa"/>
            <w:tcBorders>
              <w:top w:val="nil"/>
              <w:left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b/>
                <w:color w:val="262626" w:themeColor="text1" w:themeTint="D9"/>
              </w:rPr>
            </w:pPr>
          </w:p>
        </w:tc>
        <w:tc>
          <w:tcPr>
            <w:tcW w:w="993" w:type="dxa"/>
            <w:gridSpan w:val="2"/>
            <w:tcBorders>
              <w:top w:val="nil"/>
              <w:left w:val="nil"/>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p>
        </w:tc>
      </w:tr>
      <w:tr w:rsidR="00E465A1" w:rsidRPr="00E465A1" w:rsidTr="00AD6577">
        <w:trPr>
          <w:trHeight w:val="267"/>
        </w:trPr>
        <w:tc>
          <w:tcPr>
            <w:tcW w:w="5245" w:type="dxa"/>
            <w:gridSpan w:val="3"/>
            <w:tcBorders>
              <w:top w:val="nil"/>
              <w:left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Sales of property, plant and equipment</w:t>
            </w:r>
          </w:p>
        </w:tc>
        <w:tc>
          <w:tcPr>
            <w:tcW w:w="851" w:type="dxa"/>
            <w:gridSpan w:val="2"/>
            <w:tcBorders>
              <w:top w:val="nil"/>
              <w:left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282</w:t>
            </w:r>
          </w:p>
        </w:tc>
        <w:tc>
          <w:tcPr>
            <w:tcW w:w="992" w:type="dxa"/>
            <w:gridSpan w:val="2"/>
            <w:tcBorders>
              <w:top w:val="nil"/>
              <w:left w:val="nil"/>
              <w:right w:val="nil"/>
            </w:tcBorders>
          </w:tcPr>
          <w:p w:rsidR="00034867" w:rsidRPr="00E465A1" w:rsidRDefault="00884B00" w:rsidP="00034867">
            <w:pPr>
              <w:pStyle w:val="Normaltabletext1stpararight"/>
              <w:ind w:right="142"/>
              <w:rPr>
                <w:color w:val="262626" w:themeColor="text1" w:themeTint="D9"/>
              </w:rPr>
            </w:pPr>
            <w:r w:rsidRPr="00E465A1">
              <w:rPr>
                <w:color w:val="262626" w:themeColor="text1" w:themeTint="D9"/>
              </w:rPr>
              <w:t>244</w:t>
            </w:r>
          </w:p>
        </w:tc>
        <w:tc>
          <w:tcPr>
            <w:tcW w:w="992" w:type="dxa"/>
            <w:tcBorders>
              <w:top w:val="nil"/>
              <w:left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38</w:t>
            </w:r>
          </w:p>
        </w:tc>
        <w:tc>
          <w:tcPr>
            <w:tcW w:w="993" w:type="dxa"/>
            <w:gridSpan w:val="2"/>
            <w:tcBorders>
              <w:top w:val="nil"/>
              <w:left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275</w:t>
            </w:r>
          </w:p>
        </w:tc>
      </w:tr>
      <w:tr w:rsidR="00E465A1" w:rsidRPr="00E465A1" w:rsidTr="00AD6577">
        <w:trPr>
          <w:trHeight w:val="252"/>
        </w:trPr>
        <w:tc>
          <w:tcPr>
            <w:tcW w:w="5245" w:type="dxa"/>
            <w:gridSpan w:val="3"/>
            <w:tcBorders>
              <w:left w:val="nil"/>
              <w:bottom w:val="nil"/>
              <w:right w:val="nil"/>
            </w:tcBorders>
            <w:noWrap/>
            <w:vAlign w:val="bottom"/>
          </w:tcPr>
          <w:p w:rsidR="00034867" w:rsidRPr="00E465A1" w:rsidRDefault="00034867" w:rsidP="00034867">
            <w:pPr>
              <w:pStyle w:val="Normaltabletextleft"/>
              <w:rPr>
                <w:color w:val="262626" w:themeColor="text1" w:themeTint="D9"/>
              </w:rPr>
            </w:pPr>
          </w:p>
        </w:tc>
        <w:tc>
          <w:tcPr>
            <w:tcW w:w="851" w:type="dxa"/>
            <w:gridSpan w:val="2"/>
            <w:tcBorders>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left w:val="nil"/>
              <w:bottom w:val="nil"/>
              <w:right w:val="nil"/>
            </w:tcBorders>
          </w:tcPr>
          <w:p w:rsidR="00034867" w:rsidRPr="00E465A1" w:rsidRDefault="00034867" w:rsidP="00034867">
            <w:pPr>
              <w:pStyle w:val="Normaltabletext1stpararight"/>
              <w:ind w:right="142"/>
              <w:rPr>
                <w:color w:val="262626" w:themeColor="text1" w:themeTint="D9"/>
              </w:rPr>
            </w:pPr>
          </w:p>
        </w:tc>
        <w:tc>
          <w:tcPr>
            <w:tcW w:w="992" w:type="dxa"/>
            <w:tcBorders>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i/>
                <w:color w:val="262626" w:themeColor="text1" w:themeTint="D9"/>
              </w:rPr>
            </w:pPr>
            <w:r w:rsidRPr="00E465A1">
              <w:rPr>
                <w:b/>
                <w:i/>
                <w:color w:val="262626" w:themeColor="text1" w:themeTint="D9"/>
              </w:rPr>
              <w:t>Outflows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i/>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i/>
                <w:color w:val="262626" w:themeColor="text1" w:themeTint="D9"/>
              </w:rPr>
            </w:pPr>
          </w:p>
        </w:tc>
        <w:tc>
          <w:tcPr>
            <w:tcW w:w="992" w:type="dxa"/>
            <w:gridSpan w:val="2"/>
            <w:tcBorders>
              <w:top w:val="nil"/>
              <w:left w:val="nil"/>
              <w:bottom w:val="nil"/>
              <w:right w:val="nil"/>
            </w:tcBorders>
          </w:tcPr>
          <w:p w:rsidR="00034867" w:rsidRPr="00E465A1" w:rsidRDefault="00034867" w:rsidP="00034867">
            <w:pPr>
              <w:pStyle w:val="Normaltabletext1stpararight"/>
              <w:ind w:right="142"/>
              <w:rPr>
                <w:b/>
                <w:color w:val="262626" w:themeColor="text1" w:themeTint="D9"/>
              </w:rPr>
            </w:pP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b/>
                <w:i/>
                <w:color w:val="262626" w:themeColor="text1" w:themeTint="D9"/>
              </w:rPr>
            </w:pP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b/>
                <w:i/>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Payments for Intangibles</w:t>
            </w:r>
          </w:p>
        </w:tc>
        <w:tc>
          <w:tcPr>
            <w:tcW w:w="851" w:type="dxa"/>
            <w:gridSpan w:val="2"/>
            <w:tcBorders>
              <w:top w:val="nil"/>
              <w:left w:val="nil"/>
              <w:bottom w:val="nil"/>
              <w:right w:val="nil"/>
            </w:tcBorders>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(147)</w:t>
            </w:r>
          </w:p>
        </w:tc>
        <w:tc>
          <w:tcPr>
            <w:tcW w:w="992" w:type="dxa"/>
            <w:gridSpan w:val="2"/>
            <w:tcBorders>
              <w:top w:val="nil"/>
              <w:left w:val="nil"/>
              <w:bottom w:val="nil"/>
              <w:right w:val="nil"/>
            </w:tcBorders>
          </w:tcPr>
          <w:p w:rsidR="00034867" w:rsidRPr="00E465A1" w:rsidRDefault="00884B00" w:rsidP="00034867">
            <w:pPr>
              <w:pStyle w:val="Normaltabletext1stpararight"/>
              <w:ind w:right="142"/>
              <w:rPr>
                <w:color w:val="262626" w:themeColor="text1" w:themeTint="D9"/>
              </w:rPr>
            </w:pPr>
            <w:r w:rsidRPr="00E465A1">
              <w:rPr>
                <w:color w:val="262626" w:themeColor="text1" w:themeTint="D9"/>
              </w:rPr>
              <w:t>(3,937)</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3,790</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(57)</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Payments for property, plant and equipment</w:t>
            </w:r>
          </w:p>
        </w:tc>
        <w:tc>
          <w:tcPr>
            <w:tcW w:w="851" w:type="dxa"/>
            <w:gridSpan w:val="2"/>
            <w:tcBorders>
              <w:top w:val="nil"/>
              <w:left w:val="nil"/>
              <w:bottom w:val="nil"/>
              <w:right w:val="nil"/>
            </w:tcBorders>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(3,454)</w:t>
            </w:r>
          </w:p>
        </w:tc>
        <w:tc>
          <w:tcPr>
            <w:tcW w:w="992" w:type="dxa"/>
            <w:gridSpan w:val="2"/>
            <w:tcBorders>
              <w:top w:val="nil"/>
              <w:left w:val="nil"/>
              <w:bottom w:val="single" w:sz="4" w:space="0" w:color="auto"/>
              <w:right w:val="nil"/>
            </w:tcBorders>
          </w:tcPr>
          <w:p w:rsidR="00034867" w:rsidRPr="00E465A1" w:rsidRDefault="00884B00" w:rsidP="00034867">
            <w:pPr>
              <w:pStyle w:val="Normaltabletext1stpararight"/>
              <w:ind w:right="142"/>
              <w:rPr>
                <w:color w:val="262626" w:themeColor="text1" w:themeTint="D9"/>
              </w:rPr>
            </w:pPr>
            <w:r w:rsidRPr="00E465A1">
              <w:rPr>
                <w:color w:val="262626" w:themeColor="text1" w:themeTint="D9"/>
              </w:rPr>
              <w:t>(4,528)</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1,074</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(989)</w:t>
            </w:r>
          </w:p>
        </w:tc>
      </w:tr>
      <w:tr w:rsidR="00E465A1" w:rsidRPr="00E465A1" w:rsidTr="00AD6577">
        <w:trPr>
          <w:trHeight w:val="267"/>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color w:val="262626" w:themeColor="text1" w:themeTint="D9"/>
              </w:rPr>
            </w:pPr>
            <w:r w:rsidRPr="00E465A1">
              <w:rPr>
                <w:b/>
                <w:color w:val="262626" w:themeColor="text1" w:themeTint="D9"/>
              </w:rPr>
              <w:t xml:space="preserve">Net cash </w:t>
            </w:r>
            <w:r w:rsidR="00AD4D61" w:rsidRPr="00E465A1">
              <w:rPr>
                <w:b/>
                <w:color w:val="262626" w:themeColor="text1" w:themeTint="D9"/>
              </w:rPr>
              <w:t>(</w:t>
            </w:r>
            <w:r w:rsidRPr="00E465A1">
              <w:rPr>
                <w:b/>
                <w:color w:val="262626" w:themeColor="text1" w:themeTint="D9"/>
              </w:rPr>
              <w:t>used in</w:t>
            </w:r>
            <w:r w:rsidR="00AD4D61" w:rsidRPr="00E465A1">
              <w:rPr>
                <w:b/>
                <w:color w:val="262626" w:themeColor="text1" w:themeTint="D9"/>
              </w:rPr>
              <w:t>)</w:t>
            </w:r>
            <w:r w:rsidRPr="00E465A1">
              <w:rPr>
                <w:b/>
                <w:color w:val="262626" w:themeColor="text1" w:themeTint="D9"/>
              </w:rPr>
              <w:t xml:space="preserve"> investing activities</w:t>
            </w:r>
          </w:p>
        </w:tc>
        <w:tc>
          <w:tcPr>
            <w:tcW w:w="851" w:type="dxa"/>
            <w:gridSpan w:val="2"/>
            <w:tcBorders>
              <w:top w:val="nil"/>
              <w:left w:val="nil"/>
              <w:bottom w:val="nil"/>
              <w:right w:val="nil"/>
            </w:tcBorders>
            <w:vAlign w:val="bottom"/>
          </w:tcPr>
          <w:p w:rsidR="00034867" w:rsidRPr="00E465A1" w:rsidRDefault="00034867" w:rsidP="00034867">
            <w:pPr>
              <w:pStyle w:val="Normaltabletextcentred"/>
              <w:rPr>
                <w:color w:val="262626" w:themeColor="text1" w:themeTint="D9"/>
              </w:rPr>
            </w:pPr>
          </w:p>
        </w:tc>
        <w:tc>
          <w:tcPr>
            <w:tcW w:w="992" w:type="dxa"/>
            <w:tcBorders>
              <w:top w:val="single" w:sz="8" w:space="0" w:color="auto"/>
              <w:left w:val="nil"/>
              <w:bottom w:val="single" w:sz="8" w:space="0" w:color="auto"/>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color w:val="262626" w:themeColor="text1" w:themeTint="D9"/>
              </w:rPr>
            </w:pPr>
            <w:r w:rsidRPr="00E465A1">
              <w:rPr>
                <w:b/>
                <w:color w:val="262626" w:themeColor="text1" w:themeTint="D9"/>
              </w:rPr>
              <w:t>(3,319)</w:t>
            </w:r>
          </w:p>
        </w:tc>
        <w:tc>
          <w:tcPr>
            <w:tcW w:w="992" w:type="dxa"/>
            <w:gridSpan w:val="2"/>
            <w:tcBorders>
              <w:top w:val="single" w:sz="4" w:space="0" w:color="auto"/>
              <w:left w:val="nil"/>
              <w:bottom w:val="single" w:sz="4" w:space="0" w:color="auto"/>
              <w:right w:val="nil"/>
            </w:tcBorders>
          </w:tcPr>
          <w:p w:rsidR="00034867" w:rsidRPr="00E465A1" w:rsidRDefault="00884B00" w:rsidP="00923B22">
            <w:pPr>
              <w:pStyle w:val="Normaltabletext1stpararight"/>
              <w:ind w:right="142"/>
              <w:rPr>
                <w:b/>
                <w:color w:val="262626" w:themeColor="text1" w:themeTint="D9"/>
              </w:rPr>
            </w:pPr>
            <w:r w:rsidRPr="00E465A1">
              <w:rPr>
                <w:b/>
                <w:color w:val="262626" w:themeColor="text1" w:themeTint="D9"/>
              </w:rPr>
              <w:t>(</w:t>
            </w:r>
            <w:r w:rsidR="00923B22" w:rsidRPr="00E465A1">
              <w:rPr>
                <w:b/>
                <w:color w:val="262626" w:themeColor="text1" w:themeTint="D9"/>
              </w:rPr>
              <w:t>8,221</w:t>
            </w:r>
            <w:r w:rsidRPr="00E465A1">
              <w:rPr>
                <w:b/>
                <w:color w:val="262626" w:themeColor="text1" w:themeTint="D9"/>
              </w:rPr>
              <w:t>)</w:t>
            </w:r>
          </w:p>
        </w:tc>
        <w:tc>
          <w:tcPr>
            <w:tcW w:w="992" w:type="dxa"/>
            <w:tcBorders>
              <w:top w:val="single" w:sz="8" w:space="0" w:color="auto"/>
              <w:left w:val="nil"/>
              <w:bottom w:val="single" w:sz="8" w:space="0" w:color="auto"/>
              <w:right w:val="nil"/>
            </w:tcBorders>
            <w:shd w:val="clear" w:color="auto" w:fill="FEE4B0"/>
            <w:noWrap/>
            <w:tcMar>
              <w:left w:w="0" w:type="dxa"/>
              <w:right w:w="113" w:type="dxa"/>
            </w:tcMar>
            <w:vAlign w:val="bottom"/>
          </w:tcPr>
          <w:p w:rsidR="00034867" w:rsidRPr="00E465A1" w:rsidRDefault="00923B22" w:rsidP="00034867">
            <w:pPr>
              <w:pStyle w:val="Normaltabletext1stpararight"/>
              <w:rPr>
                <w:b/>
                <w:color w:val="262626" w:themeColor="text1" w:themeTint="D9"/>
              </w:rPr>
            </w:pPr>
            <w:r w:rsidRPr="00E465A1">
              <w:rPr>
                <w:b/>
                <w:color w:val="262626" w:themeColor="text1" w:themeTint="D9"/>
              </w:rPr>
              <w:t>4,902</w:t>
            </w:r>
          </w:p>
        </w:tc>
        <w:tc>
          <w:tcPr>
            <w:tcW w:w="993" w:type="dxa"/>
            <w:gridSpan w:val="2"/>
            <w:tcBorders>
              <w:top w:val="single" w:sz="8" w:space="0" w:color="auto"/>
              <w:left w:val="nil"/>
              <w:bottom w:val="single" w:sz="8" w:space="0" w:color="auto"/>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r w:rsidRPr="00E465A1">
              <w:rPr>
                <w:b/>
                <w:color w:val="262626" w:themeColor="text1" w:themeTint="D9"/>
              </w:rPr>
              <w:t>(771)</w:t>
            </w:r>
          </w:p>
        </w:tc>
      </w:tr>
      <w:tr w:rsidR="00E465A1" w:rsidRPr="00E465A1" w:rsidTr="00AD6577">
        <w:trPr>
          <w:trHeight w:val="514"/>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b/>
                <w:color w:val="262626" w:themeColor="text1" w:themeTint="D9"/>
              </w:rPr>
              <w:t>Cash flows from financing activities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top w:val="single" w:sz="4" w:space="0" w:color="auto"/>
              <w:left w:val="nil"/>
              <w:bottom w:val="nil"/>
              <w:right w:val="nil"/>
            </w:tcBorders>
          </w:tcPr>
          <w:p w:rsidR="00034867" w:rsidRPr="00E465A1" w:rsidRDefault="00034867" w:rsidP="00034867">
            <w:pPr>
              <w:pStyle w:val="Normaltabletext1stpararight"/>
              <w:ind w:right="142"/>
              <w:rPr>
                <w:color w:val="262626" w:themeColor="text1" w:themeTint="D9"/>
              </w:rPr>
            </w:pPr>
          </w:p>
        </w:tc>
        <w:tc>
          <w:tcPr>
            <w:tcW w:w="992" w:type="dxa"/>
            <w:tcBorders>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514"/>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i/>
                <w:color w:val="262626" w:themeColor="text1" w:themeTint="D9"/>
              </w:rPr>
            </w:pPr>
            <w:r w:rsidRPr="00E465A1">
              <w:rPr>
                <w:b/>
                <w:i/>
                <w:color w:val="262626" w:themeColor="text1" w:themeTint="D9"/>
              </w:rPr>
              <w:t>Inflows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top w:val="nil"/>
              <w:left w:val="nil"/>
              <w:bottom w:val="nil"/>
              <w:right w:val="nil"/>
            </w:tcBorders>
          </w:tcPr>
          <w:p w:rsidR="00034867" w:rsidRPr="00E465A1" w:rsidRDefault="00034867" w:rsidP="00034867">
            <w:pPr>
              <w:pStyle w:val="Normaltabletext1stpararight"/>
              <w:ind w:right="142"/>
              <w:rPr>
                <w:color w:val="262626" w:themeColor="text1" w:themeTint="D9"/>
              </w:rPr>
            </w:pPr>
          </w:p>
        </w:tc>
        <w:tc>
          <w:tcPr>
            <w:tcW w:w="992" w:type="dxa"/>
            <w:tcBorders>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Equity injection</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700</w:t>
            </w:r>
          </w:p>
        </w:tc>
        <w:tc>
          <w:tcPr>
            <w:tcW w:w="992" w:type="dxa"/>
            <w:gridSpan w:val="2"/>
            <w:tcBorders>
              <w:top w:val="nil"/>
              <w:left w:val="nil"/>
              <w:bottom w:val="nil"/>
              <w:right w:val="nil"/>
            </w:tcBorders>
          </w:tcPr>
          <w:p w:rsidR="00034867" w:rsidRPr="00E465A1" w:rsidRDefault="00884B00" w:rsidP="00034867">
            <w:pPr>
              <w:pStyle w:val="Normaltabletext1stpararight"/>
              <w:ind w:right="142"/>
              <w:rPr>
                <w:color w:val="262626" w:themeColor="text1" w:themeTint="D9"/>
              </w:rPr>
            </w:pPr>
            <w:r w:rsidRPr="00E465A1">
              <w:rPr>
                <w:color w:val="262626" w:themeColor="text1" w:themeTint="D9"/>
              </w:rPr>
              <w:t>3,637</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(2,937)</w:t>
            </w:r>
          </w:p>
        </w:tc>
        <w:tc>
          <w:tcPr>
            <w:tcW w:w="993" w:type="dxa"/>
            <w:gridSpan w:val="2"/>
            <w:tcBorders>
              <w:top w:val="nil"/>
              <w:left w:val="nil"/>
              <w:bottom w:val="nil"/>
              <w:right w:val="nil"/>
            </w:tcBorders>
            <w:shd w:val="clear" w:color="auto" w:fill="FFFFFF" w:themeFill="background1"/>
            <w:vAlign w:val="bottom"/>
          </w:tcPr>
          <w:p w:rsidR="00034867" w:rsidRPr="00E465A1" w:rsidRDefault="00923B22" w:rsidP="00923B22">
            <w:pPr>
              <w:pStyle w:val="Normaltabletext1stpararight"/>
              <w:ind w:right="12"/>
              <w:rPr>
                <w:color w:val="262626" w:themeColor="text1" w:themeTint="D9"/>
              </w:rPr>
            </w:pPr>
            <w:r w:rsidRPr="00E465A1">
              <w:rPr>
                <w:color w:val="262626" w:themeColor="text1" w:themeTint="D9"/>
              </w:rPr>
              <w:t>–</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top w:val="nil"/>
              <w:left w:val="nil"/>
              <w:bottom w:val="nil"/>
              <w:right w:val="nil"/>
            </w:tcBorders>
          </w:tcPr>
          <w:p w:rsidR="00034867" w:rsidRPr="00E465A1" w:rsidRDefault="00034867" w:rsidP="00034867">
            <w:pPr>
              <w:pStyle w:val="Normaltabletext1stpararight"/>
              <w:ind w:right="142"/>
              <w:rPr>
                <w:color w:val="262626" w:themeColor="text1" w:themeTint="D9"/>
              </w:rPr>
            </w:pP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b/>
                <w:color w:val="262626" w:themeColor="text1" w:themeTint="D9"/>
              </w:rPr>
              <w:t>Net cash provided by financing activities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single" w:sz="4" w:space="0" w:color="auto"/>
              <w:left w:val="nil"/>
              <w:bottom w:val="single" w:sz="4" w:space="0" w:color="auto"/>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color w:val="262626" w:themeColor="text1" w:themeTint="D9"/>
              </w:rPr>
            </w:pPr>
            <w:r w:rsidRPr="00E465A1">
              <w:rPr>
                <w:b/>
                <w:color w:val="262626" w:themeColor="text1" w:themeTint="D9"/>
              </w:rPr>
              <w:t>700</w:t>
            </w:r>
          </w:p>
        </w:tc>
        <w:tc>
          <w:tcPr>
            <w:tcW w:w="992" w:type="dxa"/>
            <w:gridSpan w:val="2"/>
            <w:tcBorders>
              <w:top w:val="single" w:sz="4" w:space="0" w:color="auto"/>
              <w:left w:val="nil"/>
              <w:bottom w:val="single" w:sz="4" w:space="0" w:color="auto"/>
              <w:right w:val="nil"/>
            </w:tcBorders>
          </w:tcPr>
          <w:p w:rsidR="00034867" w:rsidRPr="00E465A1" w:rsidRDefault="00884B00" w:rsidP="00034867">
            <w:pPr>
              <w:pStyle w:val="Normaltabletext1stpararight"/>
              <w:ind w:right="142"/>
              <w:rPr>
                <w:b/>
                <w:color w:val="262626" w:themeColor="text1" w:themeTint="D9"/>
              </w:rPr>
            </w:pPr>
            <w:r w:rsidRPr="00E465A1">
              <w:rPr>
                <w:b/>
                <w:color w:val="262626" w:themeColor="text1" w:themeTint="D9"/>
              </w:rPr>
              <w:t>3,637</w:t>
            </w:r>
          </w:p>
        </w:tc>
        <w:tc>
          <w:tcPr>
            <w:tcW w:w="992" w:type="dxa"/>
            <w:tcBorders>
              <w:top w:val="single" w:sz="4" w:space="0" w:color="auto"/>
              <w:left w:val="nil"/>
              <w:bottom w:val="single" w:sz="4" w:space="0" w:color="auto"/>
              <w:right w:val="nil"/>
            </w:tcBorders>
            <w:shd w:val="clear" w:color="auto" w:fill="FEE4B0"/>
            <w:noWrap/>
            <w:tcMar>
              <w:left w:w="0" w:type="dxa"/>
              <w:right w:w="113" w:type="dxa"/>
            </w:tcMar>
            <w:vAlign w:val="bottom"/>
          </w:tcPr>
          <w:p w:rsidR="00034867" w:rsidRPr="00E465A1" w:rsidRDefault="00923B22" w:rsidP="00034867">
            <w:pPr>
              <w:pStyle w:val="Normaltabletext1stpararight"/>
              <w:rPr>
                <w:b/>
                <w:color w:val="262626" w:themeColor="text1" w:themeTint="D9"/>
              </w:rPr>
            </w:pPr>
            <w:r w:rsidRPr="00E465A1">
              <w:rPr>
                <w:b/>
                <w:color w:val="262626" w:themeColor="text1" w:themeTint="D9"/>
              </w:rPr>
              <w:t>(2,937)</w:t>
            </w:r>
          </w:p>
        </w:tc>
        <w:tc>
          <w:tcPr>
            <w:tcW w:w="993" w:type="dxa"/>
            <w:gridSpan w:val="2"/>
            <w:tcBorders>
              <w:top w:val="single" w:sz="4" w:space="0" w:color="auto"/>
              <w:left w:val="nil"/>
              <w:bottom w:val="single" w:sz="4" w:space="0" w:color="auto"/>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r w:rsidRPr="00E465A1">
              <w:rPr>
                <w:b/>
                <w:color w:val="262626" w:themeColor="text1" w:themeTint="D9"/>
              </w:rPr>
              <w:t>–</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single" w:sz="4" w:space="0" w:color="auto"/>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top w:val="single" w:sz="4" w:space="0" w:color="auto"/>
              <w:left w:val="nil"/>
              <w:bottom w:val="nil"/>
              <w:right w:val="nil"/>
            </w:tcBorders>
          </w:tcPr>
          <w:p w:rsidR="00034867" w:rsidRPr="00E465A1" w:rsidRDefault="00034867" w:rsidP="00034867">
            <w:pPr>
              <w:pStyle w:val="Normaltabletext1stpararight"/>
              <w:ind w:right="142"/>
              <w:rPr>
                <w:color w:val="262626" w:themeColor="text1" w:themeTint="D9"/>
              </w:rPr>
            </w:pPr>
          </w:p>
        </w:tc>
        <w:tc>
          <w:tcPr>
            <w:tcW w:w="992" w:type="dxa"/>
            <w:tcBorders>
              <w:top w:val="single" w:sz="4" w:space="0" w:color="auto"/>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top w:val="single" w:sz="4" w:space="0" w:color="auto"/>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Net increase (decrease) in cash and cash equivalents</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1,765</w:t>
            </w:r>
          </w:p>
        </w:tc>
        <w:tc>
          <w:tcPr>
            <w:tcW w:w="992" w:type="dxa"/>
            <w:gridSpan w:val="2"/>
            <w:tcBorders>
              <w:top w:val="nil"/>
              <w:left w:val="nil"/>
              <w:bottom w:val="nil"/>
              <w:right w:val="nil"/>
            </w:tcBorders>
          </w:tcPr>
          <w:p w:rsidR="00034867" w:rsidRPr="00E465A1" w:rsidRDefault="00884B00" w:rsidP="00034867">
            <w:pPr>
              <w:pStyle w:val="Normaltabletext1stpararight"/>
              <w:ind w:right="142"/>
              <w:rPr>
                <w:color w:val="262626" w:themeColor="text1" w:themeTint="D9"/>
              </w:rPr>
            </w:pPr>
            <w:r w:rsidRPr="00E465A1">
              <w:rPr>
                <w:color w:val="262626" w:themeColor="text1" w:themeTint="D9"/>
              </w:rPr>
              <w:t>(2,275)</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4,040</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1,721</w:t>
            </w:r>
          </w:p>
        </w:tc>
      </w:tr>
      <w:tr w:rsidR="00E465A1" w:rsidRPr="00E465A1" w:rsidTr="00AD6577">
        <w:trPr>
          <w:trHeight w:val="252"/>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r w:rsidRPr="00E465A1">
              <w:rPr>
                <w:color w:val="262626" w:themeColor="text1" w:themeTint="D9"/>
              </w:rPr>
              <w:t>Cash and cash equivalents at beginning of financial year</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tcMar>
              <w:left w:w="15" w:type="dxa"/>
              <w:right w:w="113" w:type="dxa"/>
            </w:tcMar>
            <w:vAlign w:val="bottom"/>
          </w:tcPr>
          <w:p w:rsidR="00034867" w:rsidRPr="00E465A1" w:rsidRDefault="00034867" w:rsidP="00034867">
            <w:pPr>
              <w:pStyle w:val="Normaltabletext1stpararight"/>
              <w:rPr>
                <w:color w:val="262626" w:themeColor="text1" w:themeTint="D9"/>
              </w:rPr>
            </w:pPr>
            <w:r w:rsidRPr="00E465A1">
              <w:rPr>
                <w:color w:val="262626" w:themeColor="text1" w:themeTint="D9"/>
              </w:rPr>
              <w:t>14,953</w:t>
            </w:r>
          </w:p>
        </w:tc>
        <w:tc>
          <w:tcPr>
            <w:tcW w:w="992" w:type="dxa"/>
            <w:gridSpan w:val="2"/>
            <w:tcBorders>
              <w:top w:val="nil"/>
              <w:left w:val="nil"/>
              <w:bottom w:val="nil"/>
              <w:right w:val="nil"/>
            </w:tcBorders>
          </w:tcPr>
          <w:p w:rsidR="00034867" w:rsidRPr="00E465A1" w:rsidRDefault="00884B00" w:rsidP="00034867">
            <w:pPr>
              <w:pStyle w:val="Normaltabletext1stpararight"/>
              <w:ind w:right="142"/>
              <w:rPr>
                <w:color w:val="262626" w:themeColor="text1" w:themeTint="D9"/>
              </w:rPr>
            </w:pPr>
            <w:r w:rsidRPr="00E465A1">
              <w:rPr>
                <w:color w:val="262626" w:themeColor="text1" w:themeTint="D9"/>
              </w:rPr>
              <w:t>14,740</w:t>
            </w: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923B22" w:rsidP="00034867">
            <w:pPr>
              <w:pStyle w:val="Normaltabletext1stpararight"/>
              <w:rPr>
                <w:color w:val="262626" w:themeColor="text1" w:themeTint="D9"/>
              </w:rPr>
            </w:pPr>
            <w:r w:rsidRPr="00E465A1">
              <w:rPr>
                <w:color w:val="262626" w:themeColor="text1" w:themeTint="D9"/>
              </w:rPr>
              <w:t>213</w:t>
            </w: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r w:rsidRPr="00E465A1">
              <w:rPr>
                <w:color w:val="262626" w:themeColor="text1" w:themeTint="D9"/>
              </w:rPr>
              <w:t>13,232</w:t>
            </w:r>
          </w:p>
        </w:tc>
      </w:tr>
      <w:tr w:rsidR="00E465A1" w:rsidRPr="00E465A1" w:rsidTr="00AD6577">
        <w:trPr>
          <w:trHeight w:val="267"/>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color w:val="262626" w:themeColor="text1" w:themeTint="D9"/>
              </w:rPr>
            </w:pP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p>
        </w:tc>
        <w:tc>
          <w:tcPr>
            <w:tcW w:w="992" w:type="dxa"/>
            <w:tcBorders>
              <w:top w:val="nil"/>
              <w:left w:val="nil"/>
              <w:bottom w:val="nil"/>
              <w:right w:val="nil"/>
            </w:tcBorders>
            <w:shd w:val="clear" w:color="auto" w:fill="FEE4B0"/>
            <w:noWrap/>
            <w:tcMar>
              <w:left w:w="15" w:type="dxa"/>
              <w:right w:w="113" w:type="dxa"/>
            </w:tcMar>
            <w:vAlign w:val="bottom"/>
          </w:tcPr>
          <w:p w:rsidR="00034867" w:rsidRPr="00E465A1" w:rsidRDefault="00034867" w:rsidP="00034867">
            <w:pPr>
              <w:pStyle w:val="Normaltabletext1stpararight"/>
              <w:rPr>
                <w:color w:val="262626" w:themeColor="text1" w:themeTint="D9"/>
              </w:rPr>
            </w:pPr>
          </w:p>
        </w:tc>
        <w:tc>
          <w:tcPr>
            <w:tcW w:w="992" w:type="dxa"/>
            <w:gridSpan w:val="2"/>
            <w:tcBorders>
              <w:top w:val="nil"/>
              <w:left w:val="nil"/>
              <w:bottom w:val="single" w:sz="4" w:space="0" w:color="auto"/>
              <w:right w:val="nil"/>
            </w:tcBorders>
          </w:tcPr>
          <w:p w:rsidR="00034867" w:rsidRPr="00E465A1" w:rsidRDefault="00034867" w:rsidP="00034867">
            <w:pPr>
              <w:pStyle w:val="Normaltabletext1stpararight"/>
              <w:ind w:right="142"/>
              <w:rPr>
                <w:color w:val="262626" w:themeColor="text1" w:themeTint="D9"/>
              </w:rPr>
            </w:pPr>
          </w:p>
        </w:tc>
        <w:tc>
          <w:tcPr>
            <w:tcW w:w="992" w:type="dxa"/>
            <w:tcBorders>
              <w:top w:val="nil"/>
              <w:left w:val="nil"/>
              <w:bottom w:val="nil"/>
              <w:right w:val="nil"/>
            </w:tcBorders>
            <w:shd w:val="clear" w:color="auto" w:fill="FEE4B0"/>
            <w:noWrap/>
            <w:tcMar>
              <w:left w:w="0" w:type="dxa"/>
              <w:right w:w="113" w:type="dxa"/>
            </w:tcMar>
            <w:vAlign w:val="bottom"/>
          </w:tcPr>
          <w:p w:rsidR="00034867" w:rsidRPr="00E465A1" w:rsidRDefault="00034867" w:rsidP="00034867">
            <w:pPr>
              <w:pStyle w:val="Normaltabletext1stpararight"/>
              <w:rPr>
                <w:color w:val="262626" w:themeColor="text1" w:themeTint="D9"/>
              </w:rPr>
            </w:pPr>
          </w:p>
        </w:tc>
        <w:tc>
          <w:tcPr>
            <w:tcW w:w="993" w:type="dxa"/>
            <w:gridSpan w:val="2"/>
            <w:tcBorders>
              <w:top w:val="nil"/>
              <w:left w:val="nil"/>
              <w:bottom w:val="nil"/>
              <w:right w:val="nil"/>
            </w:tcBorders>
            <w:shd w:val="clear" w:color="auto" w:fill="FFFFFF" w:themeFill="background1"/>
            <w:vAlign w:val="bottom"/>
          </w:tcPr>
          <w:p w:rsidR="00034867" w:rsidRPr="00E465A1" w:rsidRDefault="00034867" w:rsidP="00923B22">
            <w:pPr>
              <w:pStyle w:val="Normaltabletext1stpararight"/>
              <w:ind w:right="12"/>
              <w:rPr>
                <w:color w:val="262626" w:themeColor="text1" w:themeTint="D9"/>
              </w:rPr>
            </w:pPr>
          </w:p>
        </w:tc>
      </w:tr>
      <w:tr w:rsidR="00E465A1" w:rsidRPr="00E465A1" w:rsidTr="00AD6577">
        <w:trPr>
          <w:trHeight w:val="267"/>
        </w:trPr>
        <w:tc>
          <w:tcPr>
            <w:tcW w:w="5245" w:type="dxa"/>
            <w:gridSpan w:val="3"/>
            <w:tcBorders>
              <w:top w:val="nil"/>
              <w:left w:val="nil"/>
              <w:bottom w:val="nil"/>
              <w:right w:val="nil"/>
            </w:tcBorders>
            <w:noWrap/>
            <w:vAlign w:val="bottom"/>
          </w:tcPr>
          <w:p w:rsidR="00034867" w:rsidRPr="00E465A1" w:rsidRDefault="00034867" w:rsidP="00034867">
            <w:pPr>
              <w:pStyle w:val="Normaltabletextleft"/>
              <w:rPr>
                <w:b/>
                <w:color w:val="262626" w:themeColor="text1" w:themeTint="D9"/>
              </w:rPr>
            </w:pPr>
            <w:r w:rsidRPr="00E465A1">
              <w:rPr>
                <w:b/>
                <w:color w:val="262626" w:themeColor="text1" w:themeTint="D9"/>
              </w:rPr>
              <w:t>Cash and cash equivalents at end of financial year</w:t>
            </w:r>
          </w:p>
        </w:tc>
        <w:tc>
          <w:tcPr>
            <w:tcW w:w="851" w:type="dxa"/>
            <w:gridSpan w:val="2"/>
            <w:tcBorders>
              <w:top w:val="nil"/>
              <w:left w:val="nil"/>
              <w:bottom w:val="nil"/>
              <w:right w:val="nil"/>
            </w:tcBorders>
            <w:noWrap/>
            <w:tcMar>
              <w:top w:w="15" w:type="dxa"/>
              <w:left w:w="15" w:type="dxa"/>
              <w:right w:w="15" w:type="dxa"/>
            </w:tcMar>
            <w:vAlign w:val="bottom"/>
          </w:tcPr>
          <w:p w:rsidR="00034867" w:rsidRPr="00E465A1" w:rsidRDefault="00034867" w:rsidP="00034867">
            <w:pPr>
              <w:pStyle w:val="Normaltabletextcentred"/>
              <w:rPr>
                <w:color w:val="262626" w:themeColor="text1" w:themeTint="D9"/>
              </w:rPr>
            </w:pPr>
            <w:r w:rsidRPr="00E465A1">
              <w:rPr>
                <w:color w:val="262626" w:themeColor="text1" w:themeTint="D9"/>
              </w:rPr>
              <w:t>8</w:t>
            </w:r>
          </w:p>
        </w:tc>
        <w:tc>
          <w:tcPr>
            <w:tcW w:w="992" w:type="dxa"/>
            <w:tcBorders>
              <w:top w:val="single" w:sz="8" w:space="0" w:color="auto"/>
              <w:left w:val="nil"/>
              <w:bottom w:val="double" w:sz="6" w:space="0" w:color="auto"/>
              <w:right w:val="nil"/>
            </w:tcBorders>
            <w:shd w:val="clear" w:color="auto" w:fill="FEE4B0"/>
            <w:noWrap/>
            <w:tcMar>
              <w:left w:w="15" w:type="dxa"/>
              <w:right w:w="113" w:type="dxa"/>
            </w:tcMar>
            <w:vAlign w:val="bottom"/>
          </w:tcPr>
          <w:p w:rsidR="00034867" w:rsidRPr="00E465A1" w:rsidRDefault="00034867" w:rsidP="00034867">
            <w:pPr>
              <w:pStyle w:val="Normaltabletext1stpararight"/>
              <w:rPr>
                <w:b/>
                <w:color w:val="262626" w:themeColor="text1" w:themeTint="D9"/>
              </w:rPr>
            </w:pPr>
            <w:r w:rsidRPr="00E465A1">
              <w:rPr>
                <w:b/>
                <w:color w:val="262626" w:themeColor="text1" w:themeTint="D9"/>
              </w:rPr>
              <w:t>16,718</w:t>
            </w:r>
          </w:p>
        </w:tc>
        <w:tc>
          <w:tcPr>
            <w:tcW w:w="992" w:type="dxa"/>
            <w:gridSpan w:val="2"/>
            <w:tcBorders>
              <w:top w:val="single" w:sz="4" w:space="0" w:color="auto"/>
              <w:left w:val="nil"/>
              <w:bottom w:val="double" w:sz="4" w:space="0" w:color="auto"/>
              <w:right w:val="nil"/>
            </w:tcBorders>
          </w:tcPr>
          <w:p w:rsidR="00034867" w:rsidRPr="00E465A1" w:rsidRDefault="00884B00" w:rsidP="00034867">
            <w:pPr>
              <w:pStyle w:val="Normaltabletext1stpararight"/>
              <w:ind w:right="142"/>
              <w:rPr>
                <w:b/>
                <w:color w:val="262626" w:themeColor="text1" w:themeTint="D9"/>
              </w:rPr>
            </w:pPr>
            <w:r w:rsidRPr="00E465A1">
              <w:rPr>
                <w:b/>
                <w:color w:val="262626" w:themeColor="text1" w:themeTint="D9"/>
              </w:rPr>
              <w:t>12,465</w:t>
            </w:r>
          </w:p>
        </w:tc>
        <w:tc>
          <w:tcPr>
            <w:tcW w:w="992" w:type="dxa"/>
            <w:tcBorders>
              <w:top w:val="single" w:sz="8" w:space="0" w:color="auto"/>
              <w:left w:val="nil"/>
              <w:bottom w:val="double" w:sz="6" w:space="0" w:color="auto"/>
              <w:right w:val="nil"/>
            </w:tcBorders>
            <w:shd w:val="clear" w:color="auto" w:fill="FEE4B0"/>
            <w:noWrap/>
            <w:tcMar>
              <w:left w:w="0" w:type="dxa"/>
              <w:right w:w="113" w:type="dxa"/>
            </w:tcMar>
            <w:vAlign w:val="bottom"/>
          </w:tcPr>
          <w:p w:rsidR="00034867" w:rsidRPr="00E465A1" w:rsidRDefault="00923B22" w:rsidP="00034867">
            <w:pPr>
              <w:pStyle w:val="Normaltabletext1stpararight"/>
              <w:rPr>
                <w:b/>
                <w:color w:val="262626" w:themeColor="text1" w:themeTint="D9"/>
              </w:rPr>
            </w:pPr>
            <w:r w:rsidRPr="00E465A1">
              <w:rPr>
                <w:b/>
                <w:color w:val="262626" w:themeColor="text1" w:themeTint="D9"/>
              </w:rPr>
              <w:t>4,253</w:t>
            </w:r>
          </w:p>
        </w:tc>
        <w:tc>
          <w:tcPr>
            <w:tcW w:w="993" w:type="dxa"/>
            <w:gridSpan w:val="2"/>
            <w:tcBorders>
              <w:top w:val="single" w:sz="8" w:space="0" w:color="auto"/>
              <w:left w:val="nil"/>
              <w:bottom w:val="double" w:sz="6" w:space="0" w:color="auto"/>
              <w:right w:val="nil"/>
            </w:tcBorders>
            <w:shd w:val="clear" w:color="auto" w:fill="FFFFFF" w:themeFill="background1"/>
            <w:vAlign w:val="bottom"/>
          </w:tcPr>
          <w:p w:rsidR="00034867" w:rsidRPr="00E465A1" w:rsidRDefault="00034867" w:rsidP="00923B22">
            <w:pPr>
              <w:pStyle w:val="Normaltabletext1stpararight"/>
              <w:ind w:right="12"/>
              <w:rPr>
                <w:b/>
                <w:color w:val="262626" w:themeColor="text1" w:themeTint="D9"/>
              </w:rPr>
            </w:pPr>
            <w:r w:rsidRPr="00E465A1">
              <w:rPr>
                <w:b/>
                <w:color w:val="262626" w:themeColor="text1" w:themeTint="D9"/>
              </w:rPr>
              <w:t>14,953</w:t>
            </w:r>
          </w:p>
        </w:tc>
      </w:tr>
      <w:tr w:rsidR="00E465A1" w:rsidRPr="00E465A1" w:rsidTr="00034867">
        <w:trPr>
          <w:gridAfter w:val="1"/>
          <w:wAfter w:w="943" w:type="dxa"/>
          <w:trHeight w:val="22"/>
        </w:trPr>
        <w:tc>
          <w:tcPr>
            <w:tcW w:w="1807" w:type="dxa"/>
            <w:tcBorders>
              <w:top w:val="nil"/>
              <w:left w:val="nil"/>
              <w:bottom w:val="nil"/>
              <w:right w:val="nil"/>
            </w:tcBorders>
            <w:noWrap/>
            <w:vAlign w:val="bottom"/>
          </w:tcPr>
          <w:p w:rsidR="00034867" w:rsidRPr="00E465A1" w:rsidRDefault="00034867" w:rsidP="00EF0CBB">
            <w:pPr>
              <w:pStyle w:val="Normaltabletextleft"/>
              <w:rPr>
                <w:color w:val="262626" w:themeColor="text1" w:themeTint="D9"/>
              </w:rPr>
            </w:pPr>
          </w:p>
          <w:p w:rsidR="008A5CAA" w:rsidRPr="00E465A1" w:rsidRDefault="008A5CAA" w:rsidP="00EF0CBB">
            <w:pPr>
              <w:pStyle w:val="Normaltabletextleft"/>
              <w:rPr>
                <w:color w:val="262626" w:themeColor="text1" w:themeTint="D9"/>
              </w:rPr>
            </w:pPr>
          </w:p>
        </w:tc>
        <w:tc>
          <w:tcPr>
            <w:tcW w:w="1808" w:type="dxa"/>
            <w:tcBorders>
              <w:top w:val="nil"/>
              <w:left w:val="nil"/>
              <w:bottom w:val="nil"/>
              <w:right w:val="nil"/>
            </w:tcBorders>
            <w:noWrap/>
            <w:tcMar>
              <w:top w:w="15" w:type="dxa"/>
              <w:left w:w="15" w:type="dxa"/>
              <w:right w:w="15" w:type="dxa"/>
            </w:tcMar>
            <w:vAlign w:val="bottom"/>
          </w:tcPr>
          <w:p w:rsidR="00034867" w:rsidRPr="00E465A1" w:rsidRDefault="00034867" w:rsidP="00EF0CBB">
            <w:pPr>
              <w:pStyle w:val="Normaltabletextcentred"/>
              <w:rPr>
                <w:color w:val="262626" w:themeColor="text1" w:themeTint="D9"/>
              </w:rPr>
            </w:pPr>
          </w:p>
        </w:tc>
        <w:tc>
          <w:tcPr>
            <w:tcW w:w="1810" w:type="dxa"/>
            <w:gridSpan w:val="2"/>
            <w:tcBorders>
              <w:top w:val="nil"/>
              <w:left w:val="nil"/>
              <w:bottom w:val="nil"/>
              <w:right w:val="nil"/>
            </w:tcBorders>
            <w:shd w:val="clear" w:color="auto" w:fill="FFFFFF" w:themeFill="background1"/>
            <w:noWrap/>
            <w:tcMar>
              <w:left w:w="15" w:type="dxa"/>
              <w:right w:w="113" w:type="dxa"/>
            </w:tcMar>
            <w:vAlign w:val="bottom"/>
          </w:tcPr>
          <w:p w:rsidR="00034867" w:rsidRPr="00E465A1" w:rsidRDefault="00034867" w:rsidP="00EF0CBB">
            <w:pPr>
              <w:pStyle w:val="Normaltabletext1stpararight"/>
              <w:rPr>
                <w:color w:val="262626" w:themeColor="text1" w:themeTint="D9"/>
              </w:rPr>
            </w:pPr>
          </w:p>
        </w:tc>
        <w:tc>
          <w:tcPr>
            <w:tcW w:w="1848" w:type="dxa"/>
            <w:gridSpan w:val="3"/>
            <w:tcBorders>
              <w:top w:val="nil"/>
              <w:left w:val="nil"/>
              <w:bottom w:val="nil"/>
              <w:right w:val="nil"/>
            </w:tcBorders>
          </w:tcPr>
          <w:p w:rsidR="00034867" w:rsidRPr="00E465A1" w:rsidRDefault="00034867" w:rsidP="00EF0CBB">
            <w:pPr>
              <w:pStyle w:val="Normaltabletext1stpararight"/>
              <w:rPr>
                <w:color w:val="262626" w:themeColor="text1" w:themeTint="D9"/>
              </w:rPr>
            </w:pPr>
          </w:p>
        </w:tc>
        <w:tc>
          <w:tcPr>
            <w:tcW w:w="1849" w:type="dxa"/>
            <w:gridSpan w:val="3"/>
            <w:tcBorders>
              <w:top w:val="nil"/>
              <w:left w:val="nil"/>
              <w:bottom w:val="nil"/>
              <w:right w:val="nil"/>
            </w:tcBorders>
            <w:shd w:val="clear" w:color="auto" w:fill="FFFFFF" w:themeFill="background1"/>
          </w:tcPr>
          <w:p w:rsidR="00034867" w:rsidRPr="00E465A1" w:rsidRDefault="00034867" w:rsidP="00EF0CBB">
            <w:pPr>
              <w:pStyle w:val="Normaltabletext1stpararight"/>
              <w:rPr>
                <w:color w:val="262626" w:themeColor="text1" w:themeTint="D9"/>
              </w:rPr>
            </w:pPr>
          </w:p>
        </w:tc>
      </w:tr>
    </w:tbl>
    <w:p w:rsidR="00F4356E" w:rsidRPr="00E465A1" w:rsidRDefault="00276E72" w:rsidP="00CF0CC1">
      <w:pPr>
        <w:pStyle w:val="Notes"/>
        <w:rPr>
          <w:i/>
          <w:color w:val="262626" w:themeColor="text1" w:themeTint="D9"/>
        </w:rPr>
      </w:pPr>
      <w:r w:rsidRPr="00E465A1">
        <w:rPr>
          <w:i/>
          <w:color w:val="262626" w:themeColor="text1" w:themeTint="D9"/>
        </w:rPr>
        <w:t>The accompanying notes form part of these statements.</w:t>
      </w:r>
    </w:p>
    <w:p w:rsidR="008A5CAA" w:rsidRPr="00E465A1" w:rsidRDefault="00C72DB2" w:rsidP="00F4356E">
      <w:pPr>
        <w:tabs>
          <w:tab w:val="left" w:pos="4500"/>
        </w:tabs>
        <w:rPr>
          <w:rFonts w:cs="Arial"/>
          <w:i/>
          <w:color w:val="262626" w:themeColor="text1" w:themeTint="D9"/>
          <w:sz w:val="17"/>
          <w:szCs w:val="17"/>
        </w:rPr>
      </w:pPr>
      <w:r w:rsidRPr="00E465A1">
        <w:rPr>
          <w:rFonts w:cs="Arial"/>
          <w:i/>
          <w:color w:val="262626" w:themeColor="text1" w:themeTint="D9"/>
          <w:sz w:val="17"/>
          <w:szCs w:val="17"/>
        </w:rPr>
        <w:t xml:space="preserve">* </w:t>
      </w:r>
      <w:r w:rsidR="008A5CAA" w:rsidRPr="00E465A1">
        <w:rPr>
          <w:rFonts w:cs="Arial"/>
          <w:i/>
          <w:color w:val="262626" w:themeColor="text1" w:themeTint="D9"/>
          <w:sz w:val="17"/>
          <w:szCs w:val="17"/>
        </w:rPr>
        <w:t>An explanation of major variances is included at Note 21.</w:t>
      </w:r>
    </w:p>
    <w:p w:rsidR="008A5CAA" w:rsidRPr="00E465A1" w:rsidRDefault="008A5CAA" w:rsidP="00F4356E">
      <w:pPr>
        <w:tabs>
          <w:tab w:val="left" w:pos="4500"/>
        </w:tabs>
        <w:rPr>
          <w:rFonts w:cs="Arial"/>
          <w:color w:val="262626" w:themeColor="text1" w:themeTint="D9"/>
        </w:rPr>
        <w:sectPr w:rsidR="008A5CAA" w:rsidRPr="00E465A1" w:rsidSect="0093233E">
          <w:headerReference w:type="default" r:id="rId24"/>
          <w:pgSz w:w="11906" w:h="16838" w:code="9"/>
          <w:pgMar w:top="2268" w:right="851" w:bottom="1418" w:left="851" w:header="567" w:footer="567" w:gutter="0"/>
          <w:cols w:space="708"/>
          <w:docGrid w:linePitch="360"/>
        </w:sectPr>
      </w:pPr>
    </w:p>
    <w:p w:rsidR="00203712" w:rsidRPr="00E465A1" w:rsidRDefault="00737064" w:rsidP="004652F4">
      <w:pPr>
        <w:pStyle w:val="Normal115pttext"/>
        <w:rPr>
          <w:color w:val="262626" w:themeColor="text1" w:themeTint="D9"/>
          <w:sz w:val="24"/>
          <w:szCs w:val="24"/>
        </w:rPr>
      </w:pPr>
      <w:r w:rsidRPr="00E465A1">
        <w:rPr>
          <w:color w:val="262626" w:themeColor="text1" w:themeTint="D9"/>
          <w:sz w:val="24"/>
          <w:szCs w:val="24"/>
        </w:rPr>
        <w:lastRenderedPageBreak/>
        <w:t>Objectives</w:t>
      </w:r>
      <w:r w:rsidR="00932E9B" w:rsidRPr="00E465A1">
        <w:rPr>
          <w:color w:val="262626" w:themeColor="text1" w:themeTint="D9"/>
          <w:sz w:val="24"/>
          <w:szCs w:val="24"/>
        </w:rPr>
        <w:t xml:space="preserve"> of the </w:t>
      </w:r>
      <w:r w:rsidR="00242A86" w:rsidRPr="00E465A1">
        <w:rPr>
          <w:color w:val="262626" w:themeColor="text1" w:themeTint="D9"/>
          <w:sz w:val="24"/>
          <w:szCs w:val="24"/>
        </w:rPr>
        <w:t xml:space="preserve">Crime and Corruption </w:t>
      </w:r>
      <w:r w:rsidR="00932E9B" w:rsidRPr="00E465A1">
        <w:rPr>
          <w:color w:val="262626" w:themeColor="text1" w:themeTint="D9"/>
          <w:sz w:val="24"/>
          <w:szCs w:val="24"/>
        </w:rPr>
        <w:t>Commission</w:t>
      </w:r>
    </w:p>
    <w:p w:rsidR="001853F2" w:rsidRPr="00E465A1" w:rsidRDefault="001853F2" w:rsidP="004652F4">
      <w:pPr>
        <w:pStyle w:val="Normal115pttext"/>
        <w:rPr>
          <w:b w:val="0"/>
          <w:color w:val="262626" w:themeColor="text1" w:themeTint="D9"/>
        </w:rPr>
      </w:pPr>
    </w:p>
    <w:p w:rsidR="00C355F9"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Note 1</w:t>
      </w:r>
      <w:r w:rsidR="00BB3B3B" w:rsidRPr="00E465A1">
        <w:rPr>
          <w:color w:val="262626" w:themeColor="text1" w:themeTint="D9"/>
          <w:sz w:val="22"/>
          <w:szCs w:val="22"/>
        </w:rPr>
        <w:tab/>
      </w:r>
      <w:r w:rsidRPr="00E465A1">
        <w:rPr>
          <w:color w:val="262626" w:themeColor="text1" w:themeTint="D9"/>
          <w:sz w:val="22"/>
          <w:szCs w:val="22"/>
        </w:rPr>
        <w:t>Summary of Significant Accounting Policies</w:t>
      </w:r>
    </w:p>
    <w:p w:rsidR="00541A62"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Note 2</w:t>
      </w:r>
      <w:r w:rsidR="00BB3B3B" w:rsidRPr="00E465A1">
        <w:rPr>
          <w:color w:val="262626" w:themeColor="text1" w:themeTint="D9"/>
          <w:sz w:val="22"/>
          <w:szCs w:val="22"/>
        </w:rPr>
        <w:tab/>
      </w:r>
      <w:r w:rsidRPr="00E465A1">
        <w:rPr>
          <w:color w:val="262626" w:themeColor="text1" w:themeTint="D9"/>
          <w:sz w:val="22"/>
          <w:szCs w:val="22"/>
        </w:rPr>
        <w:t>Grants and Other Contributions</w:t>
      </w:r>
    </w:p>
    <w:p w:rsidR="00D20BFA" w:rsidRPr="00E465A1" w:rsidRDefault="00D20BFA" w:rsidP="00BB3B3B">
      <w:pPr>
        <w:pStyle w:val="NormallistofNotes"/>
        <w:rPr>
          <w:color w:val="262626" w:themeColor="text1" w:themeTint="D9"/>
          <w:sz w:val="22"/>
          <w:szCs w:val="22"/>
        </w:rPr>
      </w:pPr>
      <w:r w:rsidRPr="00E465A1">
        <w:rPr>
          <w:b/>
          <w:color w:val="262626" w:themeColor="text1" w:themeTint="D9"/>
          <w:sz w:val="22"/>
          <w:szCs w:val="22"/>
        </w:rPr>
        <w:t>Note 3</w:t>
      </w:r>
      <w:r w:rsidRPr="00E465A1">
        <w:rPr>
          <w:b/>
          <w:color w:val="262626" w:themeColor="text1" w:themeTint="D9"/>
          <w:sz w:val="22"/>
          <w:szCs w:val="22"/>
        </w:rPr>
        <w:tab/>
      </w:r>
      <w:r w:rsidRPr="00E465A1">
        <w:rPr>
          <w:color w:val="262626" w:themeColor="text1" w:themeTint="D9"/>
          <w:sz w:val="22"/>
          <w:szCs w:val="22"/>
        </w:rPr>
        <w:t>Other Revenue</w:t>
      </w:r>
    </w:p>
    <w:p w:rsidR="00541A62"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D20BFA" w:rsidRPr="00E465A1">
        <w:rPr>
          <w:b/>
          <w:color w:val="262626" w:themeColor="text1" w:themeTint="D9"/>
          <w:sz w:val="22"/>
          <w:szCs w:val="22"/>
        </w:rPr>
        <w:t>4</w:t>
      </w:r>
      <w:r w:rsidR="00BB3B3B" w:rsidRPr="00E465A1">
        <w:rPr>
          <w:color w:val="262626" w:themeColor="text1" w:themeTint="D9"/>
          <w:sz w:val="22"/>
          <w:szCs w:val="22"/>
        </w:rPr>
        <w:tab/>
      </w:r>
      <w:r w:rsidRPr="00E465A1">
        <w:rPr>
          <w:color w:val="262626" w:themeColor="text1" w:themeTint="D9"/>
          <w:sz w:val="22"/>
          <w:szCs w:val="22"/>
        </w:rPr>
        <w:t>Employee Expenses</w:t>
      </w:r>
    </w:p>
    <w:p w:rsidR="00200FB2"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D20BFA" w:rsidRPr="00E465A1">
        <w:rPr>
          <w:b/>
          <w:color w:val="262626" w:themeColor="text1" w:themeTint="D9"/>
          <w:sz w:val="22"/>
          <w:szCs w:val="22"/>
        </w:rPr>
        <w:t>5</w:t>
      </w:r>
      <w:r w:rsidR="00BB3B3B" w:rsidRPr="00E465A1">
        <w:rPr>
          <w:color w:val="262626" w:themeColor="text1" w:themeTint="D9"/>
          <w:sz w:val="22"/>
          <w:szCs w:val="22"/>
        </w:rPr>
        <w:tab/>
      </w:r>
      <w:proofErr w:type="gramStart"/>
      <w:r w:rsidR="00632571" w:rsidRPr="00E465A1">
        <w:rPr>
          <w:color w:val="262626" w:themeColor="text1" w:themeTint="D9"/>
          <w:sz w:val="22"/>
          <w:szCs w:val="22"/>
        </w:rPr>
        <w:t>The</w:t>
      </w:r>
      <w:proofErr w:type="gramEnd"/>
      <w:r w:rsidR="00632571" w:rsidRPr="00E465A1">
        <w:rPr>
          <w:color w:val="262626" w:themeColor="text1" w:themeTint="D9"/>
          <w:sz w:val="22"/>
          <w:szCs w:val="22"/>
        </w:rPr>
        <w:t xml:space="preserve"> Commission, Senior Executive</w:t>
      </w:r>
      <w:r w:rsidR="0016077F" w:rsidRPr="00E465A1">
        <w:rPr>
          <w:color w:val="262626" w:themeColor="text1" w:themeTint="D9"/>
          <w:sz w:val="22"/>
          <w:szCs w:val="22"/>
        </w:rPr>
        <w:t xml:space="preserve"> Personnel, </w:t>
      </w:r>
      <w:r w:rsidR="00632571" w:rsidRPr="00E465A1">
        <w:rPr>
          <w:color w:val="262626" w:themeColor="text1" w:themeTint="D9"/>
          <w:sz w:val="22"/>
          <w:szCs w:val="22"/>
        </w:rPr>
        <w:t>Remuneration Expenses</w:t>
      </w:r>
      <w:r w:rsidR="0016077F" w:rsidRPr="00E465A1">
        <w:rPr>
          <w:color w:val="262626" w:themeColor="text1" w:themeTint="D9"/>
          <w:sz w:val="22"/>
          <w:szCs w:val="22"/>
        </w:rPr>
        <w:t xml:space="preserve"> and Related Party Transactions</w:t>
      </w:r>
    </w:p>
    <w:p w:rsidR="00541A62"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D20BFA" w:rsidRPr="00E465A1">
        <w:rPr>
          <w:b/>
          <w:color w:val="262626" w:themeColor="text1" w:themeTint="D9"/>
          <w:sz w:val="22"/>
          <w:szCs w:val="22"/>
        </w:rPr>
        <w:t>6</w:t>
      </w:r>
      <w:r w:rsidR="00BB3B3B" w:rsidRPr="00E465A1">
        <w:rPr>
          <w:color w:val="262626" w:themeColor="text1" w:themeTint="D9"/>
          <w:sz w:val="22"/>
          <w:szCs w:val="22"/>
        </w:rPr>
        <w:tab/>
      </w:r>
      <w:r w:rsidRPr="00E465A1">
        <w:rPr>
          <w:color w:val="262626" w:themeColor="text1" w:themeTint="D9"/>
          <w:sz w:val="22"/>
          <w:szCs w:val="22"/>
        </w:rPr>
        <w:t>Supplies and Services</w:t>
      </w:r>
    </w:p>
    <w:p w:rsidR="00541A62"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D20BFA" w:rsidRPr="00E465A1">
        <w:rPr>
          <w:b/>
          <w:color w:val="262626" w:themeColor="text1" w:themeTint="D9"/>
          <w:sz w:val="22"/>
          <w:szCs w:val="22"/>
        </w:rPr>
        <w:t>7</w:t>
      </w:r>
      <w:r w:rsidRPr="00E465A1">
        <w:rPr>
          <w:b/>
          <w:color w:val="262626" w:themeColor="text1" w:themeTint="D9"/>
          <w:sz w:val="22"/>
          <w:szCs w:val="22"/>
        </w:rPr>
        <w:tab/>
      </w:r>
      <w:r w:rsidRPr="00E465A1">
        <w:rPr>
          <w:color w:val="262626" w:themeColor="text1" w:themeTint="D9"/>
          <w:sz w:val="22"/>
          <w:szCs w:val="22"/>
        </w:rPr>
        <w:t>Other Expenses</w:t>
      </w:r>
    </w:p>
    <w:p w:rsidR="00541A62" w:rsidRPr="00E465A1" w:rsidRDefault="00276E72" w:rsidP="0086068B">
      <w:pPr>
        <w:pStyle w:val="NormallistofNotes"/>
        <w:tabs>
          <w:tab w:val="left" w:pos="340"/>
          <w:tab w:val="left" w:pos="680"/>
          <w:tab w:val="left" w:pos="1020"/>
          <w:tab w:val="left" w:pos="1360"/>
          <w:tab w:val="left" w:pos="1700"/>
          <w:tab w:val="left" w:pos="2040"/>
          <w:tab w:val="left" w:pos="2380"/>
          <w:tab w:val="left" w:pos="2720"/>
          <w:tab w:val="left" w:pos="3060"/>
          <w:tab w:val="left" w:pos="9043"/>
        </w:tabs>
        <w:rPr>
          <w:color w:val="262626" w:themeColor="text1" w:themeTint="D9"/>
          <w:sz w:val="22"/>
          <w:szCs w:val="22"/>
        </w:rPr>
      </w:pPr>
      <w:r w:rsidRPr="00E465A1">
        <w:rPr>
          <w:b/>
          <w:color w:val="262626" w:themeColor="text1" w:themeTint="D9"/>
          <w:sz w:val="22"/>
          <w:szCs w:val="22"/>
        </w:rPr>
        <w:t xml:space="preserve">Note </w:t>
      </w:r>
      <w:r w:rsidR="00D20BFA" w:rsidRPr="00E465A1">
        <w:rPr>
          <w:b/>
          <w:color w:val="262626" w:themeColor="text1" w:themeTint="D9"/>
          <w:sz w:val="22"/>
          <w:szCs w:val="22"/>
        </w:rPr>
        <w:t>8</w:t>
      </w:r>
      <w:r w:rsidR="00BB3B3B" w:rsidRPr="00E465A1">
        <w:rPr>
          <w:color w:val="262626" w:themeColor="text1" w:themeTint="D9"/>
          <w:sz w:val="22"/>
          <w:szCs w:val="22"/>
        </w:rPr>
        <w:tab/>
      </w:r>
      <w:r w:rsidR="00A03FD6" w:rsidRPr="00E465A1">
        <w:rPr>
          <w:color w:val="262626" w:themeColor="text1" w:themeTint="D9"/>
          <w:sz w:val="22"/>
          <w:szCs w:val="22"/>
        </w:rPr>
        <w:tab/>
      </w:r>
      <w:r w:rsidR="00A03FD6" w:rsidRPr="00E465A1">
        <w:rPr>
          <w:color w:val="262626" w:themeColor="text1" w:themeTint="D9"/>
          <w:sz w:val="22"/>
          <w:szCs w:val="22"/>
        </w:rPr>
        <w:tab/>
      </w:r>
      <w:r w:rsidRPr="00E465A1">
        <w:rPr>
          <w:color w:val="262626" w:themeColor="text1" w:themeTint="D9"/>
          <w:sz w:val="22"/>
          <w:szCs w:val="22"/>
        </w:rPr>
        <w:t>Cash and Cash Equivalents</w:t>
      </w:r>
      <w:r w:rsidR="0086068B" w:rsidRPr="00E465A1">
        <w:rPr>
          <w:color w:val="262626" w:themeColor="text1" w:themeTint="D9"/>
          <w:sz w:val="22"/>
          <w:szCs w:val="22"/>
        </w:rPr>
        <w:tab/>
      </w:r>
      <w:r w:rsidR="0086068B" w:rsidRPr="00E465A1">
        <w:rPr>
          <w:color w:val="262626" w:themeColor="text1" w:themeTint="D9"/>
          <w:sz w:val="22"/>
          <w:szCs w:val="22"/>
        </w:rPr>
        <w:tab/>
      </w:r>
    </w:p>
    <w:p w:rsidR="000171D4"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D20BFA" w:rsidRPr="00E465A1">
        <w:rPr>
          <w:b/>
          <w:color w:val="262626" w:themeColor="text1" w:themeTint="D9"/>
          <w:sz w:val="22"/>
          <w:szCs w:val="22"/>
        </w:rPr>
        <w:t>9</w:t>
      </w:r>
      <w:r w:rsidR="00BB3B3B" w:rsidRPr="00E465A1">
        <w:rPr>
          <w:color w:val="262626" w:themeColor="text1" w:themeTint="D9"/>
          <w:sz w:val="22"/>
          <w:szCs w:val="22"/>
        </w:rPr>
        <w:tab/>
      </w:r>
      <w:r w:rsidRPr="00E465A1">
        <w:rPr>
          <w:color w:val="262626" w:themeColor="text1" w:themeTint="D9"/>
          <w:sz w:val="22"/>
          <w:szCs w:val="22"/>
        </w:rPr>
        <w:t>Other Assets</w:t>
      </w:r>
    </w:p>
    <w:p w:rsidR="003B148C" w:rsidRPr="00E465A1" w:rsidRDefault="003B148C"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D20BFA" w:rsidRPr="00E465A1">
        <w:rPr>
          <w:b/>
          <w:color w:val="262626" w:themeColor="text1" w:themeTint="D9"/>
          <w:sz w:val="22"/>
          <w:szCs w:val="22"/>
        </w:rPr>
        <w:t>10</w:t>
      </w:r>
      <w:r w:rsidR="00DA3914" w:rsidRPr="00E465A1">
        <w:rPr>
          <w:color w:val="262626" w:themeColor="text1" w:themeTint="D9"/>
          <w:sz w:val="22"/>
          <w:szCs w:val="22"/>
        </w:rPr>
        <w:tab/>
        <w:t>Property, plant and equipment</w:t>
      </w:r>
      <w:r w:rsidRPr="00E465A1">
        <w:rPr>
          <w:color w:val="262626" w:themeColor="text1" w:themeTint="D9"/>
          <w:sz w:val="22"/>
          <w:szCs w:val="22"/>
        </w:rPr>
        <w:t xml:space="preserve"> and Intangible Assets</w:t>
      </w:r>
    </w:p>
    <w:p w:rsidR="000171D4"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31431C" w:rsidRPr="00E465A1">
        <w:rPr>
          <w:b/>
          <w:color w:val="262626" w:themeColor="text1" w:themeTint="D9"/>
          <w:sz w:val="22"/>
          <w:szCs w:val="22"/>
        </w:rPr>
        <w:t>1</w:t>
      </w:r>
      <w:r w:rsidR="00D20BFA" w:rsidRPr="00E465A1">
        <w:rPr>
          <w:b/>
          <w:color w:val="262626" w:themeColor="text1" w:themeTint="D9"/>
          <w:sz w:val="22"/>
          <w:szCs w:val="22"/>
        </w:rPr>
        <w:t>1</w:t>
      </w:r>
      <w:r w:rsidR="00BB3B3B" w:rsidRPr="00E465A1">
        <w:rPr>
          <w:color w:val="262626" w:themeColor="text1" w:themeTint="D9"/>
          <w:sz w:val="22"/>
          <w:szCs w:val="22"/>
        </w:rPr>
        <w:tab/>
      </w:r>
      <w:r w:rsidRPr="00E465A1">
        <w:rPr>
          <w:color w:val="262626" w:themeColor="text1" w:themeTint="D9"/>
          <w:sz w:val="22"/>
          <w:szCs w:val="22"/>
        </w:rPr>
        <w:t>Payables</w:t>
      </w:r>
    </w:p>
    <w:p w:rsidR="000171D4"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31431C" w:rsidRPr="00E465A1">
        <w:rPr>
          <w:b/>
          <w:color w:val="262626" w:themeColor="text1" w:themeTint="D9"/>
          <w:sz w:val="22"/>
          <w:szCs w:val="22"/>
        </w:rPr>
        <w:t>1</w:t>
      </w:r>
      <w:r w:rsidR="00D20BFA" w:rsidRPr="00E465A1">
        <w:rPr>
          <w:b/>
          <w:color w:val="262626" w:themeColor="text1" w:themeTint="D9"/>
          <w:sz w:val="22"/>
          <w:szCs w:val="22"/>
        </w:rPr>
        <w:t>2</w:t>
      </w:r>
      <w:r w:rsidR="00BB3B3B" w:rsidRPr="00E465A1">
        <w:rPr>
          <w:color w:val="262626" w:themeColor="text1" w:themeTint="D9"/>
          <w:sz w:val="22"/>
          <w:szCs w:val="22"/>
        </w:rPr>
        <w:tab/>
      </w:r>
      <w:r w:rsidRPr="00E465A1">
        <w:rPr>
          <w:color w:val="262626" w:themeColor="text1" w:themeTint="D9"/>
          <w:sz w:val="22"/>
          <w:szCs w:val="22"/>
        </w:rPr>
        <w:t>Lease Liabilities</w:t>
      </w:r>
    </w:p>
    <w:p w:rsidR="001B52F1" w:rsidRPr="00E465A1" w:rsidRDefault="001B52F1" w:rsidP="00BB3B3B">
      <w:pPr>
        <w:pStyle w:val="NormallistofNotes"/>
        <w:rPr>
          <w:color w:val="262626" w:themeColor="text1" w:themeTint="D9"/>
          <w:sz w:val="22"/>
          <w:szCs w:val="22"/>
        </w:rPr>
      </w:pPr>
      <w:r w:rsidRPr="00E465A1">
        <w:rPr>
          <w:b/>
          <w:color w:val="262626" w:themeColor="text1" w:themeTint="D9"/>
          <w:sz w:val="22"/>
          <w:szCs w:val="22"/>
        </w:rPr>
        <w:t>Note 1</w:t>
      </w:r>
      <w:r w:rsidR="00D20BFA" w:rsidRPr="00E465A1">
        <w:rPr>
          <w:b/>
          <w:color w:val="262626" w:themeColor="text1" w:themeTint="D9"/>
          <w:sz w:val="22"/>
          <w:szCs w:val="22"/>
        </w:rPr>
        <w:t>3</w:t>
      </w:r>
      <w:r w:rsidRPr="00E465A1">
        <w:rPr>
          <w:b/>
          <w:color w:val="262626" w:themeColor="text1" w:themeTint="D9"/>
          <w:sz w:val="22"/>
          <w:szCs w:val="22"/>
        </w:rPr>
        <w:tab/>
      </w:r>
      <w:r w:rsidRPr="00E465A1">
        <w:rPr>
          <w:color w:val="262626" w:themeColor="text1" w:themeTint="D9"/>
          <w:sz w:val="22"/>
          <w:szCs w:val="22"/>
        </w:rPr>
        <w:t xml:space="preserve">Unearned </w:t>
      </w:r>
      <w:r w:rsidR="00E30337" w:rsidRPr="00E465A1">
        <w:rPr>
          <w:color w:val="262626" w:themeColor="text1" w:themeTint="D9"/>
          <w:sz w:val="22"/>
          <w:szCs w:val="22"/>
        </w:rPr>
        <w:t>R</w:t>
      </w:r>
      <w:r w:rsidRPr="00E465A1">
        <w:rPr>
          <w:color w:val="262626" w:themeColor="text1" w:themeTint="D9"/>
          <w:sz w:val="22"/>
          <w:szCs w:val="22"/>
        </w:rPr>
        <w:t>evenue</w:t>
      </w:r>
    </w:p>
    <w:p w:rsidR="000171D4"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31431C" w:rsidRPr="00E465A1">
        <w:rPr>
          <w:b/>
          <w:color w:val="262626" w:themeColor="text1" w:themeTint="D9"/>
          <w:sz w:val="22"/>
          <w:szCs w:val="22"/>
        </w:rPr>
        <w:t>1</w:t>
      </w:r>
      <w:r w:rsidR="00D20BFA" w:rsidRPr="00E465A1">
        <w:rPr>
          <w:b/>
          <w:color w:val="262626" w:themeColor="text1" w:themeTint="D9"/>
          <w:sz w:val="22"/>
          <w:szCs w:val="22"/>
        </w:rPr>
        <w:t>4</w:t>
      </w:r>
      <w:r w:rsidR="00BB3B3B" w:rsidRPr="00E465A1">
        <w:rPr>
          <w:color w:val="262626" w:themeColor="text1" w:themeTint="D9"/>
          <w:sz w:val="22"/>
          <w:szCs w:val="22"/>
        </w:rPr>
        <w:tab/>
      </w:r>
      <w:r w:rsidRPr="00E465A1">
        <w:rPr>
          <w:color w:val="262626" w:themeColor="text1" w:themeTint="D9"/>
          <w:sz w:val="22"/>
          <w:szCs w:val="22"/>
        </w:rPr>
        <w:t>Accrued Employee Benefits</w:t>
      </w:r>
    </w:p>
    <w:p w:rsidR="00F8238D" w:rsidRPr="00E465A1" w:rsidRDefault="00F8238D" w:rsidP="00BB3B3B">
      <w:pPr>
        <w:pStyle w:val="NormallistofNotes"/>
        <w:rPr>
          <w:color w:val="262626" w:themeColor="text1" w:themeTint="D9"/>
          <w:sz w:val="22"/>
          <w:szCs w:val="22"/>
        </w:rPr>
      </w:pPr>
      <w:r w:rsidRPr="00E465A1">
        <w:rPr>
          <w:b/>
          <w:color w:val="262626" w:themeColor="text1" w:themeTint="D9"/>
          <w:sz w:val="22"/>
          <w:szCs w:val="22"/>
        </w:rPr>
        <w:t>Note 1</w:t>
      </w:r>
      <w:r w:rsidR="00D20BFA" w:rsidRPr="00E465A1">
        <w:rPr>
          <w:b/>
          <w:color w:val="262626" w:themeColor="text1" w:themeTint="D9"/>
          <w:sz w:val="22"/>
          <w:szCs w:val="22"/>
        </w:rPr>
        <w:t>5</w:t>
      </w:r>
      <w:r w:rsidR="00BB3B3B" w:rsidRPr="00E465A1">
        <w:rPr>
          <w:color w:val="262626" w:themeColor="text1" w:themeTint="D9"/>
          <w:sz w:val="22"/>
          <w:szCs w:val="22"/>
        </w:rPr>
        <w:tab/>
      </w:r>
      <w:r w:rsidRPr="00E465A1">
        <w:rPr>
          <w:color w:val="262626" w:themeColor="text1" w:themeTint="D9"/>
          <w:sz w:val="22"/>
          <w:szCs w:val="22"/>
        </w:rPr>
        <w:t>Provisions</w:t>
      </w:r>
    </w:p>
    <w:p w:rsidR="009F66B8"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7F6DF2" w:rsidRPr="00E465A1">
        <w:rPr>
          <w:b/>
          <w:color w:val="262626" w:themeColor="text1" w:themeTint="D9"/>
          <w:sz w:val="22"/>
          <w:szCs w:val="22"/>
        </w:rPr>
        <w:t>1</w:t>
      </w:r>
      <w:r w:rsidR="00D20BFA" w:rsidRPr="00E465A1">
        <w:rPr>
          <w:b/>
          <w:color w:val="262626" w:themeColor="text1" w:themeTint="D9"/>
          <w:sz w:val="22"/>
          <w:szCs w:val="22"/>
        </w:rPr>
        <w:t>6</w:t>
      </w:r>
      <w:r w:rsidR="00BB3B3B" w:rsidRPr="00E465A1">
        <w:rPr>
          <w:color w:val="262626" w:themeColor="text1" w:themeTint="D9"/>
          <w:sz w:val="22"/>
          <w:szCs w:val="22"/>
        </w:rPr>
        <w:tab/>
      </w:r>
      <w:r w:rsidRPr="00E465A1">
        <w:rPr>
          <w:color w:val="262626" w:themeColor="text1" w:themeTint="D9"/>
          <w:sz w:val="22"/>
          <w:szCs w:val="22"/>
        </w:rPr>
        <w:t xml:space="preserve">Reconciliation of Operating </w:t>
      </w:r>
      <w:r w:rsidR="0051339E" w:rsidRPr="00E465A1">
        <w:rPr>
          <w:color w:val="262626" w:themeColor="text1" w:themeTint="D9"/>
          <w:sz w:val="22"/>
          <w:szCs w:val="22"/>
        </w:rPr>
        <w:t>Result</w:t>
      </w:r>
      <w:r w:rsidR="006B621C" w:rsidRPr="00E465A1">
        <w:rPr>
          <w:color w:val="262626" w:themeColor="text1" w:themeTint="D9"/>
          <w:sz w:val="22"/>
          <w:szCs w:val="22"/>
        </w:rPr>
        <w:t xml:space="preserve"> to Net Cash Provided by</w:t>
      </w:r>
      <w:r w:rsidRPr="00E465A1">
        <w:rPr>
          <w:color w:val="262626" w:themeColor="text1" w:themeTint="D9"/>
          <w:sz w:val="22"/>
          <w:szCs w:val="22"/>
        </w:rPr>
        <w:t xml:space="preserve"> Operating Activities</w:t>
      </w:r>
    </w:p>
    <w:p w:rsidR="000171D4"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7F6DF2" w:rsidRPr="00E465A1">
        <w:rPr>
          <w:b/>
          <w:color w:val="262626" w:themeColor="text1" w:themeTint="D9"/>
          <w:sz w:val="22"/>
          <w:szCs w:val="22"/>
        </w:rPr>
        <w:t>1</w:t>
      </w:r>
      <w:r w:rsidR="00D20BFA" w:rsidRPr="00E465A1">
        <w:rPr>
          <w:b/>
          <w:color w:val="262626" w:themeColor="text1" w:themeTint="D9"/>
          <w:sz w:val="22"/>
          <w:szCs w:val="22"/>
        </w:rPr>
        <w:t>7</w:t>
      </w:r>
      <w:r w:rsidR="00BB3B3B" w:rsidRPr="00E465A1">
        <w:rPr>
          <w:color w:val="262626" w:themeColor="text1" w:themeTint="D9"/>
          <w:sz w:val="22"/>
          <w:szCs w:val="22"/>
        </w:rPr>
        <w:tab/>
      </w:r>
      <w:r w:rsidRPr="00E465A1">
        <w:rPr>
          <w:color w:val="262626" w:themeColor="text1" w:themeTint="D9"/>
          <w:sz w:val="22"/>
          <w:szCs w:val="22"/>
        </w:rPr>
        <w:t>Commitments for Expenditure</w:t>
      </w:r>
    </w:p>
    <w:p w:rsidR="000171D4"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6648EC" w:rsidRPr="00E465A1">
        <w:rPr>
          <w:b/>
          <w:color w:val="262626" w:themeColor="text1" w:themeTint="D9"/>
          <w:sz w:val="22"/>
          <w:szCs w:val="22"/>
        </w:rPr>
        <w:t>1</w:t>
      </w:r>
      <w:r w:rsidR="00D20BFA" w:rsidRPr="00E465A1">
        <w:rPr>
          <w:b/>
          <w:color w:val="262626" w:themeColor="text1" w:themeTint="D9"/>
          <w:sz w:val="22"/>
          <w:szCs w:val="22"/>
        </w:rPr>
        <w:t>8</w:t>
      </w:r>
      <w:r w:rsidR="00BB3B3B" w:rsidRPr="00E465A1">
        <w:rPr>
          <w:color w:val="262626" w:themeColor="text1" w:themeTint="D9"/>
          <w:sz w:val="22"/>
          <w:szCs w:val="22"/>
        </w:rPr>
        <w:tab/>
      </w:r>
      <w:r w:rsidRPr="00E465A1">
        <w:rPr>
          <w:color w:val="262626" w:themeColor="text1" w:themeTint="D9"/>
          <w:sz w:val="22"/>
          <w:szCs w:val="22"/>
        </w:rPr>
        <w:t>Contingencies</w:t>
      </w:r>
    </w:p>
    <w:p w:rsidR="000171D4"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3B148C" w:rsidRPr="00E465A1">
        <w:rPr>
          <w:b/>
          <w:color w:val="262626" w:themeColor="text1" w:themeTint="D9"/>
          <w:sz w:val="22"/>
          <w:szCs w:val="22"/>
        </w:rPr>
        <w:t>1</w:t>
      </w:r>
      <w:r w:rsidR="00D20BFA" w:rsidRPr="00E465A1">
        <w:rPr>
          <w:b/>
          <w:color w:val="262626" w:themeColor="text1" w:themeTint="D9"/>
          <w:sz w:val="22"/>
          <w:szCs w:val="22"/>
        </w:rPr>
        <w:t>9</w:t>
      </w:r>
      <w:r w:rsidR="00BB3B3B" w:rsidRPr="00E465A1">
        <w:rPr>
          <w:color w:val="262626" w:themeColor="text1" w:themeTint="D9"/>
          <w:sz w:val="22"/>
          <w:szCs w:val="22"/>
        </w:rPr>
        <w:tab/>
      </w:r>
      <w:r w:rsidRPr="00E465A1">
        <w:rPr>
          <w:color w:val="262626" w:themeColor="text1" w:themeTint="D9"/>
          <w:sz w:val="22"/>
          <w:szCs w:val="22"/>
        </w:rPr>
        <w:t>Financial Instruments</w:t>
      </w:r>
    </w:p>
    <w:p w:rsidR="00F47417" w:rsidRPr="00E465A1" w:rsidRDefault="00276E72" w:rsidP="00BB3B3B">
      <w:pPr>
        <w:pStyle w:val="NormallistofNotes"/>
        <w:rPr>
          <w:color w:val="262626" w:themeColor="text1" w:themeTint="D9"/>
          <w:sz w:val="22"/>
          <w:szCs w:val="22"/>
        </w:rPr>
      </w:pPr>
      <w:r w:rsidRPr="00E465A1">
        <w:rPr>
          <w:b/>
          <w:color w:val="262626" w:themeColor="text1" w:themeTint="D9"/>
          <w:sz w:val="22"/>
          <w:szCs w:val="22"/>
        </w:rPr>
        <w:t xml:space="preserve">Note </w:t>
      </w:r>
      <w:r w:rsidR="00D20BFA" w:rsidRPr="00E465A1">
        <w:rPr>
          <w:b/>
          <w:color w:val="262626" w:themeColor="text1" w:themeTint="D9"/>
          <w:sz w:val="22"/>
          <w:szCs w:val="22"/>
        </w:rPr>
        <w:t>20</w:t>
      </w:r>
      <w:r w:rsidR="00BB3B3B" w:rsidRPr="00E465A1">
        <w:rPr>
          <w:color w:val="262626" w:themeColor="text1" w:themeTint="D9"/>
          <w:sz w:val="22"/>
          <w:szCs w:val="22"/>
        </w:rPr>
        <w:tab/>
      </w:r>
      <w:r w:rsidRPr="00E465A1">
        <w:rPr>
          <w:color w:val="262626" w:themeColor="text1" w:themeTint="D9"/>
          <w:sz w:val="22"/>
          <w:szCs w:val="22"/>
        </w:rPr>
        <w:t>Trust Transactions and Balances</w:t>
      </w:r>
    </w:p>
    <w:p w:rsidR="006F35B3" w:rsidRPr="00E465A1" w:rsidRDefault="006F35B3" w:rsidP="00562FA0">
      <w:pPr>
        <w:pStyle w:val="NormallistofNotes"/>
        <w:rPr>
          <w:color w:val="262626" w:themeColor="text1" w:themeTint="D9"/>
          <w:sz w:val="22"/>
          <w:szCs w:val="22"/>
        </w:rPr>
      </w:pPr>
      <w:r w:rsidRPr="00E465A1">
        <w:rPr>
          <w:b/>
          <w:color w:val="262626" w:themeColor="text1" w:themeTint="D9"/>
          <w:sz w:val="22"/>
          <w:szCs w:val="22"/>
        </w:rPr>
        <w:t xml:space="preserve">Note </w:t>
      </w:r>
      <w:r w:rsidR="001B52F1" w:rsidRPr="00E465A1">
        <w:rPr>
          <w:b/>
          <w:color w:val="262626" w:themeColor="text1" w:themeTint="D9"/>
          <w:sz w:val="22"/>
          <w:szCs w:val="22"/>
        </w:rPr>
        <w:t>2</w:t>
      </w:r>
      <w:r w:rsidR="00D20BFA" w:rsidRPr="00E465A1">
        <w:rPr>
          <w:b/>
          <w:color w:val="262626" w:themeColor="text1" w:themeTint="D9"/>
          <w:sz w:val="22"/>
          <w:szCs w:val="22"/>
        </w:rPr>
        <w:t>1</w:t>
      </w:r>
      <w:r w:rsidRPr="00E465A1">
        <w:rPr>
          <w:color w:val="262626" w:themeColor="text1" w:themeTint="D9"/>
          <w:sz w:val="22"/>
          <w:szCs w:val="22"/>
        </w:rPr>
        <w:tab/>
      </w:r>
      <w:r w:rsidR="00CD0BA8" w:rsidRPr="00E465A1">
        <w:rPr>
          <w:color w:val="262626" w:themeColor="text1" w:themeTint="D9"/>
          <w:sz w:val="22"/>
          <w:szCs w:val="22"/>
        </w:rPr>
        <w:t>E</w:t>
      </w:r>
      <w:r w:rsidR="00980ED6" w:rsidRPr="00E465A1">
        <w:rPr>
          <w:color w:val="262626" w:themeColor="text1" w:themeTint="D9"/>
          <w:sz w:val="22"/>
          <w:szCs w:val="22"/>
        </w:rPr>
        <w:t>xplanation of Major V</w:t>
      </w:r>
      <w:r w:rsidR="00CD0BA8" w:rsidRPr="00E465A1">
        <w:rPr>
          <w:color w:val="262626" w:themeColor="text1" w:themeTint="D9"/>
          <w:sz w:val="22"/>
          <w:szCs w:val="22"/>
        </w:rPr>
        <w:t>ariances</w:t>
      </w:r>
      <w:r w:rsidR="00183189" w:rsidRPr="00E465A1">
        <w:rPr>
          <w:color w:val="262626" w:themeColor="text1" w:themeTint="D9"/>
          <w:sz w:val="22"/>
          <w:szCs w:val="22"/>
        </w:rPr>
        <w:t xml:space="preserve"> </w:t>
      </w:r>
    </w:p>
    <w:p w:rsidR="00632571" w:rsidRPr="00E465A1" w:rsidRDefault="00403EA7" w:rsidP="005368EE">
      <w:pPr>
        <w:pStyle w:val="Normalhanginglist105pt"/>
        <w:ind w:left="794" w:firstLine="226"/>
        <w:rPr>
          <w:color w:val="262626" w:themeColor="text1" w:themeTint="D9"/>
          <w:sz w:val="20"/>
          <w:szCs w:val="20"/>
        </w:rPr>
        <w:sectPr w:rsidR="00632571" w:rsidRPr="00E465A1" w:rsidSect="0093233E">
          <w:headerReference w:type="even" r:id="rId25"/>
          <w:headerReference w:type="default" r:id="rId26"/>
          <w:headerReference w:type="first" r:id="rId27"/>
          <w:footerReference w:type="first" r:id="rId28"/>
          <w:pgSz w:w="11906" w:h="16838" w:code="9"/>
          <w:pgMar w:top="2268" w:right="851" w:bottom="1418" w:left="851" w:header="567" w:footer="567" w:gutter="0"/>
          <w:cols w:space="708"/>
          <w:titlePg/>
          <w:docGrid w:linePitch="360"/>
        </w:sectPr>
      </w:pPr>
      <w:r w:rsidRPr="00E465A1">
        <w:rPr>
          <w:color w:val="262626" w:themeColor="text1" w:themeTint="D9"/>
          <w:sz w:val="20"/>
          <w:szCs w:val="20"/>
        </w:rPr>
        <w:t xml:space="preserve">  </w:t>
      </w:r>
    </w:p>
    <w:p w:rsidR="007E7CB5" w:rsidRPr="00E465A1" w:rsidRDefault="007E7CB5" w:rsidP="007E7CB5">
      <w:pPr>
        <w:spacing w:after="120" w:line="200" w:lineRule="exact"/>
        <w:outlineLvl w:val="0"/>
        <w:rPr>
          <w:rFonts w:cs="Arial"/>
          <w:b/>
          <w:color w:val="262626" w:themeColor="text1" w:themeTint="D9"/>
          <w:sz w:val="24"/>
          <w:szCs w:val="24"/>
        </w:rPr>
      </w:pPr>
      <w:r w:rsidRPr="00E465A1">
        <w:rPr>
          <w:rFonts w:cs="Arial"/>
          <w:b/>
          <w:color w:val="262626" w:themeColor="text1" w:themeTint="D9"/>
          <w:sz w:val="24"/>
          <w:szCs w:val="24"/>
        </w:rPr>
        <w:lastRenderedPageBreak/>
        <w:t xml:space="preserve">Objectives </w:t>
      </w:r>
      <w:r w:rsidR="002C7571" w:rsidRPr="00E465A1">
        <w:rPr>
          <w:rFonts w:cs="Arial"/>
          <w:b/>
          <w:color w:val="262626" w:themeColor="text1" w:themeTint="D9"/>
          <w:sz w:val="24"/>
          <w:szCs w:val="24"/>
        </w:rPr>
        <w:t xml:space="preserve">of the Crime and Corruption </w:t>
      </w:r>
      <w:r w:rsidR="00E85E6C" w:rsidRPr="00E465A1">
        <w:rPr>
          <w:rFonts w:cs="Arial"/>
          <w:b/>
          <w:color w:val="262626" w:themeColor="text1" w:themeTint="D9"/>
          <w:sz w:val="24"/>
          <w:szCs w:val="24"/>
        </w:rPr>
        <w:t>Commission</w:t>
      </w:r>
      <w:r w:rsidRPr="00E465A1">
        <w:rPr>
          <w:rFonts w:cs="Arial"/>
          <w:b/>
          <w:color w:val="262626" w:themeColor="text1" w:themeTint="D9"/>
          <w:sz w:val="24"/>
          <w:szCs w:val="24"/>
        </w:rPr>
        <w:t xml:space="preserve"> </w:t>
      </w:r>
      <w:r w:rsidR="00A221C2" w:rsidRPr="00E465A1">
        <w:rPr>
          <w:rFonts w:cs="Arial"/>
          <w:b/>
          <w:color w:val="262626" w:themeColor="text1" w:themeTint="D9"/>
          <w:sz w:val="24"/>
          <w:szCs w:val="24"/>
        </w:rPr>
        <w:t>(CCC)</w:t>
      </w:r>
    </w:p>
    <w:bookmarkStart w:id="2" w:name="OLE_LINK25"/>
    <w:bookmarkStart w:id="3" w:name="OLE_LINK26"/>
    <w:p w:rsidR="007E7CB5" w:rsidRPr="00E465A1" w:rsidRDefault="004175ED" w:rsidP="007E7CB5">
      <w:pPr>
        <w:spacing w:line="200" w:lineRule="exact"/>
        <w:rPr>
          <w:rFonts w:ascii="Arial" w:hAnsi="Arial" w:cs="Arial"/>
          <w:color w:val="262626" w:themeColor="text1" w:themeTint="D9"/>
          <w:sz w:val="18"/>
          <w:szCs w:val="18"/>
        </w:rPr>
      </w:pPr>
      <w:r w:rsidRPr="00E465A1">
        <w:rPr>
          <w:rFonts w:ascii="Arial" w:hAnsi="Arial" w:cs="Arial"/>
          <w:noProof/>
          <w:color w:val="262626" w:themeColor="text1" w:themeTint="D9"/>
          <w:sz w:val="18"/>
          <w:szCs w:val="18"/>
          <w:lang w:eastAsia="en-AU"/>
        </w:rPr>
        <mc:AlternateContent>
          <mc:Choice Requires="wps">
            <w:drawing>
              <wp:anchor distT="0" distB="0" distL="114300" distR="114300" simplePos="0" relativeHeight="251660288" behindDoc="0" locked="0" layoutInCell="1" allowOverlap="1" wp14:anchorId="7B0228AF" wp14:editId="1CDFBCE9">
                <wp:simplePos x="0" y="0"/>
                <wp:positionH relativeFrom="column">
                  <wp:posOffset>6350</wp:posOffset>
                </wp:positionH>
                <wp:positionV relativeFrom="paragraph">
                  <wp:posOffset>78740</wp:posOffset>
                </wp:positionV>
                <wp:extent cx="6459855" cy="635"/>
                <wp:effectExtent l="13335" t="7620" r="1333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9855" cy="635"/>
                        </a:xfrm>
                        <a:prstGeom prst="bentConnector3">
                          <a:avLst>
                            <a:gd name="adj1" fmla="val 49995"/>
                          </a:avLst>
                        </a:prstGeom>
                        <a:noFill/>
                        <a:ln w="12700">
                          <a:solidFill>
                            <a:srgbClr val="B2B2B2"/>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8F7D6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5pt;margin-top:6.2pt;width:508.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" adj="10799" strokecolor="#b2b2b2" strokeweight="1pt">
                <v:shadow color="#7f7f7f" opacity=".5" offset="1pt"/>
              </v:shape>
            </w:pict>
          </mc:Fallback>
        </mc:AlternateContent>
      </w:r>
    </w:p>
    <w:bookmarkEnd w:id="2"/>
    <w:bookmarkEnd w:id="3"/>
    <w:p w:rsidR="00D95782" w:rsidRPr="00E465A1" w:rsidRDefault="00D95782" w:rsidP="00D95782">
      <w:pPr>
        <w:rPr>
          <w:color w:val="262626" w:themeColor="text1" w:themeTint="D9"/>
        </w:rPr>
      </w:pPr>
      <w:r w:rsidRPr="00E465A1">
        <w:rPr>
          <w:color w:val="262626" w:themeColor="text1" w:themeTint="D9"/>
        </w:rPr>
        <w:t xml:space="preserve">The </w:t>
      </w:r>
      <w:r w:rsidR="00A221C2" w:rsidRPr="00E465A1">
        <w:rPr>
          <w:color w:val="262626" w:themeColor="text1" w:themeTint="D9"/>
        </w:rPr>
        <w:t>C</w:t>
      </w:r>
      <w:r w:rsidR="00CE7B1E" w:rsidRPr="00E465A1">
        <w:rPr>
          <w:color w:val="262626" w:themeColor="text1" w:themeTint="D9"/>
        </w:rPr>
        <w:t>CC</w:t>
      </w:r>
      <w:r w:rsidRPr="00E465A1">
        <w:rPr>
          <w:color w:val="262626" w:themeColor="text1" w:themeTint="D9"/>
        </w:rPr>
        <w:t xml:space="preserve"> </w:t>
      </w:r>
      <w:r w:rsidR="009F54C9" w:rsidRPr="00E465A1">
        <w:rPr>
          <w:color w:val="262626" w:themeColor="text1" w:themeTint="D9"/>
        </w:rPr>
        <w:t xml:space="preserve">is a not-for-profit entity that </w:t>
      </w:r>
      <w:r w:rsidR="00DE03FF" w:rsidRPr="00E465A1">
        <w:rPr>
          <w:color w:val="262626" w:themeColor="text1" w:themeTint="D9"/>
        </w:rPr>
        <w:t>focu</w:t>
      </w:r>
      <w:r w:rsidR="00CE7B1E" w:rsidRPr="00E465A1">
        <w:rPr>
          <w:color w:val="262626" w:themeColor="text1" w:themeTint="D9"/>
        </w:rPr>
        <w:t xml:space="preserve">ses on those matters that are of highest threat to the Queensland community </w:t>
      </w:r>
      <w:r w:rsidR="00DE03FF" w:rsidRPr="00E465A1">
        <w:rPr>
          <w:color w:val="262626" w:themeColor="text1" w:themeTint="D9"/>
        </w:rPr>
        <w:br/>
      </w:r>
      <w:r w:rsidR="00CE7B1E" w:rsidRPr="00E465A1">
        <w:rPr>
          <w:color w:val="262626" w:themeColor="text1" w:themeTint="D9"/>
        </w:rPr>
        <w:t>with the aim of helping ma</w:t>
      </w:r>
      <w:r w:rsidR="00DE03FF" w:rsidRPr="00E465A1">
        <w:rPr>
          <w:color w:val="262626" w:themeColor="text1" w:themeTint="D9"/>
        </w:rPr>
        <w:t>ke our communities safer and ensuring</w:t>
      </w:r>
      <w:r w:rsidR="00CE7B1E" w:rsidRPr="00E465A1">
        <w:rPr>
          <w:color w:val="262626" w:themeColor="text1" w:themeTint="D9"/>
        </w:rPr>
        <w:t xml:space="preserve"> </w:t>
      </w:r>
      <w:r w:rsidR="00B26632" w:rsidRPr="00E465A1">
        <w:rPr>
          <w:color w:val="262626" w:themeColor="text1" w:themeTint="D9"/>
        </w:rPr>
        <w:t xml:space="preserve">that </w:t>
      </w:r>
      <w:r w:rsidR="00CE7B1E" w:rsidRPr="00E465A1">
        <w:rPr>
          <w:color w:val="262626" w:themeColor="text1" w:themeTint="D9"/>
        </w:rPr>
        <w:t xml:space="preserve">they are supported by fair and ethical public institutions. </w:t>
      </w:r>
      <w:r w:rsidRPr="00E465A1">
        <w:rPr>
          <w:color w:val="262626" w:themeColor="text1" w:themeTint="D9"/>
        </w:rPr>
        <w:t xml:space="preserve"> The C</w:t>
      </w:r>
      <w:r w:rsidR="00CE7B1E" w:rsidRPr="00E465A1">
        <w:rPr>
          <w:color w:val="262626" w:themeColor="text1" w:themeTint="D9"/>
        </w:rPr>
        <w:t>CC</w:t>
      </w:r>
      <w:r w:rsidRPr="00E465A1">
        <w:rPr>
          <w:color w:val="262626" w:themeColor="text1" w:themeTint="D9"/>
        </w:rPr>
        <w:t xml:space="preserve">’s </w:t>
      </w:r>
      <w:r w:rsidR="00004DEF" w:rsidRPr="00E465A1">
        <w:rPr>
          <w:color w:val="262626" w:themeColor="text1" w:themeTint="D9"/>
        </w:rPr>
        <w:t xml:space="preserve">key </w:t>
      </w:r>
      <w:r w:rsidRPr="00E465A1">
        <w:rPr>
          <w:color w:val="262626" w:themeColor="text1" w:themeTint="D9"/>
        </w:rPr>
        <w:t>objective</w:t>
      </w:r>
      <w:r w:rsidR="00DC4760" w:rsidRPr="00E465A1">
        <w:rPr>
          <w:color w:val="262626" w:themeColor="text1" w:themeTint="D9"/>
        </w:rPr>
        <w:t>s are</w:t>
      </w:r>
      <w:r w:rsidRPr="00E465A1">
        <w:rPr>
          <w:color w:val="262626" w:themeColor="text1" w:themeTint="D9"/>
        </w:rPr>
        <w:t xml:space="preserve"> to</w:t>
      </w:r>
      <w:r w:rsidR="00DC4760" w:rsidRPr="00E465A1">
        <w:rPr>
          <w:color w:val="262626" w:themeColor="text1" w:themeTint="D9"/>
        </w:rPr>
        <w:t xml:space="preserve"> combat major crime and reduce corruption in </w:t>
      </w:r>
      <w:r w:rsidR="00004DEF" w:rsidRPr="00E465A1">
        <w:rPr>
          <w:color w:val="262626" w:themeColor="text1" w:themeTint="D9"/>
        </w:rPr>
        <w:t>Queensland.</w:t>
      </w:r>
    </w:p>
    <w:p w:rsidR="004215F0" w:rsidRPr="00E465A1" w:rsidRDefault="004215F0" w:rsidP="00D95782">
      <w:pPr>
        <w:rPr>
          <w:color w:val="262626" w:themeColor="text1" w:themeTint="D9"/>
        </w:rPr>
      </w:pPr>
    </w:p>
    <w:p w:rsidR="003300B1" w:rsidRPr="00E465A1" w:rsidRDefault="00276E72" w:rsidP="00015522">
      <w:pPr>
        <w:pStyle w:val="Normal115pttext"/>
        <w:rPr>
          <w:color w:val="262626" w:themeColor="text1" w:themeTint="D9"/>
          <w:szCs w:val="23"/>
        </w:rPr>
      </w:pPr>
      <w:r w:rsidRPr="00E465A1">
        <w:rPr>
          <w:color w:val="262626" w:themeColor="text1" w:themeTint="D9"/>
          <w:szCs w:val="23"/>
        </w:rPr>
        <w:t>Note 1: Summary of Significant Accounting Policies</w:t>
      </w:r>
    </w:p>
    <w:p w:rsidR="009F54C9" w:rsidRPr="00E465A1" w:rsidRDefault="009F54C9" w:rsidP="00DB1D73">
      <w:pPr>
        <w:pStyle w:val="Normal105pttext"/>
        <w:rPr>
          <w:b/>
          <w:color w:val="262626" w:themeColor="text1" w:themeTint="D9"/>
          <w:sz w:val="22"/>
          <w:szCs w:val="22"/>
        </w:rPr>
      </w:pPr>
      <w:r w:rsidRPr="00E465A1">
        <w:rPr>
          <w:b/>
          <w:color w:val="262626" w:themeColor="text1" w:themeTint="D9"/>
          <w:sz w:val="22"/>
          <w:szCs w:val="22"/>
        </w:rPr>
        <w:t xml:space="preserve">Significant accounting policies are in the notes to which they relate, </w:t>
      </w:r>
      <w:r w:rsidR="00755ED0" w:rsidRPr="00E465A1">
        <w:rPr>
          <w:b/>
          <w:color w:val="262626" w:themeColor="text1" w:themeTint="D9"/>
          <w:sz w:val="22"/>
          <w:szCs w:val="22"/>
        </w:rPr>
        <w:t>except as</w:t>
      </w:r>
      <w:r w:rsidRPr="00E465A1">
        <w:rPr>
          <w:b/>
          <w:color w:val="262626" w:themeColor="text1" w:themeTint="D9"/>
          <w:sz w:val="22"/>
          <w:szCs w:val="22"/>
        </w:rPr>
        <w:t xml:space="preserve"> follows:</w:t>
      </w:r>
    </w:p>
    <w:p w:rsidR="00E90988" w:rsidRPr="00E465A1" w:rsidRDefault="00236195" w:rsidP="00B70F71">
      <w:pPr>
        <w:pStyle w:val="Normalhanginglist105pt"/>
        <w:rPr>
          <w:color w:val="262626" w:themeColor="text1" w:themeTint="D9"/>
          <w:sz w:val="22"/>
          <w:szCs w:val="22"/>
        </w:rPr>
      </w:pPr>
      <w:r w:rsidRPr="00E465A1">
        <w:rPr>
          <w:color w:val="262626" w:themeColor="text1" w:themeTint="D9"/>
          <w:sz w:val="22"/>
          <w:szCs w:val="22"/>
        </w:rPr>
        <w:t>(a)</w:t>
      </w:r>
      <w:r w:rsidRPr="00E465A1">
        <w:rPr>
          <w:color w:val="262626" w:themeColor="text1" w:themeTint="D9"/>
          <w:sz w:val="22"/>
          <w:szCs w:val="22"/>
        </w:rPr>
        <w:tab/>
      </w:r>
      <w:r w:rsidR="00276E72" w:rsidRPr="00E465A1">
        <w:rPr>
          <w:color w:val="262626" w:themeColor="text1" w:themeTint="D9"/>
          <w:sz w:val="22"/>
          <w:szCs w:val="22"/>
        </w:rPr>
        <w:t>Statement of Compliance</w:t>
      </w:r>
    </w:p>
    <w:p w:rsidR="00D20915" w:rsidRPr="00E465A1" w:rsidRDefault="009B1112" w:rsidP="00DB1D73">
      <w:pPr>
        <w:pStyle w:val="Normalindent1stpara"/>
        <w:rPr>
          <w:color w:val="262626" w:themeColor="text1" w:themeTint="D9"/>
          <w:szCs w:val="20"/>
        </w:rPr>
      </w:pPr>
      <w:r w:rsidRPr="00E465A1">
        <w:rPr>
          <w:color w:val="262626" w:themeColor="text1" w:themeTint="D9"/>
          <w:szCs w:val="20"/>
        </w:rPr>
        <w:t xml:space="preserve">These financial statements are general purpose financial statements </w:t>
      </w:r>
      <w:r w:rsidR="00D20915" w:rsidRPr="00E465A1">
        <w:rPr>
          <w:color w:val="262626" w:themeColor="text1" w:themeTint="D9"/>
          <w:szCs w:val="20"/>
        </w:rPr>
        <w:t>which have been prepared on an accrual basis</w:t>
      </w:r>
      <w:r w:rsidR="00142A1E" w:rsidRPr="00E465A1">
        <w:rPr>
          <w:color w:val="262626" w:themeColor="text1" w:themeTint="D9"/>
          <w:szCs w:val="20"/>
        </w:rPr>
        <w:t>, except for the Statement of Cash Flows which is prepared on a cash basis.  They are prepared</w:t>
      </w:r>
      <w:r w:rsidR="00D20915" w:rsidRPr="00E465A1">
        <w:rPr>
          <w:color w:val="262626" w:themeColor="text1" w:themeTint="D9"/>
          <w:szCs w:val="20"/>
        </w:rPr>
        <w:t xml:space="preserve"> in accordance with:</w:t>
      </w:r>
    </w:p>
    <w:p w:rsidR="00D20915" w:rsidRPr="00E465A1" w:rsidRDefault="008C087C" w:rsidP="00471908">
      <w:pPr>
        <w:pStyle w:val="NormalindentbulletsL1"/>
        <w:rPr>
          <w:color w:val="262626" w:themeColor="text1" w:themeTint="D9"/>
          <w:szCs w:val="20"/>
        </w:rPr>
      </w:pPr>
      <w:r w:rsidRPr="00E465A1">
        <w:rPr>
          <w:color w:val="262626" w:themeColor="text1" w:themeTint="D9"/>
          <w:szCs w:val="20"/>
        </w:rPr>
        <w:t>Section 43</w:t>
      </w:r>
      <w:r w:rsidR="00D20915" w:rsidRPr="00E465A1">
        <w:rPr>
          <w:color w:val="262626" w:themeColor="text1" w:themeTint="D9"/>
          <w:szCs w:val="20"/>
        </w:rPr>
        <w:t xml:space="preserve"> of the </w:t>
      </w:r>
      <w:r w:rsidR="00D20915" w:rsidRPr="00E465A1">
        <w:rPr>
          <w:i/>
          <w:color w:val="262626" w:themeColor="text1" w:themeTint="D9"/>
          <w:szCs w:val="20"/>
        </w:rPr>
        <w:t>Financial and Performance Management Standard 2009</w:t>
      </w:r>
    </w:p>
    <w:p w:rsidR="005D494E" w:rsidRPr="00E465A1" w:rsidRDefault="005D494E" w:rsidP="00471908">
      <w:pPr>
        <w:pStyle w:val="NormalindentbulletsL1"/>
        <w:rPr>
          <w:color w:val="262626" w:themeColor="text1" w:themeTint="D9"/>
          <w:szCs w:val="20"/>
        </w:rPr>
      </w:pPr>
      <w:r w:rsidRPr="00E465A1">
        <w:rPr>
          <w:color w:val="262626" w:themeColor="text1" w:themeTint="D9"/>
          <w:szCs w:val="20"/>
        </w:rPr>
        <w:t xml:space="preserve">Applicable </w:t>
      </w:r>
      <w:r w:rsidR="009B1112" w:rsidRPr="00E465A1">
        <w:rPr>
          <w:color w:val="262626" w:themeColor="text1" w:themeTint="D9"/>
          <w:szCs w:val="20"/>
        </w:rPr>
        <w:t>Australian Accounting Standards and Interpretations</w:t>
      </w:r>
    </w:p>
    <w:p w:rsidR="005D494E" w:rsidRPr="00E465A1" w:rsidRDefault="003E41B1" w:rsidP="00471908">
      <w:pPr>
        <w:pStyle w:val="NormalindentbulletsL1"/>
        <w:rPr>
          <w:color w:val="262626" w:themeColor="text1" w:themeTint="D9"/>
          <w:szCs w:val="20"/>
        </w:rPr>
      </w:pPr>
      <w:r w:rsidRPr="00E465A1">
        <w:rPr>
          <w:color w:val="262626" w:themeColor="text1" w:themeTint="D9"/>
          <w:szCs w:val="20"/>
        </w:rPr>
        <w:t xml:space="preserve">Queensland </w:t>
      </w:r>
      <w:r w:rsidR="009B1112" w:rsidRPr="00E465A1">
        <w:rPr>
          <w:color w:val="262626" w:themeColor="text1" w:themeTint="D9"/>
          <w:szCs w:val="20"/>
        </w:rPr>
        <w:t>Treasury</w:t>
      </w:r>
      <w:r w:rsidR="00DA0C44" w:rsidRPr="00E465A1">
        <w:rPr>
          <w:color w:val="262626" w:themeColor="text1" w:themeTint="D9"/>
          <w:szCs w:val="20"/>
        </w:rPr>
        <w:t xml:space="preserve">’s </w:t>
      </w:r>
      <w:r w:rsidR="009B1112" w:rsidRPr="00E465A1">
        <w:rPr>
          <w:color w:val="262626" w:themeColor="text1" w:themeTint="D9"/>
          <w:szCs w:val="20"/>
        </w:rPr>
        <w:t xml:space="preserve">Minimum Reporting Requirements for </w:t>
      </w:r>
      <w:r w:rsidR="001B5CA1" w:rsidRPr="00E465A1">
        <w:rPr>
          <w:color w:val="262626" w:themeColor="text1" w:themeTint="D9"/>
          <w:szCs w:val="20"/>
        </w:rPr>
        <w:t>reporting periods beginning on or after 1 July 201</w:t>
      </w:r>
      <w:r w:rsidR="00DC4760" w:rsidRPr="00E465A1">
        <w:rPr>
          <w:color w:val="262626" w:themeColor="text1" w:themeTint="D9"/>
          <w:szCs w:val="20"/>
        </w:rPr>
        <w:t>7</w:t>
      </w:r>
    </w:p>
    <w:p w:rsidR="00234C95" w:rsidRPr="00E465A1" w:rsidRDefault="009B1112" w:rsidP="005D494E">
      <w:pPr>
        <w:pStyle w:val="NormalIndent1"/>
        <w:rPr>
          <w:color w:val="262626" w:themeColor="text1" w:themeTint="D9"/>
          <w:szCs w:val="20"/>
        </w:rPr>
      </w:pPr>
      <w:r w:rsidRPr="00E465A1">
        <w:rPr>
          <w:color w:val="262626" w:themeColor="text1" w:themeTint="D9"/>
          <w:szCs w:val="20"/>
        </w:rPr>
        <w:t>Except where stated, the historical cost convention is used.</w:t>
      </w:r>
      <w:r w:rsidR="005D494E" w:rsidRPr="00E465A1">
        <w:rPr>
          <w:color w:val="262626" w:themeColor="text1" w:themeTint="D9"/>
          <w:szCs w:val="20"/>
        </w:rPr>
        <w:t xml:space="preserve"> This means that assets are recorded at their initial cost and liabilities are valued at the amount initially received in exchange for obligation.</w:t>
      </w:r>
    </w:p>
    <w:p w:rsidR="008A27FE" w:rsidRPr="00E465A1" w:rsidRDefault="006E633B" w:rsidP="005D494E">
      <w:pPr>
        <w:pStyle w:val="NormalIndent1"/>
        <w:rPr>
          <w:color w:val="262626" w:themeColor="text1" w:themeTint="D9"/>
          <w:szCs w:val="20"/>
        </w:rPr>
      </w:pPr>
      <w:r w:rsidRPr="00E465A1">
        <w:rPr>
          <w:color w:val="262626" w:themeColor="text1" w:themeTint="D9"/>
          <w:szCs w:val="20"/>
        </w:rPr>
        <w:t xml:space="preserve">New accounting standards early adopted and/or applied for the first time in these financial statements are outlined in </w:t>
      </w:r>
      <w:r w:rsidR="004205A3" w:rsidRPr="00E465A1">
        <w:rPr>
          <w:color w:val="262626" w:themeColor="text1" w:themeTint="D9"/>
          <w:szCs w:val="20"/>
        </w:rPr>
        <w:t xml:space="preserve">      </w:t>
      </w:r>
      <w:r w:rsidRPr="00E465A1">
        <w:rPr>
          <w:color w:val="262626" w:themeColor="text1" w:themeTint="D9"/>
          <w:szCs w:val="20"/>
        </w:rPr>
        <w:t xml:space="preserve">Note </w:t>
      </w:r>
      <w:r w:rsidR="004205A3" w:rsidRPr="00E465A1">
        <w:rPr>
          <w:color w:val="262626" w:themeColor="text1" w:themeTint="D9"/>
          <w:szCs w:val="20"/>
        </w:rPr>
        <w:t>1(</w:t>
      </w:r>
      <w:r w:rsidR="007F503E" w:rsidRPr="00E465A1">
        <w:rPr>
          <w:color w:val="262626" w:themeColor="text1" w:themeTint="D9"/>
          <w:szCs w:val="20"/>
        </w:rPr>
        <w:t>h</w:t>
      </w:r>
      <w:r w:rsidR="004205A3" w:rsidRPr="00E465A1">
        <w:rPr>
          <w:color w:val="262626" w:themeColor="text1" w:themeTint="D9"/>
          <w:szCs w:val="20"/>
        </w:rPr>
        <w:t>).</w:t>
      </w:r>
    </w:p>
    <w:p w:rsidR="004205A3" w:rsidRPr="00E465A1" w:rsidRDefault="004205A3" w:rsidP="00DB1D73">
      <w:pPr>
        <w:pStyle w:val="Normalindent1stpara"/>
        <w:rPr>
          <w:color w:val="262626" w:themeColor="text1" w:themeTint="D9"/>
        </w:rPr>
      </w:pPr>
    </w:p>
    <w:p w:rsidR="00EA13D4" w:rsidRPr="00E465A1" w:rsidRDefault="00236195" w:rsidP="00B70F71">
      <w:pPr>
        <w:pStyle w:val="Normalhanginglist105pt"/>
        <w:rPr>
          <w:color w:val="262626" w:themeColor="text1" w:themeTint="D9"/>
          <w:sz w:val="22"/>
          <w:szCs w:val="22"/>
        </w:rPr>
      </w:pPr>
      <w:r w:rsidRPr="00E465A1">
        <w:rPr>
          <w:color w:val="262626" w:themeColor="text1" w:themeTint="D9"/>
          <w:sz w:val="22"/>
          <w:szCs w:val="22"/>
        </w:rPr>
        <w:t>(b)</w:t>
      </w:r>
      <w:r w:rsidRPr="00E465A1">
        <w:rPr>
          <w:color w:val="262626" w:themeColor="text1" w:themeTint="D9"/>
          <w:sz w:val="22"/>
          <w:szCs w:val="22"/>
        </w:rPr>
        <w:tab/>
      </w:r>
      <w:r w:rsidR="00350CCE" w:rsidRPr="00E465A1">
        <w:rPr>
          <w:color w:val="262626" w:themeColor="text1" w:themeTint="D9"/>
          <w:sz w:val="22"/>
          <w:szCs w:val="22"/>
        </w:rPr>
        <w:t>The Reporting Entity</w:t>
      </w:r>
    </w:p>
    <w:p w:rsidR="00405576" w:rsidRPr="00E465A1" w:rsidRDefault="00350CCE" w:rsidP="009A5AC7">
      <w:pPr>
        <w:pStyle w:val="Normalindent1stpara"/>
        <w:rPr>
          <w:color w:val="262626" w:themeColor="text1" w:themeTint="D9"/>
          <w:szCs w:val="20"/>
          <w:lang w:eastAsia="en-AU"/>
        </w:rPr>
      </w:pPr>
      <w:r w:rsidRPr="00E465A1">
        <w:rPr>
          <w:color w:val="262626" w:themeColor="text1" w:themeTint="D9"/>
          <w:szCs w:val="20"/>
          <w:lang w:eastAsia="en-AU"/>
        </w:rPr>
        <w:t xml:space="preserve">The financial statements include the value of all assets, liabilities, equity, revenues and expenses of the </w:t>
      </w:r>
      <w:r w:rsidR="00CE7B1E" w:rsidRPr="00E465A1">
        <w:rPr>
          <w:color w:val="262626" w:themeColor="text1" w:themeTint="D9"/>
          <w:szCs w:val="20"/>
          <w:lang w:eastAsia="en-AU"/>
        </w:rPr>
        <w:t>CCC</w:t>
      </w:r>
      <w:r w:rsidRPr="00E465A1">
        <w:rPr>
          <w:color w:val="262626" w:themeColor="text1" w:themeTint="D9"/>
          <w:szCs w:val="20"/>
          <w:lang w:eastAsia="en-AU"/>
        </w:rPr>
        <w:t>. The C</w:t>
      </w:r>
      <w:r w:rsidR="00CE7B1E" w:rsidRPr="00E465A1">
        <w:rPr>
          <w:color w:val="262626" w:themeColor="text1" w:themeTint="D9"/>
          <w:szCs w:val="20"/>
          <w:lang w:eastAsia="en-AU"/>
        </w:rPr>
        <w:t>CC</w:t>
      </w:r>
      <w:r w:rsidRPr="00E465A1">
        <w:rPr>
          <w:color w:val="262626" w:themeColor="text1" w:themeTint="D9"/>
          <w:szCs w:val="20"/>
          <w:lang w:eastAsia="en-AU"/>
        </w:rPr>
        <w:t xml:space="preserve"> does not control any other entities.</w:t>
      </w:r>
    </w:p>
    <w:p w:rsidR="001933EF" w:rsidRPr="00E465A1" w:rsidRDefault="001933EF" w:rsidP="00DB1D73">
      <w:pPr>
        <w:pStyle w:val="Normalindent1stpara"/>
        <w:rPr>
          <w:color w:val="262626" w:themeColor="text1" w:themeTint="D9"/>
        </w:rPr>
      </w:pPr>
    </w:p>
    <w:p w:rsidR="001933EF" w:rsidRPr="00E465A1" w:rsidRDefault="001933EF" w:rsidP="001933EF">
      <w:pPr>
        <w:pStyle w:val="Normalhanginglist105pt"/>
        <w:rPr>
          <w:color w:val="262626" w:themeColor="text1" w:themeTint="D9"/>
          <w:sz w:val="22"/>
          <w:szCs w:val="22"/>
        </w:rPr>
      </w:pPr>
      <w:r w:rsidRPr="00E465A1">
        <w:rPr>
          <w:color w:val="262626" w:themeColor="text1" w:themeTint="D9"/>
          <w:sz w:val="22"/>
          <w:szCs w:val="22"/>
        </w:rPr>
        <w:t>(c)</w:t>
      </w:r>
      <w:r w:rsidRPr="00E465A1">
        <w:rPr>
          <w:color w:val="262626" w:themeColor="text1" w:themeTint="D9"/>
          <w:sz w:val="22"/>
          <w:szCs w:val="22"/>
        </w:rPr>
        <w:tab/>
        <w:t>Other Presentation Matters</w:t>
      </w:r>
    </w:p>
    <w:p w:rsidR="00AE542E" w:rsidRPr="00E465A1" w:rsidRDefault="001933EF" w:rsidP="001933EF">
      <w:pPr>
        <w:pStyle w:val="Normalindent1stpara"/>
        <w:rPr>
          <w:b/>
          <w:color w:val="262626" w:themeColor="text1" w:themeTint="D9"/>
          <w:szCs w:val="20"/>
          <w:lang w:eastAsia="en-AU"/>
        </w:rPr>
      </w:pPr>
      <w:r w:rsidRPr="00E465A1">
        <w:rPr>
          <w:b/>
          <w:i/>
          <w:color w:val="262626" w:themeColor="text1" w:themeTint="D9"/>
          <w:szCs w:val="20"/>
          <w:lang w:eastAsia="en-AU"/>
        </w:rPr>
        <w:t>Currency and rounding</w:t>
      </w:r>
    </w:p>
    <w:p w:rsidR="001933EF" w:rsidRPr="00E465A1" w:rsidRDefault="001933EF" w:rsidP="001933EF">
      <w:pPr>
        <w:pStyle w:val="Normalindent1stpara"/>
        <w:rPr>
          <w:color w:val="262626" w:themeColor="text1" w:themeTint="D9"/>
          <w:szCs w:val="20"/>
          <w:lang w:eastAsia="en-AU"/>
        </w:rPr>
      </w:pPr>
      <w:r w:rsidRPr="00E465A1">
        <w:rPr>
          <w:color w:val="262626" w:themeColor="text1" w:themeTint="D9"/>
          <w:szCs w:val="20"/>
          <w:lang w:eastAsia="en-AU"/>
        </w:rPr>
        <w:t>Amounts included in the financial statements are in Australian dollars and have been rounded to the nearest $1000 or, where that amount is $500 or less, to zero, unless disclosure of the full amount is specifically required.</w:t>
      </w:r>
    </w:p>
    <w:p w:rsidR="00AE542E" w:rsidRPr="00E465A1" w:rsidRDefault="001933EF" w:rsidP="001933EF">
      <w:pPr>
        <w:pStyle w:val="NormalIndent1"/>
        <w:rPr>
          <w:b/>
          <w:color w:val="262626" w:themeColor="text1" w:themeTint="D9"/>
          <w:szCs w:val="20"/>
        </w:rPr>
      </w:pPr>
      <w:r w:rsidRPr="00E465A1">
        <w:rPr>
          <w:b/>
          <w:i/>
          <w:color w:val="262626" w:themeColor="text1" w:themeTint="D9"/>
          <w:szCs w:val="20"/>
        </w:rPr>
        <w:t>Comparatives</w:t>
      </w:r>
    </w:p>
    <w:p w:rsidR="001933EF" w:rsidRPr="00E465A1" w:rsidRDefault="001933EF" w:rsidP="001933EF">
      <w:pPr>
        <w:pStyle w:val="NormalIndent1"/>
        <w:rPr>
          <w:color w:val="262626" w:themeColor="text1" w:themeTint="D9"/>
          <w:szCs w:val="20"/>
        </w:rPr>
      </w:pPr>
      <w:r w:rsidRPr="00E465A1">
        <w:rPr>
          <w:color w:val="262626" w:themeColor="text1" w:themeTint="D9"/>
          <w:szCs w:val="20"/>
        </w:rPr>
        <w:t xml:space="preserve">Comparative information has </w:t>
      </w:r>
      <w:r w:rsidR="000A2B25" w:rsidRPr="00E465A1">
        <w:rPr>
          <w:color w:val="262626" w:themeColor="text1" w:themeTint="D9"/>
          <w:szCs w:val="20"/>
        </w:rPr>
        <w:t>not been restated.</w:t>
      </w:r>
    </w:p>
    <w:p w:rsidR="00AE542E" w:rsidRPr="00E465A1" w:rsidRDefault="001933EF" w:rsidP="00AE542E">
      <w:pPr>
        <w:autoSpaceDE w:val="0"/>
        <w:autoSpaceDN w:val="0"/>
        <w:adjustRightInd w:val="0"/>
        <w:spacing w:line="240" w:lineRule="auto"/>
        <w:ind w:left="426"/>
        <w:rPr>
          <w:b/>
          <w:color w:val="262626" w:themeColor="text1" w:themeTint="D9"/>
        </w:rPr>
      </w:pPr>
      <w:r w:rsidRPr="00E465A1">
        <w:rPr>
          <w:b/>
          <w:i/>
          <w:color w:val="262626" w:themeColor="text1" w:themeTint="D9"/>
        </w:rPr>
        <w:t>Current/Non-Current Classification</w:t>
      </w:r>
    </w:p>
    <w:p w:rsidR="00AE542E" w:rsidRPr="00E465A1" w:rsidRDefault="001933EF" w:rsidP="00AE542E">
      <w:pPr>
        <w:autoSpaceDE w:val="0"/>
        <w:autoSpaceDN w:val="0"/>
        <w:adjustRightInd w:val="0"/>
        <w:spacing w:line="240" w:lineRule="auto"/>
        <w:ind w:left="426"/>
        <w:rPr>
          <w:rFonts w:cs="Arial"/>
          <w:color w:val="262626" w:themeColor="text1" w:themeTint="D9"/>
          <w:lang w:eastAsia="en-AU"/>
        </w:rPr>
      </w:pPr>
      <w:r w:rsidRPr="00E465A1">
        <w:rPr>
          <w:rFonts w:cs="Arial"/>
          <w:color w:val="262626" w:themeColor="text1" w:themeTint="D9"/>
          <w:lang w:eastAsia="en-AU"/>
        </w:rPr>
        <w:t xml:space="preserve">Assets and Liabilities are classified as either </w:t>
      </w:r>
      <w:r w:rsidR="00DE03FF" w:rsidRPr="00E465A1">
        <w:rPr>
          <w:rFonts w:cs="Arial"/>
          <w:color w:val="262626" w:themeColor="text1" w:themeTint="D9"/>
          <w:lang w:eastAsia="en-AU"/>
        </w:rPr>
        <w:t>“</w:t>
      </w:r>
      <w:r w:rsidRPr="00E465A1">
        <w:rPr>
          <w:rFonts w:cs="Arial"/>
          <w:color w:val="262626" w:themeColor="text1" w:themeTint="D9"/>
          <w:lang w:eastAsia="en-AU"/>
        </w:rPr>
        <w:t>current</w:t>
      </w:r>
      <w:r w:rsidR="00DE03FF" w:rsidRPr="00E465A1">
        <w:rPr>
          <w:rFonts w:cs="Arial"/>
          <w:color w:val="262626" w:themeColor="text1" w:themeTint="D9"/>
          <w:lang w:eastAsia="en-AU"/>
        </w:rPr>
        <w:t>”</w:t>
      </w:r>
      <w:r w:rsidRPr="00E465A1">
        <w:rPr>
          <w:rFonts w:cs="Arial"/>
          <w:color w:val="262626" w:themeColor="text1" w:themeTint="D9"/>
          <w:lang w:eastAsia="en-AU"/>
        </w:rPr>
        <w:t xml:space="preserve"> or </w:t>
      </w:r>
      <w:r w:rsidR="00DE03FF" w:rsidRPr="00E465A1">
        <w:rPr>
          <w:rFonts w:cs="Arial"/>
          <w:color w:val="262626" w:themeColor="text1" w:themeTint="D9"/>
          <w:lang w:eastAsia="en-AU"/>
        </w:rPr>
        <w:t>“</w:t>
      </w:r>
      <w:r w:rsidRPr="00E465A1">
        <w:rPr>
          <w:rFonts w:cs="Arial"/>
          <w:color w:val="262626" w:themeColor="text1" w:themeTint="D9"/>
          <w:lang w:eastAsia="en-AU"/>
        </w:rPr>
        <w:t>non-current</w:t>
      </w:r>
      <w:r w:rsidR="00DE03FF" w:rsidRPr="00E465A1">
        <w:rPr>
          <w:rFonts w:cs="Arial"/>
          <w:color w:val="262626" w:themeColor="text1" w:themeTint="D9"/>
          <w:lang w:eastAsia="en-AU"/>
        </w:rPr>
        <w:t>”</w:t>
      </w:r>
      <w:r w:rsidRPr="00E465A1">
        <w:rPr>
          <w:rFonts w:cs="Arial"/>
          <w:color w:val="262626" w:themeColor="text1" w:themeTint="D9"/>
          <w:lang w:eastAsia="en-AU"/>
        </w:rPr>
        <w:t xml:space="preserve"> in the Statement of Financial Position and associated notes. </w:t>
      </w:r>
    </w:p>
    <w:p w:rsidR="001933EF" w:rsidRPr="00E465A1" w:rsidRDefault="001933EF" w:rsidP="00AE542E">
      <w:pPr>
        <w:autoSpaceDE w:val="0"/>
        <w:autoSpaceDN w:val="0"/>
        <w:adjustRightInd w:val="0"/>
        <w:spacing w:line="240" w:lineRule="auto"/>
        <w:ind w:left="426"/>
        <w:rPr>
          <w:rFonts w:ascii="ArialMT" w:hAnsi="ArialMT" w:cs="ArialMT"/>
          <w:color w:val="262626" w:themeColor="text1" w:themeTint="D9"/>
          <w:lang w:eastAsia="en-AU"/>
        </w:rPr>
      </w:pPr>
      <w:r w:rsidRPr="00E465A1">
        <w:rPr>
          <w:rFonts w:cs="Arial"/>
          <w:color w:val="262626" w:themeColor="text1" w:themeTint="D9"/>
          <w:lang w:eastAsia="en-AU"/>
        </w:rPr>
        <w:t xml:space="preserve">Assets are classified as </w:t>
      </w:r>
      <w:r w:rsidR="00DE03FF" w:rsidRPr="00E465A1">
        <w:rPr>
          <w:rFonts w:cs="Arial"/>
          <w:color w:val="262626" w:themeColor="text1" w:themeTint="D9"/>
          <w:lang w:eastAsia="en-AU"/>
        </w:rPr>
        <w:t>“</w:t>
      </w:r>
      <w:r w:rsidRPr="00E465A1">
        <w:rPr>
          <w:rFonts w:cs="Arial"/>
          <w:color w:val="262626" w:themeColor="text1" w:themeTint="D9"/>
          <w:lang w:eastAsia="en-AU"/>
        </w:rPr>
        <w:t>current</w:t>
      </w:r>
      <w:r w:rsidR="00DE03FF" w:rsidRPr="00E465A1">
        <w:rPr>
          <w:rFonts w:cs="Arial"/>
          <w:color w:val="262626" w:themeColor="text1" w:themeTint="D9"/>
          <w:lang w:eastAsia="en-AU"/>
        </w:rPr>
        <w:t>”</w:t>
      </w:r>
      <w:r w:rsidRPr="00E465A1">
        <w:rPr>
          <w:rFonts w:cs="Arial"/>
          <w:color w:val="262626" w:themeColor="text1" w:themeTint="D9"/>
          <w:lang w:eastAsia="en-AU"/>
        </w:rPr>
        <w:t xml:space="preserve"> where their carrying amount is expected to be realised within 12 </w:t>
      </w:r>
      <w:r w:rsidR="00AE542E" w:rsidRPr="00E465A1">
        <w:rPr>
          <w:rFonts w:cs="Arial"/>
          <w:color w:val="262626" w:themeColor="text1" w:themeTint="D9"/>
          <w:lang w:eastAsia="en-AU"/>
        </w:rPr>
        <w:t xml:space="preserve">months after the reporting date. </w:t>
      </w:r>
      <w:r w:rsidR="009E2D22" w:rsidRPr="00E465A1">
        <w:rPr>
          <w:rFonts w:cs="Arial"/>
          <w:color w:val="262626" w:themeColor="text1" w:themeTint="D9"/>
          <w:lang w:eastAsia="en-AU"/>
        </w:rPr>
        <w:t xml:space="preserve"> Liabilities are classified as “</w:t>
      </w:r>
      <w:r w:rsidR="00AE542E" w:rsidRPr="00E465A1">
        <w:rPr>
          <w:rFonts w:cs="Arial"/>
          <w:color w:val="262626" w:themeColor="text1" w:themeTint="D9"/>
          <w:lang w:eastAsia="en-AU"/>
        </w:rPr>
        <w:t>current</w:t>
      </w:r>
      <w:r w:rsidR="009E2D22" w:rsidRPr="00E465A1">
        <w:rPr>
          <w:rFonts w:cs="Arial"/>
          <w:color w:val="262626" w:themeColor="text1" w:themeTint="D9"/>
          <w:lang w:eastAsia="en-AU"/>
        </w:rPr>
        <w:t>”</w:t>
      </w:r>
      <w:r w:rsidR="00AE542E" w:rsidRPr="00E465A1">
        <w:rPr>
          <w:rFonts w:cs="Arial"/>
          <w:color w:val="262626" w:themeColor="text1" w:themeTint="D9"/>
          <w:lang w:eastAsia="en-AU"/>
        </w:rPr>
        <w:t xml:space="preserve"> when they are due to be settled within 12 months after the reporting date, or the CCC does not have an unconditional right to defer settlement to beyond 12 months after the reporting date.</w:t>
      </w:r>
    </w:p>
    <w:p w:rsidR="00AE542E" w:rsidRPr="00E465A1" w:rsidRDefault="00AE542E" w:rsidP="00AE542E">
      <w:pPr>
        <w:autoSpaceDE w:val="0"/>
        <w:autoSpaceDN w:val="0"/>
        <w:adjustRightInd w:val="0"/>
        <w:spacing w:before="0" w:line="240" w:lineRule="auto"/>
        <w:ind w:left="426"/>
        <w:rPr>
          <w:rFonts w:ascii="ArialMT" w:hAnsi="ArialMT" w:cs="ArialMT"/>
          <w:color w:val="262626" w:themeColor="text1" w:themeTint="D9"/>
          <w:lang w:eastAsia="en-AU"/>
        </w:rPr>
      </w:pPr>
    </w:p>
    <w:p w:rsidR="00AE542E" w:rsidRPr="00E465A1" w:rsidRDefault="00AE542E" w:rsidP="00AE542E">
      <w:pPr>
        <w:autoSpaceDE w:val="0"/>
        <w:autoSpaceDN w:val="0"/>
        <w:adjustRightInd w:val="0"/>
        <w:spacing w:before="0" w:line="240" w:lineRule="auto"/>
        <w:ind w:left="426"/>
        <w:rPr>
          <w:rFonts w:cs="Arial"/>
          <w:color w:val="262626" w:themeColor="text1" w:themeTint="D9"/>
          <w:lang w:eastAsia="en-AU"/>
        </w:rPr>
      </w:pPr>
      <w:r w:rsidRPr="00E465A1">
        <w:rPr>
          <w:rFonts w:cs="Arial"/>
          <w:color w:val="262626" w:themeColor="text1" w:themeTint="D9"/>
          <w:lang w:eastAsia="en-AU"/>
        </w:rPr>
        <w:t>All other assets and liabilities are classified as non-current.</w:t>
      </w:r>
    </w:p>
    <w:p w:rsidR="00AE542E" w:rsidRPr="00E465A1" w:rsidRDefault="00AE542E" w:rsidP="00AE542E">
      <w:pPr>
        <w:autoSpaceDE w:val="0"/>
        <w:autoSpaceDN w:val="0"/>
        <w:adjustRightInd w:val="0"/>
        <w:spacing w:before="0" w:line="240" w:lineRule="auto"/>
        <w:ind w:left="426"/>
        <w:rPr>
          <w:rFonts w:ascii="ArialMT" w:hAnsi="ArialMT" w:cs="ArialMT"/>
          <w:color w:val="262626" w:themeColor="text1" w:themeTint="D9"/>
          <w:sz w:val="17"/>
          <w:szCs w:val="17"/>
          <w:lang w:eastAsia="en-AU"/>
        </w:rPr>
      </w:pPr>
    </w:p>
    <w:p w:rsidR="004215F0" w:rsidRPr="00E465A1" w:rsidRDefault="004215F0" w:rsidP="004215F0">
      <w:pPr>
        <w:pStyle w:val="Normalhanginglist105pt"/>
        <w:rPr>
          <w:color w:val="262626" w:themeColor="text1" w:themeTint="D9"/>
          <w:sz w:val="22"/>
          <w:szCs w:val="22"/>
        </w:rPr>
      </w:pPr>
      <w:r w:rsidRPr="00E465A1">
        <w:rPr>
          <w:color w:val="262626" w:themeColor="text1" w:themeTint="D9"/>
          <w:sz w:val="22"/>
          <w:szCs w:val="22"/>
        </w:rPr>
        <w:t>(</w:t>
      </w:r>
      <w:r w:rsidR="001933EF" w:rsidRPr="00E465A1">
        <w:rPr>
          <w:color w:val="262626" w:themeColor="text1" w:themeTint="D9"/>
          <w:sz w:val="22"/>
          <w:szCs w:val="22"/>
        </w:rPr>
        <w:t>d</w:t>
      </w:r>
      <w:r w:rsidRPr="00E465A1">
        <w:rPr>
          <w:color w:val="262626" w:themeColor="text1" w:themeTint="D9"/>
          <w:sz w:val="22"/>
          <w:szCs w:val="22"/>
        </w:rPr>
        <w:t>)</w:t>
      </w:r>
      <w:r w:rsidRPr="00E465A1">
        <w:rPr>
          <w:color w:val="262626" w:themeColor="text1" w:themeTint="D9"/>
          <w:sz w:val="22"/>
          <w:szCs w:val="22"/>
        </w:rPr>
        <w:tab/>
        <w:t>Issuance of Financial Statements</w:t>
      </w:r>
    </w:p>
    <w:p w:rsidR="00AE542E" w:rsidRPr="00E465A1" w:rsidRDefault="004215F0" w:rsidP="00AE542E">
      <w:pPr>
        <w:pStyle w:val="NormalindentbulletsL1"/>
        <w:numPr>
          <w:ilvl w:val="0"/>
          <w:numId w:val="0"/>
        </w:numPr>
        <w:ind w:left="426" w:firstLine="28"/>
        <w:rPr>
          <w:color w:val="262626" w:themeColor="text1" w:themeTint="D9"/>
          <w:szCs w:val="20"/>
        </w:rPr>
      </w:pPr>
      <w:r w:rsidRPr="00E465A1">
        <w:rPr>
          <w:color w:val="262626" w:themeColor="text1" w:themeTint="D9"/>
          <w:szCs w:val="20"/>
        </w:rPr>
        <w:t xml:space="preserve">The financial statements are authorised for issue by the </w:t>
      </w:r>
      <w:r w:rsidR="00421AD1" w:rsidRPr="00E465A1">
        <w:rPr>
          <w:color w:val="262626" w:themeColor="text1" w:themeTint="D9"/>
          <w:szCs w:val="20"/>
        </w:rPr>
        <w:t>Chief Finance Officer</w:t>
      </w:r>
      <w:r w:rsidR="00AB2633" w:rsidRPr="00E465A1">
        <w:rPr>
          <w:color w:val="262626" w:themeColor="text1" w:themeTint="D9"/>
          <w:szCs w:val="20"/>
        </w:rPr>
        <w:t xml:space="preserve">, </w:t>
      </w:r>
      <w:r w:rsidR="00DC4760" w:rsidRPr="00E465A1">
        <w:rPr>
          <w:color w:val="262626" w:themeColor="text1" w:themeTint="D9"/>
          <w:szCs w:val="20"/>
        </w:rPr>
        <w:t xml:space="preserve">Acting </w:t>
      </w:r>
      <w:r w:rsidRPr="00E465A1">
        <w:rPr>
          <w:color w:val="262626" w:themeColor="text1" w:themeTint="D9"/>
          <w:szCs w:val="20"/>
        </w:rPr>
        <w:t xml:space="preserve">Chief Executive Officer </w:t>
      </w:r>
      <w:r w:rsidR="00AB2633" w:rsidRPr="00E465A1">
        <w:rPr>
          <w:color w:val="262626" w:themeColor="text1" w:themeTint="D9"/>
          <w:szCs w:val="20"/>
        </w:rPr>
        <w:t xml:space="preserve">and Chairperson </w:t>
      </w:r>
      <w:r w:rsidRPr="00E465A1">
        <w:rPr>
          <w:color w:val="262626" w:themeColor="text1" w:themeTint="D9"/>
          <w:szCs w:val="20"/>
        </w:rPr>
        <w:t>at the date of signing the Management Certificate.</w:t>
      </w:r>
    </w:p>
    <w:p w:rsidR="00540BE4" w:rsidRPr="00E465A1" w:rsidRDefault="00540BE4" w:rsidP="00540BE4">
      <w:pPr>
        <w:pStyle w:val="Normal115pttext"/>
        <w:rPr>
          <w:color w:val="262626" w:themeColor="text1" w:themeTint="D9"/>
          <w:szCs w:val="23"/>
        </w:rPr>
      </w:pPr>
      <w:r w:rsidRPr="00E465A1">
        <w:rPr>
          <w:color w:val="262626" w:themeColor="text1" w:themeTint="D9"/>
          <w:szCs w:val="23"/>
        </w:rPr>
        <w:lastRenderedPageBreak/>
        <w:t>Note 1: Summary of Significant Accounting Policies (cont’d)</w:t>
      </w:r>
    </w:p>
    <w:p w:rsidR="001933EF" w:rsidRPr="00E465A1" w:rsidRDefault="001933EF" w:rsidP="00DB1D73">
      <w:pPr>
        <w:pStyle w:val="Normalhanginglist105pt"/>
        <w:rPr>
          <w:color w:val="262626" w:themeColor="text1" w:themeTint="D9"/>
          <w:sz w:val="22"/>
          <w:szCs w:val="22"/>
        </w:rPr>
      </w:pPr>
      <w:r w:rsidRPr="00E465A1">
        <w:rPr>
          <w:color w:val="262626" w:themeColor="text1" w:themeTint="D9"/>
          <w:sz w:val="22"/>
          <w:szCs w:val="22"/>
        </w:rPr>
        <w:t>(e)</w:t>
      </w:r>
      <w:r w:rsidRPr="00E465A1">
        <w:rPr>
          <w:color w:val="262626" w:themeColor="text1" w:themeTint="D9"/>
          <w:sz w:val="22"/>
          <w:szCs w:val="22"/>
        </w:rPr>
        <w:tab/>
        <w:t>Taxation</w:t>
      </w:r>
    </w:p>
    <w:p w:rsidR="001933EF" w:rsidRPr="00E465A1" w:rsidRDefault="001933EF" w:rsidP="00DB1D73">
      <w:pPr>
        <w:pStyle w:val="Normalindent1stpara"/>
        <w:rPr>
          <w:color w:val="262626" w:themeColor="text1" w:themeTint="D9"/>
          <w:szCs w:val="20"/>
          <w:lang w:eastAsia="en-AU"/>
        </w:rPr>
      </w:pPr>
      <w:r w:rsidRPr="00E465A1">
        <w:rPr>
          <w:color w:val="262626" w:themeColor="text1" w:themeTint="D9"/>
          <w:szCs w:val="20"/>
          <w:lang w:eastAsia="en-AU"/>
        </w:rPr>
        <w:t>The C</w:t>
      </w:r>
      <w:r w:rsidR="00CE7B1E" w:rsidRPr="00E465A1">
        <w:rPr>
          <w:color w:val="262626" w:themeColor="text1" w:themeTint="D9"/>
          <w:szCs w:val="20"/>
          <w:lang w:eastAsia="en-AU"/>
        </w:rPr>
        <w:t>CC</w:t>
      </w:r>
      <w:r w:rsidRPr="00E465A1">
        <w:rPr>
          <w:color w:val="262626" w:themeColor="text1" w:themeTint="D9"/>
          <w:szCs w:val="20"/>
          <w:lang w:eastAsia="en-AU"/>
        </w:rPr>
        <w:t xml:space="preserve"> is a State body as defined under the </w:t>
      </w:r>
      <w:r w:rsidRPr="00E465A1">
        <w:rPr>
          <w:i/>
          <w:color w:val="262626" w:themeColor="text1" w:themeTint="D9"/>
          <w:szCs w:val="20"/>
          <w:lang w:eastAsia="en-AU"/>
        </w:rPr>
        <w:t>Income Tax Assessment Act 1936</w:t>
      </w:r>
      <w:r w:rsidRPr="00E465A1">
        <w:rPr>
          <w:color w:val="262626" w:themeColor="text1" w:themeTint="D9"/>
          <w:szCs w:val="20"/>
          <w:lang w:eastAsia="en-AU"/>
        </w:rPr>
        <w:t xml:space="preserve"> and is exempt from Commonwealth taxation with the exception of Fringe Benefits Tax (</w:t>
      </w:r>
      <w:proofErr w:type="spellStart"/>
      <w:r w:rsidRPr="00E465A1">
        <w:rPr>
          <w:color w:val="262626" w:themeColor="text1" w:themeTint="D9"/>
          <w:szCs w:val="20"/>
          <w:lang w:eastAsia="en-AU"/>
        </w:rPr>
        <w:t>FBT</w:t>
      </w:r>
      <w:proofErr w:type="spellEnd"/>
      <w:r w:rsidRPr="00E465A1">
        <w:rPr>
          <w:color w:val="262626" w:themeColor="text1" w:themeTint="D9"/>
          <w:szCs w:val="20"/>
          <w:lang w:eastAsia="en-AU"/>
        </w:rPr>
        <w:t xml:space="preserve">) and Goods and Services Tax (GST). </w:t>
      </w:r>
    </w:p>
    <w:p w:rsidR="000A2B25" w:rsidRPr="00E465A1" w:rsidRDefault="000A2B25" w:rsidP="00DB1D73">
      <w:pPr>
        <w:pStyle w:val="Normalindent1stpara"/>
        <w:rPr>
          <w:color w:val="262626" w:themeColor="text1" w:themeTint="D9"/>
          <w:lang w:eastAsia="en-AU"/>
        </w:rPr>
      </w:pPr>
    </w:p>
    <w:p w:rsidR="00F010EF" w:rsidRPr="00E465A1" w:rsidRDefault="00F010EF" w:rsidP="00F010EF">
      <w:pPr>
        <w:pStyle w:val="Normalhanginglist105pt"/>
        <w:rPr>
          <w:color w:val="262626" w:themeColor="text1" w:themeTint="D9"/>
          <w:sz w:val="22"/>
          <w:szCs w:val="22"/>
        </w:rPr>
      </w:pPr>
      <w:r w:rsidRPr="00E465A1">
        <w:rPr>
          <w:color w:val="262626" w:themeColor="text1" w:themeTint="D9"/>
          <w:sz w:val="22"/>
          <w:szCs w:val="22"/>
        </w:rPr>
        <w:t>(f)</w:t>
      </w:r>
      <w:r w:rsidRPr="00E465A1">
        <w:rPr>
          <w:color w:val="262626" w:themeColor="text1" w:themeTint="D9"/>
          <w:sz w:val="22"/>
          <w:szCs w:val="22"/>
        </w:rPr>
        <w:tab/>
        <w:t>Receivables</w:t>
      </w:r>
    </w:p>
    <w:p w:rsidR="00282075" w:rsidRPr="00E465A1" w:rsidRDefault="00282075" w:rsidP="00282075">
      <w:pPr>
        <w:pStyle w:val="Policy1stpara"/>
        <w:ind w:left="426"/>
        <w:rPr>
          <w:color w:val="262626" w:themeColor="text1" w:themeTint="D9"/>
        </w:rPr>
      </w:pPr>
      <w:r w:rsidRPr="00E465A1">
        <w:rPr>
          <w:color w:val="262626" w:themeColor="text1" w:themeTint="D9"/>
          <w:lang w:eastAsia="en-AU"/>
        </w:rPr>
        <w:t>Receivables are measured at amortised cost which approximates their fair value and represent amounts owed to the CCC at the end of the reporting period.</w:t>
      </w:r>
    </w:p>
    <w:p w:rsidR="00F010EF" w:rsidRPr="00E465A1" w:rsidRDefault="00282075" w:rsidP="00282075">
      <w:pPr>
        <w:pStyle w:val="Normalindent1stpara"/>
        <w:rPr>
          <w:color w:val="262626" w:themeColor="text1" w:themeTint="D9"/>
          <w:szCs w:val="20"/>
          <w:lang w:eastAsia="en-AU"/>
        </w:rPr>
      </w:pPr>
      <w:r w:rsidRPr="00E465A1">
        <w:rPr>
          <w:color w:val="262626" w:themeColor="text1" w:themeTint="D9"/>
          <w:szCs w:val="20"/>
        </w:rPr>
        <w:t>Sundry debtors are recognised at the amounts due at the time of service delivery, that is, t</w:t>
      </w:r>
      <w:r w:rsidR="00540BE4" w:rsidRPr="00E465A1">
        <w:rPr>
          <w:color w:val="262626" w:themeColor="text1" w:themeTint="D9"/>
          <w:szCs w:val="20"/>
        </w:rPr>
        <w:t xml:space="preserve">he agreed sale/contract price.  </w:t>
      </w:r>
      <w:r w:rsidRPr="00E465A1">
        <w:rPr>
          <w:color w:val="262626" w:themeColor="text1" w:themeTint="D9"/>
          <w:szCs w:val="20"/>
        </w:rPr>
        <w:t>Settlement of these amounts is required within 30 days from invoice date. The collectability of sundry receivables is assessed periodically with provision being made for impairment when there is valid evidence that the debts may not be collected. As at reporting date, there were no sundry debtors that required an allowance for impairment.</w:t>
      </w:r>
    </w:p>
    <w:p w:rsidR="001933EF" w:rsidRPr="00E465A1" w:rsidRDefault="001933EF" w:rsidP="00540BE4">
      <w:pPr>
        <w:pStyle w:val="Normalindent1stpara"/>
        <w:ind w:left="0"/>
        <w:rPr>
          <w:color w:val="262626" w:themeColor="text1" w:themeTint="D9"/>
        </w:rPr>
      </w:pPr>
    </w:p>
    <w:p w:rsidR="0066790A" w:rsidRPr="00E465A1" w:rsidRDefault="0066790A" w:rsidP="0066790A">
      <w:pPr>
        <w:pStyle w:val="Normalhanginglist105pt"/>
        <w:rPr>
          <w:color w:val="262626" w:themeColor="text1" w:themeTint="D9"/>
          <w:sz w:val="22"/>
          <w:szCs w:val="22"/>
        </w:rPr>
      </w:pPr>
      <w:r w:rsidRPr="00E465A1">
        <w:rPr>
          <w:color w:val="262626" w:themeColor="text1" w:themeTint="D9"/>
          <w:sz w:val="22"/>
          <w:szCs w:val="22"/>
        </w:rPr>
        <w:t>(</w:t>
      </w:r>
      <w:r w:rsidR="007F503E" w:rsidRPr="00E465A1">
        <w:rPr>
          <w:color w:val="262626" w:themeColor="text1" w:themeTint="D9"/>
          <w:sz w:val="22"/>
          <w:szCs w:val="22"/>
        </w:rPr>
        <w:t>g</w:t>
      </w:r>
      <w:r w:rsidRPr="00E465A1">
        <w:rPr>
          <w:color w:val="262626" w:themeColor="text1" w:themeTint="D9"/>
          <w:sz w:val="22"/>
          <w:szCs w:val="22"/>
        </w:rPr>
        <w:t>)</w:t>
      </w:r>
      <w:r w:rsidRPr="00E465A1">
        <w:rPr>
          <w:color w:val="262626" w:themeColor="text1" w:themeTint="D9"/>
          <w:sz w:val="22"/>
          <w:szCs w:val="22"/>
        </w:rPr>
        <w:tab/>
        <w:t>Accounting Estimates and Judgments</w:t>
      </w:r>
    </w:p>
    <w:p w:rsidR="0066790A" w:rsidRPr="00E465A1" w:rsidRDefault="0066790A" w:rsidP="0066790A">
      <w:pPr>
        <w:pStyle w:val="Normalindent1stpara"/>
        <w:rPr>
          <w:color w:val="262626" w:themeColor="text1" w:themeTint="D9"/>
          <w:szCs w:val="20"/>
          <w:lang w:eastAsia="en-AU"/>
        </w:rPr>
      </w:pPr>
      <w:r w:rsidRPr="00E465A1">
        <w:rPr>
          <w:color w:val="262626" w:themeColor="text1" w:themeTint="D9"/>
          <w:szCs w:val="20"/>
          <w:lang w:eastAsia="en-AU"/>
        </w:rPr>
        <w:t>The preparation of financial statements necessarily requires the determination and use of certain critical accounting estimates, assumptions and management judgments that have the potential to cause a material adjustment to the carrying amount of assets and liabilities within the next financial year. Such estimates, judgments and underlying assumptions are reviewed on an ongoing basis. Revisions to accounting estimates are recognised in the period in which the estimate is revised and in future periods as relevant.</w:t>
      </w:r>
    </w:p>
    <w:p w:rsidR="0066790A" w:rsidRPr="00E465A1" w:rsidRDefault="0066790A" w:rsidP="0066790A">
      <w:pPr>
        <w:pStyle w:val="NormalIndent1"/>
        <w:rPr>
          <w:color w:val="262626" w:themeColor="text1" w:themeTint="D9"/>
          <w:szCs w:val="20"/>
        </w:rPr>
      </w:pPr>
      <w:r w:rsidRPr="00E465A1">
        <w:rPr>
          <w:color w:val="262626" w:themeColor="text1" w:themeTint="D9"/>
          <w:szCs w:val="20"/>
        </w:rPr>
        <w:t xml:space="preserve">Estimates and assumptions that have a potential significant effect are outlined in the following financial </w:t>
      </w:r>
      <w:r w:rsidR="00DB1D73" w:rsidRPr="00E465A1">
        <w:rPr>
          <w:color w:val="262626" w:themeColor="text1" w:themeTint="D9"/>
          <w:szCs w:val="20"/>
        </w:rPr>
        <w:br/>
      </w:r>
      <w:r w:rsidRPr="00E465A1">
        <w:rPr>
          <w:color w:val="262626" w:themeColor="text1" w:themeTint="D9"/>
          <w:szCs w:val="20"/>
        </w:rPr>
        <w:t>statement notes:</w:t>
      </w:r>
    </w:p>
    <w:p w:rsidR="0066790A" w:rsidRPr="00E465A1" w:rsidRDefault="0066790A" w:rsidP="0066790A">
      <w:pPr>
        <w:pStyle w:val="NormalindentbulletsL1"/>
        <w:rPr>
          <w:color w:val="262626" w:themeColor="text1" w:themeTint="D9"/>
          <w:szCs w:val="20"/>
        </w:rPr>
      </w:pPr>
      <w:r w:rsidRPr="00E465A1">
        <w:rPr>
          <w:color w:val="262626" w:themeColor="text1" w:themeTint="D9"/>
          <w:szCs w:val="20"/>
        </w:rPr>
        <w:t xml:space="preserve">Accrued Employee Benefits (Note </w:t>
      </w:r>
      <w:r w:rsidR="004205A3" w:rsidRPr="00E465A1">
        <w:rPr>
          <w:color w:val="262626" w:themeColor="text1" w:themeTint="D9"/>
          <w:szCs w:val="20"/>
        </w:rPr>
        <w:t>1</w:t>
      </w:r>
      <w:r w:rsidR="00700E6A" w:rsidRPr="00E465A1">
        <w:rPr>
          <w:color w:val="262626" w:themeColor="text1" w:themeTint="D9"/>
          <w:szCs w:val="20"/>
        </w:rPr>
        <w:t>4</w:t>
      </w:r>
      <w:r w:rsidRPr="00E465A1">
        <w:rPr>
          <w:color w:val="262626" w:themeColor="text1" w:themeTint="D9"/>
          <w:szCs w:val="20"/>
        </w:rPr>
        <w:t>)</w:t>
      </w:r>
    </w:p>
    <w:p w:rsidR="0066790A" w:rsidRPr="00E465A1" w:rsidRDefault="0066790A" w:rsidP="0066790A">
      <w:pPr>
        <w:pStyle w:val="NormalindentbulletsL1"/>
        <w:rPr>
          <w:color w:val="262626" w:themeColor="text1" w:themeTint="D9"/>
          <w:szCs w:val="20"/>
        </w:rPr>
      </w:pPr>
      <w:r w:rsidRPr="00E465A1">
        <w:rPr>
          <w:color w:val="262626" w:themeColor="text1" w:themeTint="D9"/>
          <w:szCs w:val="20"/>
        </w:rPr>
        <w:t>Provisions (Note</w:t>
      </w:r>
      <w:r w:rsidR="00612189" w:rsidRPr="00E465A1">
        <w:rPr>
          <w:color w:val="262626" w:themeColor="text1" w:themeTint="D9"/>
          <w:szCs w:val="20"/>
        </w:rPr>
        <w:t xml:space="preserve"> </w:t>
      </w:r>
      <w:r w:rsidR="007F503E" w:rsidRPr="00E465A1">
        <w:rPr>
          <w:color w:val="262626" w:themeColor="text1" w:themeTint="D9"/>
          <w:szCs w:val="20"/>
        </w:rPr>
        <w:t>1</w:t>
      </w:r>
      <w:r w:rsidR="00700E6A" w:rsidRPr="00E465A1">
        <w:rPr>
          <w:color w:val="262626" w:themeColor="text1" w:themeTint="D9"/>
          <w:szCs w:val="20"/>
        </w:rPr>
        <w:t>5</w:t>
      </w:r>
      <w:r w:rsidRPr="00E465A1">
        <w:rPr>
          <w:color w:val="262626" w:themeColor="text1" w:themeTint="D9"/>
          <w:szCs w:val="20"/>
        </w:rPr>
        <w:t>)</w:t>
      </w:r>
    </w:p>
    <w:p w:rsidR="0066790A" w:rsidRPr="00E465A1" w:rsidRDefault="0066790A" w:rsidP="0066790A">
      <w:pPr>
        <w:pStyle w:val="NormalindentbulletsL1"/>
        <w:rPr>
          <w:color w:val="262626" w:themeColor="text1" w:themeTint="D9"/>
          <w:szCs w:val="20"/>
        </w:rPr>
      </w:pPr>
      <w:r w:rsidRPr="00E465A1">
        <w:rPr>
          <w:color w:val="262626" w:themeColor="text1" w:themeTint="D9"/>
          <w:szCs w:val="20"/>
        </w:rPr>
        <w:t xml:space="preserve">Commitments for Expenditure (Note </w:t>
      </w:r>
      <w:r w:rsidR="004205A3" w:rsidRPr="00E465A1">
        <w:rPr>
          <w:color w:val="262626" w:themeColor="text1" w:themeTint="D9"/>
          <w:szCs w:val="20"/>
        </w:rPr>
        <w:t>1</w:t>
      </w:r>
      <w:r w:rsidR="00700E6A" w:rsidRPr="00E465A1">
        <w:rPr>
          <w:color w:val="262626" w:themeColor="text1" w:themeTint="D9"/>
          <w:szCs w:val="20"/>
        </w:rPr>
        <w:t>7</w:t>
      </w:r>
      <w:r w:rsidRPr="00E465A1">
        <w:rPr>
          <w:color w:val="262626" w:themeColor="text1" w:themeTint="D9"/>
          <w:szCs w:val="20"/>
        </w:rPr>
        <w:t>)</w:t>
      </w:r>
    </w:p>
    <w:p w:rsidR="0066790A" w:rsidRPr="00E465A1" w:rsidRDefault="0066790A" w:rsidP="0066790A">
      <w:pPr>
        <w:pStyle w:val="NormalindentbulletsL1"/>
        <w:rPr>
          <w:color w:val="262626" w:themeColor="text1" w:themeTint="D9"/>
          <w:szCs w:val="20"/>
        </w:rPr>
      </w:pPr>
      <w:r w:rsidRPr="00E465A1">
        <w:rPr>
          <w:color w:val="262626" w:themeColor="text1" w:themeTint="D9"/>
          <w:szCs w:val="20"/>
        </w:rPr>
        <w:t xml:space="preserve">Contingencies (Note </w:t>
      </w:r>
      <w:r w:rsidR="004205A3" w:rsidRPr="00E465A1">
        <w:rPr>
          <w:color w:val="262626" w:themeColor="text1" w:themeTint="D9"/>
          <w:szCs w:val="20"/>
        </w:rPr>
        <w:t>1</w:t>
      </w:r>
      <w:r w:rsidR="00700E6A" w:rsidRPr="00E465A1">
        <w:rPr>
          <w:color w:val="262626" w:themeColor="text1" w:themeTint="D9"/>
          <w:szCs w:val="20"/>
        </w:rPr>
        <w:t>8</w:t>
      </w:r>
      <w:r w:rsidRPr="00E465A1">
        <w:rPr>
          <w:color w:val="262626" w:themeColor="text1" w:themeTint="D9"/>
          <w:szCs w:val="20"/>
        </w:rPr>
        <w:t>)</w:t>
      </w:r>
    </w:p>
    <w:p w:rsidR="004215F0" w:rsidRPr="00E465A1" w:rsidRDefault="004215F0" w:rsidP="00306CEF">
      <w:pPr>
        <w:pStyle w:val="Normalindent1stpara"/>
        <w:rPr>
          <w:color w:val="262626" w:themeColor="text1" w:themeTint="D9"/>
        </w:rPr>
      </w:pPr>
    </w:p>
    <w:p w:rsidR="00715F8D" w:rsidRPr="00E465A1" w:rsidRDefault="00276E72" w:rsidP="00715F8D">
      <w:pPr>
        <w:pStyle w:val="Normalhanginglist105pt"/>
        <w:rPr>
          <w:color w:val="262626" w:themeColor="text1" w:themeTint="D9"/>
          <w:sz w:val="22"/>
          <w:szCs w:val="22"/>
          <w:highlight w:val="yellow"/>
        </w:rPr>
      </w:pPr>
      <w:bookmarkStart w:id="4" w:name="OLE_LINK8"/>
      <w:bookmarkStart w:id="5" w:name="OLE_LINK9"/>
      <w:r w:rsidRPr="00E465A1">
        <w:rPr>
          <w:color w:val="262626" w:themeColor="text1" w:themeTint="D9"/>
          <w:sz w:val="22"/>
          <w:szCs w:val="22"/>
        </w:rPr>
        <w:t>(</w:t>
      </w:r>
      <w:r w:rsidR="007F503E" w:rsidRPr="00E465A1">
        <w:rPr>
          <w:color w:val="262626" w:themeColor="text1" w:themeTint="D9"/>
          <w:sz w:val="22"/>
          <w:szCs w:val="22"/>
        </w:rPr>
        <w:t>h</w:t>
      </w:r>
      <w:r w:rsidRPr="00E465A1">
        <w:rPr>
          <w:color w:val="262626" w:themeColor="text1" w:themeTint="D9"/>
          <w:sz w:val="22"/>
          <w:szCs w:val="22"/>
        </w:rPr>
        <w:t>)</w:t>
      </w:r>
      <w:r w:rsidRPr="00E465A1">
        <w:rPr>
          <w:color w:val="262626" w:themeColor="text1" w:themeTint="D9"/>
          <w:sz w:val="22"/>
          <w:szCs w:val="22"/>
        </w:rPr>
        <w:tab/>
        <w:t>New and Revised Accounting Standards</w:t>
      </w:r>
      <w:bookmarkEnd w:id="4"/>
      <w:bookmarkEnd w:id="5"/>
    </w:p>
    <w:p w:rsidR="005F2F9B" w:rsidRPr="00E465A1" w:rsidRDefault="005F2F9B" w:rsidP="005F2F9B">
      <w:pPr>
        <w:pStyle w:val="NormalIndent1"/>
        <w:rPr>
          <w:color w:val="262626" w:themeColor="text1" w:themeTint="D9"/>
          <w:szCs w:val="20"/>
        </w:rPr>
      </w:pPr>
      <w:r w:rsidRPr="00E465A1">
        <w:rPr>
          <w:color w:val="262626" w:themeColor="text1" w:themeTint="D9"/>
          <w:szCs w:val="20"/>
        </w:rPr>
        <w:t>At the date of authorisation of the financial statements, the expected impact of new or amended Australian Accounting Standards and Interpretations with future commencement dates relevant to the CCC is set out below:</w:t>
      </w:r>
    </w:p>
    <w:p w:rsidR="006C1A3C" w:rsidRPr="00E465A1" w:rsidRDefault="006C1A3C" w:rsidP="00DB1D73">
      <w:pPr>
        <w:pStyle w:val="Normalindent1stpara"/>
        <w:rPr>
          <w:rFonts w:ascii="Arial" w:hAnsi="Arial"/>
          <w:bCs/>
          <w:iCs/>
          <w:color w:val="262626" w:themeColor="text1" w:themeTint="D9"/>
          <w:szCs w:val="20"/>
          <w:lang w:eastAsia="en-AU"/>
        </w:rPr>
      </w:pPr>
    </w:p>
    <w:p w:rsidR="00BD3650" w:rsidRPr="00E465A1" w:rsidRDefault="00BD3650" w:rsidP="00DB1D73">
      <w:pPr>
        <w:pStyle w:val="Normalindent1stpara"/>
        <w:rPr>
          <w:b/>
          <w:bCs/>
          <w:i/>
          <w:iCs/>
          <w:color w:val="262626" w:themeColor="text1" w:themeTint="D9"/>
          <w:szCs w:val="20"/>
          <w:lang w:eastAsia="en-AU"/>
        </w:rPr>
      </w:pPr>
      <w:proofErr w:type="spellStart"/>
      <w:r w:rsidRPr="00E465A1">
        <w:rPr>
          <w:b/>
          <w:bCs/>
          <w:i/>
          <w:iCs/>
          <w:color w:val="262626" w:themeColor="text1" w:themeTint="D9"/>
          <w:szCs w:val="20"/>
          <w:lang w:eastAsia="en-AU"/>
        </w:rPr>
        <w:t>AASB</w:t>
      </w:r>
      <w:proofErr w:type="spellEnd"/>
      <w:r w:rsidRPr="00E465A1">
        <w:rPr>
          <w:b/>
          <w:bCs/>
          <w:i/>
          <w:iCs/>
          <w:color w:val="262626" w:themeColor="text1" w:themeTint="D9"/>
          <w:szCs w:val="20"/>
          <w:lang w:eastAsia="en-AU"/>
        </w:rPr>
        <w:t xml:space="preserve"> 9 Financial Instruments and </w:t>
      </w:r>
      <w:proofErr w:type="spellStart"/>
      <w:r w:rsidRPr="00E465A1">
        <w:rPr>
          <w:b/>
          <w:bCs/>
          <w:i/>
          <w:iCs/>
          <w:color w:val="262626" w:themeColor="text1" w:themeTint="D9"/>
          <w:szCs w:val="20"/>
          <w:lang w:eastAsia="en-AU"/>
        </w:rPr>
        <w:t>AASB</w:t>
      </w:r>
      <w:proofErr w:type="spellEnd"/>
      <w:r w:rsidRPr="00E465A1">
        <w:rPr>
          <w:b/>
          <w:bCs/>
          <w:i/>
          <w:iCs/>
          <w:color w:val="262626" w:themeColor="text1" w:themeTint="D9"/>
          <w:szCs w:val="20"/>
          <w:lang w:eastAsia="en-AU"/>
        </w:rPr>
        <w:t xml:space="preserve"> 2014-7 Amendments to Australian Accounting Standards arising from </w:t>
      </w:r>
      <w:proofErr w:type="spellStart"/>
      <w:r w:rsidRPr="00E465A1">
        <w:rPr>
          <w:b/>
          <w:bCs/>
          <w:i/>
          <w:iCs/>
          <w:color w:val="262626" w:themeColor="text1" w:themeTint="D9"/>
          <w:szCs w:val="20"/>
          <w:lang w:eastAsia="en-AU"/>
        </w:rPr>
        <w:t>AASB</w:t>
      </w:r>
      <w:proofErr w:type="spellEnd"/>
      <w:r w:rsidRPr="00E465A1">
        <w:rPr>
          <w:b/>
          <w:bCs/>
          <w:i/>
          <w:iCs/>
          <w:color w:val="262626" w:themeColor="text1" w:themeTint="D9"/>
          <w:szCs w:val="20"/>
          <w:lang w:eastAsia="en-AU"/>
        </w:rPr>
        <w:t xml:space="preserve"> 9 (December 2014)</w:t>
      </w:r>
    </w:p>
    <w:p w:rsidR="00AF765D" w:rsidRPr="00E465A1" w:rsidRDefault="00AF765D" w:rsidP="00DB1D73">
      <w:pPr>
        <w:pStyle w:val="Normalindent1stpara"/>
        <w:rPr>
          <w:rFonts w:ascii="Arial" w:hAnsi="Arial"/>
          <w:b/>
          <w:bCs/>
          <w:i/>
          <w:iCs/>
          <w:color w:val="262626" w:themeColor="text1" w:themeTint="D9"/>
          <w:szCs w:val="20"/>
          <w:lang w:eastAsia="en-AU"/>
        </w:rPr>
      </w:pPr>
    </w:p>
    <w:p w:rsidR="00125D5F" w:rsidRPr="00E465A1" w:rsidRDefault="00BD3650" w:rsidP="00DB1D73">
      <w:pPr>
        <w:pStyle w:val="Normalindent1stpara"/>
        <w:rPr>
          <w:color w:val="262626" w:themeColor="text1" w:themeTint="D9"/>
          <w:szCs w:val="20"/>
          <w:lang w:eastAsia="en-AU"/>
        </w:rPr>
      </w:pPr>
      <w:r w:rsidRPr="00E465A1">
        <w:rPr>
          <w:color w:val="262626" w:themeColor="text1" w:themeTint="D9"/>
          <w:szCs w:val="20"/>
          <w:lang w:eastAsia="en-AU"/>
        </w:rPr>
        <w:t xml:space="preserve">This standard will first apply to the CCC from 1 July 2018 for its 2018-19 financial statements. The main impact of these standards on the CCC are that they will change the requirements for the classification, measurement, impairment and disclosures associated with the CCC’s financial assets.  </w:t>
      </w:r>
      <w:proofErr w:type="spellStart"/>
      <w:r w:rsidRPr="00E465A1">
        <w:rPr>
          <w:color w:val="262626" w:themeColor="text1" w:themeTint="D9"/>
          <w:szCs w:val="20"/>
          <w:lang w:eastAsia="en-AU"/>
        </w:rPr>
        <w:t>AASB</w:t>
      </w:r>
      <w:proofErr w:type="spellEnd"/>
      <w:r w:rsidRPr="00E465A1">
        <w:rPr>
          <w:color w:val="262626" w:themeColor="text1" w:themeTint="D9"/>
          <w:szCs w:val="20"/>
          <w:lang w:eastAsia="en-AU"/>
        </w:rPr>
        <w:t xml:space="preserve"> 9</w:t>
      </w:r>
      <w:r w:rsidR="00125D5F" w:rsidRPr="00E465A1">
        <w:rPr>
          <w:color w:val="262626" w:themeColor="text1" w:themeTint="D9"/>
          <w:szCs w:val="20"/>
          <w:lang w:eastAsia="en-AU"/>
        </w:rPr>
        <w:t xml:space="preserve"> will introduce different criteria for whether financial assets can be measured at amortised cost or fair value.</w:t>
      </w:r>
    </w:p>
    <w:p w:rsidR="00125D5F" w:rsidRPr="00E465A1" w:rsidRDefault="00125D5F" w:rsidP="00125D5F">
      <w:pPr>
        <w:pStyle w:val="Normalindent1stpara"/>
        <w:spacing w:before="120"/>
        <w:rPr>
          <w:color w:val="262626" w:themeColor="text1" w:themeTint="D9"/>
          <w:szCs w:val="20"/>
          <w:lang w:eastAsia="en-AU"/>
        </w:rPr>
      </w:pPr>
      <w:r w:rsidRPr="00E465A1">
        <w:rPr>
          <w:color w:val="262626" w:themeColor="text1" w:themeTint="D9"/>
          <w:szCs w:val="20"/>
          <w:lang w:eastAsia="en-AU"/>
        </w:rPr>
        <w:t xml:space="preserve">The CCC has reviewed the impact of </w:t>
      </w:r>
      <w:proofErr w:type="spellStart"/>
      <w:r w:rsidRPr="00E465A1">
        <w:rPr>
          <w:color w:val="262626" w:themeColor="text1" w:themeTint="D9"/>
          <w:szCs w:val="20"/>
          <w:lang w:eastAsia="en-AU"/>
        </w:rPr>
        <w:t>AASB</w:t>
      </w:r>
      <w:proofErr w:type="spellEnd"/>
      <w:r w:rsidRPr="00E465A1">
        <w:rPr>
          <w:color w:val="262626" w:themeColor="text1" w:themeTint="D9"/>
          <w:szCs w:val="20"/>
          <w:lang w:eastAsia="en-AU"/>
        </w:rPr>
        <w:t xml:space="preserve"> 9 on the classification and measurement of its financial assets.  The following summari</w:t>
      </w:r>
      <w:r w:rsidR="008D2E3A" w:rsidRPr="00E465A1">
        <w:rPr>
          <w:color w:val="262626" w:themeColor="text1" w:themeTint="D9"/>
          <w:szCs w:val="20"/>
          <w:lang w:eastAsia="en-AU"/>
        </w:rPr>
        <w:t>s</w:t>
      </w:r>
      <w:r w:rsidRPr="00E465A1">
        <w:rPr>
          <w:color w:val="262626" w:themeColor="text1" w:themeTint="D9"/>
          <w:szCs w:val="20"/>
          <w:lang w:eastAsia="en-AU"/>
        </w:rPr>
        <w:t xml:space="preserve">es the estimated impact of </w:t>
      </w:r>
      <w:proofErr w:type="spellStart"/>
      <w:r w:rsidRPr="00E465A1">
        <w:rPr>
          <w:color w:val="262626" w:themeColor="text1" w:themeTint="D9"/>
          <w:szCs w:val="20"/>
          <w:lang w:eastAsia="en-AU"/>
        </w:rPr>
        <w:t>AASB</w:t>
      </w:r>
      <w:proofErr w:type="spellEnd"/>
      <w:r w:rsidRPr="00E465A1">
        <w:rPr>
          <w:color w:val="262626" w:themeColor="text1" w:themeTint="D9"/>
          <w:szCs w:val="20"/>
          <w:lang w:eastAsia="en-AU"/>
        </w:rPr>
        <w:t xml:space="preserve"> 9 will change the categorisation and valuation of the amounts reported in Note 19:</w:t>
      </w:r>
    </w:p>
    <w:p w:rsidR="00BD3650" w:rsidRPr="00E465A1" w:rsidRDefault="00125D5F" w:rsidP="00125D5F">
      <w:pPr>
        <w:pStyle w:val="Normalindent1stpara"/>
        <w:numPr>
          <w:ilvl w:val="0"/>
          <w:numId w:val="6"/>
        </w:numPr>
        <w:spacing w:before="120"/>
        <w:ind w:hanging="11"/>
        <w:rPr>
          <w:color w:val="262626" w:themeColor="text1" w:themeTint="D9"/>
          <w:szCs w:val="20"/>
          <w:lang w:eastAsia="en-AU"/>
        </w:rPr>
      </w:pPr>
      <w:r w:rsidRPr="00E465A1">
        <w:rPr>
          <w:color w:val="262626" w:themeColor="text1" w:themeTint="D9"/>
          <w:szCs w:val="20"/>
          <w:lang w:eastAsia="en-AU"/>
        </w:rPr>
        <w:t>There will be no change to either the classification or valuation of the cash and cash equivalents item.</w:t>
      </w:r>
    </w:p>
    <w:p w:rsidR="008D2E3A" w:rsidRPr="00E465A1" w:rsidRDefault="008D2E3A" w:rsidP="008D2E3A">
      <w:pPr>
        <w:pStyle w:val="Normalindent1stpara"/>
        <w:spacing w:before="120"/>
        <w:ind w:left="720"/>
        <w:rPr>
          <w:color w:val="262626" w:themeColor="text1" w:themeTint="D9"/>
          <w:szCs w:val="20"/>
          <w:lang w:eastAsia="en-AU"/>
        </w:rPr>
      </w:pPr>
    </w:p>
    <w:p w:rsidR="008D2E3A" w:rsidRPr="00E465A1" w:rsidRDefault="008D2E3A" w:rsidP="008D2E3A">
      <w:pPr>
        <w:pStyle w:val="Normalindent1stpara"/>
        <w:spacing w:before="120"/>
        <w:ind w:left="720"/>
        <w:rPr>
          <w:color w:val="262626" w:themeColor="text1" w:themeTint="D9"/>
          <w:lang w:eastAsia="en-AU"/>
        </w:rPr>
      </w:pPr>
    </w:p>
    <w:p w:rsidR="008D2E3A" w:rsidRPr="00E465A1" w:rsidRDefault="008D2E3A" w:rsidP="008D2E3A">
      <w:pPr>
        <w:pStyle w:val="Normal115pttext"/>
        <w:spacing w:line="360" w:lineRule="auto"/>
        <w:rPr>
          <w:color w:val="262626" w:themeColor="text1" w:themeTint="D9"/>
          <w:szCs w:val="23"/>
        </w:rPr>
      </w:pPr>
      <w:r w:rsidRPr="00E465A1">
        <w:rPr>
          <w:color w:val="262626" w:themeColor="text1" w:themeTint="D9"/>
          <w:szCs w:val="23"/>
        </w:rPr>
        <w:lastRenderedPageBreak/>
        <w:t>Note 1: Summary of Significant Accounting Policies (cont’d)</w:t>
      </w:r>
    </w:p>
    <w:p w:rsidR="008D2E3A" w:rsidRPr="00E465A1" w:rsidRDefault="008D2E3A" w:rsidP="008D2E3A">
      <w:pPr>
        <w:pStyle w:val="Normalhanginglist105pt"/>
        <w:spacing w:line="360" w:lineRule="auto"/>
        <w:rPr>
          <w:color w:val="262626" w:themeColor="text1" w:themeTint="D9"/>
          <w:sz w:val="22"/>
          <w:szCs w:val="22"/>
          <w:highlight w:val="yellow"/>
        </w:rPr>
      </w:pPr>
      <w:r w:rsidRPr="00E465A1">
        <w:rPr>
          <w:color w:val="262626" w:themeColor="text1" w:themeTint="D9"/>
          <w:sz w:val="22"/>
          <w:szCs w:val="22"/>
        </w:rPr>
        <w:t>(h)</w:t>
      </w:r>
      <w:r w:rsidRPr="00E465A1">
        <w:rPr>
          <w:color w:val="262626" w:themeColor="text1" w:themeTint="D9"/>
          <w:sz w:val="22"/>
          <w:szCs w:val="22"/>
        </w:rPr>
        <w:tab/>
        <w:t>New and Revised Accounting Standards (cont’d)</w:t>
      </w:r>
    </w:p>
    <w:p w:rsidR="00AF765D" w:rsidRPr="00E465A1" w:rsidRDefault="008D2E3A" w:rsidP="00AF765D">
      <w:pPr>
        <w:pStyle w:val="Normalindent1stpara"/>
        <w:numPr>
          <w:ilvl w:val="0"/>
          <w:numId w:val="6"/>
        </w:numPr>
        <w:spacing w:before="120"/>
        <w:ind w:left="993" w:hanging="284"/>
        <w:rPr>
          <w:color w:val="262626" w:themeColor="text1" w:themeTint="D9"/>
          <w:szCs w:val="20"/>
          <w:lang w:eastAsia="en-AU"/>
        </w:rPr>
      </w:pPr>
      <w:r w:rsidRPr="00E465A1">
        <w:rPr>
          <w:color w:val="262626" w:themeColor="text1" w:themeTint="D9"/>
          <w:szCs w:val="20"/>
          <w:lang w:eastAsia="en-AU"/>
        </w:rPr>
        <w:t xml:space="preserve">Trade receivables will be classified and measured at amortised cost.  New impairment requirements will result in a provision of 5% being applied to all receivables rather than those receivables that are credit impaired.  The CCC will be adopting the simplified approach under </w:t>
      </w:r>
      <w:proofErr w:type="spellStart"/>
      <w:r w:rsidRPr="00E465A1">
        <w:rPr>
          <w:color w:val="262626" w:themeColor="text1" w:themeTint="D9"/>
          <w:szCs w:val="20"/>
          <w:lang w:eastAsia="en-AU"/>
        </w:rPr>
        <w:t>AASB</w:t>
      </w:r>
      <w:proofErr w:type="spellEnd"/>
      <w:r w:rsidRPr="00E465A1">
        <w:rPr>
          <w:color w:val="262626" w:themeColor="text1" w:themeTint="D9"/>
          <w:szCs w:val="20"/>
          <w:lang w:eastAsia="en-AU"/>
        </w:rPr>
        <w:t xml:space="preserve"> 9 and measure lifetime expected credit losses on all trade receivables.  Applying this approach the CCC has estimated the opening provision </w:t>
      </w:r>
      <w:r w:rsidR="00566E53" w:rsidRPr="00E465A1">
        <w:rPr>
          <w:color w:val="262626" w:themeColor="text1" w:themeTint="D9"/>
          <w:szCs w:val="20"/>
          <w:lang w:eastAsia="en-AU"/>
        </w:rPr>
        <w:t>for impairment of trade receivables on 1 July 2018 as $0.035m, an increase of $0.035m compared to the amount reported at 30 June 2018, resulting in net receivables of $0.658m on transition.</w:t>
      </w:r>
    </w:p>
    <w:p w:rsidR="00AF765D" w:rsidRPr="00E465A1" w:rsidRDefault="00AF765D" w:rsidP="00DB1D73">
      <w:pPr>
        <w:pStyle w:val="Normalindent1stpara"/>
        <w:rPr>
          <w:color w:val="262626" w:themeColor="text1" w:themeTint="D9"/>
          <w:szCs w:val="20"/>
          <w:lang w:eastAsia="en-AU"/>
        </w:rPr>
      </w:pPr>
    </w:p>
    <w:p w:rsidR="00BD3650" w:rsidRPr="00E465A1" w:rsidRDefault="00566E53" w:rsidP="00DB1D73">
      <w:pPr>
        <w:pStyle w:val="Normalindent1stpara"/>
        <w:rPr>
          <w:color w:val="262626" w:themeColor="text1" w:themeTint="D9"/>
          <w:szCs w:val="20"/>
          <w:lang w:eastAsia="en-AU"/>
        </w:rPr>
      </w:pPr>
      <w:r w:rsidRPr="00E465A1">
        <w:rPr>
          <w:color w:val="262626" w:themeColor="text1" w:themeTint="D9"/>
          <w:szCs w:val="20"/>
          <w:lang w:eastAsia="en-AU"/>
        </w:rPr>
        <w:t xml:space="preserve">These changed amounts will form the opening balance of those items on the date </w:t>
      </w:r>
      <w:proofErr w:type="spellStart"/>
      <w:r w:rsidRPr="00E465A1">
        <w:rPr>
          <w:color w:val="262626" w:themeColor="text1" w:themeTint="D9"/>
          <w:szCs w:val="20"/>
          <w:lang w:eastAsia="en-AU"/>
        </w:rPr>
        <w:t>AASB</w:t>
      </w:r>
      <w:proofErr w:type="spellEnd"/>
      <w:r w:rsidRPr="00E465A1">
        <w:rPr>
          <w:color w:val="262626" w:themeColor="text1" w:themeTint="D9"/>
          <w:szCs w:val="20"/>
          <w:lang w:eastAsia="en-AU"/>
        </w:rPr>
        <w:t xml:space="preserve"> 9 is adopted.  However, the CCC will not restate comparative figures for financial instruments on adopting </w:t>
      </w:r>
      <w:proofErr w:type="spellStart"/>
      <w:r w:rsidRPr="00E465A1">
        <w:rPr>
          <w:color w:val="262626" w:themeColor="text1" w:themeTint="D9"/>
          <w:szCs w:val="20"/>
          <w:lang w:eastAsia="en-AU"/>
        </w:rPr>
        <w:t>AASB</w:t>
      </w:r>
      <w:proofErr w:type="spellEnd"/>
      <w:r w:rsidRPr="00E465A1">
        <w:rPr>
          <w:color w:val="262626" w:themeColor="text1" w:themeTint="D9"/>
          <w:szCs w:val="20"/>
          <w:lang w:eastAsia="en-AU"/>
        </w:rPr>
        <w:t xml:space="preserve"> 9 as from 2018-19.  In 2018-19 there will be a number of one-off disclosures to explain the impact of adopting </w:t>
      </w:r>
      <w:proofErr w:type="spellStart"/>
      <w:r w:rsidRPr="00E465A1">
        <w:rPr>
          <w:color w:val="262626" w:themeColor="text1" w:themeTint="D9"/>
          <w:szCs w:val="20"/>
          <w:lang w:eastAsia="en-AU"/>
        </w:rPr>
        <w:t>AASB</w:t>
      </w:r>
      <w:proofErr w:type="spellEnd"/>
      <w:r w:rsidRPr="00E465A1">
        <w:rPr>
          <w:color w:val="262626" w:themeColor="text1" w:themeTint="D9"/>
          <w:szCs w:val="20"/>
          <w:lang w:eastAsia="en-AU"/>
        </w:rPr>
        <w:t xml:space="preserve"> 9.  Assuming no change in the types of financial instruments that the CCC enter into, the most likely ongoing disclosure impacts are expected to relate to the credit risk of financial assets subject to impairment.   </w:t>
      </w:r>
    </w:p>
    <w:p w:rsidR="00BD3650" w:rsidRPr="00E465A1" w:rsidRDefault="00BD3650" w:rsidP="00566E53">
      <w:pPr>
        <w:pStyle w:val="Normalindent1stpara"/>
        <w:ind w:left="0"/>
        <w:rPr>
          <w:b/>
          <w:bCs/>
          <w:i/>
          <w:iCs/>
          <w:color w:val="262626" w:themeColor="text1" w:themeTint="D9"/>
          <w:szCs w:val="20"/>
          <w:lang w:eastAsia="en-AU"/>
        </w:rPr>
      </w:pPr>
    </w:p>
    <w:p w:rsidR="005F2F9B" w:rsidRPr="00E465A1" w:rsidRDefault="005F2F9B" w:rsidP="00627943">
      <w:pPr>
        <w:pStyle w:val="Normalindent1stpara"/>
        <w:spacing w:line="240" w:lineRule="auto"/>
        <w:rPr>
          <w:color w:val="262626" w:themeColor="text1" w:themeTint="D9"/>
          <w:szCs w:val="20"/>
          <w:highlight w:val="yellow"/>
        </w:rPr>
      </w:pPr>
      <w:proofErr w:type="spellStart"/>
      <w:r w:rsidRPr="00E465A1">
        <w:rPr>
          <w:b/>
          <w:bCs/>
          <w:i/>
          <w:iCs/>
          <w:color w:val="262626" w:themeColor="text1" w:themeTint="D9"/>
          <w:szCs w:val="20"/>
          <w:lang w:eastAsia="en-AU"/>
        </w:rPr>
        <w:t>AASB</w:t>
      </w:r>
      <w:proofErr w:type="spellEnd"/>
      <w:r w:rsidRPr="00E465A1">
        <w:rPr>
          <w:b/>
          <w:bCs/>
          <w:i/>
          <w:iCs/>
          <w:color w:val="262626" w:themeColor="text1" w:themeTint="D9"/>
          <w:szCs w:val="20"/>
          <w:lang w:eastAsia="en-AU"/>
        </w:rPr>
        <w:t xml:space="preserve"> 16 Leases</w:t>
      </w:r>
    </w:p>
    <w:p w:rsidR="00AF765D" w:rsidRPr="00E465A1" w:rsidRDefault="00AF765D" w:rsidP="00627943">
      <w:pPr>
        <w:autoSpaceDE w:val="0"/>
        <w:autoSpaceDN w:val="0"/>
        <w:adjustRightInd w:val="0"/>
        <w:spacing w:line="240" w:lineRule="auto"/>
        <w:ind w:left="426"/>
        <w:rPr>
          <w:rFonts w:cs="Arial"/>
          <w:color w:val="262626" w:themeColor="text1" w:themeTint="D9"/>
          <w:lang w:eastAsia="en-AU"/>
        </w:rPr>
      </w:pPr>
    </w:p>
    <w:p w:rsidR="005F2F9B" w:rsidRPr="00E465A1" w:rsidRDefault="005F2F9B" w:rsidP="00627943">
      <w:pPr>
        <w:autoSpaceDE w:val="0"/>
        <w:autoSpaceDN w:val="0"/>
        <w:adjustRightInd w:val="0"/>
        <w:spacing w:line="240" w:lineRule="auto"/>
        <w:ind w:left="426"/>
        <w:rPr>
          <w:rFonts w:cs="Arial"/>
          <w:color w:val="262626" w:themeColor="text1" w:themeTint="D9"/>
          <w:lang w:eastAsia="en-AU"/>
        </w:rPr>
      </w:pPr>
      <w:r w:rsidRPr="00E465A1">
        <w:rPr>
          <w:rFonts w:cs="Arial"/>
          <w:color w:val="262626" w:themeColor="text1" w:themeTint="D9"/>
          <w:lang w:eastAsia="en-AU"/>
        </w:rPr>
        <w:t>This standard wi</w:t>
      </w:r>
      <w:r w:rsidR="000B41C2" w:rsidRPr="00E465A1">
        <w:rPr>
          <w:rFonts w:cs="Arial"/>
          <w:color w:val="262626" w:themeColor="text1" w:themeTint="D9"/>
          <w:lang w:eastAsia="en-AU"/>
        </w:rPr>
        <w:t>ll first apply to the CCC</w:t>
      </w:r>
      <w:r w:rsidRPr="00E465A1">
        <w:rPr>
          <w:rFonts w:cs="Arial"/>
          <w:color w:val="262626" w:themeColor="text1" w:themeTint="D9"/>
          <w:lang w:eastAsia="en-AU"/>
        </w:rPr>
        <w:t xml:space="preserve"> from </w:t>
      </w:r>
      <w:r w:rsidR="00512A1B" w:rsidRPr="00E465A1">
        <w:rPr>
          <w:rFonts w:cs="Arial"/>
          <w:color w:val="262626" w:themeColor="text1" w:themeTint="D9"/>
          <w:lang w:eastAsia="en-AU"/>
        </w:rPr>
        <w:t xml:space="preserve">2019-20 </w:t>
      </w:r>
      <w:r w:rsidR="00BC6898" w:rsidRPr="00E465A1">
        <w:rPr>
          <w:rFonts w:cs="Arial"/>
          <w:color w:val="262626" w:themeColor="text1" w:themeTint="D9"/>
          <w:lang w:eastAsia="en-AU"/>
        </w:rPr>
        <w:t>for its financial statements</w:t>
      </w:r>
      <w:r w:rsidR="006C1A3C" w:rsidRPr="00E465A1">
        <w:rPr>
          <w:rFonts w:cs="Arial"/>
          <w:color w:val="262626" w:themeColor="text1" w:themeTint="D9"/>
          <w:lang w:eastAsia="en-AU"/>
        </w:rPr>
        <w:t xml:space="preserve">.  When applied, the standard </w:t>
      </w:r>
      <w:r w:rsidRPr="00E465A1">
        <w:rPr>
          <w:rFonts w:cs="Arial"/>
          <w:color w:val="262626" w:themeColor="text1" w:themeTint="D9"/>
          <w:lang w:eastAsia="en-AU"/>
        </w:rPr>
        <w:t xml:space="preserve">supersedes </w:t>
      </w:r>
      <w:proofErr w:type="spellStart"/>
      <w:r w:rsidRPr="00E465A1">
        <w:rPr>
          <w:rFonts w:cs="Arial"/>
          <w:color w:val="262626" w:themeColor="text1" w:themeTint="D9"/>
          <w:lang w:eastAsia="en-AU"/>
        </w:rPr>
        <w:t>AASB</w:t>
      </w:r>
      <w:proofErr w:type="spellEnd"/>
      <w:r w:rsidRPr="00E465A1">
        <w:rPr>
          <w:rFonts w:cs="Arial"/>
          <w:color w:val="262626" w:themeColor="text1" w:themeTint="D9"/>
          <w:lang w:eastAsia="en-AU"/>
        </w:rPr>
        <w:t xml:space="preserve"> 117 Leases, </w:t>
      </w:r>
      <w:proofErr w:type="spellStart"/>
      <w:r w:rsidRPr="00E465A1">
        <w:rPr>
          <w:rFonts w:cs="Arial"/>
          <w:color w:val="262626" w:themeColor="text1" w:themeTint="D9"/>
          <w:lang w:eastAsia="en-AU"/>
        </w:rPr>
        <w:t>AASB</w:t>
      </w:r>
      <w:proofErr w:type="spellEnd"/>
      <w:r w:rsidRPr="00E465A1">
        <w:rPr>
          <w:rFonts w:cs="Arial"/>
          <w:color w:val="262626" w:themeColor="text1" w:themeTint="D9"/>
          <w:lang w:eastAsia="en-AU"/>
        </w:rPr>
        <w:t xml:space="preserve"> Interpretation 4 Determining whether an Arr</w:t>
      </w:r>
      <w:r w:rsidR="006C1A3C" w:rsidRPr="00E465A1">
        <w:rPr>
          <w:rFonts w:cs="Arial"/>
          <w:color w:val="262626" w:themeColor="text1" w:themeTint="D9"/>
          <w:lang w:eastAsia="en-AU"/>
        </w:rPr>
        <w:t xml:space="preserve">angement contains a Lease, </w:t>
      </w:r>
      <w:proofErr w:type="spellStart"/>
      <w:r w:rsidR="006C1A3C" w:rsidRPr="00E465A1">
        <w:rPr>
          <w:rFonts w:cs="Arial"/>
          <w:color w:val="262626" w:themeColor="text1" w:themeTint="D9"/>
          <w:lang w:eastAsia="en-AU"/>
        </w:rPr>
        <w:t>AASB</w:t>
      </w:r>
      <w:proofErr w:type="spellEnd"/>
      <w:r w:rsidR="006C1A3C" w:rsidRPr="00E465A1">
        <w:rPr>
          <w:rFonts w:cs="Arial"/>
          <w:color w:val="262626" w:themeColor="text1" w:themeTint="D9"/>
          <w:lang w:eastAsia="en-AU"/>
        </w:rPr>
        <w:t xml:space="preserve"> </w:t>
      </w:r>
      <w:r w:rsidRPr="00E465A1">
        <w:rPr>
          <w:rFonts w:cs="Arial"/>
          <w:color w:val="262626" w:themeColor="text1" w:themeTint="D9"/>
          <w:lang w:eastAsia="en-AU"/>
        </w:rPr>
        <w:t xml:space="preserve">Interpretation 115 Operating Leases – Incentives and </w:t>
      </w:r>
      <w:proofErr w:type="spellStart"/>
      <w:r w:rsidRPr="00E465A1">
        <w:rPr>
          <w:rFonts w:cs="Arial"/>
          <w:color w:val="262626" w:themeColor="text1" w:themeTint="D9"/>
          <w:lang w:eastAsia="en-AU"/>
        </w:rPr>
        <w:t>AASB</w:t>
      </w:r>
      <w:proofErr w:type="spellEnd"/>
      <w:r w:rsidRPr="00E465A1">
        <w:rPr>
          <w:rFonts w:cs="Arial"/>
          <w:color w:val="262626" w:themeColor="text1" w:themeTint="D9"/>
          <w:lang w:eastAsia="en-AU"/>
        </w:rPr>
        <w:t xml:space="preserve"> Interpretation 127 Evaluatin</w:t>
      </w:r>
      <w:r w:rsidR="006C1A3C" w:rsidRPr="00E465A1">
        <w:rPr>
          <w:rFonts w:cs="Arial"/>
          <w:color w:val="262626" w:themeColor="text1" w:themeTint="D9"/>
          <w:lang w:eastAsia="en-AU"/>
        </w:rPr>
        <w:t xml:space="preserve">g the Substance of Transactions </w:t>
      </w:r>
      <w:r w:rsidRPr="00E465A1">
        <w:rPr>
          <w:rFonts w:cs="Arial"/>
          <w:color w:val="262626" w:themeColor="text1" w:themeTint="D9"/>
          <w:lang w:eastAsia="en-AU"/>
        </w:rPr>
        <w:t>Involving the Legal Form of a Lease.</w:t>
      </w:r>
    </w:p>
    <w:p w:rsidR="000B41C2" w:rsidRPr="00E465A1" w:rsidRDefault="000B41C2" w:rsidP="000B41C2">
      <w:pPr>
        <w:autoSpaceDE w:val="0"/>
        <w:autoSpaceDN w:val="0"/>
        <w:adjustRightInd w:val="0"/>
        <w:spacing w:before="0" w:line="240" w:lineRule="auto"/>
        <w:ind w:firstLine="426"/>
        <w:rPr>
          <w:rFonts w:cs="Arial"/>
          <w:color w:val="262626" w:themeColor="text1" w:themeTint="D9"/>
          <w:lang w:eastAsia="en-AU"/>
        </w:rPr>
      </w:pPr>
    </w:p>
    <w:p w:rsidR="000B41C2" w:rsidRPr="00E465A1" w:rsidRDefault="000B41C2" w:rsidP="000B41C2">
      <w:pPr>
        <w:autoSpaceDE w:val="0"/>
        <w:autoSpaceDN w:val="0"/>
        <w:adjustRightInd w:val="0"/>
        <w:spacing w:before="0" w:line="240" w:lineRule="auto"/>
        <w:ind w:firstLine="426"/>
        <w:rPr>
          <w:rFonts w:cs="Arial"/>
          <w:color w:val="262626" w:themeColor="text1" w:themeTint="D9"/>
          <w:lang w:eastAsia="en-AU"/>
        </w:rPr>
      </w:pPr>
      <w:r w:rsidRPr="00E465A1">
        <w:rPr>
          <w:rFonts w:cs="Arial"/>
          <w:color w:val="262626" w:themeColor="text1" w:themeTint="D9"/>
          <w:lang w:eastAsia="en-AU"/>
        </w:rPr>
        <w:t xml:space="preserve">Unlike </w:t>
      </w:r>
      <w:proofErr w:type="spellStart"/>
      <w:r w:rsidRPr="00E465A1">
        <w:rPr>
          <w:rFonts w:cs="Arial"/>
          <w:color w:val="262626" w:themeColor="text1" w:themeTint="D9"/>
          <w:lang w:eastAsia="en-AU"/>
        </w:rPr>
        <w:t>AASB</w:t>
      </w:r>
      <w:proofErr w:type="spellEnd"/>
      <w:r w:rsidRPr="00E465A1">
        <w:rPr>
          <w:rFonts w:cs="Arial"/>
          <w:color w:val="262626" w:themeColor="text1" w:themeTint="D9"/>
          <w:lang w:eastAsia="en-AU"/>
        </w:rPr>
        <w:t xml:space="preserve"> 117 Leases, </w:t>
      </w:r>
      <w:proofErr w:type="spellStart"/>
      <w:r w:rsidRPr="00E465A1">
        <w:rPr>
          <w:rFonts w:cs="Arial"/>
          <w:color w:val="262626" w:themeColor="text1" w:themeTint="D9"/>
          <w:lang w:eastAsia="en-AU"/>
        </w:rPr>
        <w:t>AASB</w:t>
      </w:r>
      <w:proofErr w:type="spellEnd"/>
      <w:r w:rsidRPr="00E465A1">
        <w:rPr>
          <w:rFonts w:cs="Arial"/>
          <w:color w:val="262626" w:themeColor="text1" w:themeTint="D9"/>
          <w:lang w:eastAsia="en-AU"/>
        </w:rPr>
        <w:t xml:space="preserve"> 16 introduces a single lease accounting model for lessees. Lessees will be required to</w:t>
      </w:r>
    </w:p>
    <w:p w:rsidR="000B41C2" w:rsidRPr="00E465A1" w:rsidRDefault="000B41C2" w:rsidP="000B41C2">
      <w:pPr>
        <w:autoSpaceDE w:val="0"/>
        <w:autoSpaceDN w:val="0"/>
        <w:adjustRightInd w:val="0"/>
        <w:spacing w:before="0" w:line="240" w:lineRule="auto"/>
        <w:ind w:firstLine="426"/>
        <w:rPr>
          <w:rFonts w:cs="Arial"/>
          <w:color w:val="262626" w:themeColor="text1" w:themeTint="D9"/>
          <w:lang w:eastAsia="en-AU"/>
        </w:rPr>
      </w:pPr>
      <w:proofErr w:type="gramStart"/>
      <w:r w:rsidRPr="00E465A1">
        <w:rPr>
          <w:rFonts w:cs="Arial"/>
          <w:color w:val="262626" w:themeColor="text1" w:themeTint="D9"/>
          <w:lang w:eastAsia="en-AU"/>
        </w:rPr>
        <w:t>recognise</w:t>
      </w:r>
      <w:proofErr w:type="gramEnd"/>
      <w:r w:rsidRPr="00E465A1">
        <w:rPr>
          <w:rFonts w:cs="Arial"/>
          <w:color w:val="262626" w:themeColor="text1" w:themeTint="D9"/>
          <w:lang w:eastAsia="en-AU"/>
        </w:rPr>
        <w:t xml:space="preserve"> a right-of-use asset (representing rights to use the underlying leased asset) and a liability (representing the</w:t>
      </w:r>
    </w:p>
    <w:p w:rsidR="000B41C2" w:rsidRPr="00E465A1" w:rsidRDefault="000B41C2" w:rsidP="000B41C2">
      <w:pPr>
        <w:autoSpaceDE w:val="0"/>
        <w:autoSpaceDN w:val="0"/>
        <w:adjustRightInd w:val="0"/>
        <w:spacing w:before="0" w:line="240" w:lineRule="auto"/>
        <w:ind w:left="426"/>
        <w:rPr>
          <w:rFonts w:cs="Arial"/>
          <w:color w:val="262626" w:themeColor="text1" w:themeTint="D9"/>
          <w:lang w:eastAsia="en-AU"/>
        </w:rPr>
      </w:pPr>
      <w:proofErr w:type="gramStart"/>
      <w:r w:rsidRPr="00E465A1">
        <w:rPr>
          <w:rFonts w:cs="Arial"/>
          <w:color w:val="262626" w:themeColor="text1" w:themeTint="D9"/>
          <w:lang w:eastAsia="en-AU"/>
        </w:rPr>
        <w:t>obligation</w:t>
      </w:r>
      <w:proofErr w:type="gramEnd"/>
      <w:r w:rsidRPr="00E465A1">
        <w:rPr>
          <w:rFonts w:cs="Arial"/>
          <w:color w:val="262626" w:themeColor="text1" w:themeTint="D9"/>
          <w:lang w:eastAsia="en-AU"/>
        </w:rPr>
        <w:t xml:space="preserve"> to make lease payments) for all leases with a term of more than 12 months, unless the underlying assets are of low value.</w:t>
      </w:r>
    </w:p>
    <w:p w:rsidR="000B4D05" w:rsidRPr="00E465A1" w:rsidRDefault="000B4D05" w:rsidP="00BD3650">
      <w:pPr>
        <w:autoSpaceDE w:val="0"/>
        <w:autoSpaceDN w:val="0"/>
        <w:adjustRightInd w:val="0"/>
        <w:spacing w:before="0" w:line="240" w:lineRule="auto"/>
        <w:rPr>
          <w:rFonts w:cs="Arial"/>
          <w:color w:val="262626" w:themeColor="text1" w:themeTint="D9"/>
          <w:lang w:eastAsia="en-AU"/>
        </w:rPr>
      </w:pPr>
    </w:p>
    <w:p w:rsidR="000B4D05" w:rsidRPr="00E465A1" w:rsidRDefault="000B41C2" w:rsidP="00DD2D42">
      <w:pPr>
        <w:autoSpaceDE w:val="0"/>
        <w:autoSpaceDN w:val="0"/>
        <w:adjustRightInd w:val="0"/>
        <w:spacing w:before="0" w:line="240" w:lineRule="auto"/>
        <w:ind w:left="426"/>
        <w:rPr>
          <w:color w:val="262626" w:themeColor="text1" w:themeTint="D9"/>
        </w:rPr>
      </w:pPr>
      <w:r w:rsidRPr="00E465A1">
        <w:rPr>
          <w:color w:val="262626" w:themeColor="text1" w:themeTint="D9"/>
        </w:rPr>
        <w:t xml:space="preserve">The main impact of </w:t>
      </w:r>
      <w:proofErr w:type="spellStart"/>
      <w:r w:rsidRPr="00E465A1">
        <w:rPr>
          <w:color w:val="262626" w:themeColor="text1" w:themeTint="D9"/>
        </w:rPr>
        <w:t>AASB</w:t>
      </w:r>
      <w:proofErr w:type="spellEnd"/>
      <w:r w:rsidRPr="00E465A1">
        <w:rPr>
          <w:color w:val="262626" w:themeColor="text1" w:themeTint="D9"/>
        </w:rPr>
        <w:t xml:space="preserve"> 16 for lessees is that the majority of operating leases will be reported in the statement of financial position resulting in a significant increase in assets and liabilities.</w:t>
      </w:r>
      <w:r w:rsidR="00DD2D42" w:rsidRPr="00E465A1">
        <w:rPr>
          <w:color w:val="262626" w:themeColor="text1" w:themeTint="D9"/>
        </w:rPr>
        <w:t xml:space="preserve">  </w:t>
      </w:r>
      <w:proofErr w:type="spellStart"/>
      <w:r w:rsidR="00DD2D42" w:rsidRPr="00E465A1">
        <w:rPr>
          <w:color w:val="262626" w:themeColor="text1" w:themeTint="D9"/>
        </w:rPr>
        <w:t>AASB</w:t>
      </w:r>
      <w:proofErr w:type="spellEnd"/>
      <w:r w:rsidR="00DD2D42" w:rsidRPr="00E465A1">
        <w:rPr>
          <w:color w:val="262626" w:themeColor="text1" w:themeTint="D9"/>
        </w:rPr>
        <w:t xml:space="preserve"> 16 also allows a “cumulative approach” rather than a full retrospective application to recognising existing operating leases.  The cumulative effect of applying </w:t>
      </w:r>
    </w:p>
    <w:p w:rsidR="00333333" w:rsidRPr="00E465A1" w:rsidRDefault="00DD2D42" w:rsidP="00BD3650">
      <w:pPr>
        <w:autoSpaceDE w:val="0"/>
        <w:autoSpaceDN w:val="0"/>
        <w:adjustRightInd w:val="0"/>
        <w:spacing w:before="0" w:line="240" w:lineRule="auto"/>
        <w:ind w:left="426"/>
        <w:rPr>
          <w:color w:val="262626" w:themeColor="text1" w:themeTint="D9"/>
        </w:rPr>
      </w:pPr>
      <w:proofErr w:type="gramStart"/>
      <w:r w:rsidRPr="00E465A1">
        <w:rPr>
          <w:color w:val="262626" w:themeColor="text1" w:themeTint="D9"/>
        </w:rPr>
        <w:t>the</w:t>
      </w:r>
      <w:proofErr w:type="gramEnd"/>
      <w:r w:rsidRPr="00E465A1">
        <w:rPr>
          <w:color w:val="262626" w:themeColor="text1" w:themeTint="D9"/>
        </w:rPr>
        <w:t xml:space="preserve"> standard is recognised as an adjustment to the opening balance of accumulated surplus (or other component of equity, as appropriate) at the date of initial application. The CCC will await further guidance from Queensland Treasury on the transitional accounting method to be applied.</w:t>
      </w:r>
      <w:r w:rsidR="00BD3650" w:rsidRPr="00E465A1">
        <w:rPr>
          <w:color w:val="262626" w:themeColor="text1" w:themeTint="D9"/>
        </w:rPr>
        <w:t xml:space="preserve">  </w:t>
      </w:r>
      <w:r w:rsidR="00333333" w:rsidRPr="00E465A1">
        <w:rPr>
          <w:color w:val="262626" w:themeColor="text1" w:themeTint="D9"/>
        </w:rPr>
        <w:t xml:space="preserve">Consultation with the Queensland Audit Office has identified that the only current </w:t>
      </w:r>
      <w:r w:rsidR="00540BE4" w:rsidRPr="00E465A1">
        <w:rPr>
          <w:color w:val="262626" w:themeColor="text1" w:themeTint="D9"/>
        </w:rPr>
        <w:t xml:space="preserve">CCC lease that </w:t>
      </w:r>
      <w:r w:rsidR="00333333" w:rsidRPr="00E465A1">
        <w:rPr>
          <w:color w:val="262626" w:themeColor="text1" w:themeTint="D9"/>
        </w:rPr>
        <w:t xml:space="preserve">will be required to be capitalised in accordance with </w:t>
      </w:r>
      <w:proofErr w:type="spellStart"/>
      <w:r w:rsidR="00333333" w:rsidRPr="00E465A1">
        <w:rPr>
          <w:color w:val="262626" w:themeColor="text1" w:themeTint="D9"/>
        </w:rPr>
        <w:t>AASB</w:t>
      </w:r>
      <w:proofErr w:type="spellEnd"/>
      <w:r w:rsidR="008A7BDC" w:rsidRPr="00E465A1">
        <w:rPr>
          <w:color w:val="262626" w:themeColor="text1" w:themeTint="D9"/>
        </w:rPr>
        <w:t xml:space="preserve"> </w:t>
      </w:r>
      <w:r w:rsidR="00333333" w:rsidRPr="00E465A1">
        <w:rPr>
          <w:color w:val="262626" w:themeColor="text1" w:themeTint="D9"/>
        </w:rPr>
        <w:t>16 is for the premises at Green Square</w:t>
      </w:r>
      <w:r w:rsidR="00C45BC3" w:rsidRPr="00E465A1">
        <w:rPr>
          <w:color w:val="262626" w:themeColor="text1" w:themeTint="D9"/>
        </w:rPr>
        <w:t>.</w:t>
      </w:r>
      <w:r w:rsidR="00B96469" w:rsidRPr="00E465A1">
        <w:rPr>
          <w:color w:val="262626" w:themeColor="text1" w:themeTint="D9"/>
        </w:rPr>
        <w:t xml:space="preserve">  </w:t>
      </w:r>
      <w:r w:rsidR="00333333" w:rsidRPr="00E465A1">
        <w:rPr>
          <w:color w:val="262626" w:themeColor="text1" w:themeTint="D9"/>
        </w:rPr>
        <w:t xml:space="preserve">  </w:t>
      </w:r>
    </w:p>
    <w:p w:rsidR="00333333" w:rsidRPr="00E465A1" w:rsidRDefault="00333333" w:rsidP="00DD2D42">
      <w:pPr>
        <w:autoSpaceDE w:val="0"/>
        <w:autoSpaceDN w:val="0"/>
        <w:adjustRightInd w:val="0"/>
        <w:spacing w:before="0" w:line="240" w:lineRule="auto"/>
        <w:ind w:left="426"/>
        <w:rPr>
          <w:color w:val="262626" w:themeColor="text1" w:themeTint="D9"/>
        </w:rPr>
      </w:pPr>
    </w:p>
    <w:p w:rsidR="000B41C2" w:rsidRPr="00E465A1" w:rsidRDefault="00DD2D42" w:rsidP="00DD2D42">
      <w:pPr>
        <w:autoSpaceDE w:val="0"/>
        <w:autoSpaceDN w:val="0"/>
        <w:adjustRightInd w:val="0"/>
        <w:spacing w:before="0" w:line="240" w:lineRule="auto"/>
        <w:ind w:left="426"/>
        <w:rPr>
          <w:color w:val="262626" w:themeColor="text1" w:themeTint="D9"/>
        </w:rPr>
      </w:pPr>
      <w:r w:rsidRPr="00E465A1">
        <w:rPr>
          <w:color w:val="262626" w:themeColor="text1" w:themeTint="D9"/>
        </w:rPr>
        <w:t xml:space="preserve">The CCC has not yet quantified the impact on the Statement of Comprehensive Income or the Statement of Financial Position of applying </w:t>
      </w:r>
      <w:proofErr w:type="spellStart"/>
      <w:r w:rsidRPr="00E465A1">
        <w:rPr>
          <w:color w:val="262626" w:themeColor="text1" w:themeTint="D9"/>
        </w:rPr>
        <w:t>AASB</w:t>
      </w:r>
      <w:proofErr w:type="spellEnd"/>
      <w:r w:rsidRPr="00E465A1">
        <w:rPr>
          <w:color w:val="262626" w:themeColor="text1" w:themeTint="D9"/>
        </w:rPr>
        <w:t xml:space="preserve"> 16 to its current operating leases, including the extent of additional disclosure.</w:t>
      </w:r>
      <w:r w:rsidR="00D3260C" w:rsidRPr="00E465A1">
        <w:rPr>
          <w:color w:val="262626" w:themeColor="text1" w:themeTint="D9"/>
        </w:rPr>
        <w:t xml:space="preserve">  The exact impact will not be known until the year of transition. However, the CCC has undertaken a preliminary analysis to identify and quantify the impacts of introducing </w:t>
      </w:r>
      <w:proofErr w:type="spellStart"/>
      <w:r w:rsidR="00D3260C" w:rsidRPr="00E465A1">
        <w:rPr>
          <w:color w:val="262626" w:themeColor="text1" w:themeTint="D9"/>
        </w:rPr>
        <w:t>AASB</w:t>
      </w:r>
      <w:proofErr w:type="spellEnd"/>
      <w:r w:rsidR="00D3260C" w:rsidRPr="00E465A1">
        <w:rPr>
          <w:color w:val="262626" w:themeColor="text1" w:themeTint="D9"/>
        </w:rPr>
        <w:t xml:space="preserve"> 16. The current assessment indicates the impact on the CCC’s statements of </w:t>
      </w:r>
      <w:r w:rsidR="00F15B60" w:rsidRPr="00E465A1">
        <w:rPr>
          <w:color w:val="262626" w:themeColor="text1" w:themeTint="D9"/>
        </w:rPr>
        <w:t>financial position is the recognition of a lease right-of-use asset</w:t>
      </w:r>
      <w:r w:rsidR="00C45BC3" w:rsidRPr="00E465A1">
        <w:rPr>
          <w:color w:val="262626" w:themeColor="text1" w:themeTint="D9"/>
        </w:rPr>
        <w:t xml:space="preserve"> of $</w:t>
      </w:r>
      <w:r w:rsidR="00776D09" w:rsidRPr="00E465A1">
        <w:rPr>
          <w:color w:val="262626" w:themeColor="text1" w:themeTint="D9"/>
        </w:rPr>
        <w:t>8.152</w:t>
      </w:r>
      <w:r w:rsidR="00D3260C" w:rsidRPr="00E465A1">
        <w:rPr>
          <w:color w:val="262626" w:themeColor="text1" w:themeTint="D9"/>
        </w:rPr>
        <w:t xml:space="preserve"> </w:t>
      </w:r>
      <w:r w:rsidR="00F15B60" w:rsidRPr="00E465A1">
        <w:rPr>
          <w:color w:val="262626" w:themeColor="text1" w:themeTint="D9"/>
        </w:rPr>
        <w:t>million and a corresponding lease liability</w:t>
      </w:r>
      <w:r w:rsidR="00C45BC3" w:rsidRPr="00E465A1">
        <w:rPr>
          <w:color w:val="262626" w:themeColor="text1" w:themeTint="D9"/>
        </w:rPr>
        <w:t xml:space="preserve"> of $</w:t>
      </w:r>
      <w:r w:rsidR="006A390C" w:rsidRPr="00E465A1">
        <w:rPr>
          <w:color w:val="262626" w:themeColor="text1" w:themeTint="D9"/>
        </w:rPr>
        <w:t>8.152</w:t>
      </w:r>
      <w:r w:rsidR="00D3260C" w:rsidRPr="00E465A1">
        <w:rPr>
          <w:color w:val="262626" w:themeColor="text1" w:themeTint="D9"/>
        </w:rPr>
        <w:t xml:space="preserve"> </w:t>
      </w:r>
      <w:r w:rsidR="00F15B60" w:rsidRPr="00E465A1">
        <w:rPr>
          <w:color w:val="262626" w:themeColor="text1" w:themeTint="D9"/>
        </w:rPr>
        <w:t>million.  T</w:t>
      </w:r>
      <w:r w:rsidR="00C45BC3" w:rsidRPr="00E465A1">
        <w:rPr>
          <w:color w:val="262626" w:themeColor="text1" w:themeTint="D9"/>
        </w:rPr>
        <w:t>he net impact of $</w:t>
      </w:r>
      <w:r w:rsidR="00776D09" w:rsidRPr="00E465A1">
        <w:rPr>
          <w:color w:val="262626" w:themeColor="text1" w:themeTint="D9"/>
        </w:rPr>
        <w:t>0.422</w:t>
      </w:r>
      <w:r w:rsidR="00D3260C" w:rsidRPr="00E465A1">
        <w:rPr>
          <w:color w:val="262626" w:themeColor="text1" w:themeTint="D9"/>
        </w:rPr>
        <w:t xml:space="preserve"> million to opening accumulated surplus at 1 July 2019</w:t>
      </w:r>
      <w:r w:rsidR="00F15B60" w:rsidRPr="00E465A1">
        <w:rPr>
          <w:color w:val="262626" w:themeColor="text1" w:themeTint="D9"/>
        </w:rPr>
        <w:t xml:space="preserve"> is the balance of the deferred straight-line lease liability</w:t>
      </w:r>
      <w:r w:rsidR="00D3260C" w:rsidRPr="00E465A1">
        <w:rPr>
          <w:color w:val="262626" w:themeColor="text1" w:themeTint="D9"/>
        </w:rPr>
        <w:t>. This assessment does not take into account estimates/future assumptions which may impact leases in accordance with the standard.</w:t>
      </w:r>
      <w:r w:rsidRPr="00E465A1">
        <w:rPr>
          <w:color w:val="262626" w:themeColor="text1" w:themeTint="D9"/>
        </w:rPr>
        <w:t xml:space="preserve">  </w:t>
      </w:r>
    </w:p>
    <w:p w:rsidR="00372AE3" w:rsidRPr="00E465A1" w:rsidRDefault="00372AE3" w:rsidP="006C1A3C">
      <w:pPr>
        <w:pStyle w:val="Normalindent1stpara"/>
        <w:rPr>
          <w:color w:val="262626" w:themeColor="text1" w:themeTint="D9"/>
        </w:rPr>
      </w:pPr>
    </w:p>
    <w:p w:rsidR="00AF765D" w:rsidRPr="00E465A1" w:rsidRDefault="00AF765D" w:rsidP="006C1A3C">
      <w:pPr>
        <w:pStyle w:val="Normalindent1stpara"/>
        <w:rPr>
          <w:color w:val="262626" w:themeColor="text1" w:themeTint="D9"/>
        </w:rPr>
      </w:pPr>
    </w:p>
    <w:p w:rsidR="00AF765D" w:rsidRPr="00E465A1" w:rsidRDefault="00AF765D" w:rsidP="006C1A3C">
      <w:pPr>
        <w:pStyle w:val="Normalindent1stpara"/>
        <w:rPr>
          <w:color w:val="262626" w:themeColor="text1" w:themeTint="D9"/>
        </w:rPr>
      </w:pPr>
    </w:p>
    <w:p w:rsidR="00AF765D" w:rsidRPr="00E465A1" w:rsidRDefault="00AF765D" w:rsidP="006C1A3C">
      <w:pPr>
        <w:pStyle w:val="Normalindent1stpara"/>
        <w:rPr>
          <w:color w:val="262626" w:themeColor="text1" w:themeTint="D9"/>
        </w:rPr>
      </w:pPr>
    </w:p>
    <w:p w:rsidR="00AF765D" w:rsidRPr="00E465A1" w:rsidRDefault="00AF765D" w:rsidP="00AF765D">
      <w:pPr>
        <w:pStyle w:val="Normal115pttext"/>
        <w:spacing w:line="360" w:lineRule="auto"/>
        <w:rPr>
          <w:color w:val="262626" w:themeColor="text1" w:themeTint="D9"/>
          <w:szCs w:val="23"/>
        </w:rPr>
      </w:pPr>
      <w:r w:rsidRPr="00E465A1">
        <w:rPr>
          <w:color w:val="262626" w:themeColor="text1" w:themeTint="D9"/>
          <w:szCs w:val="23"/>
        </w:rPr>
        <w:lastRenderedPageBreak/>
        <w:t>Note 1: Summary of Significant Accounting Policies (cont’d)</w:t>
      </w:r>
    </w:p>
    <w:p w:rsidR="00AF765D" w:rsidRPr="00E465A1" w:rsidRDefault="00AF765D" w:rsidP="00AF765D">
      <w:pPr>
        <w:pStyle w:val="Normalhanginglist105pt"/>
        <w:spacing w:line="360" w:lineRule="auto"/>
        <w:rPr>
          <w:color w:val="262626" w:themeColor="text1" w:themeTint="D9"/>
          <w:sz w:val="22"/>
          <w:szCs w:val="22"/>
          <w:highlight w:val="yellow"/>
        </w:rPr>
      </w:pPr>
      <w:r w:rsidRPr="00E465A1">
        <w:rPr>
          <w:color w:val="262626" w:themeColor="text1" w:themeTint="D9"/>
          <w:sz w:val="22"/>
          <w:szCs w:val="22"/>
        </w:rPr>
        <w:t>(h)</w:t>
      </w:r>
      <w:r w:rsidRPr="00E465A1">
        <w:rPr>
          <w:color w:val="262626" w:themeColor="text1" w:themeTint="D9"/>
          <w:sz w:val="22"/>
          <w:szCs w:val="22"/>
        </w:rPr>
        <w:tab/>
        <w:t>New and Revised Accounting Standards (cont’d)</w:t>
      </w:r>
    </w:p>
    <w:p w:rsidR="00AF765D" w:rsidRPr="00E465A1" w:rsidRDefault="00AF765D" w:rsidP="00AF765D">
      <w:pPr>
        <w:pStyle w:val="Normalindent1stpara"/>
        <w:rPr>
          <w:b/>
          <w:bCs/>
          <w:i/>
          <w:iCs/>
          <w:color w:val="262626" w:themeColor="text1" w:themeTint="D9"/>
          <w:szCs w:val="20"/>
          <w:lang w:eastAsia="en-AU"/>
        </w:rPr>
      </w:pPr>
      <w:proofErr w:type="spellStart"/>
      <w:r w:rsidRPr="00E465A1">
        <w:rPr>
          <w:rFonts w:cs="Arial-BoldMT"/>
          <w:b/>
          <w:bCs/>
          <w:color w:val="262626" w:themeColor="text1" w:themeTint="D9"/>
          <w:szCs w:val="20"/>
          <w:lang w:eastAsia="en-AU"/>
        </w:rPr>
        <w:t>AASB</w:t>
      </w:r>
      <w:proofErr w:type="spellEnd"/>
      <w:r w:rsidRPr="00E465A1">
        <w:rPr>
          <w:rFonts w:cs="Arial-BoldMT"/>
          <w:b/>
          <w:bCs/>
          <w:color w:val="262626" w:themeColor="text1" w:themeTint="D9"/>
          <w:szCs w:val="20"/>
          <w:lang w:eastAsia="en-AU"/>
        </w:rPr>
        <w:t xml:space="preserve"> 1058 </w:t>
      </w:r>
      <w:r w:rsidRPr="00E465A1">
        <w:rPr>
          <w:b/>
          <w:bCs/>
          <w:i/>
          <w:iCs/>
          <w:color w:val="262626" w:themeColor="text1" w:themeTint="D9"/>
          <w:szCs w:val="20"/>
          <w:lang w:eastAsia="en-AU"/>
        </w:rPr>
        <w:t xml:space="preserve">Income of Not-for-Profit Entities </w:t>
      </w:r>
      <w:r w:rsidRPr="00E465A1">
        <w:rPr>
          <w:rFonts w:cs="Arial-BoldMT"/>
          <w:b/>
          <w:bCs/>
          <w:color w:val="262626" w:themeColor="text1" w:themeTint="D9"/>
          <w:szCs w:val="20"/>
          <w:lang w:eastAsia="en-AU"/>
        </w:rPr>
        <w:t xml:space="preserve">and </w:t>
      </w:r>
      <w:proofErr w:type="spellStart"/>
      <w:r w:rsidRPr="00E465A1">
        <w:rPr>
          <w:rFonts w:cs="Arial-BoldMT"/>
          <w:b/>
          <w:bCs/>
          <w:color w:val="262626" w:themeColor="text1" w:themeTint="D9"/>
          <w:szCs w:val="20"/>
          <w:lang w:eastAsia="en-AU"/>
        </w:rPr>
        <w:t>AASB</w:t>
      </w:r>
      <w:proofErr w:type="spellEnd"/>
      <w:r w:rsidRPr="00E465A1">
        <w:rPr>
          <w:rFonts w:cs="Arial-BoldMT"/>
          <w:b/>
          <w:bCs/>
          <w:color w:val="262626" w:themeColor="text1" w:themeTint="D9"/>
          <w:szCs w:val="20"/>
          <w:lang w:eastAsia="en-AU"/>
        </w:rPr>
        <w:t xml:space="preserve"> 15 </w:t>
      </w:r>
      <w:r w:rsidRPr="00E465A1">
        <w:rPr>
          <w:b/>
          <w:bCs/>
          <w:i/>
          <w:iCs/>
          <w:color w:val="262626" w:themeColor="text1" w:themeTint="D9"/>
          <w:szCs w:val="20"/>
          <w:lang w:eastAsia="en-AU"/>
        </w:rPr>
        <w:t>Revenue from Contracts with Customers</w:t>
      </w:r>
    </w:p>
    <w:p w:rsidR="00AF765D" w:rsidRPr="00E465A1" w:rsidRDefault="00AF765D" w:rsidP="00AF765D">
      <w:pPr>
        <w:pStyle w:val="Normalindent1stpara"/>
        <w:rPr>
          <w:color w:val="262626" w:themeColor="text1" w:themeTint="D9"/>
          <w:szCs w:val="20"/>
          <w:highlight w:val="yellow"/>
        </w:rPr>
      </w:pPr>
    </w:p>
    <w:p w:rsidR="00AF765D" w:rsidRPr="00E465A1" w:rsidRDefault="00AF765D" w:rsidP="00AF765D">
      <w:pPr>
        <w:pStyle w:val="Normalindent1stpara"/>
        <w:rPr>
          <w:color w:val="262626" w:themeColor="text1" w:themeTint="D9"/>
          <w:szCs w:val="20"/>
        </w:rPr>
      </w:pPr>
      <w:r w:rsidRPr="00E465A1">
        <w:rPr>
          <w:color w:val="262626" w:themeColor="text1" w:themeTint="D9"/>
          <w:szCs w:val="20"/>
        </w:rPr>
        <w:t xml:space="preserve">These standards will first apply to the CCC in 2019-20 for its financial statements. The CCC has commenced analysing the new revenue recognition requirements under these standards and is yet to form conclusions about significant impacts.  </w:t>
      </w:r>
    </w:p>
    <w:p w:rsidR="00AF765D" w:rsidRPr="00E465A1" w:rsidRDefault="00AF765D" w:rsidP="00AF765D">
      <w:pPr>
        <w:pStyle w:val="Normalindent1stpara"/>
        <w:ind w:left="426"/>
        <w:rPr>
          <w:color w:val="262626" w:themeColor="text1" w:themeTint="D9"/>
          <w:szCs w:val="20"/>
        </w:rPr>
      </w:pPr>
    </w:p>
    <w:p w:rsidR="006C1A3C" w:rsidRPr="00E465A1" w:rsidRDefault="00142235" w:rsidP="00AF765D">
      <w:pPr>
        <w:pStyle w:val="Normalindent1stpara"/>
        <w:ind w:left="426"/>
        <w:rPr>
          <w:color w:val="262626" w:themeColor="text1" w:themeTint="D9"/>
          <w:szCs w:val="20"/>
        </w:rPr>
      </w:pPr>
      <w:r w:rsidRPr="00E465A1">
        <w:rPr>
          <w:color w:val="262626" w:themeColor="text1" w:themeTint="D9"/>
          <w:szCs w:val="20"/>
        </w:rPr>
        <w:t>Potential future impacts identifiable at the date of this report are as follows:</w:t>
      </w:r>
    </w:p>
    <w:p w:rsidR="00AF765D" w:rsidRPr="00E465A1" w:rsidRDefault="00AF765D" w:rsidP="00AF765D">
      <w:pPr>
        <w:pStyle w:val="Normalindent1stpara"/>
        <w:ind w:left="426"/>
        <w:rPr>
          <w:color w:val="262626" w:themeColor="text1" w:themeTint="D9"/>
          <w:szCs w:val="20"/>
        </w:rPr>
      </w:pPr>
    </w:p>
    <w:p w:rsidR="00911B39" w:rsidRPr="00E465A1" w:rsidRDefault="00142235" w:rsidP="00BD3650">
      <w:pPr>
        <w:autoSpaceDE w:val="0"/>
        <w:autoSpaceDN w:val="0"/>
        <w:adjustRightInd w:val="0"/>
        <w:spacing w:before="0" w:line="240" w:lineRule="auto"/>
        <w:ind w:left="426"/>
        <w:rPr>
          <w:rFonts w:cs="Arial"/>
          <w:color w:val="262626" w:themeColor="text1" w:themeTint="D9"/>
        </w:rPr>
      </w:pPr>
      <w:r w:rsidRPr="00E465A1">
        <w:rPr>
          <w:rFonts w:cs="Arial"/>
          <w:color w:val="262626" w:themeColor="text1" w:themeTint="D9"/>
        </w:rPr>
        <w:t>Under the new standards</w:t>
      </w:r>
      <w:r w:rsidR="00C251A8" w:rsidRPr="00E465A1">
        <w:rPr>
          <w:rFonts w:cs="Arial"/>
          <w:color w:val="262626" w:themeColor="text1" w:themeTint="D9"/>
        </w:rPr>
        <w:t>,</w:t>
      </w:r>
      <w:r w:rsidR="00911B39" w:rsidRPr="00E465A1">
        <w:rPr>
          <w:rFonts w:cs="Arial"/>
          <w:color w:val="262626" w:themeColor="text1" w:themeTint="D9"/>
        </w:rPr>
        <w:t xml:space="preserve"> Grants that are not enforceable and/or not sufficiently specific will not qualify for deferral, and continue to be recognised as revenue as soon as they are controlled. The CCC, receives its annual appropriation in the form of a grant on a quarterly basis from the Department of Justice and Attorney-General.  The total of this grant for 2017-18 was $55.013m and </w:t>
      </w:r>
      <w:r w:rsidR="007A69D9" w:rsidRPr="00E465A1">
        <w:rPr>
          <w:rFonts w:cs="Arial"/>
          <w:color w:val="262626" w:themeColor="text1" w:themeTint="D9"/>
        </w:rPr>
        <w:t xml:space="preserve">these grants </w:t>
      </w:r>
      <w:r w:rsidR="00911B39" w:rsidRPr="00E465A1">
        <w:rPr>
          <w:rFonts w:cs="Arial"/>
          <w:color w:val="262626" w:themeColor="text1" w:themeTint="D9"/>
        </w:rPr>
        <w:t xml:space="preserve">are expected to continue to be recognised as revenue upfront assuming no change to current grant arrangements.   Depending on the respective contractual terms, the new requirements of </w:t>
      </w:r>
      <w:proofErr w:type="spellStart"/>
      <w:r w:rsidR="00911B39" w:rsidRPr="00E465A1">
        <w:rPr>
          <w:rFonts w:cs="Arial"/>
          <w:color w:val="262626" w:themeColor="text1" w:themeTint="D9"/>
        </w:rPr>
        <w:t>AASB</w:t>
      </w:r>
      <w:proofErr w:type="spellEnd"/>
      <w:r w:rsidR="00911B39" w:rsidRPr="00E465A1">
        <w:rPr>
          <w:rFonts w:cs="Arial"/>
          <w:color w:val="262626" w:themeColor="text1" w:themeTint="D9"/>
        </w:rPr>
        <w:t xml:space="preserve"> 15 may</w:t>
      </w:r>
      <w:r w:rsidR="00BD3650" w:rsidRPr="00E465A1">
        <w:rPr>
          <w:rFonts w:cs="Arial"/>
          <w:color w:val="262626" w:themeColor="text1" w:themeTint="D9"/>
        </w:rPr>
        <w:t xml:space="preserve"> potentially result in a </w:t>
      </w:r>
      <w:r w:rsidR="00627943" w:rsidRPr="00E465A1">
        <w:rPr>
          <w:rFonts w:cs="Arial"/>
          <w:color w:val="262626" w:themeColor="text1" w:themeTint="D9"/>
        </w:rPr>
        <w:t>change to</w:t>
      </w:r>
      <w:r w:rsidR="00911B39" w:rsidRPr="00E465A1">
        <w:rPr>
          <w:rFonts w:cs="Arial"/>
          <w:color w:val="262626" w:themeColor="text1" w:themeTint="D9"/>
        </w:rPr>
        <w:t xml:space="preserve"> the timing of revenue from sales of the CCC's goods and services</w:t>
      </w:r>
      <w:r w:rsidR="00643B41" w:rsidRPr="00E465A1">
        <w:rPr>
          <w:rFonts w:cs="Arial"/>
          <w:color w:val="262626" w:themeColor="text1" w:themeTint="D9"/>
        </w:rPr>
        <w:t xml:space="preserve"> (</w:t>
      </w:r>
      <w:proofErr w:type="spellStart"/>
      <w:r w:rsidR="00643B41" w:rsidRPr="00E465A1">
        <w:rPr>
          <w:rFonts w:cs="Arial"/>
          <w:color w:val="262626" w:themeColor="text1" w:themeTint="D9"/>
        </w:rPr>
        <w:t>ie</w:t>
      </w:r>
      <w:proofErr w:type="spellEnd"/>
      <w:r w:rsidR="00643B41" w:rsidRPr="00E465A1">
        <w:rPr>
          <w:rFonts w:cs="Arial"/>
          <w:color w:val="262626" w:themeColor="text1" w:themeTint="D9"/>
        </w:rPr>
        <w:t xml:space="preserve"> </w:t>
      </w:r>
      <w:r w:rsidR="00A01E45" w:rsidRPr="00E465A1">
        <w:rPr>
          <w:rFonts w:cs="Arial"/>
          <w:color w:val="262626" w:themeColor="text1" w:themeTint="D9"/>
        </w:rPr>
        <w:t>Right to Information (</w:t>
      </w:r>
      <w:proofErr w:type="spellStart"/>
      <w:r w:rsidR="00A01E45" w:rsidRPr="00E465A1">
        <w:rPr>
          <w:rFonts w:cs="Arial"/>
          <w:color w:val="262626" w:themeColor="text1" w:themeTint="D9"/>
        </w:rPr>
        <w:t>RTI</w:t>
      </w:r>
      <w:proofErr w:type="spellEnd"/>
      <w:r w:rsidR="00A01E45" w:rsidRPr="00E465A1">
        <w:rPr>
          <w:rFonts w:cs="Arial"/>
          <w:color w:val="262626" w:themeColor="text1" w:themeTint="D9"/>
        </w:rPr>
        <w:t>) requests</w:t>
      </w:r>
      <w:r w:rsidR="00643B41" w:rsidRPr="00E465A1">
        <w:rPr>
          <w:rFonts w:cs="Arial"/>
          <w:color w:val="262626" w:themeColor="text1" w:themeTint="D9"/>
        </w:rPr>
        <w:t>)</w:t>
      </w:r>
      <w:r w:rsidR="00911B39" w:rsidRPr="00E465A1">
        <w:rPr>
          <w:rFonts w:cs="Arial"/>
          <w:color w:val="262626" w:themeColor="text1" w:themeTint="D9"/>
        </w:rPr>
        <w:t xml:space="preserve"> such that some revenue may need to be</w:t>
      </w:r>
      <w:r w:rsidR="00643B41" w:rsidRPr="00E465A1">
        <w:rPr>
          <w:rFonts w:cs="Arial"/>
          <w:color w:val="262626" w:themeColor="text1" w:themeTint="D9"/>
        </w:rPr>
        <w:t xml:space="preserve"> </w:t>
      </w:r>
      <w:r w:rsidR="00911B39" w:rsidRPr="00E465A1">
        <w:rPr>
          <w:rFonts w:cs="Arial"/>
          <w:color w:val="262626" w:themeColor="text1" w:themeTint="D9"/>
        </w:rPr>
        <w:t>deferred to a later reporting period to the extent that the CCC has received cash but has not met its associated performance obligations (such amounts would be reported as a liability in the meantime). The CCC</w:t>
      </w:r>
      <w:r w:rsidR="00643B41" w:rsidRPr="00E465A1">
        <w:rPr>
          <w:rFonts w:cs="Arial"/>
          <w:color w:val="262626" w:themeColor="text1" w:themeTint="D9"/>
        </w:rPr>
        <w:t xml:space="preserve"> has </w:t>
      </w:r>
      <w:r w:rsidR="00911B39" w:rsidRPr="00E465A1">
        <w:rPr>
          <w:rFonts w:cs="Arial"/>
          <w:color w:val="262626" w:themeColor="text1" w:themeTint="D9"/>
        </w:rPr>
        <w:t>complete</w:t>
      </w:r>
      <w:r w:rsidR="00643B41" w:rsidRPr="00E465A1">
        <w:rPr>
          <w:rFonts w:cs="Arial"/>
          <w:color w:val="262626" w:themeColor="text1" w:themeTint="D9"/>
        </w:rPr>
        <w:t>d</w:t>
      </w:r>
      <w:r w:rsidR="00911B39" w:rsidRPr="00E465A1">
        <w:rPr>
          <w:rFonts w:cs="Arial"/>
          <w:color w:val="262626" w:themeColor="text1" w:themeTint="D9"/>
        </w:rPr>
        <w:t xml:space="preserve"> its analysis of existing arrangements for sale of its goo</w:t>
      </w:r>
      <w:r w:rsidR="00643B41" w:rsidRPr="00E465A1">
        <w:rPr>
          <w:rFonts w:cs="Arial"/>
          <w:color w:val="262626" w:themeColor="text1" w:themeTint="D9"/>
        </w:rPr>
        <w:t xml:space="preserve">ds and services and the impact, on revenue recognition has </w:t>
      </w:r>
      <w:r w:rsidR="00911B39" w:rsidRPr="00E465A1">
        <w:rPr>
          <w:rFonts w:cs="Arial"/>
          <w:color w:val="262626" w:themeColor="text1" w:themeTint="D9"/>
        </w:rPr>
        <w:t>been determined</w:t>
      </w:r>
      <w:r w:rsidR="00643B41" w:rsidRPr="00E465A1">
        <w:rPr>
          <w:rFonts w:cs="Arial"/>
          <w:color w:val="262626" w:themeColor="text1" w:themeTint="D9"/>
        </w:rPr>
        <w:t xml:space="preserve"> as immaterial</w:t>
      </w:r>
      <w:r w:rsidR="00911B39" w:rsidRPr="00E465A1">
        <w:rPr>
          <w:rFonts w:cs="Arial"/>
          <w:color w:val="262626" w:themeColor="text1" w:themeTint="D9"/>
        </w:rPr>
        <w:t>.</w:t>
      </w:r>
    </w:p>
    <w:p w:rsidR="00152847" w:rsidRPr="00E465A1" w:rsidRDefault="009B1112" w:rsidP="00540BE4">
      <w:pPr>
        <w:pStyle w:val="NormalIndent1"/>
        <w:spacing w:after="240"/>
        <w:ind w:left="426"/>
        <w:rPr>
          <w:color w:val="262626" w:themeColor="text1" w:themeTint="D9"/>
          <w:szCs w:val="20"/>
        </w:rPr>
      </w:pPr>
      <w:r w:rsidRPr="00E465A1">
        <w:rPr>
          <w:color w:val="262626" w:themeColor="text1" w:themeTint="D9"/>
          <w:szCs w:val="20"/>
        </w:rPr>
        <w:t>All other Australian accounting standards and interpretations with future commencement dates are either not applicable to the C</w:t>
      </w:r>
      <w:r w:rsidR="00EC2665" w:rsidRPr="00E465A1">
        <w:rPr>
          <w:color w:val="262626" w:themeColor="text1" w:themeTint="D9"/>
          <w:szCs w:val="20"/>
        </w:rPr>
        <w:t>CC</w:t>
      </w:r>
      <w:r w:rsidRPr="00E465A1">
        <w:rPr>
          <w:color w:val="262626" w:themeColor="text1" w:themeTint="D9"/>
          <w:szCs w:val="20"/>
        </w:rPr>
        <w:t>’s activities, or have no material impact on the C</w:t>
      </w:r>
      <w:r w:rsidR="00EC2665" w:rsidRPr="00E465A1">
        <w:rPr>
          <w:color w:val="262626" w:themeColor="text1" w:themeTint="D9"/>
          <w:szCs w:val="20"/>
        </w:rPr>
        <w:t>CC</w:t>
      </w:r>
      <w:r w:rsidRPr="00E465A1">
        <w:rPr>
          <w:color w:val="262626" w:themeColor="text1" w:themeTint="D9"/>
          <w:szCs w:val="20"/>
        </w:rPr>
        <w:t>.</w:t>
      </w:r>
    </w:p>
    <w:p w:rsidR="00AF765D" w:rsidRPr="00E465A1" w:rsidRDefault="00AF765D">
      <w:pPr>
        <w:spacing w:before="0" w:line="240" w:lineRule="auto"/>
        <w:rPr>
          <w:rFonts w:cs="Arial"/>
          <w:color w:val="262626" w:themeColor="text1" w:themeTint="D9"/>
          <w:szCs w:val="18"/>
          <w:lang w:eastAsia="en-AU"/>
        </w:rPr>
      </w:pPr>
      <w:r w:rsidRPr="00E465A1">
        <w:rPr>
          <w:color w:val="262626" w:themeColor="text1" w:themeTint="D9"/>
        </w:rPr>
        <w:br w:type="page"/>
      </w:r>
    </w:p>
    <w:p w:rsidR="004A68D8" w:rsidRPr="00E465A1" w:rsidRDefault="005E0A46" w:rsidP="00782353">
      <w:pPr>
        <w:pStyle w:val="Normal115pttext"/>
        <w:spacing w:after="240"/>
        <w:rPr>
          <w:color w:val="262626" w:themeColor="text1" w:themeTint="D9"/>
          <w:szCs w:val="23"/>
        </w:rPr>
      </w:pPr>
      <w:r w:rsidRPr="00E465A1">
        <w:rPr>
          <w:color w:val="262626" w:themeColor="text1" w:themeTint="D9"/>
          <w:szCs w:val="23"/>
        </w:rPr>
        <w:lastRenderedPageBreak/>
        <w:t>Note 2:  Grants and Other Contributions</w:t>
      </w:r>
    </w:p>
    <w:tbl>
      <w:tblPr>
        <w:tblStyle w:val="TableGrid"/>
        <w:tblW w:w="0" w:type="auto"/>
        <w:tblCellMar>
          <w:top w:w="113" w:type="dxa"/>
          <w:bottom w:w="113" w:type="dxa"/>
        </w:tblCellMar>
        <w:tblLook w:val="04A0" w:firstRow="1" w:lastRow="0" w:firstColumn="1" w:lastColumn="0" w:noHBand="0" w:noVBand="1"/>
      </w:tblPr>
      <w:tblGrid>
        <w:gridCol w:w="10195"/>
      </w:tblGrid>
      <w:tr w:rsidR="004A68D8" w:rsidRPr="00E465A1" w:rsidTr="009A585E">
        <w:tc>
          <w:tcPr>
            <w:tcW w:w="10201" w:type="dxa"/>
          </w:tcPr>
          <w:p w:rsidR="004A68D8" w:rsidRPr="00E465A1" w:rsidRDefault="004A68D8" w:rsidP="009A585E">
            <w:pPr>
              <w:pStyle w:val="Policyheading"/>
              <w:rPr>
                <w:color w:val="262626" w:themeColor="text1" w:themeTint="D9"/>
                <w:sz w:val="20"/>
              </w:rPr>
            </w:pPr>
            <w:r w:rsidRPr="00E465A1">
              <w:rPr>
                <w:color w:val="262626" w:themeColor="text1" w:themeTint="D9"/>
                <w:sz w:val="20"/>
              </w:rPr>
              <w:t>Accounting Policy:</w:t>
            </w:r>
          </w:p>
          <w:p w:rsidR="004A68D8" w:rsidRPr="00E465A1" w:rsidRDefault="004A68D8" w:rsidP="009A585E">
            <w:pPr>
              <w:pStyle w:val="Policy1stpara"/>
              <w:rPr>
                <w:color w:val="262626" w:themeColor="text1" w:themeTint="D9"/>
              </w:rPr>
            </w:pPr>
            <w:r w:rsidRPr="00E465A1">
              <w:rPr>
                <w:b/>
                <w:i/>
                <w:color w:val="262626" w:themeColor="text1" w:themeTint="D9"/>
              </w:rPr>
              <w:t>Government Grants</w:t>
            </w:r>
            <w:r w:rsidRPr="00E465A1">
              <w:rPr>
                <w:i/>
                <w:color w:val="262626" w:themeColor="text1" w:themeTint="D9"/>
              </w:rPr>
              <w:t xml:space="preserve"> – </w:t>
            </w:r>
            <w:r w:rsidRPr="00E465A1">
              <w:rPr>
                <w:color w:val="262626" w:themeColor="text1" w:themeTint="D9"/>
              </w:rPr>
              <w:t>Government grants are non-reciprocal in nature and are recognised as revenue in the year in which the CCC obtains control over them or the right to receive them.</w:t>
            </w:r>
          </w:p>
          <w:p w:rsidR="004A68D8" w:rsidRPr="00E465A1" w:rsidRDefault="004A68D8" w:rsidP="009A585E">
            <w:pPr>
              <w:pStyle w:val="Policy1stpara"/>
              <w:rPr>
                <w:color w:val="262626" w:themeColor="text1" w:themeTint="D9"/>
              </w:rPr>
            </w:pPr>
            <w:r w:rsidRPr="00E465A1">
              <w:rPr>
                <w:b/>
                <w:i/>
                <w:color w:val="262626" w:themeColor="text1" w:themeTint="D9"/>
              </w:rPr>
              <w:t xml:space="preserve">Other Contributions </w:t>
            </w:r>
            <w:r w:rsidR="009A585E" w:rsidRPr="00E465A1">
              <w:rPr>
                <w:b/>
                <w:i/>
                <w:color w:val="262626" w:themeColor="text1" w:themeTint="D9"/>
              </w:rPr>
              <w:t>–</w:t>
            </w:r>
            <w:r w:rsidRPr="00E465A1">
              <w:rPr>
                <w:b/>
                <w:i/>
                <w:color w:val="262626" w:themeColor="text1" w:themeTint="D9"/>
              </w:rPr>
              <w:t xml:space="preserve"> Services Received Below Fair Value</w:t>
            </w:r>
            <w:r w:rsidRPr="00E465A1">
              <w:rPr>
                <w:i/>
                <w:color w:val="262626" w:themeColor="text1" w:themeTint="D9"/>
              </w:rPr>
              <w:t xml:space="preserve"> – </w:t>
            </w:r>
            <w:r w:rsidRPr="00E465A1">
              <w:rPr>
                <w:color w:val="262626" w:themeColor="text1" w:themeTint="D9"/>
              </w:rPr>
              <w:t>The CCC recognises contributions of services only if the ser</w:t>
            </w:r>
            <w:r w:rsidR="009A585E" w:rsidRPr="00E465A1">
              <w:rPr>
                <w:color w:val="262626" w:themeColor="text1" w:themeTint="D9"/>
              </w:rPr>
              <w:t>vices would have been purchased</w:t>
            </w:r>
            <w:r w:rsidRPr="00E465A1">
              <w:rPr>
                <w:color w:val="262626" w:themeColor="text1" w:themeTint="D9"/>
              </w:rPr>
              <w:t xml:space="preserve"> had they not been donated and their fair value can be measured reliably. Where this is the case, an equal amount is recognised as revenue and an expense.</w:t>
            </w:r>
          </w:p>
        </w:tc>
      </w:tr>
    </w:tbl>
    <w:p w:rsidR="004A68D8" w:rsidRPr="00E465A1" w:rsidRDefault="004A68D8" w:rsidP="004A68D8">
      <w:pPr>
        <w:pStyle w:val="Normal1stpara"/>
        <w:rPr>
          <w:color w:val="262626" w:themeColor="text1" w:themeTint="D9"/>
        </w:rPr>
      </w:pPr>
    </w:p>
    <w:p w:rsidR="000B4D05" w:rsidRPr="00E465A1" w:rsidRDefault="000B4D05" w:rsidP="004A68D8">
      <w:pPr>
        <w:pStyle w:val="Normal1stpara"/>
        <w:rPr>
          <w:color w:val="262626" w:themeColor="text1" w:themeTint="D9"/>
        </w:rPr>
      </w:pPr>
    </w:p>
    <w:tbl>
      <w:tblPr>
        <w:tblW w:w="10206"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4029"/>
        <w:gridCol w:w="2775"/>
        <w:gridCol w:w="851"/>
        <w:gridCol w:w="1134"/>
        <w:gridCol w:w="283"/>
        <w:gridCol w:w="1134"/>
      </w:tblGrid>
      <w:tr w:rsidR="00E465A1" w:rsidRPr="00E465A1" w:rsidTr="00AD6577">
        <w:trPr>
          <w:trHeight w:val="20"/>
        </w:trPr>
        <w:tc>
          <w:tcPr>
            <w:tcW w:w="4029" w:type="dxa"/>
            <w:tcBorders>
              <w:top w:val="nil"/>
              <w:left w:val="nil"/>
              <w:bottom w:val="nil"/>
              <w:right w:val="nil"/>
            </w:tcBorders>
          </w:tcPr>
          <w:p w:rsidR="00E56D3A" w:rsidRPr="00E465A1" w:rsidRDefault="00E56D3A" w:rsidP="001C2993">
            <w:pPr>
              <w:pStyle w:val="Normaltabletextleft"/>
              <w:rPr>
                <w:color w:val="262626" w:themeColor="text1" w:themeTint="D9"/>
                <w:szCs w:val="20"/>
                <w:lang w:eastAsia="en-AU"/>
              </w:rPr>
            </w:pPr>
          </w:p>
          <w:p w:rsidR="000B4D05" w:rsidRPr="00E465A1" w:rsidRDefault="000B4D05" w:rsidP="001C2993">
            <w:pPr>
              <w:pStyle w:val="Normaltabletextleft"/>
              <w:rPr>
                <w:color w:val="262626" w:themeColor="text1" w:themeTint="D9"/>
                <w:szCs w:val="20"/>
                <w:lang w:eastAsia="en-AU"/>
              </w:rPr>
            </w:pPr>
          </w:p>
        </w:tc>
        <w:tc>
          <w:tcPr>
            <w:tcW w:w="2775" w:type="dxa"/>
            <w:tcBorders>
              <w:top w:val="nil"/>
              <w:left w:val="nil"/>
              <w:bottom w:val="nil"/>
            </w:tcBorders>
            <w:vAlign w:val="bottom"/>
          </w:tcPr>
          <w:p w:rsidR="00E56D3A" w:rsidRPr="00E465A1" w:rsidRDefault="00E56D3A" w:rsidP="001C2993">
            <w:pPr>
              <w:pStyle w:val="Normaltabletextleft"/>
              <w:rPr>
                <w:color w:val="262626" w:themeColor="text1" w:themeTint="D9"/>
                <w:szCs w:val="20"/>
                <w:lang w:eastAsia="en-AU"/>
              </w:rPr>
            </w:pPr>
          </w:p>
        </w:tc>
        <w:tc>
          <w:tcPr>
            <w:tcW w:w="851" w:type="dxa"/>
            <w:tcBorders>
              <w:top w:val="nil"/>
              <w:bottom w:val="nil"/>
            </w:tcBorders>
            <w:noWrap/>
            <w:tcMar>
              <w:left w:w="0" w:type="dxa"/>
              <w:right w:w="0" w:type="dxa"/>
            </w:tcMar>
            <w:vAlign w:val="bottom"/>
          </w:tcPr>
          <w:p w:rsidR="00E56D3A" w:rsidRPr="00E465A1" w:rsidRDefault="00E56D3A" w:rsidP="001C2993">
            <w:pPr>
              <w:pStyle w:val="Normaltabletextleft"/>
              <w:rPr>
                <w:color w:val="262626" w:themeColor="text1" w:themeTint="D9"/>
                <w:szCs w:val="20"/>
                <w:lang w:eastAsia="en-AU"/>
              </w:rPr>
            </w:pPr>
          </w:p>
        </w:tc>
        <w:tc>
          <w:tcPr>
            <w:tcW w:w="1134" w:type="dxa"/>
            <w:tcBorders>
              <w:top w:val="nil"/>
              <w:bottom w:val="nil"/>
            </w:tcBorders>
            <w:shd w:val="clear" w:color="auto" w:fill="FEE4B0"/>
            <w:noWrap/>
            <w:tcMar>
              <w:left w:w="0" w:type="dxa"/>
              <w:right w:w="113" w:type="dxa"/>
            </w:tcMar>
            <w:vAlign w:val="bottom"/>
          </w:tcPr>
          <w:p w:rsidR="00263992" w:rsidRPr="00E465A1" w:rsidRDefault="00263992" w:rsidP="001C2993">
            <w:pPr>
              <w:pStyle w:val="Normaltabletext1stpararight"/>
              <w:rPr>
                <w:b/>
                <w:color w:val="262626" w:themeColor="text1" w:themeTint="D9"/>
                <w:szCs w:val="20"/>
                <w:lang w:eastAsia="en-AU"/>
              </w:rPr>
            </w:pPr>
            <w:r w:rsidRPr="00E465A1">
              <w:rPr>
                <w:b/>
                <w:color w:val="262626" w:themeColor="text1" w:themeTint="D9"/>
                <w:szCs w:val="20"/>
                <w:lang w:eastAsia="en-AU"/>
              </w:rPr>
              <w:t>201</w:t>
            </w:r>
            <w:r w:rsidR="0099196A" w:rsidRPr="00E465A1">
              <w:rPr>
                <w:b/>
                <w:color w:val="262626" w:themeColor="text1" w:themeTint="D9"/>
                <w:szCs w:val="20"/>
                <w:lang w:eastAsia="en-AU"/>
              </w:rPr>
              <w:t>8</w:t>
            </w:r>
          </w:p>
          <w:p w:rsidR="00E56D3A" w:rsidRPr="00E465A1" w:rsidRDefault="00E56D3A" w:rsidP="001C2993">
            <w:pPr>
              <w:pStyle w:val="Normaltabletext1stpararight"/>
              <w:rPr>
                <w:b/>
                <w:color w:val="262626" w:themeColor="text1" w:themeTint="D9"/>
                <w:szCs w:val="20"/>
                <w:lang w:eastAsia="en-AU"/>
              </w:rPr>
            </w:pPr>
            <w:r w:rsidRPr="00E465A1">
              <w:rPr>
                <w:b/>
                <w:color w:val="262626" w:themeColor="text1" w:themeTint="D9"/>
                <w:szCs w:val="20"/>
                <w:lang w:eastAsia="en-AU"/>
              </w:rPr>
              <w:t>$’000</w:t>
            </w:r>
          </w:p>
        </w:tc>
        <w:tc>
          <w:tcPr>
            <w:tcW w:w="283" w:type="dxa"/>
            <w:tcBorders>
              <w:top w:val="nil"/>
              <w:bottom w:val="nil"/>
            </w:tcBorders>
            <w:noWrap/>
            <w:tcMar>
              <w:left w:w="0" w:type="dxa"/>
              <w:right w:w="0" w:type="dxa"/>
            </w:tcMar>
            <w:vAlign w:val="bottom"/>
          </w:tcPr>
          <w:p w:rsidR="00E56D3A" w:rsidRPr="00E465A1" w:rsidRDefault="00E56D3A" w:rsidP="001C2993">
            <w:pPr>
              <w:pStyle w:val="Normaltabletextcentred"/>
              <w:rPr>
                <w:color w:val="262626" w:themeColor="text1" w:themeTint="D9"/>
                <w:szCs w:val="20"/>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263992" w:rsidRPr="00E465A1" w:rsidRDefault="00263992" w:rsidP="001C2993">
            <w:pPr>
              <w:pStyle w:val="Normaltabletext1stpararight"/>
              <w:ind w:left="122" w:firstLine="122"/>
              <w:rPr>
                <w:b/>
                <w:color w:val="262626" w:themeColor="text1" w:themeTint="D9"/>
                <w:szCs w:val="20"/>
                <w:lang w:eastAsia="en-AU"/>
              </w:rPr>
            </w:pPr>
            <w:r w:rsidRPr="00E465A1">
              <w:rPr>
                <w:b/>
                <w:color w:val="262626" w:themeColor="text1" w:themeTint="D9"/>
                <w:szCs w:val="20"/>
                <w:lang w:eastAsia="en-AU"/>
              </w:rPr>
              <w:t>201</w:t>
            </w:r>
            <w:r w:rsidR="0099196A" w:rsidRPr="00E465A1">
              <w:rPr>
                <w:b/>
                <w:color w:val="262626" w:themeColor="text1" w:themeTint="D9"/>
                <w:szCs w:val="20"/>
                <w:lang w:eastAsia="en-AU"/>
              </w:rPr>
              <w:t>7</w:t>
            </w:r>
          </w:p>
          <w:p w:rsidR="00E56D3A" w:rsidRPr="00E465A1" w:rsidRDefault="00E56D3A" w:rsidP="001C2993">
            <w:pPr>
              <w:pStyle w:val="Normaltabletext1stpararight"/>
              <w:ind w:left="122" w:firstLine="122"/>
              <w:rPr>
                <w:b/>
                <w:color w:val="262626" w:themeColor="text1" w:themeTint="D9"/>
                <w:szCs w:val="20"/>
                <w:lang w:eastAsia="en-AU"/>
              </w:rPr>
            </w:pPr>
            <w:r w:rsidRPr="00E465A1">
              <w:rPr>
                <w:b/>
                <w:color w:val="262626" w:themeColor="text1" w:themeTint="D9"/>
                <w:szCs w:val="20"/>
                <w:lang w:eastAsia="en-AU"/>
              </w:rPr>
              <w:t>$’000</w:t>
            </w:r>
          </w:p>
        </w:tc>
      </w:tr>
      <w:tr w:rsidR="00E465A1" w:rsidRPr="00E465A1" w:rsidTr="00AD6577">
        <w:trPr>
          <w:trHeight w:val="20"/>
        </w:trPr>
        <w:tc>
          <w:tcPr>
            <w:tcW w:w="4029" w:type="dxa"/>
            <w:tcBorders>
              <w:top w:val="nil"/>
              <w:left w:val="nil"/>
              <w:bottom w:val="nil"/>
              <w:right w:val="nil"/>
            </w:tcBorders>
          </w:tcPr>
          <w:p w:rsidR="00E56D3A" w:rsidRPr="00E465A1" w:rsidRDefault="00E56D3A" w:rsidP="001C2993">
            <w:pPr>
              <w:pStyle w:val="Normaltabletextleft"/>
              <w:rPr>
                <w:b/>
                <w:color w:val="262626" w:themeColor="text1" w:themeTint="D9"/>
                <w:szCs w:val="20"/>
                <w:lang w:eastAsia="en-AU"/>
              </w:rPr>
            </w:pPr>
            <w:r w:rsidRPr="00E465A1">
              <w:rPr>
                <w:b/>
                <w:color w:val="262626" w:themeColor="text1" w:themeTint="D9"/>
                <w:szCs w:val="20"/>
                <w:lang w:eastAsia="en-AU"/>
              </w:rPr>
              <w:t>Grants</w:t>
            </w:r>
          </w:p>
        </w:tc>
        <w:tc>
          <w:tcPr>
            <w:tcW w:w="2775" w:type="dxa"/>
            <w:tcBorders>
              <w:top w:val="nil"/>
              <w:left w:val="nil"/>
              <w:bottom w:val="nil"/>
            </w:tcBorders>
            <w:vAlign w:val="bottom"/>
          </w:tcPr>
          <w:p w:rsidR="00E56D3A" w:rsidRPr="00E465A1" w:rsidRDefault="00E56D3A" w:rsidP="001C2993">
            <w:pPr>
              <w:pStyle w:val="Normaltabletextleft"/>
              <w:rPr>
                <w:color w:val="262626" w:themeColor="text1" w:themeTint="D9"/>
                <w:szCs w:val="20"/>
                <w:lang w:eastAsia="en-AU"/>
              </w:rPr>
            </w:pPr>
          </w:p>
        </w:tc>
        <w:tc>
          <w:tcPr>
            <w:tcW w:w="851" w:type="dxa"/>
            <w:tcBorders>
              <w:top w:val="nil"/>
              <w:bottom w:val="nil"/>
            </w:tcBorders>
            <w:noWrap/>
            <w:tcMar>
              <w:left w:w="0" w:type="dxa"/>
              <w:right w:w="0" w:type="dxa"/>
            </w:tcMar>
            <w:vAlign w:val="bottom"/>
          </w:tcPr>
          <w:p w:rsidR="00E56D3A" w:rsidRPr="00E465A1" w:rsidRDefault="00E56D3A" w:rsidP="001C2993">
            <w:pPr>
              <w:pStyle w:val="Normaltabletextleft"/>
              <w:rPr>
                <w:color w:val="262626" w:themeColor="text1" w:themeTint="D9"/>
                <w:szCs w:val="20"/>
                <w:lang w:eastAsia="en-AU"/>
              </w:rPr>
            </w:pPr>
          </w:p>
        </w:tc>
        <w:tc>
          <w:tcPr>
            <w:tcW w:w="1134" w:type="dxa"/>
            <w:tcBorders>
              <w:top w:val="nil"/>
              <w:bottom w:val="nil"/>
            </w:tcBorders>
            <w:shd w:val="clear" w:color="auto" w:fill="FEE4B0"/>
            <w:noWrap/>
            <w:tcMar>
              <w:left w:w="0" w:type="dxa"/>
              <w:right w:w="113" w:type="dxa"/>
            </w:tcMar>
            <w:vAlign w:val="bottom"/>
          </w:tcPr>
          <w:p w:rsidR="00E56D3A" w:rsidRPr="00E465A1" w:rsidRDefault="00E56D3A" w:rsidP="001C2993">
            <w:pPr>
              <w:pStyle w:val="Normaltabletext1stpararight"/>
              <w:rPr>
                <w:color w:val="262626" w:themeColor="text1" w:themeTint="D9"/>
                <w:szCs w:val="20"/>
                <w:lang w:eastAsia="en-AU"/>
              </w:rPr>
            </w:pPr>
          </w:p>
        </w:tc>
        <w:tc>
          <w:tcPr>
            <w:tcW w:w="283" w:type="dxa"/>
            <w:tcBorders>
              <w:top w:val="nil"/>
              <w:bottom w:val="nil"/>
            </w:tcBorders>
            <w:noWrap/>
            <w:tcMar>
              <w:left w:w="0" w:type="dxa"/>
              <w:right w:w="0" w:type="dxa"/>
            </w:tcMar>
            <w:vAlign w:val="bottom"/>
          </w:tcPr>
          <w:p w:rsidR="00E56D3A" w:rsidRPr="00E465A1" w:rsidRDefault="00E56D3A" w:rsidP="001C2993">
            <w:pPr>
              <w:pStyle w:val="Normaltabletextcentred"/>
              <w:rPr>
                <w:color w:val="262626" w:themeColor="text1" w:themeTint="D9"/>
                <w:szCs w:val="20"/>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E56D3A" w:rsidRPr="00E465A1" w:rsidRDefault="00E56D3A" w:rsidP="001C2993">
            <w:pPr>
              <w:pStyle w:val="Normaltabletext1stpararight"/>
              <w:rPr>
                <w:color w:val="262626" w:themeColor="text1" w:themeTint="D9"/>
                <w:szCs w:val="20"/>
                <w:lang w:eastAsia="en-AU"/>
              </w:rPr>
            </w:pPr>
          </w:p>
        </w:tc>
      </w:tr>
      <w:tr w:rsidR="00E465A1" w:rsidRPr="00E465A1" w:rsidTr="00AD6577">
        <w:trPr>
          <w:trHeight w:val="20"/>
        </w:trPr>
        <w:tc>
          <w:tcPr>
            <w:tcW w:w="4029" w:type="dxa"/>
            <w:tcBorders>
              <w:top w:val="nil"/>
              <w:left w:val="nil"/>
              <w:bottom w:val="nil"/>
              <w:right w:val="nil"/>
            </w:tcBorders>
          </w:tcPr>
          <w:p w:rsidR="00EA3F96" w:rsidRPr="00E465A1" w:rsidRDefault="00EA3F96" w:rsidP="00EA3F96">
            <w:pPr>
              <w:pStyle w:val="Normaltabletextleft"/>
              <w:rPr>
                <w:color w:val="262626" w:themeColor="text1" w:themeTint="D9"/>
                <w:szCs w:val="20"/>
                <w:lang w:eastAsia="en-AU"/>
              </w:rPr>
            </w:pPr>
            <w:r w:rsidRPr="00E465A1">
              <w:rPr>
                <w:color w:val="262626" w:themeColor="text1" w:themeTint="D9"/>
                <w:szCs w:val="20"/>
                <w:lang w:eastAsia="en-AU"/>
              </w:rPr>
              <w:t>Queensland Government grant</w:t>
            </w:r>
            <w:r w:rsidRPr="00E465A1">
              <w:rPr>
                <w:color w:val="262626" w:themeColor="text1" w:themeTint="D9"/>
                <w:szCs w:val="20"/>
              </w:rPr>
              <w:t>¹</w:t>
            </w:r>
          </w:p>
        </w:tc>
        <w:tc>
          <w:tcPr>
            <w:tcW w:w="2775" w:type="dxa"/>
            <w:tcBorders>
              <w:top w:val="nil"/>
              <w:left w:val="nil"/>
              <w:bottom w:val="nil"/>
            </w:tcBorders>
            <w:vAlign w:val="bottom"/>
          </w:tcPr>
          <w:p w:rsidR="00EA3F96" w:rsidRPr="00E465A1" w:rsidRDefault="00EA3F96" w:rsidP="00EA3F96">
            <w:pPr>
              <w:pStyle w:val="Normaltabletextleft"/>
              <w:rPr>
                <w:color w:val="262626" w:themeColor="text1" w:themeTint="D9"/>
                <w:szCs w:val="20"/>
                <w:lang w:eastAsia="en-AU"/>
              </w:rPr>
            </w:pPr>
          </w:p>
        </w:tc>
        <w:tc>
          <w:tcPr>
            <w:tcW w:w="851" w:type="dxa"/>
            <w:tcBorders>
              <w:top w:val="nil"/>
              <w:bottom w:val="nil"/>
            </w:tcBorders>
            <w:noWrap/>
            <w:tcMar>
              <w:left w:w="0" w:type="dxa"/>
              <w:right w:w="0" w:type="dxa"/>
            </w:tcMar>
            <w:vAlign w:val="bottom"/>
          </w:tcPr>
          <w:p w:rsidR="00EA3F96" w:rsidRPr="00E465A1" w:rsidRDefault="00EA3F96" w:rsidP="00EA3F96">
            <w:pPr>
              <w:pStyle w:val="Normaltabletextleft"/>
              <w:rPr>
                <w:color w:val="262626" w:themeColor="text1" w:themeTint="D9"/>
                <w:szCs w:val="20"/>
                <w:lang w:eastAsia="en-AU"/>
              </w:rPr>
            </w:pPr>
          </w:p>
        </w:tc>
        <w:tc>
          <w:tcPr>
            <w:tcW w:w="1134" w:type="dxa"/>
            <w:tcBorders>
              <w:top w:val="nil"/>
              <w:bottom w:val="nil"/>
            </w:tcBorders>
            <w:shd w:val="clear" w:color="auto" w:fill="FEE4B0"/>
            <w:noWrap/>
            <w:tcMar>
              <w:left w:w="0" w:type="dxa"/>
              <w:right w:w="113" w:type="dxa"/>
            </w:tcMar>
            <w:vAlign w:val="bottom"/>
          </w:tcPr>
          <w:p w:rsidR="00EA3F96" w:rsidRPr="00E465A1" w:rsidRDefault="00C0716B" w:rsidP="00EA3F96">
            <w:pPr>
              <w:pStyle w:val="Normaltabletext1stpararight"/>
              <w:rPr>
                <w:color w:val="262626" w:themeColor="text1" w:themeTint="D9"/>
                <w:szCs w:val="20"/>
                <w:lang w:eastAsia="en-AU"/>
              </w:rPr>
            </w:pPr>
            <w:r w:rsidRPr="00E465A1">
              <w:rPr>
                <w:color w:val="262626" w:themeColor="text1" w:themeTint="D9"/>
                <w:szCs w:val="20"/>
                <w:lang w:eastAsia="en-AU"/>
              </w:rPr>
              <w:t>55,013</w:t>
            </w:r>
          </w:p>
        </w:tc>
        <w:tc>
          <w:tcPr>
            <w:tcW w:w="283" w:type="dxa"/>
            <w:tcBorders>
              <w:top w:val="nil"/>
              <w:bottom w:val="nil"/>
            </w:tcBorders>
            <w:noWrap/>
            <w:tcMar>
              <w:left w:w="0" w:type="dxa"/>
              <w:right w:w="0" w:type="dxa"/>
            </w:tcMar>
            <w:vAlign w:val="bottom"/>
          </w:tcPr>
          <w:p w:rsidR="00EA3F96" w:rsidRPr="00E465A1" w:rsidRDefault="00EA3F96" w:rsidP="00EA3F96">
            <w:pPr>
              <w:pStyle w:val="Normaltabletextcentred"/>
              <w:rPr>
                <w:color w:val="262626" w:themeColor="text1" w:themeTint="D9"/>
                <w:szCs w:val="20"/>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EA3F96" w:rsidRPr="00E465A1" w:rsidRDefault="0099196A" w:rsidP="00EA3F96">
            <w:pPr>
              <w:pStyle w:val="Normaltabletext1stpararight"/>
              <w:rPr>
                <w:color w:val="262626" w:themeColor="text1" w:themeTint="D9"/>
                <w:szCs w:val="20"/>
                <w:lang w:eastAsia="en-AU"/>
              </w:rPr>
            </w:pPr>
            <w:r w:rsidRPr="00E465A1">
              <w:rPr>
                <w:color w:val="262626" w:themeColor="text1" w:themeTint="D9"/>
                <w:szCs w:val="20"/>
                <w:lang w:eastAsia="en-AU"/>
              </w:rPr>
              <w:t>54,461</w:t>
            </w:r>
          </w:p>
        </w:tc>
      </w:tr>
      <w:tr w:rsidR="00E465A1" w:rsidRPr="00E465A1" w:rsidTr="00AD6577">
        <w:trPr>
          <w:trHeight w:val="20"/>
        </w:trPr>
        <w:tc>
          <w:tcPr>
            <w:tcW w:w="7655" w:type="dxa"/>
            <w:gridSpan w:val="3"/>
            <w:tcBorders>
              <w:top w:val="nil"/>
              <w:left w:val="nil"/>
              <w:bottom w:val="nil"/>
            </w:tcBorders>
            <w:vAlign w:val="bottom"/>
          </w:tcPr>
          <w:p w:rsidR="00EA3F96" w:rsidRPr="00E465A1" w:rsidRDefault="00EA3F96" w:rsidP="00EA3F96">
            <w:pPr>
              <w:pStyle w:val="Normaltabletext1stpararight"/>
              <w:jc w:val="left"/>
              <w:rPr>
                <w:color w:val="262626" w:themeColor="text1" w:themeTint="D9"/>
                <w:szCs w:val="20"/>
              </w:rPr>
            </w:pPr>
          </w:p>
        </w:tc>
        <w:tc>
          <w:tcPr>
            <w:tcW w:w="1134" w:type="dxa"/>
            <w:tcBorders>
              <w:top w:val="nil"/>
              <w:bottom w:val="nil"/>
            </w:tcBorders>
            <w:shd w:val="clear" w:color="auto" w:fill="FEE4B0"/>
            <w:noWrap/>
            <w:tcMar>
              <w:left w:w="0" w:type="dxa"/>
              <w:right w:w="113" w:type="dxa"/>
            </w:tcMar>
            <w:vAlign w:val="bottom"/>
          </w:tcPr>
          <w:p w:rsidR="00EA3F96" w:rsidRPr="00E465A1" w:rsidRDefault="00EA3F96" w:rsidP="00EA3F96">
            <w:pPr>
              <w:pStyle w:val="Normaltabletext1stpararight"/>
              <w:rPr>
                <w:color w:val="262626" w:themeColor="text1" w:themeTint="D9"/>
                <w:szCs w:val="20"/>
                <w:lang w:eastAsia="en-AU"/>
              </w:rPr>
            </w:pPr>
          </w:p>
        </w:tc>
        <w:tc>
          <w:tcPr>
            <w:tcW w:w="283" w:type="dxa"/>
            <w:tcBorders>
              <w:top w:val="nil"/>
              <w:bottom w:val="nil"/>
            </w:tcBorders>
            <w:noWrap/>
            <w:tcMar>
              <w:left w:w="0" w:type="dxa"/>
              <w:right w:w="0" w:type="dxa"/>
            </w:tcMar>
            <w:vAlign w:val="bottom"/>
          </w:tcPr>
          <w:p w:rsidR="00EA3F96" w:rsidRPr="00E465A1" w:rsidRDefault="00EA3F96" w:rsidP="00EA3F96">
            <w:pPr>
              <w:pStyle w:val="Normaltabletextcentred"/>
              <w:rPr>
                <w:color w:val="262626" w:themeColor="text1" w:themeTint="D9"/>
                <w:szCs w:val="20"/>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EA3F96" w:rsidRPr="00E465A1" w:rsidRDefault="00EA3F96" w:rsidP="00EA3F96">
            <w:pPr>
              <w:pStyle w:val="Normaltabletext1stpararight"/>
              <w:rPr>
                <w:color w:val="262626" w:themeColor="text1" w:themeTint="D9"/>
                <w:szCs w:val="20"/>
                <w:lang w:eastAsia="en-AU"/>
              </w:rPr>
            </w:pPr>
          </w:p>
        </w:tc>
      </w:tr>
      <w:tr w:rsidR="00E465A1" w:rsidRPr="00E465A1" w:rsidTr="00AD6577">
        <w:trPr>
          <w:trHeight w:val="20"/>
        </w:trPr>
        <w:tc>
          <w:tcPr>
            <w:tcW w:w="7655" w:type="dxa"/>
            <w:gridSpan w:val="3"/>
            <w:tcBorders>
              <w:top w:val="nil"/>
              <w:left w:val="nil"/>
              <w:bottom w:val="nil"/>
            </w:tcBorders>
            <w:vAlign w:val="bottom"/>
          </w:tcPr>
          <w:p w:rsidR="00EA3F96" w:rsidRPr="00E465A1" w:rsidRDefault="00EA3F96" w:rsidP="00EA3F96">
            <w:pPr>
              <w:pStyle w:val="Normaltabletextleft"/>
              <w:rPr>
                <w:color w:val="262626" w:themeColor="text1" w:themeTint="D9"/>
                <w:szCs w:val="20"/>
                <w:lang w:eastAsia="en-AU"/>
              </w:rPr>
            </w:pPr>
            <w:r w:rsidRPr="00E465A1">
              <w:rPr>
                <w:b/>
                <w:color w:val="262626" w:themeColor="text1" w:themeTint="D9"/>
                <w:szCs w:val="20"/>
                <w:lang w:eastAsia="en-AU"/>
              </w:rPr>
              <w:t>Other Contributions – Services Received Below Fair Value</w:t>
            </w:r>
          </w:p>
        </w:tc>
        <w:tc>
          <w:tcPr>
            <w:tcW w:w="1134" w:type="dxa"/>
            <w:tcBorders>
              <w:top w:val="nil"/>
              <w:bottom w:val="nil"/>
            </w:tcBorders>
            <w:shd w:val="clear" w:color="auto" w:fill="FEE4B0"/>
            <w:noWrap/>
            <w:tcMar>
              <w:left w:w="0" w:type="dxa"/>
              <w:right w:w="113" w:type="dxa"/>
            </w:tcMar>
            <w:vAlign w:val="bottom"/>
          </w:tcPr>
          <w:p w:rsidR="00EA3F96" w:rsidRPr="00E465A1" w:rsidRDefault="00EA3F96" w:rsidP="00EA3F96">
            <w:pPr>
              <w:pStyle w:val="Normaltabletext1stpararight"/>
              <w:rPr>
                <w:color w:val="262626" w:themeColor="text1" w:themeTint="D9"/>
                <w:szCs w:val="20"/>
                <w:lang w:eastAsia="en-AU"/>
              </w:rPr>
            </w:pPr>
          </w:p>
        </w:tc>
        <w:tc>
          <w:tcPr>
            <w:tcW w:w="283" w:type="dxa"/>
            <w:tcBorders>
              <w:top w:val="nil"/>
              <w:bottom w:val="nil"/>
            </w:tcBorders>
            <w:noWrap/>
            <w:tcMar>
              <w:left w:w="0" w:type="dxa"/>
              <w:right w:w="0" w:type="dxa"/>
            </w:tcMar>
            <w:vAlign w:val="bottom"/>
          </w:tcPr>
          <w:p w:rsidR="00EA3F96" w:rsidRPr="00E465A1" w:rsidRDefault="00EA3F96" w:rsidP="00EA3F96">
            <w:pPr>
              <w:pStyle w:val="Normaltabletextcentred"/>
              <w:rPr>
                <w:color w:val="262626" w:themeColor="text1" w:themeTint="D9"/>
                <w:szCs w:val="20"/>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EA3F96" w:rsidRPr="00E465A1" w:rsidRDefault="00EA3F96" w:rsidP="00EA3F96">
            <w:pPr>
              <w:pStyle w:val="Normaltabletext1stpararight"/>
              <w:rPr>
                <w:color w:val="262626" w:themeColor="text1" w:themeTint="D9"/>
                <w:szCs w:val="20"/>
                <w:lang w:eastAsia="en-AU"/>
              </w:rPr>
            </w:pPr>
          </w:p>
        </w:tc>
      </w:tr>
      <w:tr w:rsidR="00E465A1" w:rsidRPr="00E465A1" w:rsidTr="00AD6577">
        <w:trPr>
          <w:trHeight w:val="20"/>
        </w:trPr>
        <w:tc>
          <w:tcPr>
            <w:tcW w:w="7655" w:type="dxa"/>
            <w:gridSpan w:val="3"/>
            <w:tcBorders>
              <w:top w:val="nil"/>
              <w:left w:val="nil"/>
              <w:bottom w:val="nil"/>
            </w:tcBorders>
            <w:vAlign w:val="bottom"/>
          </w:tcPr>
          <w:p w:rsidR="00EA3F96" w:rsidRPr="00E465A1" w:rsidRDefault="00EA3F96" w:rsidP="00084DAC">
            <w:pPr>
              <w:pStyle w:val="Normaltabletextleft"/>
              <w:rPr>
                <w:b/>
                <w:color w:val="262626" w:themeColor="text1" w:themeTint="D9"/>
                <w:szCs w:val="20"/>
                <w:lang w:eastAsia="en-AU"/>
              </w:rPr>
            </w:pPr>
            <w:r w:rsidRPr="00E465A1">
              <w:rPr>
                <w:color w:val="262626" w:themeColor="text1" w:themeTint="D9"/>
                <w:szCs w:val="20"/>
                <w:lang w:eastAsia="en-AU"/>
              </w:rPr>
              <w:t xml:space="preserve">Archival </w:t>
            </w:r>
            <w:r w:rsidR="00084DAC" w:rsidRPr="00E465A1">
              <w:rPr>
                <w:color w:val="262626" w:themeColor="text1" w:themeTint="D9"/>
                <w:szCs w:val="20"/>
                <w:lang w:eastAsia="en-AU"/>
              </w:rPr>
              <w:t xml:space="preserve">storage </w:t>
            </w:r>
            <w:r w:rsidRPr="00E465A1">
              <w:rPr>
                <w:color w:val="262626" w:themeColor="text1" w:themeTint="D9"/>
                <w:szCs w:val="20"/>
                <w:lang w:eastAsia="en-AU"/>
              </w:rPr>
              <w:t>services from Department of</w:t>
            </w:r>
            <w:r w:rsidR="00B85FCF" w:rsidRPr="00E465A1">
              <w:rPr>
                <w:color w:val="262626" w:themeColor="text1" w:themeTint="D9"/>
                <w:szCs w:val="20"/>
                <w:lang w:eastAsia="en-AU"/>
              </w:rPr>
              <w:t xml:space="preserve"> Housing and</w:t>
            </w:r>
            <w:r w:rsidRPr="00E465A1">
              <w:rPr>
                <w:color w:val="262626" w:themeColor="text1" w:themeTint="D9"/>
                <w:szCs w:val="20"/>
                <w:lang w:eastAsia="en-AU"/>
              </w:rPr>
              <w:t xml:space="preserve"> </w:t>
            </w:r>
            <w:r w:rsidR="00084DAC" w:rsidRPr="00E465A1">
              <w:rPr>
                <w:color w:val="262626" w:themeColor="text1" w:themeTint="D9"/>
                <w:szCs w:val="20"/>
                <w:lang w:eastAsia="en-AU"/>
              </w:rPr>
              <w:t xml:space="preserve">Public Works </w:t>
            </w:r>
            <w:r w:rsidRPr="00E465A1">
              <w:rPr>
                <w:color w:val="262626" w:themeColor="text1" w:themeTint="D9"/>
                <w:szCs w:val="20"/>
                <w:lang w:eastAsia="en-AU"/>
              </w:rPr>
              <w:t>(</w:t>
            </w:r>
            <w:proofErr w:type="spellStart"/>
            <w:r w:rsidRPr="00E465A1">
              <w:rPr>
                <w:color w:val="262626" w:themeColor="text1" w:themeTint="D9"/>
                <w:szCs w:val="20"/>
                <w:lang w:eastAsia="en-AU"/>
              </w:rPr>
              <w:t>D</w:t>
            </w:r>
            <w:r w:rsidR="00084DAC" w:rsidRPr="00E465A1">
              <w:rPr>
                <w:color w:val="262626" w:themeColor="text1" w:themeTint="D9"/>
                <w:szCs w:val="20"/>
                <w:lang w:eastAsia="en-AU"/>
              </w:rPr>
              <w:t>PW</w:t>
            </w:r>
            <w:proofErr w:type="spellEnd"/>
            <w:r w:rsidRPr="00E465A1">
              <w:rPr>
                <w:color w:val="262626" w:themeColor="text1" w:themeTint="D9"/>
                <w:szCs w:val="20"/>
                <w:lang w:eastAsia="en-AU"/>
              </w:rPr>
              <w:t>)</w:t>
            </w:r>
          </w:p>
        </w:tc>
        <w:tc>
          <w:tcPr>
            <w:tcW w:w="1134" w:type="dxa"/>
            <w:tcBorders>
              <w:top w:val="nil"/>
              <w:bottom w:val="nil"/>
            </w:tcBorders>
            <w:shd w:val="clear" w:color="auto" w:fill="FEE4B0"/>
            <w:noWrap/>
            <w:tcMar>
              <w:left w:w="0" w:type="dxa"/>
              <w:right w:w="113" w:type="dxa"/>
            </w:tcMar>
            <w:vAlign w:val="bottom"/>
          </w:tcPr>
          <w:p w:rsidR="00EA3F96" w:rsidRPr="00E465A1" w:rsidRDefault="00084DAC" w:rsidP="00EA3F96">
            <w:pPr>
              <w:pStyle w:val="Normaltabletext1stpararight"/>
              <w:rPr>
                <w:color w:val="262626" w:themeColor="text1" w:themeTint="D9"/>
                <w:szCs w:val="20"/>
                <w:lang w:eastAsia="en-AU"/>
              </w:rPr>
            </w:pPr>
            <w:r w:rsidRPr="00E465A1">
              <w:rPr>
                <w:color w:val="262626" w:themeColor="text1" w:themeTint="D9"/>
                <w:szCs w:val="20"/>
              </w:rPr>
              <w:t>197</w:t>
            </w:r>
          </w:p>
        </w:tc>
        <w:tc>
          <w:tcPr>
            <w:tcW w:w="283" w:type="dxa"/>
            <w:tcBorders>
              <w:top w:val="nil"/>
              <w:bottom w:val="nil"/>
            </w:tcBorders>
            <w:noWrap/>
            <w:tcMar>
              <w:left w:w="0" w:type="dxa"/>
              <w:right w:w="0" w:type="dxa"/>
            </w:tcMar>
            <w:vAlign w:val="bottom"/>
          </w:tcPr>
          <w:p w:rsidR="00EA3F96" w:rsidRPr="00E465A1" w:rsidRDefault="00EA3F96" w:rsidP="00EA3F96">
            <w:pPr>
              <w:pStyle w:val="Normaltabletextcentred"/>
              <w:rPr>
                <w:color w:val="262626" w:themeColor="text1" w:themeTint="D9"/>
                <w:szCs w:val="20"/>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EA3F96" w:rsidRPr="00E465A1" w:rsidRDefault="0099196A" w:rsidP="00EA3F96">
            <w:pPr>
              <w:pStyle w:val="Normaltabletext1stpararight"/>
              <w:rPr>
                <w:color w:val="262626" w:themeColor="text1" w:themeTint="D9"/>
                <w:szCs w:val="20"/>
                <w:lang w:eastAsia="en-AU"/>
              </w:rPr>
            </w:pPr>
            <w:r w:rsidRPr="00E465A1">
              <w:rPr>
                <w:color w:val="262626" w:themeColor="text1" w:themeTint="D9"/>
                <w:szCs w:val="20"/>
                <w:lang w:eastAsia="en-AU"/>
              </w:rPr>
              <w:t>220</w:t>
            </w:r>
          </w:p>
        </w:tc>
      </w:tr>
      <w:tr w:rsidR="00E465A1" w:rsidRPr="00E465A1" w:rsidTr="00AD6577">
        <w:trPr>
          <w:trHeight w:val="20"/>
        </w:trPr>
        <w:tc>
          <w:tcPr>
            <w:tcW w:w="6804" w:type="dxa"/>
            <w:gridSpan w:val="2"/>
            <w:tcBorders>
              <w:top w:val="nil"/>
              <w:left w:val="nil"/>
              <w:bottom w:val="nil"/>
            </w:tcBorders>
          </w:tcPr>
          <w:p w:rsidR="00EA3F96" w:rsidRPr="00E465A1" w:rsidRDefault="00EA3F96" w:rsidP="00EA3F96">
            <w:pPr>
              <w:pStyle w:val="Normaltabletextleft"/>
              <w:rPr>
                <w:color w:val="262626" w:themeColor="text1" w:themeTint="D9"/>
                <w:szCs w:val="20"/>
                <w:lang w:eastAsia="en-AU"/>
              </w:rPr>
            </w:pPr>
            <w:r w:rsidRPr="00E465A1">
              <w:rPr>
                <w:color w:val="262626" w:themeColor="text1" w:themeTint="D9"/>
                <w:szCs w:val="20"/>
                <w:lang w:eastAsia="en-AU"/>
              </w:rPr>
              <w:t>Employee costs for police secondments from Queensland Police Service (QPS)</w:t>
            </w:r>
          </w:p>
        </w:tc>
        <w:tc>
          <w:tcPr>
            <w:tcW w:w="851" w:type="dxa"/>
            <w:tcBorders>
              <w:top w:val="nil"/>
              <w:bottom w:val="nil"/>
            </w:tcBorders>
            <w:noWrap/>
            <w:tcMar>
              <w:left w:w="0" w:type="dxa"/>
              <w:right w:w="0" w:type="dxa"/>
            </w:tcMar>
            <w:vAlign w:val="bottom"/>
          </w:tcPr>
          <w:p w:rsidR="00EA3F96" w:rsidRPr="00E465A1" w:rsidRDefault="00EA3F96" w:rsidP="00EA3F96">
            <w:pPr>
              <w:pStyle w:val="Normaltabletextleft"/>
              <w:rPr>
                <w:b/>
                <w:color w:val="262626" w:themeColor="text1" w:themeTint="D9"/>
                <w:szCs w:val="20"/>
                <w:lang w:eastAsia="en-AU"/>
              </w:rPr>
            </w:pPr>
          </w:p>
        </w:tc>
        <w:tc>
          <w:tcPr>
            <w:tcW w:w="1134" w:type="dxa"/>
            <w:tcBorders>
              <w:top w:val="nil"/>
              <w:bottom w:val="single" w:sz="4" w:space="0" w:color="auto"/>
            </w:tcBorders>
            <w:shd w:val="clear" w:color="auto" w:fill="FEE4B0"/>
            <w:noWrap/>
            <w:tcMar>
              <w:left w:w="0" w:type="dxa"/>
              <w:right w:w="113" w:type="dxa"/>
            </w:tcMar>
            <w:vAlign w:val="bottom"/>
          </w:tcPr>
          <w:p w:rsidR="00EA3F96" w:rsidRPr="00E465A1" w:rsidRDefault="00084DAC" w:rsidP="00EA3F96">
            <w:pPr>
              <w:pStyle w:val="Normaltabletext1stpararight"/>
              <w:rPr>
                <w:color w:val="262626" w:themeColor="text1" w:themeTint="D9"/>
                <w:szCs w:val="20"/>
                <w:lang w:eastAsia="en-AU"/>
              </w:rPr>
            </w:pPr>
            <w:r w:rsidRPr="00E465A1">
              <w:rPr>
                <w:color w:val="262626" w:themeColor="text1" w:themeTint="D9"/>
                <w:szCs w:val="20"/>
                <w:lang w:eastAsia="en-AU"/>
              </w:rPr>
              <w:t>942</w:t>
            </w:r>
          </w:p>
        </w:tc>
        <w:tc>
          <w:tcPr>
            <w:tcW w:w="283" w:type="dxa"/>
            <w:tcBorders>
              <w:top w:val="nil"/>
              <w:bottom w:val="nil"/>
            </w:tcBorders>
            <w:noWrap/>
            <w:tcMar>
              <w:left w:w="0" w:type="dxa"/>
              <w:right w:w="0" w:type="dxa"/>
            </w:tcMar>
            <w:vAlign w:val="bottom"/>
          </w:tcPr>
          <w:p w:rsidR="00EA3F96" w:rsidRPr="00E465A1" w:rsidRDefault="00EA3F96" w:rsidP="00EA3F96">
            <w:pPr>
              <w:pStyle w:val="Normaltabletextcentred"/>
              <w:rPr>
                <w:color w:val="262626" w:themeColor="text1" w:themeTint="D9"/>
                <w:szCs w:val="20"/>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vAlign w:val="bottom"/>
          </w:tcPr>
          <w:p w:rsidR="00EA3F96" w:rsidRPr="00E465A1" w:rsidRDefault="0099196A" w:rsidP="00EA3F96">
            <w:pPr>
              <w:pStyle w:val="Normaltabletext1stpararight"/>
              <w:rPr>
                <w:color w:val="262626" w:themeColor="text1" w:themeTint="D9"/>
                <w:szCs w:val="20"/>
                <w:lang w:eastAsia="en-AU"/>
              </w:rPr>
            </w:pPr>
            <w:r w:rsidRPr="00E465A1">
              <w:rPr>
                <w:color w:val="262626" w:themeColor="text1" w:themeTint="D9"/>
                <w:szCs w:val="20"/>
                <w:lang w:eastAsia="en-AU"/>
              </w:rPr>
              <w:t>903</w:t>
            </w:r>
          </w:p>
        </w:tc>
      </w:tr>
      <w:tr w:rsidR="00E465A1" w:rsidRPr="00E465A1" w:rsidTr="00AD6577">
        <w:trPr>
          <w:trHeight w:val="20"/>
        </w:trPr>
        <w:tc>
          <w:tcPr>
            <w:tcW w:w="4029" w:type="dxa"/>
            <w:tcBorders>
              <w:top w:val="nil"/>
              <w:left w:val="nil"/>
              <w:bottom w:val="nil"/>
              <w:right w:val="nil"/>
            </w:tcBorders>
          </w:tcPr>
          <w:p w:rsidR="00EA3F96" w:rsidRPr="00E465A1" w:rsidRDefault="00EA3F96" w:rsidP="00EA3F96">
            <w:pPr>
              <w:pStyle w:val="Normaltabletextleft"/>
              <w:rPr>
                <w:b/>
                <w:color w:val="262626" w:themeColor="text1" w:themeTint="D9"/>
                <w:szCs w:val="20"/>
                <w:lang w:eastAsia="en-AU"/>
              </w:rPr>
            </w:pPr>
          </w:p>
        </w:tc>
        <w:tc>
          <w:tcPr>
            <w:tcW w:w="2775" w:type="dxa"/>
            <w:tcBorders>
              <w:top w:val="nil"/>
              <w:left w:val="nil"/>
              <w:bottom w:val="nil"/>
            </w:tcBorders>
            <w:vAlign w:val="bottom"/>
          </w:tcPr>
          <w:p w:rsidR="00EA3F96" w:rsidRPr="00E465A1" w:rsidRDefault="00EA3F96" w:rsidP="00EA3F96">
            <w:pPr>
              <w:pStyle w:val="Normaltabletextleft"/>
              <w:rPr>
                <w:b/>
                <w:color w:val="262626" w:themeColor="text1" w:themeTint="D9"/>
                <w:szCs w:val="20"/>
                <w:lang w:eastAsia="en-AU"/>
              </w:rPr>
            </w:pPr>
          </w:p>
        </w:tc>
        <w:tc>
          <w:tcPr>
            <w:tcW w:w="851" w:type="dxa"/>
            <w:tcBorders>
              <w:top w:val="nil"/>
              <w:bottom w:val="nil"/>
            </w:tcBorders>
            <w:noWrap/>
            <w:tcMar>
              <w:left w:w="0" w:type="dxa"/>
              <w:right w:w="0" w:type="dxa"/>
            </w:tcMar>
            <w:vAlign w:val="bottom"/>
          </w:tcPr>
          <w:p w:rsidR="00EA3F96" w:rsidRPr="00E465A1" w:rsidRDefault="00EA3F96" w:rsidP="00EA3F96">
            <w:pPr>
              <w:pStyle w:val="Normaltabletextleft"/>
              <w:rPr>
                <w:b/>
                <w:color w:val="262626" w:themeColor="text1" w:themeTint="D9"/>
                <w:szCs w:val="20"/>
                <w:lang w:eastAsia="en-AU"/>
              </w:rPr>
            </w:pPr>
          </w:p>
        </w:tc>
        <w:tc>
          <w:tcPr>
            <w:tcW w:w="1134" w:type="dxa"/>
            <w:tcBorders>
              <w:top w:val="single" w:sz="4" w:space="0" w:color="auto"/>
              <w:bottom w:val="nil"/>
            </w:tcBorders>
            <w:shd w:val="clear" w:color="auto" w:fill="FEE4B0"/>
            <w:noWrap/>
            <w:tcMar>
              <w:left w:w="0" w:type="dxa"/>
              <w:right w:w="113" w:type="dxa"/>
            </w:tcMar>
            <w:vAlign w:val="bottom"/>
          </w:tcPr>
          <w:p w:rsidR="00EA3F96" w:rsidRPr="00E465A1" w:rsidRDefault="00084DAC" w:rsidP="00EA3F96">
            <w:pPr>
              <w:pStyle w:val="Normaltabletext1stpararight"/>
              <w:rPr>
                <w:color w:val="262626" w:themeColor="text1" w:themeTint="D9"/>
                <w:szCs w:val="20"/>
                <w:lang w:eastAsia="en-AU"/>
              </w:rPr>
            </w:pPr>
            <w:r w:rsidRPr="00E465A1">
              <w:rPr>
                <w:color w:val="262626" w:themeColor="text1" w:themeTint="D9"/>
                <w:szCs w:val="20"/>
                <w:lang w:eastAsia="en-AU"/>
              </w:rPr>
              <w:t>1,139</w:t>
            </w:r>
          </w:p>
        </w:tc>
        <w:tc>
          <w:tcPr>
            <w:tcW w:w="283" w:type="dxa"/>
            <w:tcBorders>
              <w:top w:val="nil"/>
              <w:bottom w:val="nil"/>
            </w:tcBorders>
            <w:noWrap/>
            <w:tcMar>
              <w:left w:w="0" w:type="dxa"/>
              <w:right w:w="0" w:type="dxa"/>
            </w:tcMar>
            <w:vAlign w:val="bottom"/>
          </w:tcPr>
          <w:p w:rsidR="00EA3F96" w:rsidRPr="00E465A1" w:rsidRDefault="00EA3F96" w:rsidP="00EA3F96">
            <w:pPr>
              <w:pStyle w:val="Normaltabletextcentred"/>
              <w:rPr>
                <w:b/>
                <w:color w:val="262626" w:themeColor="text1" w:themeTint="D9"/>
                <w:szCs w:val="20"/>
                <w:lang w:eastAsia="en-AU"/>
              </w:rPr>
            </w:pPr>
          </w:p>
        </w:tc>
        <w:tc>
          <w:tcPr>
            <w:tcW w:w="1134" w:type="dxa"/>
            <w:tcBorders>
              <w:top w:val="single" w:sz="4" w:space="0" w:color="auto"/>
              <w:bottom w:val="nil"/>
              <w:right w:val="nil"/>
            </w:tcBorders>
            <w:shd w:val="clear" w:color="auto" w:fill="FFFFFF" w:themeFill="background1"/>
            <w:noWrap/>
            <w:tcMar>
              <w:left w:w="0" w:type="dxa"/>
              <w:right w:w="113" w:type="dxa"/>
            </w:tcMar>
            <w:vAlign w:val="bottom"/>
          </w:tcPr>
          <w:p w:rsidR="00EA3F96" w:rsidRPr="00E465A1" w:rsidRDefault="0099196A" w:rsidP="00EA3F96">
            <w:pPr>
              <w:pStyle w:val="Normaltabletext1stpararight"/>
              <w:rPr>
                <w:color w:val="262626" w:themeColor="text1" w:themeTint="D9"/>
                <w:szCs w:val="20"/>
                <w:lang w:eastAsia="en-AU"/>
              </w:rPr>
            </w:pPr>
            <w:r w:rsidRPr="00E465A1">
              <w:rPr>
                <w:color w:val="262626" w:themeColor="text1" w:themeTint="D9"/>
                <w:szCs w:val="20"/>
                <w:lang w:eastAsia="en-AU"/>
              </w:rPr>
              <w:t>1,123</w:t>
            </w:r>
          </w:p>
        </w:tc>
      </w:tr>
      <w:tr w:rsidR="00E465A1" w:rsidRPr="00E465A1" w:rsidTr="00AD6577">
        <w:trPr>
          <w:trHeight w:val="20"/>
        </w:trPr>
        <w:tc>
          <w:tcPr>
            <w:tcW w:w="4029" w:type="dxa"/>
            <w:tcBorders>
              <w:top w:val="nil"/>
              <w:left w:val="nil"/>
              <w:bottom w:val="nil"/>
              <w:right w:val="nil"/>
            </w:tcBorders>
          </w:tcPr>
          <w:p w:rsidR="00EA3F96" w:rsidRPr="00E465A1" w:rsidRDefault="00EA3F96" w:rsidP="00EA3F96">
            <w:pPr>
              <w:pStyle w:val="Normaltabletextleft"/>
              <w:rPr>
                <w:b/>
                <w:color w:val="262626" w:themeColor="text1" w:themeTint="D9"/>
                <w:szCs w:val="20"/>
                <w:lang w:eastAsia="en-AU"/>
              </w:rPr>
            </w:pPr>
          </w:p>
        </w:tc>
        <w:tc>
          <w:tcPr>
            <w:tcW w:w="2775" w:type="dxa"/>
            <w:tcBorders>
              <w:top w:val="nil"/>
              <w:left w:val="nil"/>
              <w:bottom w:val="nil"/>
            </w:tcBorders>
            <w:vAlign w:val="bottom"/>
          </w:tcPr>
          <w:p w:rsidR="00EA3F96" w:rsidRPr="00E465A1" w:rsidRDefault="00EA3F96" w:rsidP="00EA3F96">
            <w:pPr>
              <w:pStyle w:val="Normaltabletextleft"/>
              <w:rPr>
                <w:b/>
                <w:color w:val="262626" w:themeColor="text1" w:themeTint="D9"/>
                <w:szCs w:val="20"/>
                <w:lang w:eastAsia="en-AU"/>
              </w:rPr>
            </w:pPr>
          </w:p>
        </w:tc>
        <w:tc>
          <w:tcPr>
            <w:tcW w:w="851" w:type="dxa"/>
            <w:tcBorders>
              <w:top w:val="nil"/>
              <w:bottom w:val="nil"/>
            </w:tcBorders>
            <w:noWrap/>
            <w:tcMar>
              <w:left w:w="0" w:type="dxa"/>
              <w:right w:w="0" w:type="dxa"/>
            </w:tcMar>
            <w:vAlign w:val="bottom"/>
          </w:tcPr>
          <w:p w:rsidR="00EA3F96" w:rsidRPr="00E465A1" w:rsidRDefault="00EA3F96" w:rsidP="00EA3F96">
            <w:pPr>
              <w:pStyle w:val="Normaltabletextleft"/>
              <w:rPr>
                <w:b/>
                <w:color w:val="262626" w:themeColor="text1" w:themeTint="D9"/>
                <w:szCs w:val="20"/>
                <w:lang w:eastAsia="en-AU"/>
              </w:rPr>
            </w:pPr>
          </w:p>
        </w:tc>
        <w:tc>
          <w:tcPr>
            <w:tcW w:w="1134" w:type="dxa"/>
            <w:tcBorders>
              <w:top w:val="nil"/>
              <w:bottom w:val="single" w:sz="4" w:space="0" w:color="auto"/>
            </w:tcBorders>
            <w:shd w:val="clear" w:color="auto" w:fill="FEE4B0"/>
            <w:noWrap/>
            <w:tcMar>
              <w:left w:w="0" w:type="dxa"/>
              <w:right w:w="113" w:type="dxa"/>
            </w:tcMar>
            <w:vAlign w:val="bottom"/>
          </w:tcPr>
          <w:p w:rsidR="00EA3F96" w:rsidRPr="00E465A1" w:rsidRDefault="00EA3F96" w:rsidP="00EA3F96">
            <w:pPr>
              <w:pStyle w:val="Normaltabletext1stpararight"/>
              <w:rPr>
                <w:b/>
                <w:color w:val="262626" w:themeColor="text1" w:themeTint="D9"/>
                <w:szCs w:val="20"/>
                <w:lang w:eastAsia="en-AU"/>
              </w:rPr>
            </w:pPr>
          </w:p>
        </w:tc>
        <w:tc>
          <w:tcPr>
            <w:tcW w:w="283" w:type="dxa"/>
            <w:tcBorders>
              <w:top w:val="nil"/>
              <w:bottom w:val="nil"/>
            </w:tcBorders>
            <w:noWrap/>
            <w:tcMar>
              <w:left w:w="0" w:type="dxa"/>
              <w:right w:w="0" w:type="dxa"/>
            </w:tcMar>
            <w:vAlign w:val="bottom"/>
          </w:tcPr>
          <w:p w:rsidR="00EA3F96" w:rsidRPr="00E465A1" w:rsidRDefault="00EA3F96" w:rsidP="00EA3F96">
            <w:pPr>
              <w:pStyle w:val="Normaltabletextcentred"/>
              <w:rPr>
                <w:b/>
                <w:color w:val="262626" w:themeColor="text1" w:themeTint="D9"/>
                <w:szCs w:val="20"/>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vAlign w:val="bottom"/>
          </w:tcPr>
          <w:p w:rsidR="00EA3F96" w:rsidRPr="00E465A1" w:rsidRDefault="00EA3F96" w:rsidP="00EA3F96">
            <w:pPr>
              <w:pStyle w:val="Normaltabletext1stpararight"/>
              <w:rPr>
                <w:b/>
                <w:color w:val="262626" w:themeColor="text1" w:themeTint="D9"/>
                <w:szCs w:val="20"/>
                <w:lang w:eastAsia="en-AU"/>
              </w:rPr>
            </w:pPr>
          </w:p>
        </w:tc>
      </w:tr>
      <w:tr w:rsidR="00E465A1" w:rsidRPr="00E465A1" w:rsidTr="00AD6577">
        <w:trPr>
          <w:trHeight w:val="20"/>
        </w:trPr>
        <w:tc>
          <w:tcPr>
            <w:tcW w:w="4029" w:type="dxa"/>
            <w:tcBorders>
              <w:top w:val="nil"/>
              <w:left w:val="nil"/>
              <w:bottom w:val="nil"/>
              <w:right w:val="nil"/>
            </w:tcBorders>
          </w:tcPr>
          <w:p w:rsidR="00EA3F96" w:rsidRPr="00E465A1" w:rsidRDefault="00EA3F96" w:rsidP="00EA3F96">
            <w:pPr>
              <w:pStyle w:val="Normaltabletextleft"/>
              <w:rPr>
                <w:b/>
                <w:color w:val="262626" w:themeColor="text1" w:themeTint="D9"/>
                <w:szCs w:val="20"/>
                <w:lang w:eastAsia="en-AU"/>
              </w:rPr>
            </w:pPr>
            <w:r w:rsidRPr="00E465A1">
              <w:rPr>
                <w:b/>
                <w:color w:val="262626" w:themeColor="text1" w:themeTint="D9"/>
                <w:szCs w:val="20"/>
                <w:lang w:eastAsia="en-AU"/>
              </w:rPr>
              <w:t>Total</w:t>
            </w:r>
          </w:p>
        </w:tc>
        <w:tc>
          <w:tcPr>
            <w:tcW w:w="2775" w:type="dxa"/>
            <w:tcBorders>
              <w:top w:val="nil"/>
              <w:left w:val="nil"/>
              <w:bottom w:val="nil"/>
            </w:tcBorders>
            <w:vAlign w:val="bottom"/>
          </w:tcPr>
          <w:p w:rsidR="00EA3F96" w:rsidRPr="00E465A1" w:rsidRDefault="00EA3F96" w:rsidP="00EA3F96">
            <w:pPr>
              <w:pStyle w:val="Normaltabletextleft"/>
              <w:rPr>
                <w:b/>
                <w:color w:val="262626" w:themeColor="text1" w:themeTint="D9"/>
                <w:szCs w:val="20"/>
                <w:lang w:eastAsia="en-AU"/>
              </w:rPr>
            </w:pPr>
          </w:p>
        </w:tc>
        <w:tc>
          <w:tcPr>
            <w:tcW w:w="851" w:type="dxa"/>
            <w:tcBorders>
              <w:top w:val="nil"/>
              <w:bottom w:val="nil"/>
            </w:tcBorders>
            <w:noWrap/>
            <w:tcMar>
              <w:left w:w="0" w:type="dxa"/>
              <w:right w:w="0" w:type="dxa"/>
            </w:tcMar>
            <w:vAlign w:val="bottom"/>
          </w:tcPr>
          <w:p w:rsidR="00EA3F96" w:rsidRPr="00E465A1" w:rsidRDefault="00EA3F96" w:rsidP="00EA3F96">
            <w:pPr>
              <w:pStyle w:val="Normaltabletextleft"/>
              <w:rPr>
                <w:b/>
                <w:color w:val="262626" w:themeColor="text1" w:themeTint="D9"/>
                <w:szCs w:val="20"/>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EA3F96" w:rsidRPr="00E465A1" w:rsidRDefault="00C0716B" w:rsidP="00EA3F96">
            <w:pPr>
              <w:pStyle w:val="Normaltabletext1stpararight"/>
              <w:rPr>
                <w:b/>
                <w:color w:val="262626" w:themeColor="text1" w:themeTint="D9"/>
                <w:szCs w:val="20"/>
                <w:lang w:eastAsia="en-AU"/>
              </w:rPr>
            </w:pPr>
            <w:r w:rsidRPr="00E465A1">
              <w:rPr>
                <w:b/>
                <w:color w:val="262626" w:themeColor="text1" w:themeTint="D9"/>
                <w:szCs w:val="20"/>
                <w:lang w:eastAsia="en-AU"/>
              </w:rPr>
              <w:t>56,152</w:t>
            </w:r>
          </w:p>
        </w:tc>
        <w:tc>
          <w:tcPr>
            <w:tcW w:w="283" w:type="dxa"/>
            <w:tcBorders>
              <w:top w:val="nil"/>
              <w:bottom w:val="nil"/>
            </w:tcBorders>
            <w:noWrap/>
            <w:tcMar>
              <w:left w:w="0" w:type="dxa"/>
              <w:right w:w="0" w:type="dxa"/>
            </w:tcMar>
            <w:vAlign w:val="bottom"/>
          </w:tcPr>
          <w:p w:rsidR="00EA3F96" w:rsidRPr="00E465A1" w:rsidRDefault="00EA3F96" w:rsidP="00EA3F96">
            <w:pPr>
              <w:pStyle w:val="Normaltabletextcentred"/>
              <w:rPr>
                <w:b/>
                <w:color w:val="262626" w:themeColor="text1" w:themeTint="D9"/>
                <w:szCs w:val="20"/>
                <w:lang w:eastAsia="en-AU"/>
              </w:rPr>
            </w:pPr>
          </w:p>
        </w:tc>
        <w:tc>
          <w:tcPr>
            <w:tcW w:w="1134" w:type="dxa"/>
            <w:tcBorders>
              <w:top w:val="single" w:sz="4" w:space="0" w:color="auto"/>
              <w:bottom w:val="double" w:sz="4" w:space="0" w:color="auto"/>
              <w:right w:val="nil"/>
            </w:tcBorders>
            <w:shd w:val="clear" w:color="auto" w:fill="FFFFFF" w:themeFill="background1"/>
            <w:noWrap/>
            <w:tcMar>
              <w:left w:w="0" w:type="dxa"/>
              <w:right w:w="113" w:type="dxa"/>
            </w:tcMar>
            <w:vAlign w:val="bottom"/>
          </w:tcPr>
          <w:p w:rsidR="00EA3F96" w:rsidRPr="00E465A1" w:rsidRDefault="0099196A" w:rsidP="00EA3F96">
            <w:pPr>
              <w:pStyle w:val="Normaltabletext1stpararight"/>
              <w:rPr>
                <w:b/>
                <w:color w:val="262626" w:themeColor="text1" w:themeTint="D9"/>
                <w:szCs w:val="20"/>
                <w:lang w:eastAsia="en-AU"/>
              </w:rPr>
            </w:pPr>
            <w:r w:rsidRPr="00E465A1">
              <w:rPr>
                <w:b/>
                <w:color w:val="262626" w:themeColor="text1" w:themeTint="D9"/>
                <w:szCs w:val="20"/>
                <w:lang w:eastAsia="en-AU"/>
              </w:rPr>
              <w:t>55,584</w:t>
            </w:r>
          </w:p>
        </w:tc>
      </w:tr>
      <w:tr w:rsidR="00E465A1" w:rsidRPr="00E465A1" w:rsidTr="00434585">
        <w:trPr>
          <w:trHeight w:val="20"/>
        </w:trPr>
        <w:tc>
          <w:tcPr>
            <w:tcW w:w="4029" w:type="dxa"/>
            <w:tcBorders>
              <w:top w:val="nil"/>
              <w:left w:val="nil"/>
              <w:bottom w:val="nil"/>
              <w:right w:val="nil"/>
            </w:tcBorders>
          </w:tcPr>
          <w:p w:rsidR="00E56D3A" w:rsidRPr="00E465A1" w:rsidRDefault="00E56D3A" w:rsidP="001C2993">
            <w:pPr>
              <w:pStyle w:val="Normaltabletextleft"/>
              <w:rPr>
                <w:color w:val="262626" w:themeColor="text1" w:themeTint="D9"/>
                <w:szCs w:val="20"/>
                <w:lang w:eastAsia="en-AU"/>
              </w:rPr>
            </w:pPr>
          </w:p>
        </w:tc>
        <w:tc>
          <w:tcPr>
            <w:tcW w:w="2775" w:type="dxa"/>
            <w:tcBorders>
              <w:top w:val="nil"/>
              <w:left w:val="nil"/>
              <w:bottom w:val="nil"/>
            </w:tcBorders>
            <w:vAlign w:val="bottom"/>
          </w:tcPr>
          <w:p w:rsidR="00E56D3A" w:rsidRPr="00E465A1" w:rsidRDefault="00E56D3A" w:rsidP="001C2993">
            <w:pPr>
              <w:pStyle w:val="Normaltabletextleft"/>
              <w:rPr>
                <w:color w:val="262626" w:themeColor="text1" w:themeTint="D9"/>
                <w:szCs w:val="20"/>
                <w:lang w:eastAsia="en-AU"/>
              </w:rPr>
            </w:pPr>
          </w:p>
        </w:tc>
        <w:tc>
          <w:tcPr>
            <w:tcW w:w="851" w:type="dxa"/>
            <w:tcBorders>
              <w:top w:val="nil"/>
              <w:bottom w:val="nil"/>
            </w:tcBorders>
            <w:noWrap/>
            <w:tcMar>
              <w:left w:w="0" w:type="dxa"/>
              <w:right w:w="0" w:type="dxa"/>
            </w:tcMar>
            <w:vAlign w:val="bottom"/>
          </w:tcPr>
          <w:p w:rsidR="00E56D3A" w:rsidRPr="00E465A1" w:rsidRDefault="00E56D3A" w:rsidP="001C2993">
            <w:pPr>
              <w:pStyle w:val="Normaltabletextleft"/>
              <w:rPr>
                <w:b/>
                <w:color w:val="262626" w:themeColor="text1" w:themeTint="D9"/>
                <w:szCs w:val="20"/>
                <w:lang w:eastAsia="en-AU"/>
              </w:rPr>
            </w:pPr>
          </w:p>
        </w:tc>
        <w:tc>
          <w:tcPr>
            <w:tcW w:w="1134" w:type="dxa"/>
            <w:tcBorders>
              <w:top w:val="double" w:sz="4" w:space="0" w:color="auto"/>
              <w:bottom w:val="nil"/>
            </w:tcBorders>
            <w:shd w:val="clear" w:color="auto" w:fill="auto"/>
            <w:noWrap/>
            <w:tcMar>
              <w:left w:w="0" w:type="dxa"/>
              <w:right w:w="113" w:type="dxa"/>
            </w:tcMar>
            <w:vAlign w:val="bottom"/>
          </w:tcPr>
          <w:p w:rsidR="00E56D3A" w:rsidRPr="00E465A1" w:rsidRDefault="00E56D3A" w:rsidP="001C2993">
            <w:pPr>
              <w:pStyle w:val="Normaltabletext1stpararight"/>
              <w:rPr>
                <w:color w:val="262626" w:themeColor="text1" w:themeTint="D9"/>
                <w:szCs w:val="20"/>
                <w:lang w:eastAsia="en-AU"/>
              </w:rPr>
            </w:pPr>
          </w:p>
        </w:tc>
        <w:tc>
          <w:tcPr>
            <w:tcW w:w="283" w:type="dxa"/>
            <w:tcBorders>
              <w:top w:val="nil"/>
              <w:bottom w:val="nil"/>
            </w:tcBorders>
            <w:noWrap/>
            <w:tcMar>
              <w:left w:w="0" w:type="dxa"/>
              <w:right w:w="0" w:type="dxa"/>
            </w:tcMar>
            <w:vAlign w:val="bottom"/>
          </w:tcPr>
          <w:p w:rsidR="00E56D3A" w:rsidRPr="00E465A1" w:rsidRDefault="00E56D3A" w:rsidP="001C2993">
            <w:pPr>
              <w:pStyle w:val="Normaltabletextcentred"/>
              <w:rPr>
                <w:color w:val="262626" w:themeColor="text1" w:themeTint="D9"/>
                <w:szCs w:val="20"/>
                <w:lang w:eastAsia="en-AU"/>
              </w:rPr>
            </w:pPr>
          </w:p>
        </w:tc>
        <w:tc>
          <w:tcPr>
            <w:tcW w:w="1134" w:type="dxa"/>
            <w:tcBorders>
              <w:top w:val="double" w:sz="4" w:space="0" w:color="auto"/>
              <w:bottom w:val="nil"/>
              <w:right w:val="nil"/>
            </w:tcBorders>
            <w:noWrap/>
            <w:tcMar>
              <w:left w:w="0" w:type="dxa"/>
              <w:right w:w="113" w:type="dxa"/>
            </w:tcMar>
            <w:vAlign w:val="bottom"/>
          </w:tcPr>
          <w:p w:rsidR="00E56D3A" w:rsidRPr="00E465A1" w:rsidRDefault="00E56D3A" w:rsidP="001C2993">
            <w:pPr>
              <w:pStyle w:val="Normaltabletext1stpararight"/>
              <w:rPr>
                <w:color w:val="262626" w:themeColor="text1" w:themeTint="D9"/>
                <w:szCs w:val="20"/>
                <w:lang w:eastAsia="en-AU"/>
              </w:rPr>
            </w:pPr>
          </w:p>
        </w:tc>
      </w:tr>
    </w:tbl>
    <w:p w:rsidR="003C37D4" w:rsidRPr="00E465A1" w:rsidRDefault="00306CEF" w:rsidP="00663109">
      <w:pPr>
        <w:pStyle w:val="Noteswithhangingindent"/>
        <w:rPr>
          <w:color w:val="262626" w:themeColor="text1" w:themeTint="D9"/>
        </w:rPr>
      </w:pPr>
      <w:r w:rsidRPr="00E465A1">
        <w:rPr>
          <w:color w:val="262626" w:themeColor="text1" w:themeTint="D9"/>
          <w:vertAlign w:val="superscript"/>
        </w:rPr>
        <w:t>1</w:t>
      </w:r>
      <w:r w:rsidRPr="00E465A1">
        <w:rPr>
          <w:color w:val="262626" w:themeColor="text1" w:themeTint="D9"/>
        </w:rPr>
        <w:tab/>
      </w:r>
      <w:r w:rsidR="0093233E" w:rsidRPr="00E465A1">
        <w:rPr>
          <w:color w:val="262626" w:themeColor="text1" w:themeTint="D9"/>
        </w:rPr>
        <w:t xml:space="preserve">The </w:t>
      </w:r>
      <w:r w:rsidR="00EC2665" w:rsidRPr="00E465A1">
        <w:rPr>
          <w:color w:val="262626" w:themeColor="text1" w:themeTint="D9"/>
        </w:rPr>
        <w:t>CCC</w:t>
      </w:r>
      <w:r w:rsidR="0093233E" w:rsidRPr="00E465A1">
        <w:rPr>
          <w:color w:val="262626" w:themeColor="text1" w:themeTint="D9"/>
        </w:rPr>
        <w:t xml:space="preserve"> is funded by parliamentary </w:t>
      </w:r>
      <w:r w:rsidR="004903FD" w:rsidRPr="00E465A1">
        <w:rPr>
          <w:color w:val="262626" w:themeColor="text1" w:themeTint="D9"/>
        </w:rPr>
        <w:t xml:space="preserve">appropriations </w:t>
      </w:r>
      <w:r w:rsidR="0093233E" w:rsidRPr="00E465A1">
        <w:rPr>
          <w:color w:val="262626" w:themeColor="text1" w:themeTint="D9"/>
        </w:rPr>
        <w:t xml:space="preserve">for the provision of its outputs. These appropriations are received by the Department of Justice and Attorney-General and forwarded to the </w:t>
      </w:r>
      <w:r w:rsidR="00EC2665" w:rsidRPr="00E465A1">
        <w:rPr>
          <w:color w:val="262626" w:themeColor="text1" w:themeTint="D9"/>
        </w:rPr>
        <w:t>CCC</w:t>
      </w:r>
      <w:r w:rsidR="0093233E" w:rsidRPr="00E465A1">
        <w:rPr>
          <w:color w:val="262626" w:themeColor="text1" w:themeTint="D9"/>
        </w:rPr>
        <w:t xml:space="preserve"> on a quarterl</w:t>
      </w:r>
      <w:r w:rsidR="004903FD" w:rsidRPr="00E465A1">
        <w:rPr>
          <w:color w:val="262626" w:themeColor="text1" w:themeTint="D9"/>
        </w:rPr>
        <w:t xml:space="preserve">y </w:t>
      </w:r>
      <w:r w:rsidRPr="00E465A1">
        <w:rPr>
          <w:color w:val="262626" w:themeColor="text1" w:themeTint="D9"/>
        </w:rPr>
        <w:t>basis in the form of a grant.</w:t>
      </w:r>
    </w:p>
    <w:p w:rsidR="00EA66E0" w:rsidRPr="00E465A1" w:rsidRDefault="00EA66E0" w:rsidP="0005325F">
      <w:pPr>
        <w:pStyle w:val="Normal115pttext"/>
        <w:rPr>
          <w:color w:val="262626" w:themeColor="text1" w:themeTint="D9"/>
        </w:rPr>
      </w:pPr>
    </w:p>
    <w:p w:rsidR="00B85FCF" w:rsidRPr="00E465A1" w:rsidRDefault="00B85FCF" w:rsidP="0005325F">
      <w:pPr>
        <w:pStyle w:val="Normal115pttext"/>
        <w:rPr>
          <w:color w:val="262626" w:themeColor="text1" w:themeTint="D9"/>
        </w:rPr>
      </w:pPr>
    </w:p>
    <w:p w:rsidR="00D81F4A" w:rsidRPr="00E465A1" w:rsidRDefault="00D81F4A" w:rsidP="0005325F">
      <w:pPr>
        <w:pStyle w:val="Normal115pttext"/>
        <w:rPr>
          <w:color w:val="262626" w:themeColor="text1" w:themeTint="D9"/>
        </w:rPr>
      </w:pPr>
    </w:p>
    <w:p w:rsidR="00D81F4A" w:rsidRPr="00E465A1" w:rsidRDefault="00D81F4A" w:rsidP="00D81F4A">
      <w:pPr>
        <w:pStyle w:val="Normal115pttext"/>
        <w:rPr>
          <w:color w:val="262626" w:themeColor="text1" w:themeTint="D9"/>
        </w:rPr>
      </w:pPr>
      <w:r w:rsidRPr="00E465A1">
        <w:rPr>
          <w:color w:val="262626" w:themeColor="text1" w:themeTint="D9"/>
        </w:rPr>
        <w:t>Note 3:  Other Revenue</w:t>
      </w:r>
    </w:p>
    <w:p w:rsidR="00D81F4A" w:rsidRPr="00E465A1" w:rsidRDefault="00D81F4A" w:rsidP="00D81F4A">
      <w:pPr>
        <w:pStyle w:val="Normal1stpara"/>
        <w:rPr>
          <w:color w:val="262626" w:themeColor="text1" w:themeTint="D9"/>
        </w:rPr>
      </w:pPr>
    </w:p>
    <w:tbl>
      <w:tblPr>
        <w:tblW w:w="10206"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6804"/>
        <w:gridCol w:w="851"/>
        <w:gridCol w:w="1134"/>
        <w:gridCol w:w="283"/>
        <w:gridCol w:w="1134"/>
      </w:tblGrid>
      <w:tr w:rsidR="00E465A1" w:rsidRPr="00E465A1" w:rsidTr="00AD6577">
        <w:trPr>
          <w:trHeight w:val="20"/>
        </w:trPr>
        <w:tc>
          <w:tcPr>
            <w:tcW w:w="6804" w:type="dxa"/>
            <w:tcBorders>
              <w:top w:val="nil"/>
              <w:left w:val="nil"/>
              <w:bottom w:val="nil"/>
            </w:tcBorders>
            <w:noWrap/>
            <w:tcMar>
              <w:left w:w="0" w:type="dxa"/>
              <w:right w:w="0" w:type="dxa"/>
            </w:tcMar>
            <w:vAlign w:val="bottom"/>
          </w:tcPr>
          <w:p w:rsidR="00D81F4A" w:rsidRPr="00E465A1" w:rsidRDefault="00D81F4A" w:rsidP="00D81F4A">
            <w:pPr>
              <w:pStyle w:val="Normaltabletextleft"/>
              <w:rPr>
                <w:color w:val="262626" w:themeColor="text1" w:themeTint="D9"/>
                <w:lang w:eastAsia="en-AU"/>
              </w:rPr>
            </w:pPr>
            <w:r w:rsidRPr="00E465A1">
              <w:rPr>
                <w:color w:val="262626" w:themeColor="text1" w:themeTint="D9"/>
                <w:lang w:eastAsia="en-AU"/>
              </w:rPr>
              <w:t xml:space="preserve">Australian Public Sector Anti-Corruption Conference (APSACC) </w:t>
            </w:r>
            <w:r w:rsidR="003373FD" w:rsidRPr="00E465A1">
              <w:rPr>
                <w:color w:val="262626" w:themeColor="text1" w:themeTint="D9"/>
                <w:lang w:eastAsia="en-AU"/>
              </w:rPr>
              <w:t>¹</w:t>
            </w:r>
          </w:p>
        </w:tc>
        <w:tc>
          <w:tcPr>
            <w:tcW w:w="851" w:type="dxa"/>
            <w:tcBorders>
              <w:top w:val="nil"/>
              <w:bottom w:val="nil"/>
            </w:tcBorders>
            <w:noWrap/>
            <w:tcMar>
              <w:left w:w="0" w:type="dxa"/>
              <w:right w:w="0" w:type="dxa"/>
            </w:tcMar>
            <w:vAlign w:val="bottom"/>
          </w:tcPr>
          <w:p w:rsidR="00D81F4A" w:rsidRPr="00E465A1" w:rsidRDefault="00D81F4A" w:rsidP="00D81F4A">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D81F4A" w:rsidRPr="00E465A1" w:rsidRDefault="00F30245" w:rsidP="00D81F4A">
            <w:pPr>
              <w:pStyle w:val="Normaltabletext1stpararight"/>
              <w:rPr>
                <w:color w:val="262626" w:themeColor="text1" w:themeTint="D9"/>
                <w:lang w:eastAsia="en-AU"/>
              </w:rPr>
            </w:pPr>
            <w:r w:rsidRPr="00E465A1">
              <w:rPr>
                <w:color w:val="262626" w:themeColor="text1" w:themeTint="D9"/>
                <w:lang w:eastAsia="en-AU"/>
              </w:rPr>
              <w:t>164</w:t>
            </w:r>
          </w:p>
        </w:tc>
        <w:tc>
          <w:tcPr>
            <w:tcW w:w="283" w:type="dxa"/>
            <w:tcBorders>
              <w:top w:val="nil"/>
              <w:bottom w:val="nil"/>
            </w:tcBorders>
            <w:noWrap/>
            <w:tcMar>
              <w:left w:w="0" w:type="dxa"/>
              <w:right w:w="0" w:type="dxa"/>
            </w:tcMar>
            <w:vAlign w:val="bottom"/>
          </w:tcPr>
          <w:p w:rsidR="00D81F4A" w:rsidRPr="00E465A1" w:rsidRDefault="00D81F4A" w:rsidP="00D81F4A">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D81F4A" w:rsidRPr="00E465A1" w:rsidRDefault="003373FD" w:rsidP="00D81F4A">
            <w:pPr>
              <w:pStyle w:val="Normaltabletext1stpararight"/>
              <w:rPr>
                <w:color w:val="262626" w:themeColor="text1" w:themeTint="D9"/>
                <w:lang w:eastAsia="en-AU"/>
              </w:rPr>
            </w:pPr>
            <w:r w:rsidRPr="00E465A1">
              <w:rPr>
                <w:color w:val="262626" w:themeColor="text1" w:themeTint="D9"/>
                <w:lang w:eastAsia="en-AU"/>
              </w:rPr>
              <w:t>−</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D81F4A" w:rsidRPr="00E465A1" w:rsidRDefault="00D81F4A" w:rsidP="003373FD">
            <w:pPr>
              <w:pStyle w:val="Normaltabletextleft"/>
              <w:rPr>
                <w:color w:val="262626" w:themeColor="text1" w:themeTint="D9"/>
                <w:lang w:eastAsia="en-AU"/>
              </w:rPr>
            </w:pPr>
            <w:r w:rsidRPr="00E465A1">
              <w:rPr>
                <w:color w:val="262626" w:themeColor="text1" w:themeTint="D9"/>
                <w:lang w:eastAsia="en-AU"/>
              </w:rPr>
              <w:t xml:space="preserve">Revenue from </w:t>
            </w:r>
            <w:r w:rsidR="003373FD" w:rsidRPr="00E465A1">
              <w:rPr>
                <w:color w:val="262626" w:themeColor="text1" w:themeTint="D9"/>
                <w:lang w:eastAsia="en-AU"/>
              </w:rPr>
              <w:t>derecognising provision for make good</w:t>
            </w:r>
            <w:r w:rsidRPr="00E465A1">
              <w:rPr>
                <w:color w:val="262626" w:themeColor="text1" w:themeTint="D9"/>
                <w:szCs w:val="20"/>
              </w:rPr>
              <w:t> </w:t>
            </w:r>
            <w:r w:rsidR="003373FD" w:rsidRPr="00E465A1">
              <w:rPr>
                <w:rFonts w:ascii="Arial" w:hAnsi="Arial"/>
                <w:color w:val="262626" w:themeColor="text1" w:themeTint="D9"/>
                <w:szCs w:val="20"/>
              </w:rPr>
              <w:t>²</w:t>
            </w:r>
          </w:p>
        </w:tc>
        <w:tc>
          <w:tcPr>
            <w:tcW w:w="851" w:type="dxa"/>
            <w:tcBorders>
              <w:top w:val="nil"/>
              <w:bottom w:val="nil"/>
            </w:tcBorders>
            <w:noWrap/>
            <w:tcMar>
              <w:left w:w="0" w:type="dxa"/>
              <w:right w:w="0" w:type="dxa"/>
            </w:tcMar>
            <w:vAlign w:val="bottom"/>
          </w:tcPr>
          <w:p w:rsidR="00D81F4A" w:rsidRPr="00E465A1" w:rsidRDefault="00D81F4A" w:rsidP="00D81F4A">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D81F4A" w:rsidRPr="00E465A1" w:rsidRDefault="00433A83" w:rsidP="00D81F4A">
            <w:pPr>
              <w:pStyle w:val="Normaltabletext1stpararight"/>
              <w:rPr>
                <w:color w:val="262626" w:themeColor="text1" w:themeTint="D9"/>
                <w:lang w:eastAsia="en-AU"/>
              </w:rPr>
            </w:pPr>
            <w:r w:rsidRPr="00E465A1">
              <w:rPr>
                <w:color w:val="262626" w:themeColor="text1" w:themeTint="D9"/>
                <w:lang w:eastAsia="en-AU"/>
              </w:rPr>
              <w:t>133</w:t>
            </w:r>
          </w:p>
        </w:tc>
        <w:tc>
          <w:tcPr>
            <w:tcW w:w="283" w:type="dxa"/>
            <w:tcBorders>
              <w:top w:val="nil"/>
              <w:bottom w:val="nil"/>
            </w:tcBorders>
            <w:noWrap/>
            <w:tcMar>
              <w:left w:w="0" w:type="dxa"/>
              <w:right w:w="0" w:type="dxa"/>
            </w:tcMar>
            <w:vAlign w:val="bottom"/>
          </w:tcPr>
          <w:p w:rsidR="00D81F4A" w:rsidRPr="00E465A1" w:rsidRDefault="00D81F4A" w:rsidP="00D81F4A">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D81F4A" w:rsidRPr="00E465A1" w:rsidRDefault="003373FD" w:rsidP="00D81F4A">
            <w:pPr>
              <w:pStyle w:val="Normaltabletext1stpararight"/>
              <w:rPr>
                <w:color w:val="262626" w:themeColor="text1" w:themeTint="D9"/>
                <w:lang w:eastAsia="en-AU"/>
              </w:rPr>
            </w:pPr>
            <w:r w:rsidRPr="00E465A1">
              <w:rPr>
                <w:color w:val="262626" w:themeColor="text1" w:themeTint="D9"/>
                <w:lang w:eastAsia="en-AU"/>
              </w:rPr>
              <w:t>−</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D81F4A" w:rsidRPr="00E465A1" w:rsidRDefault="00D81F4A" w:rsidP="00D81F4A">
            <w:pPr>
              <w:pStyle w:val="Normaltabletextleft"/>
              <w:rPr>
                <w:b/>
                <w:color w:val="262626" w:themeColor="text1" w:themeTint="D9"/>
                <w:lang w:eastAsia="en-AU"/>
              </w:rPr>
            </w:pPr>
            <w:r w:rsidRPr="00E465A1">
              <w:rPr>
                <w:color w:val="262626" w:themeColor="text1" w:themeTint="D9"/>
                <w:lang w:eastAsia="en-AU"/>
              </w:rPr>
              <w:t>Sundry revenue</w:t>
            </w:r>
          </w:p>
        </w:tc>
        <w:tc>
          <w:tcPr>
            <w:tcW w:w="851" w:type="dxa"/>
            <w:tcBorders>
              <w:top w:val="nil"/>
              <w:bottom w:val="nil"/>
            </w:tcBorders>
            <w:noWrap/>
            <w:tcMar>
              <w:left w:w="0" w:type="dxa"/>
              <w:right w:w="0" w:type="dxa"/>
            </w:tcMar>
            <w:vAlign w:val="bottom"/>
          </w:tcPr>
          <w:p w:rsidR="00D81F4A" w:rsidRPr="00E465A1" w:rsidRDefault="00D81F4A" w:rsidP="00D81F4A">
            <w:pPr>
              <w:pStyle w:val="Normaltabletextcentred"/>
              <w:rPr>
                <w:b/>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vAlign w:val="bottom"/>
          </w:tcPr>
          <w:p w:rsidR="00D81F4A" w:rsidRPr="00E465A1" w:rsidRDefault="00433A83" w:rsidP="00D81F4A">
            <w:pPr>
              <w:pStyle w:val="Normaltabletext1stpararight"/>
              <w:rPr>
                <w:color w:val="262626" w:themeColor="text1" w:themeTint="D9"/>
                <w:lang w:eastAsia="en-AU"/>
              </w:rPr>
            </w:pPr>
            <w:r w:rsidRPr="00E465A1">
              <w:rPr>
                <w:color w:val="262626" w:themeColor="text1" w:themeTint="D9"/>
                <w:lang w:eastAsia="en-AU"/>
              </w:rPr>
              <w:t>104</w:t>
            </w:r>
          </w:p>
        </w:tc>
        <w:tc>
          <w:tcPr>
            <w:tcW w:w="283" w:type="dxa"/>
            <w:tcBorders>
              <w:top w:val="nil"/>
              <w:bottom w:val="nil"/>
            </w:tcBorders>
            <w:noWrap/>
            <w:tcMar>
              <w:left w:w="0" w:type="dxa"/>
              <w:right w:w="0" w:type="dxa"/>
            </w:tcMar>
            <w:vAlign w:val="bottom"/>
          </w:tcPr>
          <w:p w:rsidR="00D81F4A" w:rsidRPr="00E465A1" w:rsidRDefault="00D81F4A" w:rsidP="00D81F4A">
            <w:pPr>
              <w:pStyle w:val="Normaltabletextcentred"/>
              <w:rPr>
                <w:color w:val="262626" w:themeColor="text1" w:themeTint="D9"/>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vAlign w:val="bottom"/>
          </w:tcPr>
          <w:p w:rsidR="00D81F4A" w:rsidRPr="00E465A1" w:rsidRDefault="00D81F4A" w:rsidP="00D81F4A">
            <w:pPr>
              <w:pStyle w:val="Normaltabletext1stpararight"/>
              <w:rPr>
                <w:color w:val="262626" w:themeColor="text1" w:themeTint="D9"/>
                <w:lang w:eastAsia="en-AU"/>
              </w:rPr>
            </w:pPr>
            <w:r w:rsidRPr="00E465A1">
              <w:rPr>
                <w:color w:val="262626" w:themeColor="text1" w:themeTint="D9"/>
                <w:lang w:eastAsia="en-AU"/>
              </w:rPr>
              <w:t>202</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D81F4A" w:rsidRPr="00E465A1" w:rsidRDefault="00D81F4A" w:rsidP="00D81F4A">
            <w:pPr>
              <w:pStyle w:val="Normaltabletextleft"/>
              <w:rPr>
                <w:b/>
                <w:color w:val="262626" w:themeColor="text1" w:themeTint="D9"/>
                <w:lang w:eastAsia="en-AU"/>
              </w:rPr>
            </w:pPr>
            <w:r w:rsidRPr="00E465A1">
              <w:rPr>
                <w:b/>
                <w:color w:val="262626" w:themeColor="text1" w:themeTint="D9"/>
                <w:lang w:eastAsia="en-AU"/>
              </w:rPr>
              <w:t>Total</w:t>
            </w:r>
          </w:p>
        </w:tc>
        <w:tc>
          <w:tcPr>
            <w:tcW w:w="851" w:type="dxa"/>
            <w:tcBorders>
              <w:top w:val="nil"/>
              <w:bottom w:val="nil"/>
            </w:tcBorders>
            <w:noWrap/>
            <w:tcMar>
              <w:left w:w="0" w:type="dxa"/>
              <w:right w:w="0" w:type="dxa"/>
            </w:tcMar>
            <w:vAlign w:val="bottom"/>
          </w:tcPr>
          <w:p w:rsidR="00D81F4A" w:rsidRPr="00E465A1" w:rsidRDefault="00D81F4A" w:rsidP="00D81F4A">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D81F4A" w:rsidRPr="00E465A1" w:rsidRDefault="003373FD" w:rsidP="00D81F4A">
            <w:pPr>
              <w:pStyle w:val="Normaltabletext1stpararight"/>
              <w:rPr>
                <w:b/>
                <w:color w:val="262626" w:themeColor="text1" w:themeTint="D9"/>
                <w:lang w:eastAsia="en-AU"/>
              </w:rPr>
            </w:pPr>
            <w:r w:rsidRPr="00E465A1">
              <w:rPr>
                <w:b/>
                <w:color w:val="262626" w:themeColor="text1" w:themeTint="D9"/>
                <w:lang w:eastAsia="en-AU"/>
              </w:rPr>
              <w:t>401</w:t>
            </w:r>
          </w:p>
        </w:tc>
        <w:tc>
          <w:tcPr>
            <w:tcW w:w="283" w:type="dxa"/>
            <w:tcBorders>
              <w:top w:val="nil"/>
              <w:bottom w:val="nil"/>
            </w:tcBorders>
            <w:noWrap/>
            <w:tcMar>
              <w:left w:w="0" w:type="dxa"/>
              <w:right w:w="0" w:type="dxa"/>
            </w:tcMar>
            <w:vAlign w:val="bottom"/>
          </w:tcPr>
          <w:p w:rsidR="00D81F4A" w:rsidRPr="00E465A1" w:rsidRDefault="00D81F4A" w:rsidP="00D81F4A">
            <w:pPr>
              <w:pStyle w:val="Normaltabletextcentred"/>
              <w:rPr>
                <w:b/>
                <w:color w:val="262626" w:themeColor="text1" w:themeTint="D9"/>
                <w:lang w:eastAsia="en-AU"/>
              </w:rPr>
            </w:pPr>
          </w:p>
        </w:tc>
        <w:tc>
          <w:tcPr>
            <w:tcW w:w="1134" w:type="dxa"/>
            <w:tcBorders>
              <w:top w:val="single" w:sz="4" w:space="0" w:color="auto"/>
              <w:bottom w:val="double" w:sz="4" w:space="0" w:color="auto"/>
              <w:right w:val="nil"/>
            </w:tcBorders>
            <w:shd w:val="clear" w:color="auto" w:fill="FFFFFF" w:themeFill="background1"/>
            <w:noWrap/>
            <w:tcMar>
              <w:left w:w="0" w:type="dxa"/>
              <w:right w:w="113" w:type="dxa"/>
            </w:tcMar>
            <w:vAlign w:val="bottom"/>
          </w:tcPr>
          <w:p w:rsidR="00D81F4A" w:rsidRPr="00E465A1" w:rsidRDefault="003373FD" w:rsidP="00D81F4A">
            <w:pPr>
              <w:pStyle w:val="Normaltabletext1stpararight"/>
              <w:rPr>
                <w:b/>
                <w:color w:val="262626" w:themeColor="text1" w:themeTint="D9"/>
                <w:lang w:eastAsia="en-AU"/>
              </w:rPr>
            </w:pPr>
            <w:r w:rsidRPr="00E465A1">
              <w:rPr>
                <w:b/>
                <w:color w:val="262626" w:themeColor="text1" w:themeTint="D9"/>
                <w:lang w:eastAsia="en-AU"/>
              </w:rPr>
              <w:t>202</w:t>
            </w:r>
          </w:p>
        </w:tc>
      </w:tr>
    </w:tbl>
    <w:p w:rsidR="003373FD" w:rsidRPr="00E465A1" w:rsidRDefault="00A037DB" w:rsidP="003373FD">
      <w:pPr>
        <w:pStyle w:val="Noteswithhangingindent"/>
        <w:spacing w:before="240"/>
        <w:rPr>
          <w:color w:val="262626" w:themeColor="text1" w:themeTint="D9"/>
        </w:rPr>
      </w:pPr>
      <w:r w:rsidRPr="00E465A1">
        <w:rPr>
          <w:color w:val="262626" w:themeColor="text1" w:themeTint="D9"/>
          <w:vertAlign w:val="superscript"/>
        </w:rPr>
        <w:t>1</w:t>
      </w:r>
      <w:r w:rsidR="003373FD" w:rsidRPr="00E465A1">
        <w:rPr>
          <w:color w:val="262626" w:themeColor="text1" w:themeTint="D9"/>
        </w:rPr>
        <w:tab/>
      </w:r>
      <w:r w:rsidR="0087556F" w:rsidRPr="00E465A1">
        <w:rPr>
          <w:color w:val="262626" w:themeColor="text1" w:themeTint="D9"/>
        </w:rPr>
        <w:t xml:space="preserve">APSACC 2017 was a joint event held between the New South Wales Independent Commission </w:t>
      </w:r>
      <w:proofErr w:type="gramStart"/>
      <w:r w:rsidR="0087556F" w:rsidRPr="00E465A1">
        <w:rPr>
          <w:color w:val="262626" w:themeColor="text1" w:themeTint="D9"/>
        </w:rPr>
        <w:t>Against</w:t>
      </w:r>
      <w:proofErr w:type="gramEnd"/>
      <w:r w:rsidR="0087556F" w:rsidRPr="00E465A1">
        <w:rPr>
          <w:color w:val="262626" w:themeColor="text1" w:themeTint="D9"/>
        </w:rPr>
        <w:t xml:space="preserve"> Corruption </w:t>
      </w:r>
      <w:r w:rsidR="00B85FCF" w:rsidRPr="00E465A1">
        <w:rPr>
          <w:color w:val="262626" w:themeColor="text1" w:themeTint="D9"/>
        </w:rPr>
        <w:t xml:space="preserve">(ICAC) </w:t>
      </w:r>
      <w:r w:rsidR="0087556F" w:rsidRPr="00E465A1">
        <w:rPr>
          <w:color w:val="262626" w:themeColor="text1" w:themeTint="D9"/>
        </w:rPr>
        <w:t>and the Crime and Corruption Commission Queensland. The surplus funds ($17</w:t>
      </w:r>
      <w:r w:rsidR="00C53DC5" w:rsidRPr="00E465A1">
        <w:rPr>
          <w:color w:val="262626" w:themeColor="text1" w:themeTint="D9"/>
        </w:rPr>
        <w:t>8,366) from the APSACC 2017</w:t>
      </w:r>
      <w:r w:rsidR="0087556F" w:rsidRPr="00E465A1">
        <w:rPr>
          <w:color w:val="262626" w:themeColor="text1" w:themeTint="D9"/>
        </w:rPr>
        <w:t xml:space="preserve"> was split between the two Commissions. Whilst the </w:t>
      </w:r>
      <w:r w:rsidR="00C53DC5" w:rsidRPr="00E465A1">
        <w:rPr>
          <w:color w:val="262626" w:themeColor="text1" w:themeTint="D9"/>
        </w:rPr>
        <w:t xml:space="preserve">CCC </w:t>
      </w:r>
      <w:r w:rsidR="0087556F" w:rsidRPr="00E465A1">
        <w:rPr>
          <w:color w:val="262626" w:themeColor="text1" w:themeTint="D9"/>
        </w:rPr>
        <w:t>conference surplus</w:t>
      </w:r>
      <w:r w:rsidR="00C53DC5" w:rsidRPr="00E465A1">
        <w:rPr>
          <w:color w:val="262626" w:themeColor="text1" w:themeTint="D9"/>
        </w:rPr>
        <w:t xml:space="preserve"> was</w:t>
      </w:r>
      <w:r w:rsidR="0087556F" w:rsidRPr="00E465A1">
        <w:rPr>
          <w:color w:val="262626" w:themeColor="text1" w:themeTint="D9"/>
        </w:rPr>
        <w:t xml:space="preserve"> $</w:t>
      </w:r>
      <w:r w:rsidR="00C53DC5" w:rsidRPr="00E465A1">
        <w:rPr>
          <w:color w:val="262626" w:themeColor="text1" w:themeTint="D9"/>
        </w:rPr>
        <w:t>89,183</w:t>
      </w:r>
      <w:r w:rsidR="0087556F" w:rsidRPr="00E465A1">
        <w:rPr>
          <w:color w:val="262626" w:themeColor="text1" w:themeTint="D9"/>
        </w:rPr>
        <w:t xml:space="preserve">, </w:t>
      </w:r>
      <w:r w:rsidR="00C53DC5" w:rsidRPr="00E465A1">
        <w:rPr>
          <w:color w:val="262626" w:themeColor="text1" w:themeTint="D9"/>
        </w:rPr>
        <w:t xml:space="preserve">the </w:t>
      </w:r>
      <w:r w:rsidR="0087556F" w:rsidRPr="00E465A1">
        <w:rPr>
          <w:color w:val="262626" w:themeColor="text1" w:themeTint="D9"/>
        </w:rPr>
        <w:t>total fund</w:t>
      </w:r>
      <w:r w:rsidR="00C53DC5" w:rsidRPr="00E465A1">
        <w:rPr>
          <w:color w:val="262626" w:themeColor="text1" w:themeTint="D9"/>
        </w:rPr>
        <w:t xml:space="preserve">s distributed to the CCC was $164,183, which included the seed money of $75,000 </w:t>
      </w:r>
      <w:r w:rsidR="00766EBC" w:rsidRPr="00E465A1">
        <w:rPr>
          <w:color w:val="262626" w:themeColor="text1" w:themeTint="D9"/>
        </w:rPr>
        <w:t xml:space="preserve">the CCC </w:t>
      </w:r>
      <w:r w:rsidR="00C53DC5" w:rsidRPr="00E465A1">
        <w:rPr>
          <w:color w:val="262626" w:themeColor="text1" w:themeTint="D9"/>
        </w:rPr>
        <w:t>contributed in 2015-16.</w:t>
      </w:r>
    </w:p>
    <w:p w:rsidR="00A037DB" w:rsidRPr="00E465A1" w:rsidRDefault="00A037DB" w:rsidP="00A037DB">
      <w:pPr>
        <w:pStyle w:val="Noteswithhangingindent"/>
        <w:spacing w:before="240"/>
        <w:rPr>
          <w:color w:val="262626" w:themeColor="text1" w:themeTint="D9"/>
        </w:rPr>
      </w:pPr>
      <w:r w:rsidRPr="00E465A1">
        <w:rPr>
          <w:color w:val="262626" w:themeColor="text1" w:themeTint="D9"/>
          <w:vertAlign w:val="superscript"/>
        </w:rPr>
        <w:t>2</w:t>
      </w:r>
      <w:r w:rsidRPr="00E465A1">
        <w:rPr>
          <w:color w:val="262626" w:themeColor="text1" w:themeTint="D9"/>
        </w:rPr>
        <w:tab/>
      </w:r>
      <w:r w:rsidR="00400997" w:rsidRPr="00E465A1">
        <w:rPr>
          <w:color w:val="262626" w:themeColor="text1" w:themeTint="D9"/>
        </w:rPr>
        <w:t xml:space="preserve">The CCC’s lease for one of its offsite premises expired on </w:t>
      </w:r>
      <w:r w:rsidR="00766931" w:rsidRPr="00E465A1">
        <w:rPr>
          <w:color w:val="262626" w:themeColor="text1" w:themeTint="D9"/>
        </w:rPr>
        <w:t>31 October</w:t>
      </w:r>
      <w:r w:rsidR="00400997" w:rsidRPr="00E465A1">
        <w:rPr>
          <w:color w:val="262626" w:themeColor="text1" w:themeTint="D9"/>
        </w:rPr>
        <w:t xml:space="preserve"> 2017</w:t>
      </w:r>
      <w:r w:rsidR="00E1151D" w:rsidRPr="00E465A1">
        <w:rPr>
          <w:color w:val="262626" w:themeColor="text1" w:themeTint="D9"/>
        </w:rPr>
        <w:t>. The offsite premise</w:t>
      </w:r>
      <w:r w:rsidR="004C7B9A" w:rsidRPr="00E465A1">
        <w:rPr>
          <w:color w:val="262626" w:themeColor="text1" w:themeTint="D9"/>
        </w:rPr>
        <w:t>s</w:t>
      </w:r>
      <w:r w:rsidR="00E1151D" w:rsidRPr="00E465A1">
        <w:rPr>
          <w:color w:val="262626" w:themeColor="text1" w:themeTint="D9"/>
        </w:rPr>
        <w:t xml:space="preserve"> was restored as per </w:t>
      </w:r>
      <w:r w:rsidR="001A363D" w:rsidRPr="00E465A1">
        <w:rPr>
          <w:color w:val="262626" w:themeColor="text1" w:themeTint="D9"/>
        </w:rPr>
        <w:t>the lease</w:t>
      </w:r>
      <w:r w:rsidR="00E1151D" w:rsidRPr="00E465A1">
        <w:rPr>
          <w:color w:val="262626" w:themeColor="text1" w:themeTint="D9"/>
        </w:rPr>
        <w:t xml:space="preserve"> agreement and th</w:t>
      </w:r>
      <w:r w:rsidR="000B154F" w:rsidRPr="00E465A1">
        <w:rPr>
          <w:color w:val="262626" w:themeColor="text1" w:themeTint="D9"/>
        </w:rPr>
        <w:t>e remainder</w:t>
      </w:r>
      <w:r w:rsidR="00400997" w:rsidRPr="00E465A1">
        <w:rPr>
          <w:color w:val="262626" w:themeColor="text1" w:themeTint="D9"/>
        </w:rPr>
        <w:t xml:space="preserve"> of the provision for make good </w:t>
      </w:r>
      <w:r w:rsidR="00E1151D" w:rsidRPr="00E465A1">
        <w:rPr>
          <w:color w:val="262626" w:themeColor="text1" w:themeTint="D9"/>
        </w:rPr>
        <w:t>w</w:t>
      </w:r>
      <w:r w:rsidR="00400997" w:rsidRPr="00E465A1">
        <w:rPr>
          <w:color w:val="262626" w:themeColor="text1" w:themeTint="D9"/>
        </w:rPr>
        <w:t xml:space="preserve">as </w:t>
      </w:r>
      <w:r w:rsidR="0013387A" w:rsidRPr="00E465A1">
        <w:rPr>
          <w:color w:val="262626" w:themeColor="text1" w:themeTint="D9"/>
        </w:rPr>
        <w:t>derecognised/reversed</w:t>
      </w:r>
      <w:r w:rsidR="00400997" w:rsidRPr="00E465A1">
        <w:rPr>
          <w:color w:val="262626" w:themeColor="text1" w:themeTint="D9"/>
        </w:rPr>
        <w:t xml:space="preserve"> in accordance</w:t>
      </w:r>
      <w:r w:rsidR="0013387A" w:rsidRPr="00E465A1">
        <w:rPr>
          <w:color w:val="262626" w:themeColor="text1" w:themeTint="D9"/>
        </w:rPr>
        <w:t xml:space="preserve"> with </w:t>
      </w:r>
      <w:proofErr w:type="spellStart"/>
      <w:r w:rsidR="0013387A" w:rsidRPr="00E465A1">
        <w:rPr>
          <w:color w:val="262626" w:themeColor="text1" w:themeTint="D9"/>
        </w:rPr>
        <w:t>AASB</w:t>
      </w:r>
      <w:proofErr w:type="spellEnd"/>
      <w:r w:rsidR="0013387A" w:rsidRPr="00E465A1">
        <w:rPr>
          <w:color w:val="262626" w:themeColor="text1" w:themeTint="D9"/>
        </w:rPr>
        <w:t xml:space="preserve"> </w:t>
      </w:r>
      <w:r w:rsidR="00DE4DCB" w:rsidRPr="00E465A1">
        <w:rPr>
          <w:color w:val="262626" w:themeColor="text1" w:themeTint="D9"/>
        </w:rPr>
        <w:t>116.</w:t>
      </w:r>
    </w:p>
    <w:p w:rsidR="003373FD" w:rsidRPr="00E465A1" w:rsidRDefault="003373FD" w:rsidP="00D81F4A">
      <w:pPr>
        <w:pStyle w:val="Noteswithhangingindent"/>
        <w:spacing w:before="240"/>
        <w:rPr>
          <w:color w:val="262626" w:themeColor="text1" w:themeTint="D9"/>
        </w:rPr>
      </w:pPr>
    </w:p>
    <w:p w:rsidR="0004021C" w:rsidRPr="00E465A1" w:rsidRDefault="0004021C" w:rsidP="00D81F4A">
      <w:pPr>
        <w:pStyle w:val="Noteswithhangingindent"/>
        <w:spacing w:before="240"/>
        <w:rPr>
          <w:color w:val="262626" w:themeColor="text1" w:themeTint="D9"/>
        </w:rPr>
      </w:pPr>
    </w:p>
    <w:p w:rsidR="00EC5D42" w:rsidRPr="00E465A1" w:rsidRDefault="00EC5D42" w:rsidP="0005325F">
      <w:pPr>
        <w:pStyle w:val="Normal115pttext"/>
        <w:rPr>
          <w:color w:val="262626" w:themeColor="text1" w:themeTint="D9"/>
        </w:rPr>
      </w:pPr>
    </w:p>
    <w:p w:rsidR="00616CD5" w:rsidRPr="00E465A1" w:rsidRDefault="00616CD5" w:rsidP="0005325F">
      <w:pPr>
        <w:pStyle w:val="Normal115pttext"/>
        <w:rPr>
          <w:color w:val="262626" w:themeColor="text1" w:themeTint="D9"/>
        </w:rPr>
      </w:pPr>
    </w:p>
    <w:p w:rsidR="0005325F" w:rsidRPr="00E465A1" w:rsidRDefault="00A13142" w:rsidP="0005325F">
      <w:pPr>
        <w:pStyle w:val="Normal115pttext"/>
        <w:rPr>
          <w:color w:val="262626" w:themeColor="text1" w:themeTint="D9"/>
        </w:rPr>
      </w:pPr>
      <w:r w:rsidRPr="00E465A1">
        <w:rPr>
          <w:color w:val="262626" w:themeColor="text1" w:themeTint="D9"/>
        </w:rPr>
        <w:t xml:space="preserve">Note </w:t>
      </w:r>
      <w:r w:rsidR="0014516F" w:rsidRPr="00E465A1">
        <w:rPr>
          <w:color w:val="262626" w:themeColor="text1" w:themeTint="D9"/>
        </w:rPr>
        <w:t>4</w:t>
      </w:r>
      <w:r w:rsidR="0005325F" w:rsidRPr="00E465A1">
        <w:rPr>
          <w:color w:val="262626" w:themeColor="text1" w:themeTint="D9"/>
        </w:rPr>
        <w:t>:  Employee Expenses</w:t>
      </w:r>
    </w:p>
    <w:p w:rsidR="0005325F" w:rsidRPr="00E465A1" w:rsidRDefault="0005325F" w:rsidP="0005325F">
      <w:pPr>
        <w:pStyle w:val="Normal1stpara"/>
        <w:rPr>
          <w:color w:val="262626" w:themeColor="text1" w:themeTint="D9"/>
        </w:rPr>
      </w:pPr>
    </w:p>
    <w:tbl>
      <w:tblPr>
        <w:tblStyle w:val="TableGrid"/>
        <w:tblW w:w="0" w:type="auto"/>
        <w:tblCellMar>
          <w:top w:w="113" w:type="dxa"/>
          <w:bottom w:w="113" w:type="dxa"/>
        </w:tblCellMar>
        <w:tblLook w:val="04A0" w:firstRow="1" w:lastRow="0" w:firstColumn="1" w:lastColumn="0" w:noHBand="0" w:noVBand="1"/>
      </w:tblPr>
      <w:tblGrid>
        <w:gridCol w:w="10195"/>
      </w:tblGrid>
      <w:tr w:rsidR="0005325F" w:rsidRPr="00E465A1" w:rsidTr="00FD138E">
        <w:tc>
          <w:tcPr>
            <w:tcW w:w="10195" w:type="dxa"/>
          </w:tcPr>
          <w:p w:rsidR="0005325F" w:rsidRPr="00E465A1" w:rsidRDefault="0005325F" w:rsidP="003F08E2">
            <w:pPr>
              <w:pStyle w:val="Policyheading"/>
              <w:rPr>
                <w:color w:val="262626" w:themeColor="text1" w:themeTint="D9"/>
              </w:rPr>
            </w:pPr>
            <w:r w:rsidRPr="00E465A1">
              <w:rPr>
                <w:color w:val="262626" w:themeColor="text1" w:themeTint="D9"/>
              </w:rPr>
              <w:t>Accounting Policy:</w:t>
            </w:r>
          </w:p>
          <w:p w:rsidR="00A13142" w:rsidRPr="00E465A1" w:rsidRDefault="00A13142" w:rsidP="003F08E2">
            <w:pPr>
              <w:pStyle w:val="Policyheading"/>
              <w:rPr>
                <w:color w:val="262626" w:themeColor="text1" w:themeTint="D9"/>
              </w:rPr>
            </w:pPr>
          </w:p>
          <w:p w:rsidR="0005325F" w:rsidRPr="00E465A1" w:rsidRDefault="0005325F" w:rsidP="0005325F">
            <w:pPr>
              <w:pStyle w:val="Policy1stpara"/>
              <w:rPr>
                <w:color w:val="262626" w:themeColor="text1" w:themeTint="D9"/>
                <w:lang w:eastAsia="en-AU"/>
              </w:rPr>
            </w:pPr>
            <w:r w:rsidRPr="00E465A1">
              <w:rPr>
                <w:b/>
                <w:i/>
                <w:color w:val="262626" w:themeColor="text1" w:themeTint="D9"/>
              </w:rPr>
              <w:t>Wages, Salaries and Sick Leave</w:t>
            </w:r>
            <w:r w:rsidRPr="00E465A1">
              <w:rPr>
                <w:i/>
                <w:color w:val="262626" w:themeColor="text1" w:themeTint="D9"/>
              </w:rPr>
              <w:t xml:space="preserve"> – </w:t>
            </w:r>
            <w:r w:rsidRPr="00E465A1">
              <w:rPr>
                <w:color w:val="262626" w:themeColor="text1" w:themeTint="D9"/>
              </w:rPr>
              <w:t xml:space="preserve">Salaries and wages due but unpaid at reporting date are recognised as a liability in the Statement of Financial Position. As the </w:t>
            </w:r>
            <w:r w:rsidR="00EC2665" w:rsidRPr="00E465A1">
              <w:rPr>
                <w:color w:val="262626" w:themeColor="text1" w:themeTint="D9"/>
              </w:rPr>
              <w:t>CCC</w:t>
            </w:r>
            <w:r w:rsidRPr="00E465A1">
              <w:rPr>
                <w:color w:val="262626" w:themeColor="text1" w:themeTint="D9"/>
              </w:rPr>
              <w:t xml:space="preserve"> expects such liabilities to be wholly settled within 12 months of reporting date, the liabilities are recognised at undiscounted amounts. Also refer to Note 1</w:t>
            </w:r>
            <w:r w:rsidR="0014516F" w:rsidRPr="00E465A1">
              <w:rPr>
                <w:color w:val="262626" w:themeColor="text1" w:themeTint="D9"/>
              </w:rPr>
              <w:t>4</w:t>
            </w:r>
            <w:r w:rsidRPr="00E465A1">
              <w:rPr>
                <w:color w:val="262626" w:themeColor="text1" w:themeTint="D9"/>
              </w:rPr>
              <w:t>.</w:t>
            </w:r>
          </w:p>
          <w:p w:rsidR="0005325F" w:rsidRPr="00E465A1" w:rsidRDefault="0005325F" w:rsidP="00B451CD">
            <w:pPr>
              <w:pStyle w:val="Policyfollowingparas"/>
              <w:rPr>
                <w:color w:val="262626" w:themeColor="text1" w:themeTint="D9"/>
              </w:rPr>
            </w:pPr>
            <w:r w:rsidRPr="00E465A1">
              <w:rPr>
                <w:color w:val="262626" w:themeColor="text1" w:themeTint="D9"/>
              </w:rPr>
              <w:t>Prior history indicates that on average, sick leave taken each reporting period is less than the entitlement accrued. This is expected to continue in future periods. Accordingly, it is unlikely that existing accumulated entitlements will be used by employees, and no liability for unused sick leave entitlements is recognised. As sick leave is non-vesting, an expense is recognised for this leave as it is taken.</w:t>
            </w:r>
          </w:p>
          <w:p w:rsidR="00A13142" w:rsidRPr="00E465A1" w:rsidRDefault="00A13142" w:rsidP="00B451CD">
            <w:pPr>
              <w:pStyle w:val="Policyfollowingparas"/>
              <w:rPr>
                <w:color w:val="262626" w:themeColor="text1" w:themeTint="D9"/>
              </w:rPr>
            </w:pPr>
          </w:p>
          <w:p w:rsidR="0005325F" w:rsidRPr="00E465A1" w:rsidRDefault="0005325F" w:rsidP="0005325F">
            <w:pPr>
              <w:pStyle w:val="Policy1stpara"/>
              <w:rPr>
                <w:color w:val="262626" w:themeColor="text1" w:themeTint="D9"/>
              </w:rPr>
            </w:pPr>
            <w:r w:rsidRPr="00E465A1">
              <w:rPr>
                <w:b/>
                <w:i/>
                <w:color w:val="262626" w:themeColor="text1" w:themeTint="D9"/>
                <w:szCs w:val="19"/>
              </w:rPr>
              <w:t>Annual Leave</w:t>
            </w:r>
            <w:r w:rsidRPr="00E465A1">
              <w:rPr>
                <w:b/>
                <w:color w:val="262626" w:themeColor="text1" w:themeTint="D9"/>
                <w:szCs w:val="19"/>
              </w:rPr>
              <w:t xml:space="preserve"> – </w:t>
            </w:r>
            <w:r w:rsidRPr="00E465A1">
              <w:rPr>
                <w:color w:val="262626" w:themeColor="text1" w:themeTint="D9"/>
                <w:lang w:eastAsia="en-AU"/>
              </w:rPr>
              <w:t xml:space="preserve">Annual leave benefits are accrued on a pro rata basis in respect of services provided by </w:t>
            </w:r>
            <w:r w:rsidRPr="00E465A1">
              <w:rPr>
                <w:color w:val="262626" w:themeColor="text1" w:themeTint="D9"/>
              </w:rPr>
              <w:t>employees</w:t>
            </w:r>
            <w:r w:rsidRPr="00E465A1">
              <w:rPr>
                <w:color w:val="262626" w:themeColor="text1" w:themeTint="D9"/>
                <w:lang w:eastAsia="en-AU"/>
              </w:rPr>
              <w:t xml:space="preserve"> up to balance date.  </w:t>
            </w:r>
            <w:r w:rsidRPr="00E465A1">
              <w:rPr>
                <w:color w:val="262626" w:themeColor="text1" w:themeTint="D9"/>
              </w:rPr>
              <w:t xml:space="preserve">Not all annual leave entitlements are expected to be paid within 12 months therefore, in accordance with </w:t>
            </w:r>
            <w:proofErr w:type="spellStart"/>
            <w:r w:rsidRPr="00E465A1">
              <w:rPr>
                <w:color w:val="262626" w:themeColor="text1" w:themeTint="D9"/>
              </w:rPr>
              <w:t>AASB</w:t>
            </w:r>
            <w:proofErr w:type="spellEnd"/>
            <w:r w:rsidRPr="00E465A1">
              <w:rPr>
                <w:color w:val="262626" w:themeColor="text1" w:themeTint="D9"/>
              </w:rPr>
              <w:t xml:space="preserve"> 119 </w:t>
            </w:r>
            <w:r w:rsidRPr="00E465A1">
              <w:rPr>
                <w:i/>
                <w:color w:val="262626" w:themeColor="text1" w:themeTint="D9"/>
              </w:rPr>
              <w:t>Employee Benefits</w:t>
            </w:r>
            <w:r w:rsidRPr="00E465A1">
              <w:rPr>
                <w:color w:val="262626" w:themeColor="text1" w:themeTint="D9"/>
              </w:rPr>
              <w:t>, the value of annual leave owing at the end of the reporting period is measured as “other long term employee benefits” and recognised at its present value, calculated using yields on Queensland Treasury Corporation AUD benchmark bonds of similar maturity, after projecting the remuneration rates expected to apply at the time of likely settlement. Also refer to Note 1</w:t>
            </w:r>
            <w:r w:rsidR="0014516F" w:rsidRPr="00E465A1">
              <w:rPr>
                <w:color w:val="262626" w:themeColor="text1" w:themeTint="D9"/>
              </w:rPr>
              <w:t>4</w:t>
            </w:r>
            <w:r w:rsidRPr="00E465A1">
              <w:rPr>
                <w:color w:val="262626" w:themeColor="text1" w:themeTint="D9"/>
              </w:rPr>
              <w:t>.</w:t>
            </w:r>
          </w:p>
          <w:p w:rsidR="00A13142" w:rsidRPr="00E465A1" w:rsidRDefault="00A13142" w:rsidP="0005325F">
            <w:pPr>
              <w:pStyle w:val="Policy1stpara"/>
              <w:rPr>
                <w:color w:val="262626" w:themeColor="text1" w:themeTint="D9"/>
              </w:rPr>
            </w:pPr>
          </w:p>
          <w:p w:rsidR="0005325F" w:rsidRPr="00E465A1" w:rsidRDefault="0005325F" w:rsidP="0005325F">
            <w:pPr>
              <w:pStyle w:val="Policy1stpara"/>
              <w:rPr>
                <w:color w:val="262626" w:themeColor="text1" w:themeTint="D9"/>
              </w:rPr>
            </w:pPr>
            <w:r w:rsidRPr="00E465A1">
              <w:rPr>
                <w:b/>
                <w:i/>
                <w:color w:val="262626" w:themeColor="text1" w:themeTint="D9"/>
              </w:rPr>
              <w:t xml:space="preserve">Long Service Leave – </w:t>
            </w:r>
            <w:r w:rsidRPr="00E465A1">
              <w:rPr>
                <w:color w:val="262626" w:themeColor="text1" w:themeTint="D9"/>
                <w:lang w:eastAsia="en-AU"/>
              </w:rPr>
              <w:t xml:space="preserve">Under the Queensland Government’s long service leave central scheme, a levy is </w:t>
            </w:r>
            <w:r w:rsidR="00823F5A" w:rsidRPr="00E465A1">
              <w:rPr>
                <w:color w:val="262626" w:themeColor="text1" w:themeTint="D9"/>
                <w:lang w:eastAsia="en-AU"/>
              </w:rPr>
              <w:t>applied</w:t>
            </w:r>
            <w:r w:rsidRPr="00E465A1">
              <w:rPr>
                <w:color w:val="262626" w:themeColor="text1" w:themeTint="D9"/>
                <w:lang w:eastAsia="en-AU"/>
              </w:rPr>
              <w:t xml:space="preserve"> on the </w:t>
            </w:r>
            <w:r w:rsidR="00EC2665" w:rsidRPr="00E465A1">
              <w:rPr>
                <w:color w:val="262626" w:themeColor="text1" w:themeTint="D9"/>
                <w:lang w:eastAsia="en-AU"/>
              </w:rPr>
              <w:t>CCC</w:t>
            </w:r>
            <w:r w:rsidRPr="00E465A1">
              <w:rPr>
                <w:color w:val="262626" w:themeColor="text1" w:themeTint="D9"/>
                <w:lang w:eastAsia="en-AU"/>
              </w:rPr>
              <w:t xml:space="preserve"> </w:t>
            </w:r>
            <w:r w:rsidR="009A585E" w:rsidRPr="00E465A1">
              <w:rPr>
                <w:color w:val="262626" w:themeColor="text1" w:themeTint="D9"/>
                <w:lang w:eastAsia="en-AU"/>
              </w:rPr>
              <w:br/>
            </w:r>
            <w:r w:rsidRPr="00E465A1">
              <w:rPr>
                <w:color w:val="262626" w:themeColor="text1" w:themeTint="D9"/>
                <w:lang w:eastAsia="en-AU"/>
              </w:rPr>
              <w:t>to cover the cost of employees’ long service leave. Levies are expensed in the period in which they are payable. Amounts paid to employees for long service leave are claimed from the scheme quarterly in arrears.</w:t>
            </w:r>
            <w:r w:rsidR="001F5E55" w:rsidRPr="00E465A1">
              <w:rPr>
                <w:color w:val="262626" w:themeColor="text1" w:themeTint="D9"/>
                <w:lang w:eastAsia="en-AU"/>
              </w:rPr>
              <w:t xml:space="preserve"> </w:t>
            </w:r>
            <w:r w:rsidR="001F5E55" w:rsidRPr="00E465A1">
              <w:rPr>
                <w:color w:val="262626" w:themeColor="text1" w:themeTint="D9"/>
              </w:rPr>
              <w:t>Also refer to Note 1</w:t>
            </w:r>
            <w:r w:rsidR="0014516F" w:rsidRPr="00E465A1">
              <w:rPr>
                <w:color w:val="262626" w:themeColor="text1" w:themeTint="D9"/>
              </w:rPr>
              <w:t>4</w:t>
            </w:r>
            <w:r w:rsidR="001F5E55" w:rsidRPr="00E465A1">
              <w:rPr>
                <w:color w:val="262626" w:themeColor="text1" w:themeTint="D9"/>
              </w:rPr>
              <w:t>.</w:t>
            </w:r>
          </w:p>
          <w:p w:rsidR="00FD138E" w:rsidRPr="00E465A1" w:rsidRDefault="0005325F" w:rsidP="00B451CD">
            <w:pPr>
              <w:pStyle w:val="Policyfollowingparas"/>
              <w:rPr>
                <w:i/>
                <w:color w:val="262626" w:themeColor="text1" w:themeTint="D9"/>
              </w:rPr>
            </w:pPr>
            <w:r w:rsidRPr="00E465A1">
              <w:rPr>
                <w:color w:val="262626" w:themeColor="text1" w:themeTint="D9"/>
              </w:rPr>
              <w:t xml:space="preserve">No provision for long service leave is recognised in the </w:t>
            </w:r>
            <w:r w:rsidR="00EC2665" w:rsidRPr="00E465A1">
              <w:rPr>
                <w:color w:val="262626" w:themeColor="text1" w:themeTint="D9"/>
              </w:rPr>
              <w:t>CCC</w:t>
            </w:r>
            <w:r w:rsidRPr="00E465A1">
              <w:rPr>
                <w:color w:val="262626" w:themeColor="text1" w:themeTint="D9"/>
              </w:rPr>
              <w:t xml:space="preserve">’s financial statements, the liability being held on a whole-of-government basis and reported in those financial statements, pursuant to </w:t>
            </w:r>
            <w:proofErr w:type="spellStart"/>
            <w:r w:rsidRPr="00E465A1">
              <w:rPr>
                <w:color w:val="262626" w:themeColor="text1" w:themeTint="D9"/>
              </w:rPr>
              <w:t>AASB</w:t>
            </w:r>
            <w:proofErr w:type="spellEnd"/>
            <w:r w:rsidRPr="00E465A1">
              <w:rPr>
                <w:color w:val="262626" w:themeColor="text1" w:themeTint="D9"/>
              </w:rPr>
              <w:t xml:space="preserve"> 1049 </w:t>
            </w:r>
            <w:r w:rsidRPr="00E465A1">
              <w:rPr>
                <w:i/>
                <w:color w:val="262626" w:themeColor="text1" w:themeTint="D9"/>
              </w:rPr>
              <w:t>Whole of Government and General Government Sector Financial Reporting.</w:t>
            </w:r>
          </w:p>
          <w:p w:rsidR="00A13142" w:rsidRPr="00E465A1" w:rsidRDefault="00A13142" w:rsidP="00B451CD">
            <w:pPr>
              <w:pStyle w:val="Policyfollowingparas"/>
              <w:rPr>
                <w:i/>
                <w:color w:val="262626" w:themeColor="text1" w:themeTint="D9"/>
              </w:rPr>
            </w:pPr>
          </w:p>
          <w:p w:rsidR="00A13142" w:rsidRPr="00E465A1" w:rsidRDefault="00A13142" w:rsidP="00A13142">
            <w:pPr>
              <w:pStyle w:val="Policy1stpara"/>
              <w:rPr>
                <w:color w:val="262626" w:themeColor="text1" w:themeTint="D9"/>
              </w:rPr>
            </w:pPr>
            <w:r w:rsidRPr="00E465A1">
              <w:rPr>
                <w:b/>
                <w:i/>
                <w:color w:val="262626" w:themeColor="text1" w:themeTint="D9"/>
              </w:rPr>
              <w:t xml:space="preserve">Superannuation – </w:t>
            </w:r>
            <w:r w:rsidRPr="00E465A1">
              <w:rPr>
                <w:color w:val="262626" w:themeColor="text1" w:themeTint="D9"/>
              </w:rPr>
              <w:t xml:space="preserve">Post-employment benefits for superannuation are provided through defined contribution (accumulation) plans or the Queensland Government’s </w:t>
            </w:r>
            <w:proofErr w:type="spellStart"/>
            <w:r w:rsidRPr="00E465A1">
              <w:rPr>
                <w:color w:val="262626" w:themeColor="text1" w:themeTint="D9"/>
              </w:rPr>
              <w:t>QSuper</w:t>
            </w:r>
            <w:proofErr w:type="spellEnd"/>
            <w:r w:rsidRPr="00E465A1">
              <w:rPr>
                <w:color w:val="262626" w:themeColor="text1" w:themeTint="D9"/>
              </w:rPr>
              <w:t xml:space="preserve"> defined benefit plan as determined by the employee’s conditions of employment. Also refer to Note 1</w:t>
            </w:r>
            <w:r w:rsidR="0014516F" w:rsidRPr="00E465A1">
              <w:rPr>
                <w:color w:val="262626" w:themeColor="text1" w:themeTint="D9"/>
              </w:rPr>
              <w:t>1</w:t>
            </w:r>
            <w:r w:rsidRPr="00E465A1">
              <w:rPr>
                <w:color w:val="262626" w:themeColor="text1" w:themeTint="D9"/>
              </w:rPr>
              <w:t>.</w:t>
            </w:r>
          </w:p>
          <w:p w:rsidR="00A13142" w:rsidRPr="00E465A1" w:rsidRDefault="00A13142" w:rsidP="00A13142">
            <w:pPr>
              <w:pStyle w:val="Policy1stpara"/>
              <w:rPr>
                <w:i/>
                <w:color w:val="262626" w:themeColor="text1" w:themeTint="D9"/>
                <w:u w:val="single"/>
              </w:rPr>
            </w:pPr>
          </w:p>
          <w:p w:rsidR="00A13142" w:rsidRPr="00E465A1" w:rsidRDefault="00A13142" w:rsidP="00A13142">
            <w:pPr>
              <w:pStyle w:val="Policy1stpara"/>
              <w:rPr>
                <w:color w:val="262626" w:themeColor="text1" w:themeTint="D9"/>
              </w:rPr>
            </w:pPr>
            <w:r w:rsidRPr="00E465A1">
              <w:rPr>
                <w:i/>
                <w:color w:val="262626" w:themeColor="text1" w:themeTint="D9"/>
                <w:u w:val="single"/>
              </w:rPr>
              <w:t>Defined Contribution Plans</w:t>
            </w:r>
            <w:r w:rsidRPr="00E465A1">
              <w:rPr>
                <w:color w:val="262626" w:themeColor="text1" w:themeTint="D9"/>
              </w:rPr>
              <w:t xml:space="preserve"> - Contributions are made to eligible complying superannuation funds based on the rates specified in the relevant </w:t>
            </w:r>
            <w:proofErr w:type="spellStart"/>
            <w:r w:rsidRPr="00E465A1">
              <w:rPr>
                <w:color w:val="262626" w:themeColor="text1" w:themeTint="D9"/>
              </w:rPr>
              <w:t>EBA</w:t>
            </w:r>
            <w:proofErr w:type="spellEnd"/>
            <w:r w:rsidRPr="00E465A1">
              <w:rPr>
                <w:color w:val="262626" w:themeColor="text1" w:themeTint="D9"/>
              </w:rPr>
              <w:t xml:space="preserve"> or other conditions of employment. Contributions are expensed when they are paid or become payable following completion of the employee’s service each pay period.</w:t>
            </w:r>
          </w:p>
          <w:p w:rsidR="0005325F" w:rsidRPr="00E465A1" w:rsidRDefault="00A13142" w:rsidP="00A13142">
            <w:pPr>
              <w:pStyle w:val="Policyfollowingparas"/>
              <w:rPr>
                <w:color w:val="262626" w:themeColor="text1" w:themeTint="D9"/>
              </w:rPr>
            </w:pPr>
            <w:r w:rsidRPr="00E465A1">
              <w:rPr>
                <w:i/>
                <w:color w:val="262626" w:themeColor="text1" w:themeTint="D9"/>
                <w:u w:val="single"/>
              </w:rPr>
              <w:t>Defined Benefit Plan</w:t>
            </w:r>
            <w:r w:rsidRPr="00E465A1">
              <w:rPr>
                <w:color w:val="262626" w:themeColor="text1" w:themeTint="D9"/>
              </w:rPr>
              <w:t xml:space="preserve"> - The liability for defined benefits is held on a whole-of-government basis and reported in those financial statements pursuant to </w:t>
            </w:r>
            <w:proofErr w:type="spellStart"/>
            <w:r w:rsidRPr="00E465A1">
              <w:rPr>
                <w:color w:val="262626" w:themeColor="text1" w:themeTint="D9"/>
              </w:rPr>
              <w:t>AASB</w:t>
            </w:r>
            <w:proofErr w:type="spellEnd"/>
            <w:r w:rsidRPr="00E465A1">
              <w:rPr>
                <w:color w:val="262626" w:themeColor="text1" w:themeTint="D9"/>
              </w:rPr>
              <w:t xml:space="preserve"> 1049 </w:t>
            </w:r>
            <w:r w:rsidRPr="00E465A1">
              <w:rPr>
                <w:i/>
                <w:color w:val="262626" w:themeColor="text1" w:themeTint="D9"/>
              </w:rPr>
              <w:t>Whole of Government and General Government Sector Financial Reporting</w:t>
            </w:r>
            <w:r w:rsidRPr="00E465A1">
              <w:rPr>
                <w:color w:val="262626" w:themeColor="text1" w:themeTint="D9"/>
              </w:rPr>
              <w:t>. The amount of contributions for defined benefit plan obligations is based upon the rates determined on the advice of the State Actuary. Contributions are paid by the CCC at the specified rate following completion of the employee’s service each pay period. The CCC’s obligations are limited to those contributions paid.</w:t>
            </w:r>
          </w:p>
          <w:p w:rsidR="00A13142" w:rsidRPr="00E465A1" w:rsidRDefault="00A13142" w:rsidP="00A13142">
            <w:pPr>
              <w:pStyle w:val="Policyfollowingparas"/>
              <w:rPr>
                <w:color w:val="262626" w:themeColor="text1" w:themeTint="D9"/>
              </w:rPr>
            </w:pPr>
          </w:p>
        </w:tc>
      </w:tr>
    </w:tbl>
    <w:p w:rsidR="00FD138E" w:rsidRPr="00E465A1" w:rsidRDefault="00FD138E" w:rsidP="00FD138E">
      <w:pPr>
        <w:pStyle w:val="Normal1stpara"/>
        <w:rPr>
          <w:color w:val="262626" w:themeColor="text1" w:themeTint="D9"/>
        </w:rPr>
      </w:pPr>
    </w:p>
    <w:p w:rsidR="00FB1675" w:rsidRPr="00E465A1" w:rsidRDefault="00FB1675" w:rsidP="004A68D8">
      <w:pPr>
        <w:pStyle w:val="Normal1stpara"/>
        <w:rPr>
          <w:color w:val="262626" w:themeColor="text1" w:themeTint="D9"/>
        </w:rPr>
      </w:pPr>
    </w:p>
    <w:p w:rsidR="007F503E" w:rsidRPr="00E465A1" w:rsidRDefault="007F503E" w:rsidP="004A68D8">
      <w:pPr>
        <w:pStyle w:val="Normal1stpara"/>
        <w:rPr>
          <w:color w:val="262626" w:themeColor="text1" w:themeTint="D9"/>
        </w:rPr>
      </w:pPr>
    </w:p>
    <w:p w:rsidR="00A13142" w:rsidRPr="00E465A1" w:rsidRDefault="00A13142" w:rsidP="004A68D8">
      <w:pPr>
        <w:pStyle w:val="Normal1stpara"/>
        <w:rPr>
          <w:color w:val="262626" w:themeColor="text1" w:themeTint="D9"/>
        </w:rPr>
      </w:pPr>
    </w:p>
    <w:p w:rsidR="00A13142" w:rsidRPr="00E465A1" w:rsidRDefault="00A13142" w:rsidP="004A68D8">
      <w:pPr>
        <w:pStyle w:val="Normal1stpara"/>
        <w:rPr>
          <w:color w:val="262626" w:themeColor="text1" w:themeTint="D9"/>
        </w:rPr>
      </w:pPr>
    </w:p>
    <w:p w:rsidR="00A13142" w:rsidRPr="00E465A1" w:rsidRDefault="00A13142" w:rsidP="00A13142">
      <w:pPr>
        <w:pStyle w:val="Normal115pttext"/>
        <w:rPr>
          <w:color w:val="262626" w:themeColor="text1" w:themeTint="D9"/>
        </w:rPr>
      </w:pPr>
      <w:r w:rsidRPr="00E465A1">
        <w:rPr>
          <w:color w:val="262626" w:themeColor="text1" w:themeTint="D9"/>
        </w:rPr>
        <w:t xml:space="preserve">Note </w:t>
      </w:r>
      <w:r w:rsidR="0014516F" w:rsidRPr="00E465A1">
        <w:rPr>
          <w:color w:val="262626" w:themeColor="text1" w:themeTint="D9"/>
        </w:rPr>
        <w:t>4</w:t>
      </w:r>
      <w:r w:rsidRPr="00E465A1">
        <w:rPr>
          <w:color w:val="262626" w:themeColor="text1" w:themeTint="D9"/>
        </w:rPr>
        <w:t>:  Employee Expenses (cont’d)</w:t>
      </w:r>
    </w:p>
    <w:p w:rsidR="00FD138E" w:rsidRPr="00E465A1" w:rsidRDefault="00FD138E" w:rsidP="004A68D8">
      <w:pPr>
        <w:pStyle w:val="Normal1stpara"/>
        <w:rPr>
          <w:color w:val="262626" w:themeColor="text1" w:themeTint="D9"/>
        </w:rPr>
      </w:pPr>
    </w:p>
    <w:tbl>
      <w:tblPr>
        <w:tblW w:w="10206"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6804"/>
        <w:gridCol w:w="851"/>
        <w:gridCol w:w="1134"/>
        <w:gridCol w:w="283"/>
        <w:gridCol w:w="1134"/>
      </w:tblGrid>
      <w:tr w:rsidR="00E465A1" w:rsidRPr="00E465A1" w:rsidTr="00AD6577">
        <w:trPr>
          <w:trHeight w:val="20"/>
        </w:trPr>
        <w:tc>
          <w:tcPr>
            <w:tcW w:w="6804" w:type="dxa"/>
            <w:tcBorders>
              <w:top w:val="nil"/>
              <w:left w:val="nil"/>
              <w:bottom w:val="nil"/>
            </w:tcBorders>
            <w:noWrap/>
            <w:tcMar>
              <w:left w:w="0" w:type="dxa"/>
              <w:right w:w="0" w:type="dxa"/>
            </w:tcMar>
            <w:vAlign w:val="bottom"/>
          </w:tcPr>
          <w:p w:rsidR="0005325F" w:rsidRPr="00E465A1" w:rsidRDefault="0005325F" w:rsidP="003F08E2">
            <w:pPr>
              <w:pStyle w:val="Normaltabletextleft"/>
              <w:rPr>
                <w:b/>
                <w:color w:val="262626" w:themeColor="text1" w:themeTint="D9"/>
                <w:lang w:eastAsia="en-AU"/>
              </w:rPr>
            </w:pPr>
          </w:p>
        </w:tc>
        <w:tc>
          <w:tcPr>
            <w:tcW w:w="851" w:type="dxa"/>
            <w:tcBorders>
              <w:top w:val="nil"/>
              <w:bottom w:val="nil"/>
            </w:tcBorders>
            <w:noWrap/>
            <w:tcMar>
              <w:left w:w="0" w:type="dxa"/>
              <w:right w:w="0" w:type="dxa"/>
            </w:tcMar>
            <w:vAlign w:val="bottom"/>
          </w:tcPr>
          <w:p w:rsidR="0005325F" w:rsidRPr="00E465A1" w:rsidRDefault="0005325F" w:rsidP="003F08E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5325F" w:rsidRPr="00E465A1" w:rsidRDefault="0005325F" w:rsidP="003F08E2">
            <w:pPr>
              <w:pStyle w:val="Normaltabletext1stpararight"/>
              <w:rPr>
                <w:b/>
                <w:color w:val="262626" w:themeColor="text1" w:themeTint="D9"/>
                <w:lang w:eastAsia="en-AU"/>
              </w:rPr>
            </w:pPr>
            <w:r w:rsidRPr="00E465A1">
              <w:rPr>
                <w:b/>
                <w:color w:val="262626" w:themeColor="text1" w:themeTint="D9"/>
                <w:lang w:eastAsia="en-AU"/>
              </w:rPr>
              <w:t>201</w:t>
            </w:r>
            <w:r w:rsidR="009E4C1B" w:rsidRPr="00E465A1">
              <w:rPr>
                <w:b/>
                <w:color w:val="262626" w:themeColor="text1" w:themeTint="D9"/>
                <w:lang w:eastAsia="en-AU"/>
              </w:rPr>
              <w:t>8</w:t>
            </w:r>
          </w:p>
        </w:tc>
        <w:tc>
          <w:tcPr>
            <w:tcW w:w="283" w:type="dxa"/>
            <w:tcBorders>
              <w:top w:val="nil"/>
              <w:bottom w:val="nil"/>
            </w:tcBorders>
            <w:noWrap/>
            <w:tcMar>
              <w:left w:w="0" w:type="dxa"/>
              <w:right w:w="0" w:type="dxa"/>
            </w:tcMar>
            <w:vAlign w:val="bottom"/>
          </w:tcPr>
          <w:p w:rsidR="0005325F" w:rsidRPr="00E465A1" w:rsidRDefault="0005325F" w:rsidP="003F08E2">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05325F" w:rsidRPr="00E465A1" w:rsidRDefault="009E4C1B" w:rsidP="003F08E2">
            <w:pPr>
              <w:pStyle w:val="Normaltabletext1stpararight"/>
              <w:rPr>
                <w:b/>
                <w:color w:val="262626" w:themeColor="text1" w:themeTint="D9"/>
                <w:lang w:eastAsia="en-AU"/>
              </w:rPr>
            </w:pPr>
            <w:r w:rsidRPr="00E465A1">
              <w:rPr>
                <w:b/>
                <w:color w:val="262626" w:themeColor="text1" w:themeTint="D9"/>
                <w:lang w:eastAsia="en-AU"/>
              </w:rPr>
              <w:t>2017</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05325F" w:rsidRPr="00E465A1" w:rsidRDefault="0005325F" w:rsidP="003F08E2">
            <w:pPr>
              <w:pStyle w:val="Normaltabletextleft"/>
              <w:rPr>
                <w:b/>
                <w:color w:val="262626" w:themeColor="text1" w:themeTint="D9"/>
                <w:lang w:eastAsia="en-AU"/>
              </w:rPr>
            </w:pPr>
          </w:p>
        </w:tc>
        <w:tc>
          <w:tcPr>
            <w:tcW w:w="851" w:type="dxa"/>
            <w:tcBorders>
              <w:top w:val="nil"/>
              <w:bottom w:val="nil"/>
            </w:tcBorders>
            <w:noWrap/>
            <w:tcMar>
              <w:left w:w="0" w:type="dxa"/>
              <w:right w:w="0" w:type="dxa"/>
            </w:tcMar>
            <w:vAlign w:val="bottom"/>
          </w:tcPr>
          <w:p w:rsidR="0005325F" w:rsidRPr="00E465A1" w:rsidRDefault="0005325F" w:rsidP="003F08E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5325F" w:rsidRPr="00E465A1" w:rsidRDefault="0005325F" w:rsidP="003F08E2">
            <w:pPr>
              <w:pStyle w:val="Normaltabletext1stpararight"/>
              <w:rPr>
                <w:b/>
                <w:color w:val="262626" w:themeColor="text1" w:themeTint="D9"/>
                <w:lang w:eastAsia="en-AU"/>
              </w:rPr>
            </w:pPr>
            <w:r w:rsidRPr="00E465A1">
              <w:rPr>
                <w:b/>
                <w:color w:val="262626" w:themeColor="text1" w:themeTint="D9"/>
                <w:lang w:eastAsia="en-AU"/>
              </w:rPr>
              <w:t>$’000</w:t>
            </w:r>
          </w:p>
        </w:tc>
        <w:tc>
          <w:tcPr>
            <w:tcW w:w="283" w:type="dxa"/>
            <w:tcBorders>
              <w:top w:val="nil"/>
              <w:bottom w:val="nil"/>
            </w:tcBorders>
            <w:noWrap/>
            <w:tcMar>
              <w:left w:w="0" w:type="dxa"/>
              <w:right w:w="0" w:type="dxa"/>
            </w:tcMar>
            <w:vAlign w:val="bottom"/>
          </w:tcPr>
          <w:p w:rsidR="0005325F" w:rsidRPr="00E465A1" w:rsidRDefault="0005325F" w:rsidP="003F08E2">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05325F" w:rsidRPr="00E465A1" w:rsidRDefault="0005325F" w:rsidP="003F08E2">
            <w:pPr>
              <w:pStyle w:val="Normaltabletext1stpararight"/>
              <w:ind w:left="122" w:firstLine="122"/>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05325F" w:rsidRPr="00E465A1" w:rsidRDefault="0005325F" w:rsidP="003F08E2">
            <w:pPr>
              <w:pStyle w:val="Normaltabletextleft"/>
              <w:rPr>
                <w:color w:val="262626" w:themeColor="text1" w:themeTint="D9"/>
                <w:lang w:eastAsia="en-AU"/>
              </w:rPr>
            </w:pPr>
            <w:r w:rsidRPr="00E465A1">
              <w:rPr>
                <w:b/>
                <w:color w:val="262626" w:themeColor="text1" w:themeTint="D9"/>
                <w:lang w:eastAsia="en-AU"/>
              </w:rPr>
              <w:t>Employee Benefits</w:t>
            </w:r>
          </w:p>
        </w:tc>
        <w:tc>
          <w:tcPr>
            <w:tcW w:w="851" w:type="dxa"/>
            <w:tcBorders>
              <w:top w:val="nil"/>
              <w:bottom w:val="nil"/>
            </w:tcBorders>
            <w:noWrap/>
            <w:tcMar>
              <w:left w:w="0" w:type="dxa"/>
              <w:right w:w="0" w:type="dxa"/>
            </w:tcMar>
            <w:vAlign w:val="bottom"/>
          </w:tcPr>
          <w:p w:rsidR="0005325F" w:rsidRPr="00E465A1" w:rsidRDefault="0005325F" w:rsidP="003F08E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5325F" w:rsidRPr="00E465A1" w:rsidRDefault="0005325F" w:rsidP="003F08E2">
            <w:pPr>
              <w:pStyle w:val="Normaltabletext1stpararight"/>
              <w:rPr>
                <w:color w:val="262626" w:themeColor="text1" w:themeTint="D9"/>
                <w:lang w:eastAsia="en-AU"/>
              </w:rPr>
            </w:pPr>
          </w:p>
        </w:tc>
        <w:tc>
          <w:tcPr>
            <w:tcW w:w="283" w:type="dxa"/>
            <w:tcBorders>
              <w:top w:val="nil"/>
              <w:bottom w:val="nil"/>
            </w:tcBorders>
            <w:noWrap/>
            <w:tcMar>
              <w:left w:w="0" w:type="dxa"/>
              <w:right w:w="0" w:type="dxa"/>
            </w:tcMar>
            <w:vAlign w:val="bottom"/>
          </w:tcPr>
          <w:p w:rsidR="0005325F" w:rsidRPr="00E465A1" w:rsidRDefault="0005325F" w:rsidP="003F08E2">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05325F" w:rsidRPr="00E465A1" w:rsidRDefault="0005325F" w:rsidP="003F08E2">
            <w:pPr>
              <w:pStyle w:val="Normaltabletext1stpararight"/>
              <w:rPr>
                <w:color w:val="262626" w:themeColor="text1" w:themeTint="D9"/>
                <w:lang w:eastAsia="en-AU"/>
              </w:rPr>
            </w:pP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r w:rsidRPr="00E465A1">
              <w:rPr>
                <w:color w:val="262626" w:themeColor="text1" w:themeTint="D9"/>
                <w:lang w:eastAsia="en-AU"/>
              </w:rPr>
              <w:t>Wages and salaries</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D97F8E" w:rsidP="009E4C1B">
            <w:pPr>
              <w:pStyle w:val="Normaltabletext1stpararight"/>
              <w:rPr>
                <w:color w:val="262626" w:themeColor="text1" w:themeTint="D9"/>
                <w:lang w:eastAsia="en-AU"/>
              </w:rPr>
            </w:pPr>
            <w:r w:rsidRPr="00E465A1">
              <w:rPr>
                <w:color w:val="262626" w:themeColor="text1" w:themeTint="D9"/>
                <w:lang w:eastAsia="en-AU"/>
              </w:rPr>
              <w:t>31,256</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31,059</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r w:rsidRPr="00E465A1">
              <w:rPr>
                <w:color w:val="262626" w:themeColor="text1" w:themeTint="D9"/>
                <w:lang w:eastAsia="en-AU"/>
              </w:rPr>
              <w:t>Annual leave expense</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D97F8E" w:rsidP="009E4C1B">
            <w:pPr>
              <w:pStyle w:val="Normaltabletext1stpararight"/>
              <w:rPr>
                <w:color w:val="262626" w:themeColor="text1" w:themeTint="D9"/>
                <w:lang w:eastAsia="en-AU"/>
              </w:rPr>
            </w:pPr>
            <w:r w:rsidRPr="00E465A1">
              <w:rPr>
                <w:color w:val="262626" w:themeColor="text1" w:themeTint="D9"/>
                <w:lang w:eastAsia="en-AU"/>
              </w:rPr>
              <w:t>1,737</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2,050</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r w:rsidRPr="00E465A1">
              <w:rPr>
                <w:color w:val="262626" w:themeColor="text1" w:themeTint="D9"/>
                <w:lang w:eastAsia="en-AU"/>
              </w:rPr>
              <w:t>Employer superannuation contributions</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8900F3" w:rsidP="009E4C1B">
            <w:pPr>
              <w:pStyle w:val="Normaltabletext1stpararight"/>
              <w:rPr>
                <w:color w:val="262626" w:themeColor="text1" w:themeTint="D9"/>
                <w:lang w:eastAsia="en-AU"/>
              </w:rPr>
            </w:pPr>
            <w:r w:rsidRPr="00E465A1">
              <w:rPr>
                <w:color w:val="262626" w:themeColor="text1" w:themeTint="D9"/>
                <w:lang w:eastAsia="en-AU"/>
              </w:rPr>
              <w:t>4,217</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3,951</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r w:rsidRPr="00E465A1">
              <w:rPr>
                <w:color w:val="262626" w:themeColor="text1" w:themeTint="D9"/>
                <w:lang w:eastAsia="en-AU"/>
              </w:rPr>
              <w:t>Long service leave levies</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8900F3" w:rsidP="009E4C1B">
            <w:pPr>
              <w:pStyle w:val="Normaltabletext1stpararight"/>
              <w:rPr>
                <w:color w:val="262626" w:themeColor="text1" w:themeTint="D9"/>
                <w:lang w:eastAsia="en-AU"/>
              </w:rPr>
            </w:pPr>
            <w:r w:rsidRPr="00E465A1">
              <w:rPr>
                <w:color w:val="262626" w:themeColor="text1" w:themeTint="D9"/>
                <w:lang w:eastAsia="en-AU"/>
              </w:rPr>
              <w:t>717</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681</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r w:rsidRPr="00E465A1">
              <w:rPr>
                <w:color w:val="262626" w:themeColor="text1" w:themeTint="D9"/>
                <w:lang w:eastAsia="en-AU"/>
              </w:rPr>
              <w:t>Termination benefits</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8900F3" w:rsidP="009E4C1B">
            <w:pPr>
              <w:pStyle w:val="Normaltabletext1stpararight"/>
              <w:rPr>
                <w:color w:val="262626" w:themeColor="text1" w:themeTint="D9"/>
                <w:lang w:eastAsia="en-AU"/>
              </w:rPr>
            </w:pPr>
            <w:r w:rsidRPr="00E465A1">
              <w:rPr>
                <w:color w:val="262626" w:themeColor="text1" w:themeTint="D9"/>
                <w:lang w:eastAsia="en-AU"/>
              </w:rPr>
              <w:t>49</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93</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r w:rsidRPr="00E465A1">
              <w:rPr>
                <w:color w:val="262626" w:themeColor="text1" w:themeTint="D9"/>
                <w:lang w:eastAsia="en-AU"/>
              </w:rPr>
              <w:t>Other employee benefits</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E609DD" w:rsidRPr="00E465A1" w:rsidRDefault="008900F3" w:rsidP="00E609DD">
            <w:pPr>
              <w:pStyle w:val="Normaltabletext1stpararight"/>
              <w:rPr>
                <w:color w:val="262626" w:themeColor="text1" w:themeTint="D9"/>
                <w:lang w:eastAsia="en-AU"/>
              </w:rPr>
            </w:pPr>
            <w:r w:rsidRPr="00E465A1">
              <w:rPr>
                <w:color w:val="262626" w:themeColor="text1" w:themeTint="D9"/>
                <w:lang w:eastAsia="en-AU"/>
              </w:rPr>
              <w:t>169</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238</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b/>
                <w:color w:val="262626" w:themeColor="text1" w:themeTint="D9"/>
                <w:lang w:eastAsia="en-AU"/>
              </w:rPr>
            </w:pP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b/>
                <w:color w:val="262626" w:themeColor="text1" w:themeTint="D9"/>
                <w:lang w:eastAsia="en-AU"/>
              </w:rPr>
            </w:pPr>
            <w:r w:rsidRPr="00E465A1">
              <w:rPr>
                <w:b/>
                <w:color w:val="262626" w:themeColor="text1" w:themeTint="D9"/>
                <w:lang w:eastAsia="en-AU"/>
              </w:rPr>
              <w:t>Employee Related Expenses</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r w:rsidRPr="00E465A1">
              <w:rPr>
                <w:color w:val="262626" w:themeColor="text1" w:themeTint="D9"/>
                <w:lang w:eastAsia="en-AU"/>
              </w:rPr>
              <w:t xml:space="preserve">Workers’ compensation premium </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8900F3" w:rsidP="009E4C1B">
            <w:pPr>
              <w:pStyle w:val="Normaltabletext1stpararight"/>
              <w:rPr>
                <w:color w:val="262626" w:themeColor="text1" w:themeTint="D9"/>
                <w:lang w:eastAsia="en-AU"/>
              </w:rPr>
            </w:pPr>
            <w:r w:rsidRPr="00E465A1">
              <w:rPr>
                <w:color w:val="262626" w:themeColor="text1" w:themeTint="D9"/>
                <w:lang w:eastAsia="en-AU"/>
              </w:rPr>
              <w:t>262</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273</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r w:rsidRPr="00E465A1">
              <w:rPr>
                <w:color w:val="262626" w:themeColor="text1" w:themeTint="D9"/>
                <w:lang w:eastAsia="en-AU"/>
              </w:rPr>
              <w:t>Payroll tax</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8900F3" w:rsidP="009E4C1B">
            <w:pPr>
              <w:pStyle w:val="Normaltabletext1stpararight"/>
              <w:rPr>
                <w:color w:val="262626" w:themeColor="text1" w:themeTint="D9"/>
                <w:lang w:eastAsia="en-AU"/>
              </w:rPr>
            </w:pPr>
            <w:r w:rsidRPr="00E465A1">
              <w:rPr>
                <w:color w:val="262626" w:themeColor="text1" w:themeTint="D9"/>
                <w:lang w:eastAsia="en-AU"/>
              </w:rPr>
              <w:t>1,358</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1,294</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b/>
                <w:color w:val="262626" w:themeColor="text1" w:themeTint="D9"/>
                <w:lang w:eastAsia="en-AU"/>
              </w:rPr>
            </w:pPr>
            <w:r w:rsidRPr="00E465A1">
              <w:rPr>
                <w:color w:val="262626" w:themeColor="text1" w:themeTint="D9"/>
                <w:lang w:eastAsia="en-AU"/>
              </w:rPr>
              <w:t>Other employee related expenses</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8900F3" w:rsidP="009E4C1B">
            <w:pPr>
              <w:pStyle w:val="Normaltabletext1stpararight"/>
              <w:rPr>
                <w:color w:val="262626" w:themeColor="text1" w:themeTint="D9"/>
                <w:lang w:eastAsia="en-AU"/>
              </w:rPr>
            </w:pPr>
            <w:r w:rsidRPr="00E465A1">
              <w:rPr>
                <w:color w:val="262626" w:themeColor="text1" w:themeTint="D9"/>
                <w:lang w:eastAsia="en-AU"/>
              </w:rPr>
              <w:t>577</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553</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b/>
                <w:color w:val="262626" w:themeColor="text1" w:themeTint="D9"/>
                <w:lang w:eastAsia="en-AU"/>
              </w:rPr>
            </w:pPr>
            <w:r w:rsidRPr="00E465A1">
              <w:rPr>
                <w:b/>
                <w:color w:val="262626" w:themeColor="text1" w:themeTint="D9"/>
                <w:lang w:eastAsia="en-AU"/>
              </w:rPr>
              <w:t>Total</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9E4C1B" w:rsidRPr="00E465A1" w:rsidRDefault="00D97F8E" w:rsidP="009E4C1B">
            <w:pPr>
              <w:pStyle w:val="Normaltabletext1stpararight"/>
              <w:rPr>
                <w:b/>
                <w:color w:val="262626" w:themeColor="text1" w:themeTint="D9"/>
                <w:lang w:eastAsia="en-AU"/>
              </w:rPr>
            </w:pPr>
            <w:r w:rsidRPr="00E465A1">
              <w:rPr>
                <w:b/>
                <w:color w:val="262626" w:themeColor="text1" w:themeTint="D9"/>
                <w:lang w:eastAsia="en-AU"/>
              </w:rPr>
              <w:t>40,342</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b/>
                <w:color w:val="262626" w:themeColor="text1" w:themeTint="D9"/>
                <w:lang w:eastAsia="en-AU"/>
              </w:rPr>
            </w:pPr>
          </w:p>
        </w:tc>
        <w:tc>
          <w:tcPr>
            <w:tcW w:w="1134" w:type="dxa"/>
            <w:tcBorders>
              <w:top w:val="single" w:sz="4" w:space="0" w:color="auto"/>
              <w:bottom w:val="double" w:sz="4" w:space="0" w:color="auto"/>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b/>
                <w:color w:val="262626" w:themeColor="text1" w:themeTint="D9"/>
                <w:lang w:eastAsia="en-AU"/>
              </w:rPr>
            </w:pPr>
            <w:r w:rsidRPr="00E465A1">
              <w:rPr>
                <w:b/>
                <w:color w:val="262626" w:themeColor="text1" w:themeTint="D9"/>
                <w:lang w:eastAsia="en-AU"/>
              </w:rPr>
              <w:t>40,192</w:t>
            </w:r>
          </w:p>
        </w:tc>
      </w:tr>
      <w:tr w:rsidR="00E465A1" w:rsidRPr="00E465A1" w:rsidTr="00BB5E0E">
        <w:trPr>
          <w:trHeight w:val="20"/>
        </w:trPr>
        <w:tc>
          <w:tcPr>
            <w:tcW w:w="6804" w:type="dxa"/>
            <w:tcBorders>
              <w:top w:val="nil"/>
              <w:left w:val="nil"/>
              <w:bottom w:val="nil"/>
              <w:right w:val="nil"/>
            </w:tcBorders>
            <w:noWrap/>
            <w:tcMar>
              <w:left w:w="0" w:type="dxa"/>
              <w:right w:w="0" w:type="dxa"/>
            </w:tcMar>
          </w:tcPr>
          <w:p w:rsidR="009E4C1B" w:rsidRPr="00E465A1" w:rsidRDefault="009E4C1B" w:rsidP="009E4C1B">
            <w:pPr>
              <w:pStyle w:val="Normaltabletextleft"/>
              <w:rPr>
                <w:color w:val="262626" w:themeColor="text1" w:themeTint="D9"/>
              </w:rPr>
            </w:pPr>
          </w:p>
        </w:tc>
        <w:tc>
          <w:tcPr>
            <w:tcW w:w="851" w:type="dxa"/>
            <w:tcBorders>
              <w:top w:val="nil"/>
              <w:left w:val="nil"/>
              <w:bottom w:val="nil"/>
              <w:right w:val="nil"/>
            </w:tcBorders>
          </w:tcPr>
          <w:p w:rsidR="009E4C1B" w:rsidRPr="00E465A1" w:rsidRDefault="009E4C1B" w:rsidP="009E4C1B">
            <w:pPr>
              <w:pStyle w:val="Normaltabletextleft"/>
              <w:rPr>
                <w:color w:val="262626" w:themeColor="text1" w:themeTint="D9"/>
              </w:rPr>
            </w:pPr>
          </w:p>
        </w:tc>
        <w:tc>
          <w:tcPr>
            <w:tcW w:w="1134" w:type="dxa"/>
            <w:tcBorders>
              <w:top w:val="nil"/>
              <w:left w:val="nil"/>
              <w:bottom w:val="nil"/>
              <w:right w:val="nil"/>
            </w:tcBorders>
          </w:tcPr>
          <w:p w:rsidR="009E4C1B" w:rsidRPr="00E465A1" w:rsidRDefault="009E4C1B" w:rsidP="009E4C1B">
            <w:pPr>
              <w:pStyle w:val="Normaltabletextleft"/>
              <w:rPr>
                <w:color w:val="262626" w:themeColor="text1" w:themeTint="D9"/>
              </w:rPr>
            </w:pPr>
          </w:p>
          <w:p w:rsidR="00A13142" w:rsidRPr="00E465A1" w:rsidRDefault="00A13142" w:rsidP="009E4C1B">
            <w:pPr>
              <w:pStyle w:val="Normaltabletextleft"/>
              <w:rPr>
                <w:color w:val="262626" w:themeColor="text1" w:themeTint="D9"/>
              </w:rPr>
            </w:pPr>
          </w:p>
          <w:p w:rsidR="00A13142" w:rsidRPr="00E465A1" w:rsidRDefault="00A13142" w:rsidP="009E4C1B">
            <w:pPr>
              <w:pStyle w:val="Normaltabletextleft"/>
              <w:rPr>
                <w:color w:val="262626" w:themeColor="text1" w:themeTint="D9"/>
              </w:rPr>
            </w:pPr>
          </w:p>
        </w:tc>
        <w:tc>
          <w:tcPr>
            <w:tcW w:w="283" w:type="dxa"/>
            <w:tcBorders>
              <w:top w:val="nil"/>
              <w:left w:val="nil"/>
              <w:bottom w:val="nil"/>
              <w:right w:val="nil"/>
            </w:tcBorders>
          </w:tcPr>
          <w:p w:rsidR="009E4C1B" w:rsidRPr="00E465A1" w:rsidRDefault="009E4C1B" w:rsidP="009E4C1B">
            <w:pPr>
              <w:pStyle w:val="Normaltabletextleft"/>
              <w:rPr>
                <w:color w:val="262626" w:themeColor="text1" w:themeTint="D9"/>
              </w:rPr>
            </w:pPr>
          </w:p>
        </w:tc>
        <w:tc>
          <w:tcPr>
            <w:tcW w:w="1134" w:type="dxa"/>
            <w:tcBorders>
              <w:top w:val="nil"/>
              <w:left w:val="nil"/>
              <w:bottom w:val="nil"/>
              <w:right w:val="nil"/>
            </w:tcBorders>
          </w:tcPr>
          <w:p w:rsidR="009E4C1B" w:rsidRPr="00E465A1" w:rsidRDefault="009E4C1B" w:rsidP="009E4C1B">
            <w:pPr>
              <w:pStyle w:val="Normaltabletextleft"/>
              <w:rPr>
                <w:color w:val="262626" w:themeColor="text1" w:themeTint="D9"/>
              </w:rPr>
            </w:pP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spacing w:before="240"/>
              <w:rPr>
                <w:color w:val="262626" w:themeColor="text1" w:themeTint="D9"/>
                <w:lang w:eastAsia="en-AU"/>
              </w:rPr>
            </w:pPr>
            <w:bookmarkStart w:id="6" w:name="OLE_LINK1"/>
            <w:bookmarkStart w:id="7" w:name="OLE_LINK2"/>
            <w:r w:rsidRPr="00E465A1">
              <w:rPr>
                <w:color w:val="262626" w:themeColor="text1" w:themeTint="D9"/>
                <w:lang w:eastAsia="en-AU"/>
              </w:rPr>
              <w:t xml:space="preserve">The number of employees including both full-time employees and </w:t>
            </w:r>
            <w:r w:rsidRPr="00E465A1">
              <w:rPr>
                <w:color w:val="262626" w:themeColor="text1" w:themeTint="D9"/>
                <w:lang w:eastAsia="en-AU"/>
              </w:rPr>
              <w:br/>
              <w:t>part-time employees, measured on a full-time equivalent basis is</w:t>
            </w:r>
            <w:bookmarkEnd w:id="6"/>
            <w:bookmarkEnd w:id="7"/>
            <w:r w:rsidRPr="00E465A1">
              <w:rPr>
                <w:color w:val="262626" w:themeColor="text1" w:themeTint="D9"/>
                <w:lang w:eastAsia="en-AU"/>
              </w:rPr>
              <w:t>:</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9E4C1B" w:rsidRPr="00E465A1" w:rsidRDefault="009E4C1B" w:rsidP="009E4C1B">
            <w:pPr>
              <w:pStyle w:val="Normaltabletext1stpararight"/>
              <w:rPr>
                <w:b/>
                <w:color w:val="262626" w:themeColor="text1" w:themeTint="D9"/>
                <w:lang w:eastAsia="en-AU"/>
              </w:rPr>
            </w:pPr>
            <w:r w:rsidRPr="00E465A1">
              <w:rPr>
                <w:b/>
                <w:color w:val="262626" w:themeColor="text1" w:themeTint="D9"/>
                <w:lang w:eastAsia="en-AU"/>
              </w:rPr>
              <w:t>2018</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b/>
                <w:color w:val="262626" w:themeColor="text1" w:themeTint="D9"/>
                <w:lang w:eastAsia="en-AU"/>
              </w:rPr>
            </w:pPr>
            <w:r w:rsidRPr="00E465A1">
              <w:rPr>
                <w:b/>
                <w:color w:val="262626" w:themeColor="text1" w:themeTint="D9"/>
                <w:lang w:eastAsia="en-AU"/>
              </w:rPr>
              <w:t>2017</w:t>
            </w: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p>
        </w:tc>
      </w:tr>
      <w:tr w:rsidR="00E465A1" w:rsidRPr="00E465A1" w:rsidTr="00AD6577">
        <w:trPr>
          <w:trHeight w:val="20"/>
        </w:trPr>
        <w:tc>
          <w:tcPr>
            <w:tcW w:w="6804" w:type="dxa"/>
            <w:tcBorders>
              <w:top w:val="nil"/>
              <w:left w:val="nil"/>
              <w:bottom w:val="nil"/>
            </w:tcBorders>
            <w:noWrap/>
            <w:tcMar>
              <w:left w:w="0" w:type="dxa"/>
              <w:right w:w="0" w:type="dxa"/>
            </w:tcMar>
            <w:vAlign w:val="bottom"/>
          </w:tcPr>
          <w:p w:rsidR="009E4C1B" w:rsidRPr="00E465A1" w:rsidRDefault="009E4C1B" w:rsidP="009E4C1B">
            <w:pPr>
              <w:pStyle w:val="Normaltabletextleft"/>
              <w:rPr>
                <w:color w:val="262626" w:themeColor="text1" w:themeTint="D9"/>
                <w:lang w:eastAsia="en-AU"/>
              </w:rPr>
            </w:pPr>
            <w:r w:rsidRPr="00E465A1">
              <w:rPr>
                <w:color w:val="262626" w:themeColor="text1" w:themeTint="D9"/>
                <w:lang w:eastAsia="en-AU"/>
              </w:rPr>
              <w:t>Number of employees¹</w:t>
            </w:r>
          </w:p>
        </w:tc>
        <w:tc>
          <w:tcPr>
            <w:tcW w:w="851"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single" w:sz="4" w:space="0" w:color="auto"/>
              <w:bottom w:val="single" w:sz="4" w:space="0" w:color="auto"/>
            </w:tcBorders>
            <w:shd w:val="clear" w:color="auto" w:fill="FEE4B0"/>
            <w:noWrap/>
            <w:tcMar>
              <w:left w:w="0" w:type="dxa"/>
              <w:right w:w="113" w:type="dxa"/>
            </w:tcMar>
            <w:vAlign w:val="bottom"/>
          </w:tcPr>
          <w:p w:rsidR="009E4C1B" w:rsidRPr="00E465A1" w:rsidRDefault="00523983" w:rsidP="00884E49">
            <w:pPr>
              <w:pStyle w:val="Normaltabletext1stpararight"/>
              <w:rPr>
                <w:color w:val="262626" w:themeColor="text1" w:themeTint="D9"/>
                <w:lang w:eastAsia="en-AU"/>
              </w:rPr>
            </w:pPr>
            <w:r w:rsidRPr="00E465A1">
              <w:rPr>
                <w:color w:val="262626" w:themeColor="text1" w:themeTint="D9"/>
                <w:lang w:eastAsia="en-AU"/>
              </w:rPr>
              <w:t>33</w:t>
            </w:r>
            <w:r w:rsidR="00884E49" w:rsidRPr="00E465A1">
              <w:rPr>
                <w:color w:val="262626" w:themeColor="text1" w:themeTint="D9"/>
                <w:lang w:eastAsia="en-AU"/>
              </w:rPr>
              <w:t>4</w:t>
            </w:r>
          </w:p>
        </w:tc>
        <w:tc>
          <w:tcPr>
            <w:tcW w:w="283" w:type="dxa"/>
            <w:tcBorders>
              <w:top w:val="nil"/>
              <w:bottom w:val="nil"/>
            </w:tcBorders>
            <w:noWrap/>
            <w:tcMar>
              <w:left w:w="0" w:type="dxa"/>
              <w:right w:w="0" w:type="dxa"/>
            </w:tcMar>
            <w:vAlign w:val="bottom"/>
          </w:tcPr>
          <w:p w:rsidR="009E4C1B" w:rsidRPr="00E465A1" w:rsidRDefault="009E4C1B" w:rsidP="009E4C1B">
            <w:pPr>
              <w:pStyle w:val="Normaltabletextcentred"/>
              <w:rPr>
                <w:color w:val="262626" w:themeColor="text1" w:themeTint="D9"/>
                <w:lang w:eastAsia="en-AU"/>
              </w:rPr>
            </w:pPr>
          </w:p>
        </w:tc>
        <w:tc>
          <w:tcPr>
            <w:tcW w:w="1134" w:type="dxa"/>
            <w:tcBorders>
              <w:top w:val="single" w:sz="4" w:space="0" w:color="auto"/>
              <w:bottom w:val="single" w:sz="4" w:space="0" w:color="auto"/>
              <w:right w:val="nil"/>
            </w:tcBorders>
            <w:shd w:val="clear" w:color="auto" w:fill="FFFFFF" w:themeFill="background1"/>
            <w:noWrap/>
            <w:tcMar>
              <w:left w:w="0" w:type="dxa"/>
              <w:right w:w="113" w:type="dxa"/>
            </w:tcMar>
            <w:vAlign w:val="bottom"/>
          </w:tcPr>
          <w:p w:rsidR="009E4C1B" w:rsidRPr="00E465A1" w:rsidRDefault="009E4C1B" w:rsidP="009E4C1B">
            <w:pPr>
              <w:pStyle w:val="Normaltabletext1stpararight"/>
              <w:rPr>
                <w:color w:val="262626" w:themeColor="text1" w:themeTint="D9"/>
                <w:lang w:eastAsia="en-AU"/>
              </w:rPr>
            </w:pPr>
            <w:r w:rsidRPr="00E465A1">
              <w:rPr>
                <w:color w:val="262626" w:themeColor="text1" w:themeTint="D9"/>
                <w:lang w:eastAsia="en-AU"/>
              </w:rPr>
              <w:t>343</w:t>
            </w:r>
          </w:p>
        </w:tc>
      </w:tr>
    </w:tbl>
    <w:p w:rsidR="00A13142" w:rsidRPr="00E465A1" w:rsidRDefault="00A13142" w:rsidP="00BB5E0E">
      <w:pPr>
        <w:pStyle w:val="Noteswithhangingindent"/>
        <w:rPr>
          <w:color w:val="262626" w:themeColor="text1" w:themeTint="D9"/>
          <w:vertAlign w:val="superscript"/>
        </w:rPr>
      </w:pPr>
    </w:p>
    <w:p w:rsidR="00BB5E0E" w:rsidRPr="00E465A1" w:rsidRDefault="00BB5E0E" w:rsidP="00BB5E0E">
      <w:pPr>
        <w:pStyle w:val="Noteswithhangingindent"/>
        <w:rPr>
          <w:color w:val="262626" w:themeColor="text1" w:themeTint="D9"/>
        </w:rPr>
      </w:pPr>
      <w:r w:rsidRPr="00E465A1">
        <w:rPr>
          <w:color w:val="262626" w:themeColor="text1" w:themeTint="D9"/>
          <w:vertAlign w:val="superscript"/>
        </w:rPr>
        <w:t>1</w:t>
      </w:r>
      <w:r w:rsidRPr="00E465A1">
        <w:rPr>
          <w:color w:val="262626" w:themeColor="text1" w:themeTint="D9"/>
        </w:rPr>
        <w:tab/>
      </w:r>
      <w:r w:rsidR="007277B8" w:rsidRPr="00E465A1">
        <w:rPr>
          <w:color w:val="262626" w:themeColor="text1" w:themeTint="D9"/>
        </w:rPr>
        <w:t>As at 30 June 2018</w:t>
      </w:r>
      <w:r w:rsidR="006E13ED" w:rsidRPr="00E465A1">
        <w:rPr>
          <w:color w:val="262626" w:themeColor="text1" w:themeTint="D9"/>
        </w:rPr>
        <w:t xml:space="preserve"> it includes </w:t>
      </w:r>
      <w:r w:rsidR="00884E49" w:rsidRPr="00E465A1">
        <w:rPr>
          <w:color w:val="262626" w:themeColor="text1" w:themeTint="D9"/>
        </w:rPr>
        <w:t>76</w:t>
      </w:r>
      <w:r w:rsidR="007277B8" w:rsidRPr="00E465A1">
        <w:rPr>
          <w:color w:val="262626" w:themeColor="text1" w:themeTint="D9"/>
        </w:rPr>
        <w:t xml:space="preserve"> (2017: 79</w:t>
      </w:r>
      <w:r w:rsidR="00AB2633" w:rsidRPr="00E465A1">
        <w:rPr>
          <w:color w:val="262626" w:themeColor="text1" w:themeTint="D9"/>
        </w:rPr>
        <w:t>)</w:t>
      </w:r>
      <w:r w:rsidRPr="00E465A1">
        <w:rPr>
          <w:color w:val="262626" w:themeColor="text1" w:themeTint="D9"/>
        </w:rPr>
        <w:t xml:space="preserve"> police FTE positions seconded from the QPS and paid for by the CCC.</w:t>
      </w:r>
    </w:p>
    <w:p w:rsidR="00BB5E0E" w:rsidRPr="00E465A1" w:rsidRDefault="00BB5E0E"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A13142" w:rsidRPr="00E465A1" w:rsidRDefault="00A13142" w:rsidP="00314292">
      <w:pPr>
        <w:pStyle w:val="Normal1stpara"/>
        <w:rPr>
          <w:color w:val="262626" w:themeColor="text1" w:themeTint="D9"/>
        </w:rPr>
      </w:pPr>
    </w:p>
    <w:p w:rsidR="0005325F" w:rsidRPr="00E465A1" w:rsidRDefault="00314292" w:rsidP="00314292">
      <w:pPr>
        <w:pStyle w:val="Normal115pttext"/>
        <w:rPr>
          <w:color w:val="262626" w:themeColor="text1" w:themeTint="D9"/>
        </w:rPr>
      </w:pPr>
      <w:r w:rsidRPr="00E465A1">
        <w:rPr>
          <w:color w:val="262626" w:themeColor="text1" w:themeTint="D9"/>
        </w:rPr>
        <w:lastRenderedPageBreak/>
        <w:t xml:space="preserve">Note </w:t>
      </w:r>
      <w:r w:rsidR="0014516F" w:rsidRPr="00E465A1">
        <w:rPr>
          <w:color w:val="262626" w:themeColor="text1" w:themeTint="D9"/>
        </w:rPr>
        <w:t>5</w:t>
      </w:r>
      <w:r w:rsidRPr="00E465A1">
        <w:rPr>
          <w:color w:val="262626" w:themeColor="text1" w:themeTint="D9"/>
        </w:rPr>
        <w:t>:  The</w:t>
      </w:r>
      <w:r w:rsidR="007932E3" w:rsidRPr="00E465A1">
        <w:rPr>
          <w:color w:val="262626" w:themeColor="text1" w:themeTint="D9"/>
        </w:rPr>
        <w:t xml:space="preserve"> Commission,</w:t>
      </w:r>
      <w:r w:rsidRPr="00E465A1">
        <w:rPr>
          <w:color w:val="262626" w:themeColor="text1" w:themeTint="D9"/>
        </w:rPr>
        <w:t xml:space="preserve"> </w:t>
      </w:r>
      <w:r w:rsidR="00F934BB" w:rsidRPr="00E465A1">
        <w:rPr>
          <w:color w:val="262626" w:themeColor="text1" w:themeTint="D9"/>
        </w:rPr>
        <w:t>Senior Executive</w:t>
      </w:r>
      <w:r w:rsidR="0016077F" w:rsidRPr="00E465A1">
        <w:rPr>
          <w:color w:val="262626" w:themeColor="text1" w:themeTint="D9"/>
        </w:rPr>
        <w:t xml:space="preserve"> Personnel, </w:t>
      </w:r>
      <w:r w:rsidRPr="00E465A1">
        <w:rPr>
          <w:color w:val="262626" w:themeColor="text1" w:themeTint="D9"/>
        </w:rPr>
        <w:t>Remuneration Expenses</w:t>
      </w:r>
      <w:r w:rsidR="0016077F" w:rsidRPr="00E465A1">
        <w:rPr>
          <w:color w:val="262626" w:themeColor="text1" w:themeTint="D9"/>
        </w:rPr>
        <w:t xml:space="preserve"> and Related Party Transactions</w:t>
      </w:r>
    </w:p>
    <w:p w:rsidR="00A13142" w:rsidRPr="00E465A1" w:rsidRDefault="00A13142" w:rsidP="00314292">
      <w:pPr>
        <w:pStyle w:val="Normal115pttext"/>
        <w:rPr>
          <w:color w:val="262626" w:themeColor="text1" w:themeTint="D9"/>
        </w:rPr>
      </w:pPr>
    </w:p>
    <w:p w:rsidR="00314292" w:rsidRPr="00E465A1" w:rsidRDefault="00314292" w:rsidP="00314292">
      <w:pPr>
        <w:pStyle w:val="Normalhanginglist105pt"/>
        <w:rPr>
          <w:color w:val="262626" w:themeColor="text1" w:themeTint="D9"/>
        </w:rPr>
      </w:pPr>
      <w:r w:rsidRPr="00E465A1">
        <w:rPr>
          <w:color w:val="262626" w:themeColor="text1" w:themeTint="D9"/>
        </w:rPr>
        <w:t>(a)</w:t>
      </w:r>
      <w:r w:rsidRPr="00E465A1">
        <w:rPr>
          <w:color w:val="262626" w:themeColor="text1" w:themeTint="D9"/>
        </w:rPr>
        <w:tab/>
        <w:t xml:space="preserve">The </w:t>
      </w:r>
      <w:r w:rsidR="007932E3" w:rsidRPr="00E465A1">
        <w:rPr>
          <w:color w:val="262626" w:themeColor="text1" w:themeTint="D9"/>
        </w:rPr>
        <w:t>Commission</w:t>
      </w:r>
    </w:p>
    <w:p w:rsidR="00816075" w:rsidRPr="00E465A1" w:rsidRDefault="00314292" w:rsidP="000820FE">
      <w:pPr>
        <w:pStyle w:val="Normalindent1stpara"/>
        <w:rPr>
          <w:color w:val="262626" w:themeColor="text1" w:themeTint="D9"/>
        </w:rPr>
      </w:pPr>
      <w:r w:rsidRPr="00E465A1">
        <w:rPr>
          <w:color w:val="262626" w:themeColor="text1" w:themeTint="D9"/>
        </w:rPr>
        <w:t xml:space="preserve">The Commission is the governing body and comprises a </w:t>
      </w:r>
      <w:r w:rsidR="00804F2E" w:rsidRPr="00E465A1">
        <w:rPr>
          <w:color w:val="262626" w:themeColor="text1" w:themeTint="D9"/>
        </w:rPr>
        <w:t xml:space="preserve">full time </w:t>
      </w:r>
      <w:r w:rsidR="0016317D" w:rsidRPr="00E465A1">
        <w:rPr>
          <w:color w:val="262626" w:themeColor="text1" w:themeTint="D9"/>
        </w:rPr>
        <w:t>Commission</w:t>
      </w:r>
      <w:r w:rsidR="00804F2E" w:rsidRPr="00E465A1">
        <w:rPr>
          <w:color w:val="262626" w:themeColor="text1" w:themeTint="D9"/>
        </w:rPr>
        <w:t xml:space="preserve">er who is the </w:t>
      </w:r>
      <w:r w:rsidRPr="00E465A1">
        <w:rPr>
          <w:color w:val="262626" w:themeColor="text1" w:themeTint="D9"/>
        </w:rPr>
        <w:t xml:space="preserve">Chairperson, a part-time </w:t>
      </w:r>
      <w:r w:rsidR="0016317D" w:rsidRPr="00E465A1">
        <w:rPr>
          <w:color w:val="262626" w:themeColor="text1" w:themeTint="D9"/>
        </w:rPr>
        <w:t>Commissioner</w:t>
      </w:r>
      <w:r w:rsidR="00804F2E" w:rsidRPr="00E465A1">
        <w:rPr>
          <w:color w:val="262626" w:themeColor="text1" w:themeTint="D9"/>
        </w:rPr>
        <w:t xml:space="preserve"> who is the </w:t>
      </w:r>
      <w:r w:rsidRPr="00E465A1">
        <w:rPr>
          <w:color w:val="262626" w:themeColor="text1" w:themeTint="D9"/>
        </w:rPr>
        <w:t xml:space="preserve">Deputy Chairperson, </w:t>
      </w:r>
      <w:r w:rsidR="00AC73B8" w:rsidRPr="00E465A1">
        <w:rPr>
          <w:color w:val="262626" w:themeColor="text1" w:themeTint="D9"/>
        </w:rPr>
        <w:t xml:space="preserve">and </w:t>
      </w:r>
      <w:r w:rsidR="00804F2E" w:rsidRPr="00E465A1">
        <w:rPr>
          <w:color w:val="262626" w:themeColor="text1" w:themeTint="D9"/>
        </w:rPr>
        <w:t>three (3</w:t>
      </w:r>
      <w:r w:rsidRPr="00E465A1">
        <w:rPr>
          <w:color w:val="262626" w:themeColor="text1" w:themeTint="D9"/>
        </w:rPr>
        <w:t xml:space="preserve">) part-time Ordinary </w:t>
      </w:r>
      <w:r w:rsidR="0016317D" w:rsidRPr="00E465A1">
        <w:rPr>
          <w:color w:val="262626" w:themeColor="text1" w:themeTint="D9"/>
        </w:rPr>
        <w:t>Commission</w:t>
      </w:r>
      <w:r w:rsidRPr="00E465A1">
        <w:rPr>
          <w:color w:val="262626" w:themeColor="text1" w:themeTint="D9"/>
        </w:rPr>
        <w:t>ers</w:t>
      </w:r>
      <w:r w:rsidR="00AC73B8" w:rsidRPr="00E465A1">
        <w:rPr>
          <w:color w:val="262626" w:themeColor="text1" w:themeTint="D9"/>
        </w:rPr>
        <w:t xml:space="preserve">. </w:t>
      </w:r>
      <w:r w:rsidRPr="00E465A1">
        <w:rPr>
          <w:color w:val="262626" w:themeColor="text1" w:themeTint="D9"/>
        </w:rPr>
        <w:t xml:space="preserve">The Commission is responsible for providing strategic leadership and direction for the performance of the </w:t>
      </w:r>
      <w:r w:rsidR="0016317D" w:rsidRPr="00E465A1">
        <w:rPr>
          <w:color w:val="262626" w:themeColor="text1" w:themeTint="D9"/>
        </w:rPr>
        <w:t xml:space="preserve">CCC’s </w:t>
      </w:r>
      <w:r w:rsidRPr="00E465A1">
        <w:rPr>
          <w:color w:val="262626" w:themeColor="text1" w:themeTint="D9"/>
        </w:rPr>
        <w:t>functions.</w:t>
      </w:r>
      <w:r w:rsidR="00816075" w:rsidRPr="00E465A1">
        <w:rPr>
          <w:color w:val="262626" w:themeColor="text1" w:themeTint="D9"/>
        </w:rPr>
        <w:t xml:space="preserve"> The Chairperson has specific responsibilities relating to the proper perf</w:t>
      </w:r>
      <w:r w:rsidR="000820FE" w:rsidRPr="00E465A1">
        <w:rPr>
          <w:color w:val="262626" w:themeColor="text1" w:themeTint="D9"/>
        </w:rPr>
        <w:t>ormance of the CCC’s functions.</w:t>
      </w:r>
    </w:p>
    <w:p w:rsidR="004C4800" w:rsidRPr="00E465A1" w:rsidRDefault="004C4800" w:rsidP="000820FE">
      <w:pPr>
        <w:pStyle w:val="Normalindent1stpara"/>
        <w:rPr>
          <w:color w:val="262626" w:themeColor="text1" w:themeTint="D9"/>
        </w:rPr>
      </w:pPr>
    </w:p>
    <w:p w:rsidR="00426514" w:rsidRPr="00E465A1" w:rsidRDefault="00306CEF" w:rsidP="00306CEF">
      <w:pPr>
        <w:pStyle w:val="Normalhanginglist105pt"/>
        <w:rPr>
          <w:color w:val="262626" w:themeColor="text1" w:themeTint="D9"/>
        </w:rPr>
      </w:pPr>
      <w:r w:rsidRPr="00E465A1">
        <w:rPr>
          <w:color w:val="262626" w:themeColor="text1" w:themeTint="D9"/>
        </w:rPr>
        <w:t>(</w:t>
      </w:r>
      <w:r w:rsidR="00426514" w:rsidRPr="00E465A1">
        <w:rPr>
          <w:color w:val="262626" w:themeColor="text1" w:themeTint="D9"/>
        </w:rPr>
        <w:t>b)</w:t>
      </w:r>
      <w:r w:rsidR="00426514" w:rsidRPr="00E465A1">
        <w:rPr>
          <w:color w:val="262626" w:themeColor="text1" w:themeTint="D9"/>
        </w:rPr>
        <w:tab/>
        <w:t>Chief Executive Officer (CEO)</w:t>
      </w:r>
    </w:p>
    <w:p w:rsidR="000820FE" w:rsidRPr="00E465A1" w:rsidRDefault="00F64B58" w:rsidP="000820FE">
      <w:pPr>
        <w:pStyle w:val="Normalindent1stpara"/>
        <w:rPr>
          <w:color w:val="262626" w:themeColor="text1" w:themeTint="D9"/>
        </w:rPr>
      </w:pPr>
      <w:r w:rsidRPr="00E465A1">
        <w:rPr>
          <w:color w:val="262626" w:themeColor="text1" w:themeTint="D9"/>
        </w:rPr>
        <w:t>The CEO</w:t>
      </w:r>
      <w:r w:rsidR="00314292" w:rsidRPr="00E465A1">
        <w:rPr>
          <w:color w:val="262626" w:themeColor="text1" w:themeTint="D9"/>
        </w:rPr>
        <w:t xml:space="preserve"> is responsible for the efficient, effective and economic administration of the </w:t>
      </w:r>
      <w:r w:rsidR="00EC2665" w:rsidRPr="00E465A1">
        <w:rPr>
          <w:color w:val="262626" w:themeColor="text1" w:themeTint="D9"/>
        </w:rPr>
        <w:t>CCC</w:t>
      </w:r>
      <w:r w:rsidR="00314292" w:rsidRPr="00E465A1">
        <w:rPr>
          <w:color w:val="262626" w:themeColor="text1" w:themeTint="D9"/>
        </w:rPr>
        <w:t xml:space="preserve">. The </w:t>
      </w:r>
      <w:r w:rsidR="00EC2665" w:rsidRPr="00E465A1">
        <w:rPr>
          <w:color w:val="262626" w:themeColor="text1" w:themeTint="D9"/>
        </w:rPr>
        <w:t>CCC</w:t>
      </w:r>
      <w:r w:rsidR="00314292" w:rsidRPr="00E465A1">
        <w:rPr>
          <w:color w:val="262626" w:themeColor="text1" w:themeTint="D9"/>
        </w:rPr>
        <w:t>’s financial functions are also delegated to the CEO.</w:t>
      </w:r>
      <w:r w:rsidRPr="00E465A1">
        <w:rPr>
          <w:color w:val="262626" w:themeColor="text1" w:themeTint="D9"/>
        </w:rPr>
        <w:t xml:space="preserve">  The CEO reports to the Commission</w:t>
      </w:r>
      <w:r w:rsidR="0016317D" w:rsidRPr="00E465A1">
        <w:rPr>
          <w:color w:val="262626" w:themeColor="text1" w:themeTint="D9"/>
        </w:rPr>
        <w:t>.</w:t>
      </w:r>
    </w:p>
    <w:p w:rsidR="004C4800" w:rsidRPr="00E465A1" w:rsidRDefault="004C4800" w:rsidP="000820FE">
      <w:pPr>
        <w:pStyle w:val="Normalindent1stpara"/>
        <w:rPr>
          <w:color w:val="262626" w:themeColor="text1" w:themeTint="D9"/>
        </w:rPr>
      </w:pPr>
    </w:p>
    <w:p w:rsidR="00314292" w:rsidRPr="00E465A1" w:rsidRDefault="00314292" w:rsidP="00314292">
      <w:pPr>
        <w:pStyle w:val="Normalhanginglist105pt"/>
        <w:rPr>
          <w:color w:val="262626" w:themeColor="text1" w:themeTint="D9"/>
        </w:rPr>
      </w:pPr>
      <w:r w:rsidRPr="00E465A1">
        <w:rPr>
          <w:color w:val="262626" w:themeColor="text1" w:themeTint="D9"/>
        </w:rPr>
        <w:t>(</w:t>
      </w:r>
      <w:r w:rsidR="00F64B58" w:rsidRPr="00E465A1">
        <w:rPr>
          <w:color w:val="262626" w:themeColor="text1" w:themeTint="D9"/>
        </w:rPr>
        <w:t>c</w:t>
      </w:r>
      <w:r w:rsidRPr="00E465A1">
        <w:rPr>
          <w:color w:val="262626" w:themeColor="text1" w:themeTint="D9"/>
        </w:rPr>
        <w:t>)</w:t>
      </w:r>
      <w:r w:rsidRPr="00E465A1">
        <w:rPr>
          <w:color w:val="262626" w:themeColor="text1" w:themeTint="D9"/>
        </w:rPr>
        <w:tab/>
        <w:t>Key Management Personnel</w:t>
      </w:r>
    </w:p>
    <w:p w:rsidR="00912166" w:rsidRPr="00E465A1" w:rsidRDefault="00D42CC3" w:rsidP="00262E4E">
      <w:pPr>
        <w:pStyle w:val="Normalindent1stpara"/>
        <w:ind w:right="-143"/>
        <w:rPr>
          <w:color w:val="262626" w:themeColor="text1" w:themeTint="D9"/>
        </w:rPr>
      </w:pPr>
      <w:r w:rsidRPr="00E465A1">
        <w:rPr>
          <w:color w:val="262626" w:themeColor="text1" w:themeTint="D9"/>
        </w:rPr>
        <w:t xml:space="preserve">As from </w:t>
      </w:r>
      <w:r w:rsidR="00E07FE0" w:rsidRPr="00E465A1">
        <w:rPr>
          <w:color w:val="262626" w:themeColor="text1" w:themeTint="D9"/>
        </w:rPr>
        <w:t>2016-17</w:t>
      </w:r>
      <w:r w:rsidRPr="00E465A1">
        <w:rPr>
          <w:color w:val="262626" w:themeColor="text1" w:themeTint="D9"/>
        </w:rPr>
        <w:t>, the CC</w:t>
      </w:r>
      <w:r w:rsidR="00806EDF" w:rsidRPr="00E465A1">
        <w:rPr>
          <w:color w:val="262626" w:themeColor="text1" w:themeTint="D9"/>
        </w:rPr>
        <w:t>C</w:t>
      </w:r>
      <w:r w:rsidRPr="00E465A1">
        <w:rPr>
          <w:color w:val="262626" w:themeColor="text1" w:themeTint="D9"/>
        </w:rPr>
        <w:t xml:space="preserve">’s responsible Minister is identified as part of the CCC’s </w:t>
      </w:r>
      <w:proofErr w:type="spellStart"/>
      <w:r w:rsidRPr="00E465A1">
        <w:rPr>
          <w:color w:val="262626" w:themeColor="text1" w:themeTint="D9"/>
        </w:rPr>
        <w:t>KMP</w:t>
      </w:r>
      <w:proofErr w:type="spellEnd"/>
      <w:r w:rsidRPr="00E465A1">
        <w:rPr>
          <w:color w:val="262626" w:themeColor="text1" w:themeTint="D9"/>
        </w:rPr>
        <w:t xml:space="preserve">, consistent </w:t>
      </w:r>
      <w:r w:rsidR="00806EDF" w:rsidRPr="00E465A1">
        <w:rPr>
          <w:color w:val="262626" w:themeColor="text1" w:themeTint="D9"/>
        </w:rPr>
        <w:t xml:space="preserve">with additional guidance included in the revised version of </w:t>
      </w:r>
      <w:proofErr w:type="spellStart"/>
      <w:r w:rsidR="00806EDF" w:rsidRPr="00E465A1">
        <w:rPr>
          <w:color w:val="262626" w:themeColor="text1" w:themeTint="D9"/>
        </w:rPr>
        <w:t>AASB</w:t>
      </w:r>
      <w:proofErr w:type="spellEnd"/>
      <w:r w:rsidR="00806EDF" w:rsidRPr="00E465A1">
        <w:rPr>
          <w:color w:val="262626" w:themeColor="text1" w:themeTint="D9"/>
        </w:rPr>
        <w:t xml:space="preserve"> 124 </w:t>
      </w:r>
      <w:r w:rsidR="00806EDF" w:rsidRPr="00E465A1">
        <w:rPr>
          <w:i/>
          <w:color w:val="262626" w:themeColor="text1" w:themeTint="D9"/>
        </w:rPr>
        <w:t>Related Party Disclosures</w:t>
      </w:r>
      <w:r w:rsidR="00806EDF" w:rsidRPr="00E465A1">
        <w:rPr>
          <w:color w:val="262626" w:themeColor="text1" w:themeTint="D9"/>
        </w:rPr>
        <w:t>.  That Minister is the Attorney-General and Minister for Justice.</w:t>
      </w:r>
      <w:r w:rsidR="00E2147E" w:rsidRPr="00E465A1">
        <w:rPr>
          <w:color w:val="262626" w:themeColor="text1" w:themeTint="D9"/>
        </w:rPr>
        <w:t xml:space="preserve">  </w:t>
      </w:r>
      <w:r w:rsidR="00806EDF" w:rsidRPr="00E465A1">
        <w:rPr>
          <w:color w:val="262626" w:themeColor="text1" w:themeTint="D9"/>
        </w:rPr>
        <w:t xml:space="preserve">The details for non-ministerial </w:t>
      </w:r>
      <w:proofErr w:type="spellStart"/>
      <w:r w:rsidR="00806EDF" w:rsidRPr="00E465A1">
        <w:rPr>
          <w:color w:val="262626" w:themeColor="text1" w:themeTint="D9"/>
        </w:rPr>
        <w:t>KMP</w:t>
      </w:r>
      <w:proofErr w:type="spellEnd"/>
      <w:r w:rsidR="00806EDF" w:rsidRPr="00E465A1">
        <w:rPr>
          <w:color w:val="262626" w:themeColor="text1" w:themeTint="D9"/>
        </w:rPr>
        <w:t xml:space="preserve"> reflect those CCC positions that had authority and responsibility for planning, directing and controlling activities of the CCC during </w:t>
      </w:r>
      <w:r w:rsidR="00A13142" w:rsidRPr="00E465A1">
        <w:rPr>
          <w:color w:val="262626" w:themeColor="text1" w:themeTint="D9"/>
        </w:rPr>
        <w:t>2017-18</w:t>
      </w:r>
      <w:r w:rsidR="00806EDF" w:rsidRPr="00E465A1">
        <w:rPr>
          <w:color w:val="262626" w:themeColor="text1" w:themeTint="D9"/>
        </w:rPr>
        <w:t xml:space="preserve"> and </w:t>
      </w:r>
      <w:r w:rsidR="00A13142" w:rsidRPr="00E465A1">
        <w:rPr>
          <w:color w:val="262626" w:themeColor="text1" w:themeTint="D9"/>
        </w:rPr>
        <w:t>2016-17</w:t>
      </w:r>
      <w:r w:rsidR="00806EDF" w:rsidRPr="00E465A1">
        <w:rPr>
          <w:color w:val="262626" w:themeColor="text1" w:themeTint="D9"/>
        </w:rPr>
        <w:t>.  Further information about these positions can be found in the body of the Annual Report under the section relating to Executive Management.</w:t>
      </w:r>
      <w:r w:rsidR="00CF3D7B" w:rsidRPr="00E465A1">
        <w:rPr>
          <w:color w:val="262626" w:themeColor="text1" w:themeTint="D9"/>
        </w:rPr>
        <w:t xml:space="preserve">  </w:t>
      </w:r>
      <w:r w:rsidR="00E2147E" w:rsidRPr="00E465A1">
        <w:rPr>
          <w:color w:val="262626" w:themeColor="text1" w:themeTint="D9"/>
        </w:rPr>
        <w:t xml:space="preserve">Ministerial remuneration entitlements are outlined in the Legislative Assembly of Queensland’s Member’s Remuneration Handbook.  The CCC does not bear any cost of remuneration to Ministers.  The majority </w:t>
      </w:r>
      <w:r w:rsidR="00262E4E" w:rsidRPr="00E465A1">
        <w:rPr>
          <w:color w:val="262626" w:themeColor="text1" w:themeTint="D9"/>
        </w:rPr>
        <w:t xml:space="preserve">of </w:t>
      </w:r>
      <w:r w:rsidR="00E2147E" w:rsidRPr="00E465A1">
        <w:rPr>
          <w:color w:val="262626" w:themeColor="text1" w:themeTint="D9"/>
        </w:rPr>
        <w:t xml:space="preserve">Ministerial entitlements are paid by the Legislative Assembly, with the remaining entitlements being provided by Ministerial Services Branch within the Department </w:t>
      </w:r>
      <w:r w:rsidR="00CF3D7B" w:rsidRPr="00E465A1">
        <w:rPr>
          <w:color w:val="262626" w:themeColor="text1" w:themeTint="D9"/>
        </w:rPr>
        <w:t xml:space="preserve">of Premier and Cabinet.  As all Ministers are reported as </w:t>
      </w:r>
      <w:proofErr w:type="spellStart"/>
      <w:r w:rsidR="00CF3D7B" w:rsidRPr="00E465A1">
        <w:rPr>
          <w:color w:val="262626" w:themeColor="text1" w:themeTint="D9"/>
        </w:rPr>
        <w:t>KMP</w:t>
      </w:r>
      <w:proofErr w:type="spellEnd"/>
      <w:r w:rsidR="00CF3D7B" w:rsidRPr="00E465A1">
        <w:rPr>
          <w:color w:val="262626" w:themeColor="text1" w:themeTint="D9"/>
        </w:rPr>
        <w:t xml:space="preserve"> of the Queensland Government, aggregate remuneration expenses for all Ministers is disclosed in the Queensland General Government and Whole of Government Consolidated Financial Statements as from </w:t>
      </w:r>
      <w:r w:rsidR="00E07FE0" w:rsidRPr="00E465A1">
        <w:rPr>
          <w:color w:val="262626" w:themeColor="text1" w:themeTint="D9"/>
        </w:rPr>
        <w:t>2016-17</w:t>
      </w:r>
      <w:r w:rsidR="00CF3D7B" w:rsidRPr="00E465A1">
        <w:rPr>
          <w:color w:val="262626" w:themeColor="text1" w:themeTint="D9"/>
        </w:rPr>
        <w:t>, which are published as part of Queensland Treasury’s Report on State Finances.</w:t>
      </w:r>
      <w:r w:rsidR="00E2147E" w:rsidRPr="00E465A1">
        <w:rPr>
          <w:color w:val="262626" w:themeColor="text1" w:themeTint="D9"/>
        </w:rPr>
        <w:t xml:space="preserve"> </w:t>
      </w:r>
    </w:p>
    <w:p w:rsidR="004C4800" w:rsidRPr="00E465A1" w:rsidRDefault="004C4800" w:rsidP="00262E4E">
      <w:pPr>
        <w:pStyle w:val="Normalindent1stpara"/>
        <w:ind w:right="-143"/>
        <w:rPr>
          <w:color w:val="262626" w:themeColor="text1" w:themeTint="D9"/>
        </w:rPr>
      </w:pPr>
    </w:p>
    <w:p w:rsidR="00946125" w:rsidRPr="00E465A1" w:rsidRDefault="00A13142" w:rsidP="00946125">
      <w:pPr>
        <w:pStyle w:val="Normalhanginglist105pt"/>
        <w:rPr>
          <w:color w:val="262626" w:themeColor="text1" w:themeTint="D9"/>
        </w:rPr>
      </w:pPr>
      <w:r w:rsidRPr="00E465A1">
        <w:rPr>
          <w:color w:val="262626" w:themeColor="text1" w:themeTint="D9"/>
        </w:rPr>
        <w:t xml:space="preserve"> </w:t>
      </w:r>
      <w:r w:rsidR="00946125" w:rsidRPr="00E465A1">
        <w:rPr>
          <w:color w:val="262626" w:themeColor="text1" w:themeTint="D9"/>
        </w:rPr>
        <w:t>(d)</w:t>
      </w:r>
      <w:r w:rsidR="00946125" w:rsidRPr="00E465A1">
        <w:rPr>
          <w:color w:val="262626" w:themeColor="text1" w:themeTint="D9"/>
        </w:rPr>
        <w:tab/>
        <w:t>Remuneration Expenses</w:t>
      </w:r>
    </w:p>
    <w:p w:rsidR="00946125" w:rsidRPr="00E465A1" w:rsidRDefault="00946125" w:rsidP="00946125">
      <w:pPr>
        <w:pStyle w:val="NormalhangingllistL2"/>
        <w:rPr>
          <w:color w:val="262626" w:themeColor="text1" w:themeTint="D9"/>
        </w:rPr>
      </w:pPr>
      <w:r w:rsidRPr="00E465A1">
        <w:rPr>
          <w:color w:val="262626" w:themeColor="text1" w:themeTint="D9"/>
        </w:rPr>
        <w:t xml:space="preserve">Part-time </w:t>
      </w:r>
      <w:r w:rsidR="00DD686B" w:rsidRPr="00E465A1">
        <w:rPr>
          <w:color w:val="262626" w:themeColor="text1" w:themeTint="D9"/>
        </w:rPr>
        <w:t xml:space="preserve">Ordinary </w:t>
      </w:r>
      <w:r w:rsidRPr="00E465A1">
        <w:rPr>
          <w:color w:val="262626" w:themeColor="text1" w:themeTint="D9"/>
        </w:rPr>
        <w:t>Commissioners’ Remuneration</w:t>
      </w:r>
    </w:p>
    <w:p w:rsidR="00946125" w:rsidRPr="00E465A1" w:rsidRDefault="00946125" w:rsidP="00B9290C">
      <w:pPr>
        <w:pStyle w:val="Normalindent1stpara"/>
        <w:rPr>
          <w:color w:val="262626" w:themeColor="text1" w:themeTint="D9"/>
        </w:rPr>
      </w:pPr>
      <w:r w:rsidRPr="00E465A1">
        <w:rPr>
          <w:color w:val="262626" w:themeColor="text1" w:themeTint="D9"/>
        </w:rPr>
        <w:t xml:space="preserve">The remuneration paid to part-time Commissioners is determined by the Governor-in-Council and based on rates specified in the guidelines for Remuneration of Part-time Chairs and Members of Government Boards, Committees </w:t>
      </w:r>
      <w:r w:rsidRPr="00E465A1">
        <w:rPr>
          <w:color w:val="262626" w:themeColor="text1" w:themeTint="D9"/>
        </w:rPr>
        <w:br/>
        <w:t>and Statutory Authorities: Remuneration Procedures. The remuneration amounts shown include superannuation.</w:t>
      </w:r>
    </w:p>
    <w:p w:rsidR="00B9290C" w:rsidRPr="00E465A1" w:rsidRDefault="00B9290C" w:rsidP="00B9290C">
      <w:pPr>
        <w:pStyle w:val="Normalindent1stpara"/>
        <w:rPr>
          <w:color w:val="262626" w:themeColor="text1" w:themeTint="D9"/>
        </w:rPr>
      </w:pPr>
    </w:p>
    <w:tbl>
      <w:tblPr>
        <w:tblStyle w:val="TableGrid"/>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1" w:type="dxa"/>
          <w:right w:w="0" w:type="dxa"/>
        </w:tblCellMar>
        <w:tblLook w:val="04A0" w:firstRow="1" w:lastRow="0" w:firstColumn="1" w:lastColumn="0" w:noHBand="0" w:noVBand="1"/>
      </w:tblPr>
      <w:tblGrid>
        <w:gridCol w:w="1559"/>
        <w:gridCol w:w="1843"/>
        <w:gridCol w:w="4110"/>
        <w:gridCol w:w="1134"/>
        <w:gridCol w:w="1134"/>
      </w:tblGrid>
      <w:tr w:rsidR="00E465A1" w:rsidRPr="00E465A1" w:rsidTr="00AD6577">
        <w:tc>
          <w:tcPr>
            <w:tcW w:w="1559" w:type="dxa"/>
            <w:vMerge w:val="restart"/>
            <w:tcBorders>
              <w:top w:val="single" w:sz="4" w:space="0" w:color="auto"/>
              <w:bottom w:val="single" w:sz="4" w:space="0" w:color="auto"/>
              <w:right w:val="single" w:sz="4" w:space="0" w:color="auto"/>
            </w:tcBorders>
            <w:vAlign w:val="bottom"/>
          </w:tcPr>
          <w:p w:rsidR="00946125" w:rsidRPr="00E465A1" w:rsidRDefault="00946125" w:rsidP="0016317D">
            <w:pPr>
              <w:pStyle w:val="Normaltabletextcentred"/>
              <w:rPr>
                <w:b/>
                <w:color w:val="262626" w:themeColor="text1" w:themeTint="D9"/>
              </w:rPr>
            </w:pPr>
            <w:r w:rsidRPr="00E465A1">
              <w:rPr>
                <w:b/>
                <w:color w:val="262626" w:themeColor="text1" w:themeTint="D9"/>
              </w:rPr>
              <w:t xml:space="preserve">Name of </w:t>
            </w:r>
            <w:r w:rsidRPr="00E465A1">
              <w:rPr>
                <w:b/>
                <w:color w:val="262626" w:themeColor="text1" w:themeTint="D9"/>
              </w:rPr>
              <w:br/>
              <w:t>Commissioner</w:t>
            </w:r>
          </w:p>
        </w:tc>
        <w:tc>
          <w:tcPr>
            <w:tcW w:w="1843" w:type="dxa"/>
            <w:vMerge w:val="restart"/>
            <w:tcBorders>
              <w:top w:val="single" w:sz="4" w:space="0" w:color="auto"/>
              <w:left w:val="single" w:sz="4" w:space="0" w:color="auto"/>
              <w:bottom w:val="single" w:sz="4" w:space="0" w:color="auto"/>
              <w:right w:val="single" w:sz="4" w:space="0" w:color="auto"/>
            </w:tcBorders>
            <w:tcMar>
              <w:left w:w="113" w:type="dxa"/>
            </w:tcMar>
            <w:vAlign w:val="bottom"/>
          </w:tcPr>
          <w:p w:rsidR="00946125" w:rsidRPr="00E465A1" w:rsidRDefault="00946125" w:rsidP="004E7554">
            <w:pPr>
              <w:pStyle w:val="Normaltabletextcentred"/>
              <w:rPr>
                <w:b/>
                <w:color w:val="262626" w:themeColor="text1" w:themeTint="D9"/>
              </w:rPr>
            </w:pPr>
            <w:r w:rsidRPr="00E465A1">
              <w:rPr>
                <w:b/>
                <w:color w:val="262626" w:themeColor="text1" w:themeTint="D9"/>
              </w:rPr>
              <w:t>Position</w:t>
            </w:r>
          </w:p>
        </w:tc>
        <w:tc>
          <w:tcPr>
            <w:tcW w:w="4110" w:type="dxa"/>
            <w:vMerge w:val="restart"/>
            <w:tcBorders>
              <w:top w:val="single" w:sz="4" w:space="0" w:color="auto"/>
              <w:left w:val="single" w:sz="4" w:space="0" w:color="auto"/>
              <w:bottom w:val="single" w:sz="4" w:space="0" w:color="auto"/>
              <w:right w:val="single" w:sz="4" w:space="0" w:color="auto"/>
            </w:tcBorders>
            <w:tcMar>
              <w:left w:w="113" w:type="dxa"/>
            </w:tcMar>
            <w:vAlign w:val="bottom"/>
          </w:tcPr>
          <w:p w:rsidR="00946125" w:rsidRPr="00E465A1" w:rsidRDefault="00946125" w:rsidP="004E7554">
            <w:pPr>
              <w:pStyle w:val="Normaltabletextcentred"/>
              <w:rPr>
                <w:b/>
                <w:color w:val="262626" w:themeColor="text1" w:themeTint="D9"/>
              </w:rPr>
            </w:pPr>
            <w:r w:rsidRPr="00E465A1">
              <w:rPr>
                <w:b/>
                <w:color w:val="262626" w:themeColor="text1" w:themeTint="D9"/>
              </w:rPr>
              <w:t>Date of term commencement</w:t>
            </w:r>
            <w:r w:rsidRPr="00E465A1">
              <w:rPr>
                <w:b/>
                <w:color w:val="262626" w:themeColor="text1" w:themeTint="D9"/>
              </w:rPr>
              <w:br/>
              <w:t>(Date of term expiration)</w:t>
            </w:r>
          </w:p>
        </w:tc>
        <w:tc>
          <w:tcPr>
            <w:tcW w:w="1134" w:type="dxa"/>
            <w:tcBorders>
              <w:top w:val="single" w:sz="4" w:space="0" w:color="auto"/>
              <w:left w:val="single" w:sz="4" w:space="0" w:color="auto"/>
              <w:right w:val="single" w:sz="4" w:space="0" w:color="auto"/>
            </w:tcBorders>
            <w:shd w:val="clear" w:color="auto" w:fill="FEE4B0"/>
            <w:tcMar>
              <w:right w:w="113" w:type="dxa"/>
            </w:tcMar>
            <w:vAlign w:val="bottom"/>
          </w:tcPr>
          <w:p w:rsidR="00946125" w:rsidRPr="00E465A1" w:rsidRDefault="00946125" w:rsidP="00C0567F">
            <w:pPr>
              <w:pStyle w:val="Normaltabletext1stpararight"/>
              <w:rPr>
                <w:b/>
                <w:color w:val="262626" w:themeColor="text1" w:themeTint="D9"/>
              </w:rPr>
            </w:pPr>
            <w:r w:rsidRPr="00E465A1">
              <w:rPr>
                <w:b/>
                <w:color w:val="262626" w:themeColor="text1" w:themeTint="D9"/>
              </w:rPr>
              <w:t>201</w:t>
            </w:r>
            <w:r w:rsidR="003A2E82" w:rsidRPr="00E465A1">
              <w:rPr>
                <w:b/>
                <w:color w:val="262626" w:themeColor="text1" w:themeTint="D9"/>
              </w:rPr>
              <w:t>8</w:t>
            </w:r>
          </w:p>
        </w:tc>
        <w:tc>
          <w:tcPr>
            <w:tcW w:w="1134" w:type="dxa"/>
            <w:tcBorders>
              <w:top w:val="single" w:sz="4" w:space="0" w:color="auto"/>
              <w:left w:val="single" w:sz="4" w:space="0" w:color="auto"/>
            </w:tcBorders>
            <w:shd w:val="clear" w:color="auto" w:fill="FFFFFF" w:themeFill="background1"/>
            <w:tcMar>
              <w:right w:w="113" w:type="dxa"/>
            </w:tcMar>
            <w:vAlign w:val="bottom"/>
          </w:tcPr>
          <w:p w:rsidR="00946125" w:rsidRPr="00E465A1" w:rsidRDefault="00946125" w:rsidP="00C0567F">
            <w:pPr>
              <w:pStyle w:val="Normaltabletext1stpararight"/>
              <w:rPr>
                <w:b/>
                <w:color w:val="262626" w:themeColor="text1" w:themeTint="D9"/>
              </w:rPr>
            </w:pPr>
            <w:r w:rsidRPr="00E465A1">
              <w:rPr>
                <w:b/>
                <w:color w:val="262626" w:themeColor="text1" w:themeTint="D9"/>
              </w:rPr>
              <w:t>201</w:t>
            </w:r>
            <w:r w:rsidR="003A2E82" w:rsidRPr="00E465A1">
              <w:rPr>
                <w:b/>
                <w:color w:val="262626" w:themeColor="text1" w:themeTint="D9"/>
              </w:rPr>
              <w:t>7</w:t>
            </w:r>
          </w:p>
        </w:tc>
      </w:tr>
      <w:tr w:rsidR="00E465A1" w:rsidRPr="00E465A1" w:rsidTr="00AD6577">
        <w:tc>
          <w:tcPr>
            <w:tcW w:w="1559" w:type="dxa"/>
            <w:vMerge/>
            <w:tcBorders>
              <w:top w:val="single" w:sz="4" w:space="0" w:color="auto"/>
              <w:bottom w:val="single" w:sz="4" w:space="0" w:color="auto"/>
              <w:right w:val="single" w:sz="4" w:space="0" w:color="auto"/>
            </w:tcBorders>
            <w:vAlign w:val="center"/>
          </w:tcPr>
          <w:p w:rsidR="00946125" w:rsidRPr="00E465A1" w:rsidRDefault="00946125" w:rsidP="004E7554">
            <w:pPr>
              <w:pStyle w:val="Normaltabletextleft"/>
              <w:rPr>
                <w:color w:val="262626" w:themeColor="text1" w:themeTint="D9"/>
                <w:sz w:val="18"/>
              </w:rPr>
            </w:pPr>
          </w:p>
        </w:tc>
        <w:tc>
          <w:tcPr>
            <w:tcW w:w="1843" w:type="dxa"/>
            <w:vMerge/>
            <w:tcBorders>
              <w:top w:val="single" w:sz="4" w:space="0" w:color="auto"/>
              <w:left w:val="single" w:sz="4" w:space="0" w:color="auto"/>
              <w:bottom w:val="single" w:sz="4" w:space="0" w:color="auto"/>
              <w:right w:val="single" w:sz="4" w:space="0" w:color="auto"/>
            </w:tcBorders>
            <w:tcMar>
              <w:left w:w="113" w:type="dxa"/>
            </w:tcMar>
          </w:tcPr>
          <w:p w:rsidR="00946125" w:rsidRPr="00E465A1" w:rsidRDefault="00946125" w:rsidP="004E7554">
            <w:pPr>
              <w:pStyle w:val="Normaltabletextleft"/>
              <w:rPr>
                <w:color w:val="262626" w:themeColor="text1" w:themeTint="D9"/>
                <w:sz w:val="18"/>
              </w:rPr>
            </w:pPr>
          </w:p>
        </w:tc>
        <w:tc>
          <w:tcPr>
            <w:tcW w:w="4110" w:type="dxa"/>
            <w:vMerge/>
            <w:tcBorders>
              <w:top w:val="single" w:sz="4" w:space="0" w:color="auto"/>
              <w:left w:val="single" w:sz="4" w:space="0" w:color="auto"/>
              <w:bottom w:val="single" w:sz="4" w:space="0" w:color="auto"/>
              <w:right w:val="single" w:sz="4" w:space="0" w:color="auto"/>
            </w:tcBorders>
            <w:tcMar>
              <w:left w:w="113" w:type="dxa"/>
            </w:tcMar>
            <w:vAlign w:val="center"/>
          </w:tcPr>
          <w:p w:rsidR="00946125" w:rsidRPr="00E465A1" w:rsidRDefault="00946125" w:rsidP="004E7554">
            <w:pPr>
              <w:pStyle w:val="Normaltabletextleft"/>
              <w:rPr>
                <w:color w:val="262626" w:themeColor="text1" w:themeTint="D9"/>
                <w:sz w:val="18"/>
              </w:rPr>
            </w:pPr>
          </w:p>
        </w:tc>
        <w:tc>
          <w:tcPr>
            <w:tcW w:w="1134" w:type="dxa"/>
            <w:tcBorders>
              <w:left w:val="single" w:sz="4" w:space="0" w:color="auto"/>
              <w:bottom w:val="single" w:sz="4" w:space="0" w:color="auto"/>
              <w:right w:val="single" w:sz="4" w:space="0" w:color="auto"/>
            </w:tcBorders>
            <w:shd w:val="clear" w:color="auto" w:fill="FEE4B0"/>
            <w:tcMar>
              <w:right w:w="113" w:type="dxa"/>
            </w:tcMar>
            <w:vAlign w:val="bottom"/>
          </w:tcPr>
          <w:p w:rsidR="00946125" w:rsidRPr="00E465A1" w:rsidRDefault="00946125" w:rsidP="004E7554">
            <w:pPr>
              <w:pStyle w:val="Normaltabletext1stpararight"/>
              <w:rPr>
                <w:b/>
                <w:color w:val="262626" w:themeColor="text1" w:themeTint="D9"/>
              </w:rPr>
            </w:pPr>
            <w:r w:rsidRPr="00E465A1">
              <w:rPr>
                <w:b/>
                <w:color w:val="262626" w:themeColor="text1" w:themeTint="D9"/>
              </w:rPr>
              <w:t>$’000</w:t>
            </w:r>
          </w:p>
        </w:tc>
        <w:tc>
          <w:tcPr>
            <w:tcW w:w="1134" w:type="dxa"/>
            <w:tcBorders>
              <w:left w:val="single" w:sz="4" w:space="0" w:color="auto"/>
              <w:bottom w:val="single" w:sz="4" w:space="0" w:color="auto"/>
            </w:tcBorders>
            <w:shd w:val="clear" w:color="auto" w:fill="FFFFFF" w:themeFill="background1"/>
            <w:tcMar>
              <w:right w:w="113" w:type="dxa"/>
            </w:tcMar>
            <w:vAlign w:val="bottom"/>
          </w:tcPr>
          <w:p w:rsidR="00946125" w:rsidRPr="00E465A1" w:rsidRDefault="00946125" w:rsidP="004E7554">
            <w:pPr>
              <w:pStyle w:val="Normaltabletext1stpararight"/>
              <w:rPr>
                <w:b/>
                <w:color w:val="262626" w:themeColor="text1" w:themeTint="D9"/>
              </w:rPr>
            </w:pPr>
            <w:r w:rsidRPr="00E465A1">
              <w:rPr>
                <w:b/>
                <w:color w:val="262626" w:themeColor="text1" w:themeTint="D9"/>
              </w:rPr>
              <w:t>$’000</w:t>
            </w:r>
          </w:p>
        </w:tc>
      </w:tr>
      <w:tr w:rsidR="00E465A1" w:rsidRPr="00E465A1" w:rsidTr="00AD6577">
        <w:trPr>
          <w:trHeight w:hRule="exact" w:val="615"/>
        </w:trPr>
        <w:tc>
          <w:tcPr>
            <w:tcW w:w="1559" w:type="dxa"/>
            <w:tcBorders>
              <w:top w:val="single" w:sz="4" w:space="0" w:color="auto"/>
              <w:bottom w:val="single" w:sz="4" w:space="0" w:color="auto"/>
              <w:right w:val="single" w:sz="4" w:space="0" w:color="auto"/>
            </w:tcBorders>
            <w:vAlign w:val="center"/>
          </w:tcPr>
          <w:p w:rsidR="00965662" w:rsidRPr="00E465A1" w:rsidRDefault="00965662" w:rsidP="00192871">
            <w:pPr>
              <w:pStyle w:val="Normaltabletextleft"/>
              <w:jc w:val="center"/>
              <w:rPr>
                <w:color w:val="262626" w:themeColor="text1" w:themeTint="D9"/>
              </w:rPr>
            </w:pPr>
            <w:r w:rsidRPr="00E465A1">
              <w:rPr>
                <w:color w:val="262626" w:themeColor="text1" w:themeTint="D9"/>
              </w:rPr>
              <w:t>Deborah Holliday</w:t>
            </w:r>
          </w:p>
        </w:tc>
        <w:tc>
          <w:tcPr>
            <w:tcW w:w="1843" w:type="dxa"/>
            <w:tcBorders>
              <w:top w:val="single" w:sz="4" w:space="0" w:color="auto"/>
              <w:left w:val="single" w:sz="4" w:space="0" w:color="auto"/>
              <w:bottom w:val="single" w:sz="4" w:space="0" w:color="auto"/>
              <w:right w:val="single" w:sz="4" w:space="0" w:color="auto"/>
            </w:tcBorders>
            <w:tcMar>
              <w:left w:w="113" w:type="dxa"/>
            </w:tcMar>
            <w:vAlign w:val="center"/>
          </w:tcPr>
          <w:p w:rsidR="00AB2253" w:rsidRPr="00E465A1" w:rsidRDefault="00965662" w:rsidP="00965662">
            <w:pPr>
              <w:pStyle w:val="Normaltabletextleft"/>
              <w:rPr>
                <w:color w:val="262626" w:themeColor="text1" w:themeTint="D9"/>
              </w:rPr>
            </w:pPr>
            <w:r w:rsidRPr="00E465A1">
              <w:rPr>
                <w:color w:val="262626" w:themeColor="text1" w:themeTint="D9"/>
              </w:rPr>
              <w:t>Ordinary Commissioner</w:t>
            </w:r>
          </w:p>
        </w:tc>
        <w:tc>
          <w:tcPr>
            <w:tcW w:w="4110" w:type="dxa"/>
            <w:tcBorders>
              <w:top w:val="single" w:sz="4" w:space="0" w:color="auto"/>
              <w:left w:val="single" w:sz="4" w:space="0" w:color="auto"/>
              <w:bottom w:val="single" w:sz="4" w:space="0" w:color="auto"/>
              <w:right w:val="single" w:sz="4" w:space="0" w:color="auto"/>
            </w:tcBorders>
            <w:tcMar>
              <w:left w:w="113" w:type="dxa"/>
            </w:tcMar>
          </w:tcPr>
          <w:p w:rsidR="00C13ACA" w:rsidRPr="00E465A1" w:rsidRDefault="00C13ACA" w:rsidP="00965662">
            <w:pPr>
              <w:pStyle w:val="Normaltabletextleft"/>
              <w:rPr>
                <w:color w:val="262626" w:themeColor="text1" w:themeTint="D9"/>
              </w:rPr>
            </w:pPr>
            <w:r w:rsidRPr="00E465A1">
              <w:rPr>
                <w:color w:val="262626" w:themeColor="text1" w:themeTint="D9"/>
              </w:rPr>
              <w:t>Acting 11 November 2016 to 10 February 2017</w:t>
            </w:r>
          </w:p>
          <w:p w:rsidR="00965662" w:rsidRPr="00E465A1" w:rsidRDefault="00965662" w:rsidP="00965662">
            <w:pPr>
              <w:pStyle w:val="Normaltabletextleft"/>
              <w:rPr>
                <w:color w:val="262626" w:themeColor="text1" w:themeTint="D9"/>
              </w:rPr>
            </w:pPr>
            <w:r w:rsidRPr="00E465A1">
              <w:rPr>
                <w:color w:val="262626" w:themeColor="text1" w:themeTint="D9"/>
              </w:rPr>
              <w:t>10 March 2017 to current</w:t>
            </w:r>
          </w:p>
        </w:tc>
        <w:tc>
          <w:tcPr>
            <w:tcW w:w="1134" w:type="dxa"/>
            <w:tcBorders>
              <w:top w:val="single" w:sz="4" w:space="0" w:color="auto"/>
              <w:left w:val="single" w:sz="4" w:space="0" w:color="auto"/>
              <w:bottom w:val="single" w:sz="4" w:space="0" w:color="auto"/>
              <w:right w:val="single" w:sz="4" w:space="0" w:color="auto"/>
            </w:tcBorders>
            <w:shd w:val="clear" w:color="auto" w:fill="FEE4B0"/>
            <w:tcMar>
              <w:right w:w="113" w:type="dxa"/>
            </w:tcMar>
            <w:vAlign w:val="center"/>
          </w:tcPr>
          <w:p w:rsidR="00965662" w:rsidRPr="00E465A1" w:rsidRDefault="00714746" w:rsidP="00965662">
            <w:pPr>
              <w:pStyle w:val="Normaltabletext1stpararight"/>
              <w:rPr>
                <w:color w:val="262626" w:themeColor="text1" w:themeTint="D9"/>
              </w:rPr>
            </w:pPr>
            <w:r w:rsidRPr="00E465A1">
              <w:rPr>
                <w:color w:val="262626" w:themeColor="text1" w:themeTint="D9"/>
              </w:rPr>
              <w:t>46</w:t>
            </w:r>
          </w:p>
        </w:tc>
        <w:tc>
          <w:tcPr>
            <w:tcW w:w="1134" w:type="dxa"/>
            <w:tcBorders>
              <w:top w:val="single" w:sz="4" w:space="0" w:color="auto"/>
              <w:left w:val="single" w:sz="4" w:space="0" w:color="auto"/>
              <w:bottom w:val="single" w:sz="4" w:space="0" w:color="auto"/>
            </w:tcBorders>
            <w:shd w:val="clear" w:color="auto" w:fill="FFFFFF" w:themeFill="background1"/>
            <w:tcMar>
              <w:right w:w="113" w:type="dxa"/>
            </w:tcMar>
            <w:vAlign w:val="center"/>
          </w:tcPr>
          <w:p w:rsidR="00965662" w:rsidRPr="00E465A1" w:rsidRDefault="003A2E82" w:rsidP="00965662">
            <w:pPr>
              <w:pStyle w:val="Normaltabletext1stpararight"/>
              <w:rPr>
                <w:color w:val="262626" w:themeColor="text1" w:themeTint="D9"/>
              </w:rPr>
            </w:pPr>
            <w:r w:rsidRPr="00E465A1">
              <w:rPr>
                <w:color w:val="262626" w:themeColor="text1" w:themeTint="D9"/>
              </w:rPr>
              <w:t>28</w:t>
            </w:r>
          </w:p>
        </w:tc>
      </w:tr>
      <w:tr w:rsidR="00E465A1" w:rsidRPr="00E465A1" w:rsidTr="00AD6577">
        <w:trPr>
          <w:trHeight w:hRule="exact" w:val="567"/>
        </w:trPr>
        <w:tc>
          <w:tcPr>
            <w:tcW w:w="1559" w:type="dxa"/>
            <w:tcBorders>
              <w:top w:val="single" w:sz="4" w:space="0" w:color="auto"/>
              <w:bottom w:val="single" w:sz="4" w:space="0" w:color="auto"/>
              <w:right w:val="single" w:sz="4" w:space="0" w:color="auto"/>
            </w:tcBorders>
            <w:vAlign w:val="center"/>
          </w:tcPr>
          <w:p w:rsidR="00965662" w:rsidRPr="00E465A1" w:rsidRDefault="00965662" w:rsidP="00192871">
            <w:pPr>
              <w:pStyle w:val="Normaltabletextleft"/>
              <w:jc w:val="center"/>
              <w:rPr>
                <w:color w:val="262626" w:themeColor="text1" w:themeTint="D9"/>
              </w:rPr>
            </w:pPr>
            <w:r w:rsidRPr="00E465A1">
              <w:rPr>
                <w:color w:val="262626" w:themeColor="text1" w:themeTint="D9"/>
              </w:rPr>
              <w:t>Anne Tiernan</w:t>
            </w:r>
          </w:p>
        </w:tc>
        <w:tc>
          <w:tcPr>
            <w:tcW w:w="1843" w:type="dxa"/>
            <w:tcBorders>
              <w:top w:val="single" w:sz="4" w:space="0" w:color="auto"/>
              <w:left w:val="single" w:sz="4" w:space="0" w:color="auto"/>
              <w:bottom w:val="single" w:sz="4" w:space="0" w:color="auto"/>
              <w:right w:val="single" w:sz="4" w:space="0" w:color="auto"/>
            </w:tcBorders>
            <w:tcMar>
              <w:left w:w="113" w:type="dxa"/>
            </w:tcMar>
            <w:vAlign w:val="center"/>
          </w:tcPr>
          <w:p w:rsidR="00965662" w:rsidRPr="00E465A1" w:rsidRDefault="00965662" w:rsidP="00965662">
            <w:pPr>
              <w:pStyle w:val="Normaltabletextleft"/>
              <w:rPr>
                <w:color w:val="262626" w:themeColor="text1" w:themeTint="D9"/>
              </w:rPr>
            </w:pPr>
            <w:r w:rsidRPr="00E465A1">
              <w:rPr>
                <w:color w:val="262626" w:themeColor="text1" w:themeTint="D9"/>
              </w:rPr>
              <w:t>Ordinary Commissioner</w:t>
            </w:r>
          </w:p>
        </w:tc>
        <w:tc>
          <w:tcPr>
            <w:tcW w:w="4110" w:type="dxa"/>
            <w:tcBorders>
              <w:top w:val="single" w:sz="4" w:space="0" w:color="auto"/>
              <w:left w:val="single" w:sz="4" w:space="0" w:color="auto"/>
              <w:bottom w:val="single" w:sz="4" w:space="0" w:color="auto"/>
              <w:right w:val="single" w:sz="4" w:space="0" w:color="auto"/>
            </w:tcBorders>
            <w:tcMar>
              <w:left w:w="113" w:type="dxa"/>
            </w:tcMar>
            <w:vAlign w:val="center"/>
          </w:tcPr>
          <w:p w:rsidR="00C13ACA" w:rsidRPr="00E465A1" w:rsidRDefault="00C13ACA" w:rsidP="00C13ACA">
            <w:pPr>
              <w:pStyle w:val="Normaltabletextleft"/>
              <w:rPr>
                <w:color w:val="262626" w:themeColor="text1" w:themeTint="D9"/>
              </w:rPr>
            </w:pPr>
            <w:r w:rsidRPr="00E465A1">
              <w:rPr>
                <w:color w:val="262626" w:themeColor="text1" w:themeTint="D9"/>
              </w:rPr>
              <w:t>Acting 11 November 2016 to 10 February 2017</w:t>
            </w:r>
          </w:p>
          <w:p w:rsidR="00965662" w:rsidRPr="00E465A1" w:rsidRDefault="00C13ACA" w:rsidP="00C13ACA">
            <w:pPr>
              <w:pStyle w:val="Normaltabletextleft"/>
              <w:rPr>
                <w:color w:val="262626" w:themeColor="text1" w:themeTint="D9"/>
              </w:rPr>
            </w:pPr>
            <w:r w:rsidRPr="00E465A1">
              <w:rPr>
                <w:color w:val="262626" w:themeColor="text1" w:themeTint="D9"/>
              </w:rPr>
              <w:t>10 March 2017 to current</w:t>
            </w:r>
          </w:p>
        </w:tc>
        <w:tc>
          <w:tcPr>
            <w:tcW w:w="1134" w:type="dxa"/>
            <w:tcBorders>
              <w:top w:val="single" w:sz="4" w:space="0" w:color="auto"/>
              <w:left w:val="single" w:sz="4" w:space="0" w:color="auto"/>
              <w:bottom w:val="single" w:sz="4" w:space="0" w:color="auto"/>
              <w:right w:val="single" w:sz="4" w:space="0" w:color="auto"/>
            </w:tcBorders>
            <w:shd w:val="clear" w:color="auto" w:fill="FEE4B0"/>
            <w:tcMar>
              <w:right w:w="113" w:type="dxa"/>
            </w:tcMar>
            <w:vAlign w:val="center"/>
          </w:tcPr>
          <w:p w:rsidR="00965662" w:rsidRPr="00E465A1" w:rsidRDefault="00714746" w:rsidP="00965662">
            <w:pPr>
              <w:pStyle w:val="Normaltabletext1stpararight"/>
              <w:rPr>
                <w:color w:val="262626" w:themeColor="text1" w:themeTint="D9"/>
              </w:rPr>
            </w:pPr>
            <w:r w:rsidRPr="00E465A1">
              <w:rPr>
                <w:color w:val="262626" w:themeColor="text1" w:themeTint="D9"/>
              </w:rPr>
              <w:t>45</w:t>
            </w:r>
          </w:p>
        </w:tc>
        <w:tc>
          <w:tcPr>
            <w:tcW w:w="1134" w:type="dxa"/>
            <w:tcBorders>
              <w:top w:val="single" w:sz="4" w:space="0" w:color="auto"/>
              <w:left w:val="single" w:sz="4" w:space="0" w:color="auto"/>
              <w:bottom w:val="single" w:sz="4" w:space="0" w:color="auto"/>
            </w:tcBorders>
            <w:shd w:val="clear" w:color="auto" w:fill="FFFFFF" w:themeFill="background1"/>
            <w:tcMar>
              <w:right w:w="113" w:type="dxa"/>
            </w:tcMar>
            <w:vAlign w:val="center"/>
          </w:tcPr>
          <w:p w:rsidR="00965662" w:rsidRPr="00E465A1" w:rsidRDefault="003A2E82" w:rsidP="00965662">
            <w:pPr>
              <w:pStyle w:val="Normaltabletext1stpararight"/>
              <w:rPr>
                <w:color w:val="262626" w:themeColor="text1" w:themeTint="D9"/>
              </w:rPr>
            </w:pPr>
            <w:r w:rsidRPr="00E465A1">
              <w:rPr>
                <w:color w:val="262626" w:themeColor="text1" w:themeTint="D9"/>
              </w:rPr>
              <w:t>28</w:t>
            </w:r>
          </w:p>
        </w:tc>
      </w:tr>
      <w:tr w:rsidR="00E465A1" w:rsidRPr="00E465A1" w:rsidTr="00AD6577">
        <w:trPr>
          <w:trHeight w:val="300"/>
        </w:trPr>
        <w:tc>
          <w:tcPr>
            <w:tcW w:w="1559" w:type="dxa"/>
            <w:tcBorders>
              <w:top w:val="single" w:sz="4" w:space="0" w:color="auto"/>
              <w:bottom w:val="single" w:sz="4" w:space="0" w:color="auto"/>
              <w:right w:val="single" w:sz="4" w:space="0" w:color="auto"/>
            </w:tcBorders>
            <w:vAlign w:val="center"/>
          </w:tcPr>
          <w:p w:rsidR="00965662" w:rsidRPr="00E465A1" w:rsidRDefault="00965662" w:rsidP="00A13142">
            <w:pPr>
              <w:pStyle w:val="Normaltabletextleft"/>
              <w:jc w:val="center"/>
              <w:rPr>
                <w:color w:val="262626" w:themeColor="text1" w:themeTint="D9"/>
              </w:rPr>
            </w:pPr>
            <w:r w:rsidRPr="00E465A1">
              <w:rPr>
                <w:color w:val="262626" w:themeColor="text1" w:themeTint="D9"/>
              </w:rPr>
              <w:t>Sydney Williams</w:t>
            </w:r>
          </w:p>
        </w:tc>
        <w:tc>
          <w:tcPr>
            <w:tcW w:w="1843" w:type="dxa"/>
            <w:tcBorders>
              <w:top w:val="single" w:sz="4" w:space="0" w:color="auto"/>
              <w:bottom w:val="single" w:sz="4" w:space="0" w:color="auto"/>
              <w:right w:val="single" w:sz="4" w:space="0" w:color="auto"/>
            </w:tcBorders>
            <w:tcMar>
              <w:left w:w="113" w:type="dxa"/>
            </w:tcMar>
            <w:vAlign w:val="bottom"/>
          </w:tcPr>
          <w:p w:rsidR="00A13142" w:rsidRPr="00E465A1" w:rsidRDefault="00965662" w:rsidP="00965662">
            <w:pPr>
              <w:pStyle w:val="Normaltabletextleft"/>
              <w:rPr>
                <w:color w:val="262626" w:themeColor="text1" w:themeTint="D9"/>
              </w:rPr>
            </w:pPr>
            <w:r w:rsidRPr="00E465A1">
              <w:rPr>
                <w:color w:val="262626" w:themeColor="text1" w:themeTint="D9"/>
              </w:rPr>
              <w:t xml:space="preserve">Deputy </w:t>
            </w:r>
          </w:p>
          <w:p w:rsidR="00965662" w:rsidRPr="00E465A1" w:rsidRDefault="00965662" w:rsidP="00965662">
            <w:pPr>
              <w:pStyle w:val="Normaltabletextleft"/>
              <w:rPr>
                <w:color w:val="262626" w:themeColor="text1" w:themeTint="D9"/>
              </w:rPr>
            </w:pPr>
            <w:r w:rsidRPr="00E465A1">
              <w:rPr>
                <w:color w:val="262626" w:themeColor="text1" w:themeTint="D9"/>
              </w:rPr>
              <w:t>Chairperson</w:t>
            </w:r>
          </w:p>
        </w:tc>
        <w:tc>
          <w:tcPr>
            <w:tcW w:w="4110" w:type="dxa"/>
            <w:tcBorders>
              <w:top w:val="single" w:sz="4" w:space="0" w:color="auto"/>
              <w:bottom w:val="single" w:sz="4" w:space="0" w:color="auto"/>
              <w:right w:val="single" w:sz="4" w:space="0" w:color="auto"/>
            </w:tcBorders>
            <w:tcMar>
              <w:left w:w="113" w:type="dxa"/>
            </w:tcMar>
            <w:vAlign w:val="bottom"/>
          </w:tcPr>
          <w:p w:rsidR="00965662" w:rsidRPr="00E465A1" w:rsidRDefault="00670872" w:rsidP="00965662">
            <w:pPr>
              <w:pStyle w:val="Normaltabletextleft"/>
              <w:rPr>
                <w:color w:val="262626" w:themeColor="text1" w:themeTint="D9"/>
              </w:rPr>
            </w:pPr>
            <w:r w:rsidRPr="00E465A1">
              <w:rPr>
                <w:color w:val="262626" w:themeColor="text1" w:themeTint="D9"/>
              </w:rPr>
              <w:t>1 Nov</w:t>
            </w:r>
            <w:r w:rsidR="00965662" w:rsidRPr="00E465A1">
              <w:rPr>
                <w:color w:val="262626" w:themeColor="text1" w:themeTint="D9"/>
              </w:rPr>
              <w:t>ember 2014 to current</w:t>
            </w:r>
          </w:p>
        </w:tc>
        <w:tc>
          <w:tcPr>
            <w:tcW w:w="1134" w:type="dxa"/>
            <w:tcBorders>
              <w:top w:val="single" w:sz="4" w:space="0" w:color="auto"/>
              <w:left w:val="single" w:sz="4" w:space="0" w:color="auto"/>
              <w:bottom w:val="single" w:sz="4" w:space="0" w:color="auto"/>
              <w:right w:val="single" w:sz="4" w:space="0" w:color="auto"/>
            </w:tcBorders>
            <w:shd w:val="clear" w:color="auto" w:fill="FEE4B0"/>
            <w:tcMar>
              <w:right w:w="113" w:type="dxa"/>
            </w:tcMar>
            <w:vAlign w:val="center"/>
          </w:tcPr>
          <w:p w:rsidR="00965662" w:rsidRPr="00E465A1" w:rsidRDefault="00714746" w:rsidP="00965662">
            <w:pPr>
              <w:pStyle w:val="Normaltabletext1stpararight"/>
              <w:rPr>
                <w:color w:val="262626" w:themeColor="text1" w:themeTint="D9"/>
              </w:rPr>
            </w:pPr>
            <w:r w:rsidRPr="00E465A1">
              <w:rPr>
                <w:color w:val="262626" w:themeColor="text1" w:themeTint="D9"/>
              </w:rPr>
              <w:t>45</w:t>
            </w:r>
          </w:p>
        </w:tc>
        <w:tc>
          <w:tcPr>
            <w:tcW w:w="1134" w:type="dxa"/>
            <w:tcBorders>
              <w:top w:val="single" w:sz="4" w:space="0" w:color="auto"/>
              <w:left w:val="single" w:sz="4" w:space="0" w:color="auto"/>
              <w:bottom w:val="single" w:sz="4" w:space="0" w:color="auto"/>
            </w:tcBorders>
            <w:shd w:val="clear" w:color="auto" w:fill="FFFFFF" w:themeFill="background1"/>
            <w:tcMar>
              <w:right w:w="113" w:type="dxa"/>
            </w:tcMar>
            <w:vAlign w:val="center"/>
          </w:tcPr>
          <w:p w:rsidR="00965662" w:rsidRPr="00E465A1" w:rsidRDefault="003A2E82" w:rsidP="00965662">
            <w:pPr>
              <w:pStyle w:val="Normaltabletext1stpararight"/>
              <w:rPr>
                <w:color w:val="262626" w:themeColor="text1" w:themeTint="D9"/>
              </w:rPr>
            </w:pPr>
            <w:r w:rsidRPr="00E465A1">
              <w:rPr>
                <w:color w:val="262626" w:themeColor="text1" w:themeTint="D9"/>
              </w:rPr>
              <w:t>51</w:t>
            </w:r>
          </w:p>
        </w:tc>
      </w:tr>
      <w:tr w:rsidR="00E465A1" w:rsidRPr="00E465A1" w:rsidTr="00AD6577">
        <w:trPr>
          <w:trHeight w:val="300"/>
        </w:trPr>
        <w:tc>
          <w:tcPr>
            <w:tcW w:w="1559" w:type="dxa"/>
            <w:tcBorders>
              <w:top w:val="single" w:sz="4" w:space="0" w:color="auto"/>
              <w:bottom w:val="single" w:sz="4" w:space="0" w:color="auto"/>
              <w:right w:val="single" w:sz="4" w:space="0" w:color="auto"/>
            </w:tcBorders>
            <w:vAlign w:val="center"/>
          </w:tcPr>
          <w:p w:rsidR="00965662" w:rsidRPr="00E465A1" w:rsidRDefault="00965662" w:rsidP="00A13142">
            <w:pPr>
              <w:pStyle w:val="Normaltabletextleft"/>
              <w:jc w:val="center"/>
              <w:rPr>
                <w:color w:val="262626" w:themeColor="text1" w:themeTint="D9"/>
              </w:rPr>
            </w:pPr>
            <w:r w:rsidRPr="00E465A1">
              <w:rPr>
                <w:color w:val="262626" w:themeColor="text1" w:themeTint="D9"/>
              </w:rPr>
              <w:t>Marshall Irwin</w:t>
            </w:r>
            <w:r w:rsidR="00192871" w:rsidRPr="00E465A1">
              <w:rPr>
                <w:color w:val="262626" w:themeColor="text1" w:themeTint="D9"/>
              </w:rPr>
              <w:t>*</w:t>
            </w:r>
          </w:p>
        </w:tc>
        <w:tc>
          <w:tcPr>
            <w:tcW w:w="1843" w:type="dxa"/>
            <w:tcBorders>
              <w:top w:val="single" w:sz="4" w:space="0" w:color="auto"/>
              <w:bottom w:val="single" w:sz="4" w:space="0" w:color="auto"/>
              <w:right w:val="single" w:sz="4" w:space="0" w:color="auto"/>
            </w:tcBorders>
            <w:tcMar>
              <w:left w:w="113" w:type="dxa"/>
            </w:tcMar>
            <w:vAlign w:val="bottom"/>
          </w:tcPr>
          <w:p w:rsidR="00965662" w:rsidRPr="00E465A1" w:rsidRDefault="00965662" w:rsidP="00965662">
            <w:pPr>
              <w:pStyle w:val="Normaltabletextleft"/>
              <w:rPr>
                <w:b/>
                <w:color w:val="262626" w:themeColor="text1" w:themeTint="D9"/>
              </w:rPr>
            </w:pPr>
            <w:r w:rsidRPr="00E465A1">
              <w:rPr>
                <w:color w:val="262626" w:themeColor="text1" w:themeTint="D9"/>
              </w:rPr>
              <w:t>Ordinary Commissioner</w:t>
            </w:r>
          </w:p>
        </w:tc>
        <w:tc>
          <w:tcPr>
            <w:tcW w:w="4110" w:type="dxa"/>
            <w:tcBorders>
              <w:top w:val="single" w:sz="4" w:space="0" w:color="auto"/>
              <w:bottom w:val="single" w:sz="4" w:space="0" w:color="auto"/>
              <w:right w:val="single" w:sz="4" w:space="0" w:color="auto"/>
            </w:tcBorders>
            <w:tcMar>
              <w:left w:w="113" w:type="dxa"/>
            </w:tcMar>
            <w:vAlign w:val="bottom"/>
          </w:tcPr>
          <w:p w:rsidR="00965662" w:rsidRPr="00E465A1" w:rsidRDefault="00965662" w:rsidP="00965662">
            <w:pPr>
              <w:pStyle w:val="Normaltabletextleft"/>
              <w:rPr>
                <w:b/>
                <w:color w:val="262626" w:themeColor="text1" w:themeTint="D9"/>
              </w:rPr>
            </w:pPr>
            <w:r w:rsidRPr="00E465A1">
              <w:rPr>
                <w:color w:val="262626" w:themeColor="text1" w:themeTint="D9"/>
              </w:rPr>
              <w:t xml:space="preserve">1 March 2016 to current </w:t>
            </w:r>
          </w:p>
        </w:tc>
        <w:tc>
          <w:tcPr>
            <w:tcW w:w="1134" w:type="dxa"/>
            <w:tcBorders>
              <w:top w:val="single" w:sz="4" w:space="0" w:color="auto"/>
              <w:left w:val="single" w:sz="4" w:space="0" w:color="auto"/>
              <w:bottom w:val="single" w:sz="4" w:space="0" w:color="auto"/>
              <w:right w:val="single" w:sz="4" w:space="0" w:color="auto"/>
            </w:tcBorders>
            <w:shd w:val="clear" w:color="auto" w:fill="FEE4B0"/>
            <w:tcMar>
              <w:right w:w="113" w:type="dxa"/>
            </w:tcMar>
            <w:vAlign w:val="center"/>
          </w:tcPr>
          <w:p w:rsidR="00965662" w:rsidRPr="00E465A1" w:rsidRDefault="00714746" w:rsidP="00192871">
            <w:pPr>
              <w:pStyle w:val="Normaltabletext1stpararight"/>
              <w:rPr>
                <w:color w:val="262626" w:themeColor="text1" w:themeTint="D9"/>
              </w:rPr>
            </w:pPr>
            <w:r w:rsidRPr="00E465A1">
              <w:rPr>
                <w:color w:val="262626" w:themeColor="text1" w:themeTint="D9"/>
              </w:rPr>
              <w:t>6</w:t>
            </w:r>
            <w:r w:rsidR="00192871" w:rsidRPr="00E465A1">
              <w:rPr>
                <w:color w:val="262626" w:themeColor="text1" w:themeTint="D9"/>
              </w:rPr>
              <w:t>4</w:t>
            </w:r>
          </w:p>
        </w:tc>
        <w:tc>
          <w:tcPr>
            <w:tcW w:w="1134" w:type="dxa"/>
            <w:tcBorders>
              <w:top w:val="single" w:sz="4" w:space="0" w:color="auto"/>
              <w:left w:val="single" w:sz="4" w:space="0" w:color="auto"/>
              <w:bottom w:val="single" w:sz="4" w:space="0" w:color="auto"/>
            </w:tcBorders>
            <w:shd w:val="clear" w:color="auto" w:fill="FFFFFF" w:themeFill="background1"/>
            <w:tcMar>
              <w:right w:w="113" w:type="dxa"/>
            </w:tcMar>
            <w:vAlign w:val="center"/>
          </w:tcPr>
          <w:p w:rsidR="00965662" w:rsidRPr="00E465A1" w:rsidRDefault="003A2E82" w:rsidP="00965662">
            <w:pPr>
              <w:pStyle w:val="Normaltabletext1stpararight"/>
              <w:rPr>
                <w:color w:val="262626" w:themeColor="text1" w:themeTint="D9"/>
              </w:rPr>
            </w:pPr>
            <w:r w:rsidRPr="00E465A1">
              <w:rPr>
                <w:color w:val="262626" w:themeColor="text1" w:themeTint="D9"/>
              </w:rPr>
              <w:t>50</w:t>
            </w:r>
          </w:p>
        </w:tc>
      </w:tr>
      <w:tr w:rsidR="00E465A1" w:rsidRPr="00E465A1" w:rsidTr="00AD6577">
        <w:trPr>
          <w:trHeight w:val="300"/>
        </w:trPr>
        <w:tc>
          <w:tcPr>
            <w:tcW w:w="1559" w:type="dxa"/>
            <w:tcBorders>
              <w:top w:val="single" w:sz="4" w:space="0" w:color="auto"/>
              <w:bottom w:val="double" w:sz="4" w:space="0" w:color="auto"/>
              <w:right w:val="single" w:sz="4" w:space="0" w:color="auto"/>
            </w:tcBorders>
            <w:vAlign w:val="bottom"/>
          </w:tcPr>
          <w:p w:rsidR="00965662" w:rsidRPr="00E465A1" w:rsidRDefault="00965662" w:rsidP="00A13142">
            <w:pPr>
              <w:pStyle w:val="Normaltabletextleft"/>
              <w:jc w:val="center"/>
              <w:rPr>
                <w:b/>
                <w:color w:val="262626" w:themeColor="text1" w:themeTint="D9"/>
              </w:rPr>
            </w:pPr>
            <w:r w:rsidRPr="00E465A1">
              <w:rPr>
                <w:b/>
                <w:color w:val="262626" w:themeColor="text1" w:themeTint="D9"/>
              </w:rPr>
              <w:t>Total</w:t>
            </w:r>
          </w:p>
        </w:tc>
        <w:tc>
          <w:tcPr>
            <w:tcW w:w="1843" w:type="dxa"/>
            <w:tcBorders>
              <w:top w:val="single" w:sz="4" w:space="0" w:color="auto"/>
              <w:bottom w:val="double" w:sz="4" w:space="0" w:color="auto"/>
              <w:right w:val="single" w:sz="4" w:space="0" w:color="auto"/>
            </w:tcBorders>
            <w:vAlign w:val="bottom"/>
          </w:tcPr>
          <w:p w:rsidR="00965662" w:rsidRPr="00E465A1" w:rsidRDefault="00965662" w:rsidP="00965662">
            <w:pPr>
              <w:pStyle w:val="Normaltabletextleft"/>
              <w:rPr>
                <w:b/>
                <w:color w:val="262626" w:themeColor="text1" w:themeTint="D9"/>
              </w:rPr>
            </w:pPr>
          </w:p>
        </w:tc>
        <w:tc>
          <w:tcPr>
            <w:tcW w:w="4110" w:type="dxa"/>
            <w:tcBorders>
              <w:top w:val="single" w:sz="4" w:space="0" w:color="auto"/>
              <w:bottom w:val="double" w:sz="4" w:space="0" w:color="auto"/>
              <w:right w:val="single" w:sz="4" w:space="0" w:color="auto"/>
            </w:tcBorders>
            <w:vAlign w:val="bottom"/>
          </w:tcPr>
          <w:p w:rsidR="00965662" w:rsidRPr="00E465A1" w:rsidRDefault="00965662" w:rsidP="00965662">
            <w:pPr>
              <w:pStyle w:val="Normaltabletextleft"/>
              <w:rPr>
                <w:b/>
                <w:color w:val="262626" w:themeColor="text1" w:themeTint="D9"/>
              </w:rPr>
            </w:pPr>
          </w:p>
        </w:tc>
        <w:tc>
          <w:tcPr>
            <w:tcW w:w="1134" w:type="dxa"/>
            <w:tcBorders>
              <w:top w:val="single" w:sz="4" w:space="0" w:color="auto"/>
              <w:left w:val="single" w:sz="4" w:space="0" w:color="auto"/>
              <w:bottom w:val="double" w:sz="4" w:space="0" w:color="auto"/>
              <w:right w:val="single" w:sz="4" w:space="0" w:color="auto"/>
            </w:tcBorders>
            <w:shd w:val="clear" w:color="auto" w:fill="FEE4B0"/>
            <w:tcMar>
              <w:right w:w="113" w:type="dxa"/>
            </w:tcMar>
            <w:vAlign w:val="center"/>
          </w:tcPr>
          <w:p w:rsidR="00965662" w:rsidRPr="00E465A1" w:rsidRDefault="00192871" w:rsidP="00965662">
            <w:pPr>
              <w:pStyle w:val="Normaltabletext1stpararight"/>
              <w:rPr>
                <w:b/>
                <w:color w:val="262626" w:themeColor="text1" w:themeTint="D9"/>
              </w:rPr>
            </w:pPr>
            <w:r w:rsidRPr="00E465A1">
              <w:rPr>
                <w:b/>
                <w:color w:val="262626" w:themeColor="text1" w:themeTint="D9"/>
              </w:rPr>
              <w:t>200</w:t>
            </w:r>
          </w:p>
        </w:tc>
        <w:tc>
          <w:tcPr>
            <w:tcW w:w="1134" w:type="dxa"/>
            <w:tcBorders>
              <w:top w:val="single" w:sz="4" w:space="0" w:color="auto"/>
              <w:left w:val="single" w:sz="4" w:space="0" w:color="auto"/>
              <w:bottom w:val="double" w:sz="4" w:space="0" w:color="auto"/>
            </w:tcBorders>
            <w:shd w:val="clear" w:color="auto" w:fill="FFFFFF" w:themeFill="background1"/>
            <w:tcMar>
              <w:right w:w="113" w:type="dxa"/>
            </w:tcMar>
            <w:vAlign w:val="center"/>
          </w:tcPr>
          <w:p w:rsidR="00965662" w:rsidRPr="00E465A1" w:rsidRDefault="003A2E82" w:rsidP="00965662">
            <w:pPr>
              <w:pStyle w:val="Normaltabletext1stpararight"/>
              <w:rPr>
                <w:b/>
                <w:color w:val="262626" w:themeColor="text1" w:themeTint="D9"/>
              </w:rPr>
            </w:pPr>
            <w:r w:rsidRPr="00E465A1">
              <w:rPr>
                <w:b/>
                <w:color w:val="262626" w:themeColor="text1" w:themeTint="D9"/>
              </w:rPr>
              <w:t>157</w:t>
            </w:r>
          </w:p>
        </w:tc>
      </w:tr>
    </w:tbl>
    <w:tbl>
      <w:tblPr>
        <w:tblW w:w="10206"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0206"/>
      </w:tblGrid>
      <w:tr w:rsidR="00E465A1" w:rsidRPr="00E465A1" w:rsidTr="004C4800">
        <w:trPr>
          <w:trHeight w:val="20"/>
        </w:trPr>
        <w:tc>
          <w:tcPr>
            <w:tcW w:w="10206" w:type="dxa"/>
            <w:tcBorders>
              <w:top w:val="nil"/>
              <w:left w:val="nil"/>
              <w:bottom w:val="nil"/>
              <w:right w:val="nil"/>
            </w:tcBorders>
            <w:noWrap/>
            <w:vAlign w:val="bottom"/>
          </w:tcPr>
          <w:p w:rsidR="00946125" w:rsidRPr="00E465A1" w:rsidRDefault="00946125" w:rsidP="004E7554">
            <w:pPr>
              <w:pStyle w:val="Noteswithhangingindent"/>
              <w:rPr>
                <w:color w:val="262626" w:themeColor="text1" w:themeTint="D9"/>
              </w:rPr>
            </w:pPr>
          </w:p>
          <w:p w:rsidR="00C13ACA" w:rsidRPr="00E465A1" w:rsidRDefault="00C13ACA" w:rsidP="004E7554">
            <w:pPr>
              <w:pStyle w:val="Noteswithhangingindent"/>
              <w:rPr>
                <w:color w:val="262626" w:themeColor="text1" w:themeTint="D9"/>
              </w:rPr>
            </w:pPr>
            <w:r w:rsidRPr="00E465A1">
              <w:rPr>
                <w:color w:val="262626" w:themeColor="text1" w:themeTint="D9"/>
                <w:vertAlign w:val="superscript"/>
              </w:rPr>
              <w:t>*</w:t>
            </w:r>
            <w:r w:rsidR="00AB2633" w:rsidRPr="00E465A1">
              <w:rPr>
                <w:color w:val="262626" w:themeColor="text1" w:themeTint="D9"/>
              </w:rPr>
              <w:t xml:space="preserve"> </w:t>
            </w:r>
            <w:r w:rsidRPr="00E465A1">
              <w:rPr>
                <w:color w:val="262626" w:themeColor="text1" w:themeTint="D9"/>
              </w:rPr>
              <w:t>Remuneration expenses include costs in relation to acting arrangements established during the year.</w:t>
            </w:r>
          </w:p>
          <w:p w:rsidR="00A13142" w:rsidRPr="00E465A1" w:rsidRDefault="00A13142" w:rsidP="00A13142">
            <w:pPr>
              <w:pStyle w:val="Normal115pttext"/>
              <w:rPr>
                <w:color w:val="262626" w:themeColor="text1" w:themeTint="D9"/>
              </w:rPr>
            </w:pPr>
            <w:r w:rsidRPr="00E465A1">
              <w:rPr>
                <w:color w:val="262626" w:themeColor="text1" w:themeTint="D9"/>
              </w:rPr>
              <w:lastRenderedPageBreak/>
              <w:t xml:space="preserve">Note </w:t>
            </w:r>
            <w:r w:rsidR="0014516F" w:rsidRPr="00E465A1">
              <w:rPr>
                <w:color w:val="262626" w:themeColor="text1" w:themeTint="D9"/>
              </w:rPr>
              <w:t>5</w:t>
            </w:r>
            <w:r w:rsidR="004C4800" w:rsidRPr="00E465A1">
              <w:rPr>
                <w:color w:val="262626" w:themeColor="text1" w:themeTint="D9"/>
              </w:rPr>
              <w:t>:</w:t>
            </w:r>
            <w:r w:rsidRPr="00E465A1">
              <w:rPr>
                <w:color w:val="262626" w:themeColor="text1" w:themeTint="D9"/>
              </w:rPr>
              <w:t xml:space="preserve">  The Commission, Senior Executive Personnel, Remuneration Expenses and Related Party Transactions (cont’d)</w:t>
            </w:r>
          </w:p>
          <w:p w:rsidR="00A13142" w:rsidRPr="00E465A1" w:rsidRDefault="00A13142" w:rsidP="004E7554">
            <w:pPr>
              <w:pStyle w:val="Noteswithhangingindent"/>
              <w:rPr>
                <w:color w:val="262626" w:themeColor="text1" w:themeTint="D9"/>
              </w:rPr>
            </w:pPr>
          </w:p>
        </w:tc>
      </w:tr>
    </w:tbl>
    <w:p w:rsidR="004C4800" w:rsidRPr="00E465A1" w:rsidRDefault="004C4800" w:rsidP="004C4800">
      <w:pPr>
        <w:pStyle w:val="Normalhanginglist105pt"/>
        <w:rPr>
          <w:color w:val="262626" w:themeColor="text1" w:themeTint="D9"/>
        </w:rPr>
      </w:pPr>
      <w:bookmarkStart w:id="8" w:name="OLE_LINK19"/>
      <w:bookmarkStart w:id="9" w:name="OLE_LINK20"/>
      <w:bookmarkStart w:id="10" w:name="OLE_LINK27"/>
      <w:r w:rsidRPr="00E465A1">
        <w:rPr>
          <w:color w:val="262626" w:themeColor="text1" w:themeTint="D9"/>
        </w:rPr>
        <w:lastRenderedPageBreak/>
        <w:t>(d)</w:t>
      </w:r>
      <w:r w:rsidRPr="00E465A1">
        <w:rPr>
          <w:color w:val="262626" w:themeColor="text1" w:themeTint="D9"/>
        </w:rPr>
        <w:tab/>
        <w:t>Remuneration Expenses (cont’d)</w:t>
      </w:r>
    </w:p>
    <w:p w:rsidR="00A67AC0" w:rsidRPr="00E465A1" w:rsidRDefault="00F2342D" w:rsidP="00327C14">
      <w:pPr>
        <w:pStyle w:val="NormalhangingllistL2"/>
        <w:rPr>
          <w:color w:val="262626" w:themeColor="text1" w:themeTint="D9"/>
        </w:rPr>
      </w:pPr>
      <w:r w:rsidRPr="00E465A1">
        <w:rPr>
          <w:color w:val="262626" w:themeColor="text1" w:themeTint="D9"/>
        </w:rPr>
        <w:t>Chairperson</w:t>
      </w:r>
      <w:r w:rsidR="00A67AC0" w:rsidRPr="00E465A1">
        <w:rPr>
          <w:color w:val="262626" w:themeColor="text1" w:themeTint="D9"/>
        </w:rPr>
        <w:t xml:space="preserve"> Remuneration</w:t>
      </w:r>
    </w:p>
    <w:p w:rsidR="00B71843" w:rsidRPr="00E465A1" w:rsidRDefault="00B6532D" w:rsidP="00327C14">
      <w:pPr>
        <w:pStyle w:val="Normalindent1stpara"/>
        <w:rPr>
          <w:color w:val="262626" w:themeColor="text1" w:themeTint="D9"/>
        </w:rPr>
      </w:pPr>
      <w:r w:rsidRPr="00E465A1">
        <w:rPr>
          <w:color w:val="262626" w:themeColor="text1" w:themeTint="D9"/>
        </w:rPr>
        <w:t xml:space="preserve">The remuneration paid to the </w:t>
      </w:r>
      <w:r w:rsidR="00F2342D" w:rsidRPr="00E465A1">
        <w:rPr>
          <w:color w:val="262626" w:themeColor="text1" w:themeTint="D9"/>
        </w:rPr>
        <w:t>Chairperson</w:t>
      </w:r>
      <w:r w:rsidRPr="00E465A1">
        <w:rPr>
          <w:color w:val="262626" w:themeColor="text1" w:themeTint="D9"/>
        </w:rPr>
        <w:t xml:space="preserve"> is determined by the Governor</w:t>
      </w:r>
      <w:r w:rsidR="003D2F26" w:rsidRPr="00E465A1">
        <w:rPr>
          <w:color w:val="262626" w:themeColor="text1" w:themeTint="D9"/>
        </w:rPr>
        <w:t>-</w:t>
      </w:r>
      <w:r w:rsidRPr="00E465A1">
        <w:rPr>
          <w:color w:val="262626" w:themeColor="text1" w:themeTint="D9"/>
        </w:rPr>
        <w:t>in</w:t>
      </w:r>
      <w:r w:rsidR="003D2F26" w:rsidRPr="00E465A1">
        <w:rPr>
          <w:color w:val="262626" w:themeColor="text1" w:themeTint="D9"/>
        </w:rPr>
        <w:t>-</w:t>
      </w:r>
      <w:r w:rsidRPr="00E465A1">
        <w:rPr>
          <w:color w:val="262626" w:themeColor="text1" w:themeTint="D9"/>
        </w:rPr>
        <w:t xml:space="preserve">Council and is equivalent to the </w:t>
      </w:r>
      <w:proofErr w:type="spellStart"/>
      <w:r w:rsidRPr="00E465A1">
        <w:rPr>
          <w:color w:val="262626" w:themeColor="text1" w:themeTint="D9"/>
        </w:rPr>
        <w:t>superannuable</w:t>
      </w:r>
      <w:proofErr w:type="spellEnd"/>
      <w:r w:rsidRPr="00E465A1">
        <w:rPr>
          <w:color w:val="262626" w:themeColor="text1" w:themeTint="D9"/>
        </w:rPr>
        <w:t xml:space="preserve"> salary of </w:t>
      </w:r>
      <w:r w:rsidR="00BE4610" w:rsidRPr="00E465A1">
        <w:rPr>
          <w:color w:val="262626" w:themeColor="text1" w:themeTint="D9"/>
        </w:rPr>
        <w:t>a Supreme Court judge, other than the Chief Justice or the President of the Court of Appeal,</w:t>
      </w:r>
      <w:r w:rsidRPr="00E465A1">
        <w:rPr>
          <w:color w:val="262626" w:themeColor="text1" w:themeTint="D9"/>
        </w:rPr>
        <w:t xml:space="preserve"> as</w:t>
      </w:r>
      <w:r w:rsidR="00276E72" w:rsidRPr="00E465A1">
        <w:rPr>
          <w:color w:val="262626" w:themeColor="text1" w:themeTint="D9"/>
        </w:rPr>
        <w:t xml:space="preserve"> provided for under the </w:t>
      </w:r>
      <w:r w:rsidR="00276E72" w:rsidRPr="00E465A1">
        <w:rPr>
          <w:i/>
          <w:color w:val="262626" w:themeColor="text1" w:themeTint="D9"/>
        </w:rPr>
        <w:t>Judicial Remuneration Act 200</w:t>
      </w:r>
      <w:r w:rsidRPr="00E465A1">
        <w:rPr>
          <w:i/>
          <w:color w:val="262626" w:themeColor="text1" w:themeTint="D9"/>
        </w:rPr>
        <w:t>7</w:t>
      </w:r>
      <w:r w:rsidR="00A3019B" w:rsidRPr="00E465A1">
        <w:rPr>
          <w:color w:val="262626" w:themeColor="text1" w:themeTint="D9"/>
        </w:rPr>
        <w:t>.</w:t>
      </w:r>
      <w:r w:rsidR="006723AF" w:rsidRPr="00E465A1">
        <w:rPr>
          <w:color w:val="262626" w:themeColor="text1" w:themeTint="D9"/>
        </w:rPr>
        <w:t xml:space="preserve"> </w:t>
      </w:r>
      <w:r w:rsidR="00AF52A6" w:rsidRPr="00E465A1">
        <w:rPr>
          <w:color w:val="262626" w:themeColor="text1" w:themeTint="D9"/>
        </w:rPr>
        <w:t xml:space="preserve">The Chairperson’s remuneration increased by </w:t>
      </w:r>
      <w:r w:rsidR="009223C2" w:rsidRPr="00E465A1">
        <w:rPr>
          <w:color w:val="262626" w:themeColor="text1" w:themeTint="D9"/>
        </w:rPr>
        <w:t>2</w:t>
      </w:r>
      <w:r w:rsidR="00AF52A6" w:rsidRPr="00E465A1">
        <w:rPr>
          <w:color w:val="262626" w:themeColor="text1" w:themeTint="D9"/>
        </w:rPr>
        <w:t xml:space="preserve">% </w:t>
      </w:r>
      <w:r w:rsidR="00E07B5C" w:rsidRPr="00E465A1">
        <w:rPr>
          <w:color w:val="262626" w:themeColor="text1" w:themeTint="D9"/>
        </w:rPr>
        <w:t xml:space="preserve">effective from 1 </w:t>
      </w:r>
      <w:r w:rsidR="009223C2" w:rsidRPr="00E465A1">
        <w:rPr>
          <w:color w:val="262626" w:themeColor="text1" w:themeTint="D9"/>
        </w:rPr>
        <w:t>July</w:t>
      </w:r>
      <w:r w:rsidR="00AF52A6" w:rsidRPr="00E465A1">
        <w:rPr>
          <w:color w:val="262626" w:themeColor="text1" w:themeTint="D9"/>
        </w:rPr>
        <w:t xml:space="preserve"> 201</w:t>
      </w:r>
      <w:r w:rsidR="00341F67" w:rsidRPr="00E465A1">
        <w:rPr>
          <w:color w:val="262626" w:themeColor="text1" w:themeTint="D9"/>
        </w:rPr>
        <w:t>7</w:t>
      </w:r>
      <w:r w:rsidR="00AF52A6" w:rsidRPr="00E465A1">
        <w:rPr>
          <w:color w:val="262626" w:themeColor="text1" w:themeTint="D9"/>
        </w:rPr>
        <w:t xml:space="preserve">. </w:t>
      </w:r>
    </w:p>
    <w:p w:rsidR="002B4499" w:rsidRPr="00E465A1" w:rsidRDefault="00E24A90" w:rsidP="000F5909">
      <w:pPr>
        <w:pStyle w:val="NormalIndent1"/>
        <w:rPr>
          <w:color w:val="262626" w:themeColor="text1" w:themeTint="D9"/>
        </w:rPr>
      </w:pPr>
      <w:r w:rsidRPr="00E465A1">
        <w:rPr>
          <w:color w:val="262626" w:themeColor="text1" w:themeTint="D9"/>
        </w:rPr>
        <w:t xml:space="preserve">The </w:t>
      </w:r>
      <w:r w:rsidR="00F2342D" w:rsidRPr="00E465A1">
        <w:rPr>
          <w:color w:val="262626" w:themeColor="text1" w:themeTint="D9"/>
        </w:rPr>
        <w:t>Chairperson</w:t>
      </w:r>
      <w:r w:rsidRPr="00E465A1">
        <w:rPr>
          <w:color w:val="262626" w:themeColor="text1" w:themeTint="D9"/>
        </w:rPr>
        <w:t xml:space="preserve">’s </w:t>
      </w:r>
      <w:r w:rsidR="003A3AEF" w:rsidRPr="00E465A1">
        <w:rPr>
          <w:color w:val="262626" w:themeColor="text1" w:themeTint="D9"/>
        </w:rPr>
        <w:t xml:space="preserve">conditions </w:t>
      </w:r>
      <w:r w:rsidR="00713BAD" w:rsidRPr="00E465A1">
        <w:rPr>
          <w:color w:val="262626" w:themeColor="text1" w:themeTint="D9"/>
        </w:rPr>
        <w:t>of employment include</w:t>
      </w:r>
      <w:r w:rsidR="003267D1" w:rsidRPr="00E465A1">
        <w:rPr>
          <w:color w:val="262626" w:themeColor="text1" w:themeTint="D9"/>
        </w:rPr>
        <w:t xml:space="preserve">s a jurisprudential allowance, </w:t>
      </w:r>
      <w:r w:rsidR="00CE52A8" w:rsidRPr="00E465A1">
        <w:rPr>
          <w:color w:val="262626" w:themeColor="text1" w:themeTint="D9"/>
        </w:rPr>
        <w:t>an expense of office allowance</w:t>
      </w:r>
      <w:r w:rsidR="004B2C22" w:rsidRPr="00E465A1">
        <w:rPr>
          <w:color w:val="262626" w:themeColor="text1" w:themeTint="D9"/>
        </w:rPr>
        <w:t xml:space="preserve">, </w:t>
      </w:r>
      <w:r w:rsidR="005411ED" w:rsidRPr="00E465A1">
        <w:rPr>
          <w:color w:val="262626" w:themeColor="text1" w:themeTint="D9"/>
        </w:rPr>
        <w:t xml:space="preserve">the use of a </w:t>
      </w:r>
      <w:proofErr w:type="spellStart"/>
      <w:r w:rsidR="005411ED" w:rsidRPr="00E465A1">
        <w:rPr>
          <w:color w:val="262626" w:themeColor="text1" w:themeTint="D9"/>
        </w:rPr>
        <w:t>Qfleet</w:t>
      </w:r>
      <w:proofErr w:type="spellEnd"/>
      <w:r w:rsidR="005411ED" w:rsidRPr="00E465A1">
        <w:rPr>
          <w:color w:val="262626" w:themeColor="text1" w:themeTint="D9"/>
        </w:rPr>
        <w:t xml:space="preserve"> vehicle for official and private purposes in accordance with the guidelines outlined in Schedule E of the </w:t>
      </w:r>
      <w:r w:rsidR="005411ED" w:rsidRPr="00E465A1">
        <w:rPr>
          <w:i/>
          <w:color w:val="262626" w:themeColor="text1" w:themeTint="D9"/>
        </w:rPr>
        <w:t>Judges of the Supreme Court Conditions 2011</w:t>
      </w:r>
      <w:r w:rsidR="005411ED" w:rsidRPr="00E465A1">
        <w:rPr>
          <w:color w:val="262626" w:themeColor="text1" w:themeTint="D9"/>
        </w:rPr>
        <w:t xml:space="preserve">, </w:t>
      </w:r>
      <w:r w:rsidR="005D01A6" w:rsidRPr="00E465A1">
        <w:rPr>
          <w:color w:val="262626" w:themeColor="text1" w:themeTint="D9"/>
        </w:rPr>
        <w:t>leave equivalent to the public service</w:t>
      </w:r>
      <w:r w:rsidR="005411ED" w:rsidRPr="00E465A1">
        <w:rPr>
          <w:color w:val="262626" w:themeColor="text1" w:themeTint="D9"/>
        </w:rPr>
        <w:t xml:space="preserve"> and a pension in accordance with the provisions of the </w:t>
      </w:r>
      <w:r w:rsidR="005411ED" w:rsidRPr="00E465A1">
        <w:rPr>
          <w:i/>
          <w:color w:val="262626" w:themeColor="text1" w:themeTint="D9"/>
        </w:rPr>
        <w:t>Crime and Corruption Act 2001</w:t>
      </w:r>
      <w:r w:rsidR="005411ED" w:rsidRPr="00E465A1">
        <w:rPr>
          <w:color w:val="262626" w:themeColor="text1" w:themeTint="D9"/>
        </w:rPr>
        <w:t>.</w:t>
      </w:r>
      <w:r w:rsidR="00B9290C" w:rsidRPr="00E465A1">
        <w:rPr>
          <w:color w:val="262626" w:themeColor="text1" w:themeTint="D9"/>
        </w:rPr>
        <w:t xml:space="preserve"> </w:t>
      </w:r>
      <w:r w:rsidR="009B1112" w:rsidRPr="00E465A1">
        <w:rPr>
          <w:color w:val="262626" w:themeColor="text1" w:themeTint="D9"/>
        </w:rPr>
        <w:t xml:space="preserve">The </w:t>
      </w:r>
      <w:r w:rsidR="00F2342D" w:rsidRPr="00E465A1">
        <w:rPr>
          <w:color w:val="262626" w:themeColor="text1" w:themeTint="D9"/>
        </w:rPr>
        <w:t>Chairperson</w:t>
      </w:r>
      <w:r w:rsidR="009B1112" w:rsidRPr="00E465A1">
        <w:rPr>
          <w:color w:val="262626" w:themeColor="text1" w:themeTint="D9"/>
        </w:rPr>
        <w:t xml:space="preserve"> is not eligible for a performance bonus.</w:t>
      </w:r>
    </w:p>
    <w:p w:rsidR="004C4800" w:rsidRPr="00E465A1" w:rsidRDefault="004C4800" w:rsidP="00327C14">
      <w:pPr>
        <w:pStyle w:val="NormalhangingllistL2"/>
        <w:rPr>
          <w:color w:val="262626" w:themeColor="text1" w:themeTint="D9"/>
        </w:rPr>
      </w:pPr>
    </w:p>
    <w:p w:rsidR="006F5082" w:rsidRPr="00E465A1" w:rsidRDefault="00B634F5" w:rsidP="00327C14">
      <w:pPr>
        <w:pStyle w:val="NormalhangingllistL2"/>
        <w:rPr>
          <w:color w:val="262626" w:themeColor="text1" w:themeTint="D9"/>
        </w:rPr>
      </w:pPr>
      <w:r w:rsidRPr="00E465A1">
        <w:rPr>
          <w:color w:val="262626" w:themeColor="text1" w:themeTint="D9"/>
        </w:rPr>
        <w:t xml:space="preserve">Chief Executive Officer </w:t>
      </w:r>
      <w:r w:rsidR="0024663B" w:rsidRPr="00E465A1">
        <w:rPr>
          <w:color w:val="262626" w:themeColor="text1" w:themeTint="D9"/>
        </w:rPr>
        <w:t xml:space="preserve">(CEO) </w:t>
      </w:r>
      <w:r w:rsidRPr="00E465A1">
        <w:rPr>
          <w:color w:val="262626" w:themeColor="text1" w:themeTint="D9"/>
        </w:rPr>
        <w:t xml:space="preserve">and </w:t>
      </w:r>
      <w:r w:rsidR="006F5082" w:rsidRPr="00E465A1">
        <w:rPr>
          <w:color w:val="262626" w:themeColor="text1" w:themeTint="D9"/>
        </w:rPr>
        <w:t>Senior Executive Remuneration</w:t>
      </w:r>
    </w:p>
    <w:p w:rsidR="007B13D6" w:rsidRPr="00E465A1" w:rsidRDefault="00580210" w:rsidP="007B13D6">
      <w:pPr>
        <w:pStyle w:val="Normalindent1stpara"/>
        <w:rPr>
          <w:color w:val="262626" w:themeColor="text1" w:themeTint="D9"/>
        </w:rPr>
      </w:pPr>
      <w:r w:rsidRPr="00E465A1">
        <w:rPr>
          <w:color w:val="262626" w:themeColor="text1" w:themeTint="D9"/>
        </w:rPr>
        <w:t xml:space="preserve">The remuneration paid to the </w:t>
      </w:r>
      <w:r w:rsidR="0024663B" w:rsidRPr="00E465A1">
        <w:rPr>
          <w:color w:val="262626" w:themeColor="text1" w:themeTint="D9"/>
        </w:rPr>
        <w:t>CEO</w:t>
      </w:r>
      <w:r w:rsidR="00B634F5" w:rsidRPr="00E465A1">
        <w:rPr>
          <w:color w:val="262626" w:themeColor="text1" w:themeTint="D9"/>
        </w:rPr>
        <w:t xml:space="preserve"> is determined by the Governor- in-Council</w:t>
      </w:r>
      <w:r w:rsidR="009A585E" w:rsidRPr="00E465A1">
        <w:rPr>
          <w:color w:val="262626" w:themeColor="text1" w:themeTint="D9"/>
        </w:rPr>
        <w:t>;</w:t>
      </w:r>
      <w:r w:rsidRPr="00E465A1">
        <w:rPr>
          <w:color w:val="262626" w:themeColor="text1" w:themeTint="D9"/>
        </w:rPr>
        <w:t xml:space="preserve"> however</w:t>
      </w:r>
      <w:r w:rsidR="009A585E" w:rsidRPr="00E465A1">
        <w:rPr>
          <w:color w:val="262626" w:themeColor="text1" w:themeTint="D9"/>
        </w:rPr>
        <w:t>,</w:t>
      </w:r>
      <w:r w:rsidRPr="00E465A1">
        <w:rPr>
          <w:color w:val="262626" w:themeColor="text1" w:themeTint="D9"/>
        </w:rPr>
        <w:t xml:space="preserve"> remuneration policy for both the </w:t>
      </w:r>
      <w:r w:rsidR="00EC2665" w:rsidRPr="00E465A1">
        <w:rPr>
          <w:color w:val="262626" w:themeColor="text1" w:themeTint="D9"/>
        </w:rPr>
        <w:t>CCC</w:t>
      </w:r>
      <w:r w:rsidRPr="00E465A1">
        <w:rPr>
          <w:color w:val="262626" w:themeColor="text1" w:themeTint="D9"/>
        </w:rPr>
        <w:t xml:space="preserve">’s </w:t>
      </w:r>
      <w:r w:rsidR="0024663B" w:rsidRPr="00E465A1">
        <w:rPr>
          <w:color w:val="262626" w:themeColor="text1" w:themeTint="D9"/>
        </w:rPr>
        <w:t>CEO</w:t>
      </w:r>
      <w:r w:rsidRPr="00E465A1">
        <w:rPr>
          <w:color w:val="262626" w:themeColor="text1" w:themeTint="D9"/>
        </w:rPr>
        <w:t xml:space="preserve"> and </w:t>
      </w:r>
      <w:r w:rsidR="006F5082" w:rsidRPr="00E465A1">
        <w:rPr>
          <w:color w:val="262626" w:themeColor="text1" w:themeTint="D9"/>
        </w:rPr>
        <w:t xml:space="preserve">senior executive personnel is based on rates set by the Queensland Public Service Commission as provided for under the </w:t>
      </w:r>
      <w:r w:rsidR="006F5082" w:rsidRPr="00E465A1">
        <w:rPr>
          <w:i/>
          <w:color w:val="262626" w:themeColor="text1" w:themeTint="D9"/>
        </w:rPr>
        <w:t>Public Service Act 2008</w:t>
      </w:r>
      <w:r w:rsidR="006F5082" w:rsidRPr="00E465A1">
        <w:rPr>
          <w:color w:val="262626" w:themeColor="text1" w:themeTint="D9"/>
        </w:rPr>
        <w:t>,</w:t>
      </w:r>
      <w:r w:rsidR="007B13D6" w:rsidRPr="00E465A1">
        <w:rPr>
          <w:color w:val="262626" w:themeColor="text1" w:themeTint="D9"/>
        </w:rPr>
        <w:t xml:space="preserve"> and approved by the Minister. </w:t>
      </w:r>
    </w:p>
    <w:p w:rsidR="002B4499" w:rsidRPr="00E465A1" w:rsidRDefault="009B1112" w:rsidP="000F5909">
      <w:pPr>
        <w:pStyle w:val="NormalIndent1"/>
        <w:rPr>
          <w:color w:val="262626" w:themeColor="text1" w:themeTint="D9"/>
        </w:rPr>
      </w:pPr>
      <w:r w:rsidRPr="00E465A1">
        <w:rPr>
          <w:color w:val="262626" w:themeColor="text1" w:themeTint="D9"/>
        </w:rPr>
        <w:t xml:space="preserve">For the </w:t>
      </w:r>
      <w:r w:rsidR="00964041" w:rsidRPr="00E465A1">
        <w:rPr>
          <w:color w:val="262626" w:themeColor="text1" w:themeTint="D9"/>
        </w:rPr>
        <w:t>2017</w:t>
      </w:r>
      <w:r w:rsidRPr="00E465A1">
        <w:rPr>
          <w:color w:val="262626" w:themeColor="text1" w:themeTint="D9"/>
        </w:rPr>
        <w:t>–1</w:t>
      </w:r>
      <w:r w:rsidR="00964041" w:rsidRPr="00E465A1">
        <w:rPr>
          <w:color w:val="262626" w:themeColor="text1" w:themeTint="D9"/>
        </w:rPr>
        <w:t>8</w:t>
      </w:r>
      <w:r w:rsidRPr="00E465A1">
        <w:rPr>
          <w:color w:val="262626" w:themeColor="text1" w:themeTint="D9"/>
        </w:rPr>
        <w:t xml:space="preserve"> year, the remuneration </w:t>
      </w:r>
      <w:r w:rsidR="00741AC2" w:rsidRPr="00E465A1">
        <w:rPr>
          <w:color w:val="262626" w:themeColor="text1" w:themeTint="D9"/>
        </w:rPr>
        <w:t>for</w:t>
      </w:r>
      <w:r w:rsidR="0024663B" w:rsidRPr="00E465A1">
        <w:rPr>
          <w:color w:val="262626" w:themeColor="text1" w:themeTint="D9"/>
        </w:rPr>
        <w:t xml:space="preserve"> </w:t>
      </w:r>
      <w:r w:rsidRPr="00E465A1">
        <w:rPr>
          <w:color w:val="262626" w:themeColor="text1" w:themeTint="D9"/>
        </w:rPr>
        <w:t>senior exec</w:t>
      </w:r>
      <w:r w:rsidR="00381D92" w:rsidRPr="00E465A1">
        <w:rPr>
          <w:color w:val="262626" w:themeColor="text1" w:themeTint="D9"/>
        </w:rPr>
        <w:t>utive personnel increased by 2.</w:t>
      </w:r>
      <w:r w:rsidR="0078475E" w:rsidRPr="00E465A1">
        <w:rPr>
          <w:color w:val="262626" w:themeColor="text1" w:themeTint="D9"/>
        </w:rPr>
        <w:t>5</w:t>
      </w:r>
      <w:r w:rsidRPr="00E465A1">
        <w:rPr>
          <w:color w:val="262626" w:themeColor="text1" w:themeTint="D9"/>
        </w:rPr>
        <w:t>% in accordance with government policy.</w:t>
      </w:r>
    </w:p>
    <w:p w:rsidR="000B10FA" w:rsidRPr="00E465A1" w:rsidRDefault="000B10FA" w:rsidP="000F5909">
      <w:pPr>
        <w:pStyle w:val="NormalIndent1"/>
        <w:rPr>
          <w:color w:val="262626" w:themeColor="text1" w:themeTint="D9"/>
        </w:rPr>
      </w:pPr>
      <w:r w:rsidRPr="00E465A1">
        <w:rPr>
          <w:color w:val="262626" w:themeColor="text1" w:themeTint="D9"/>
        </w:rPr>
        <w:t>Remuneration expenses for key management personnel comprise the following components:</w:t>
      </w:r>
    </w:p>
    <w:p w:rsidR="000B10FA" w:rsidRPr="00E465A1" w:rsidRDefault="000B10FA" w:rsidP="00327C14">
      <w:pPr>
        <w:pStyle w:val="NormalindentbulletsL1"/>
        <w:rPr>
          <w:color w:val="262626" w:themeColor="text1" w:themeTint="D9"/>
        </w:rPr>
      </w:pPr>
      <w:r w:rsidRPr="00E465A1">
        <w:rPr>
          <w:color w:val="262626" w:themeColor="text1" w:themeTint="D9"/>
        </w:rPr>
        <w:t>Short-term employee expenses which include:</w:t>
      </w:r>
    </w:p>
    <w:p w:rsidR="000B10FA" w:rsidRPr="00E465A1" w:rsidRDefault="000B10FA" w:rsidP="000F5909">
      <w:pPr>
        <w:pStyle w:val="NormalindentbulletsL2"/>
        <w:rPr>
          <w:color w:val="262626" w:themeColor="text1" w:themeTint="D9"/>
        </w:rPr>
      </w:pPr>
      <w:r w:rsidRPr="00E465A1">
        <w:rPr>
          <w:color w:val="262626" w:themeColor="text1" w:themeTint="D9"/>
        </w:rPr>
        <w:t xml:space="preserve">salaries, allowances and leave entitlements earned and expensed for the entire year or for that part of </w:t>
      </w:r>
      <w:r w:rsidR="006723AF" w:rsidRPr="00E465A1">
        <w:rPr>
          <w:color w:val="262626" w:themeColor="text1" w:themeTint="D9"/>
        </w:rPr>
        <w:br/>
      </w:r>
      <w:r w:rsidRPr="00E465A1">
        <w:rPr>
          <w:color w:val="262626" w:themeColor="text1" w:themeTint="D9"/>
        </w:rPr>
        <w:t>the year during which the employee o</w:t>
      </w:r>
      <w:r w:rsidR="00487E00" w:rsidRPr="00E465A1">
        <w:rPr>
          <w:color w:val="262626" w:themeColor="text1" w:themeTint="D9"/>
        </w:rPr>
        <w:t xml:space="preserve">ccupied the </w:t>
      </w:r>
      <w:r w:rsidR="00AF39D5" w:rsidRPr="00E465A1">
        <w:rPr>
          <w:color w:val="262626" w:themeColor="text1" w:themeTint="D9"/>
        </w:rPr>
        <w:t xml:space="preserve">senior executive </w:t>
      </w:r>
      <w:r w:rsidR="00487E00" w:rsidRPr="00E465A1">
        <w:rPr>
          <w:color w:val="262626" w:themeColor="text1" w:themeTint="D9"/>
        </w:rPr>
        <w:t>position</w:t>
      </w:r>
    </w:p>
    <w:p w:rsidR="000B10FA" w:rsidRPr="00E465A1" w:rsidRDefault="003D2F26" w:rsidP="000F5909">
      <w:pPr>
        <w:pStyle w:val="NormalindentbulletsL2"/>
        <w:rPr>
          <w:color w:val="262626" w:themeColor="text1" w:themeTint="D9"/>
        </w:rPr>
      </w:pPr>
      <w:r w:rsidRPr="00E465A1">
        <w:rPr>
          <w:color w:val="262626" w:themeColor="text1" w:themeTint="D9"/>
        </w:rPr>
        <w:t>n</w:t>
      </w:r>
      <w:r w:rsidR="000B10FA" w:rsidRPr="00E465A1">
        <w:rPr>
          <w:color w:val="262626" w:themeColor="text1" w:themeTint="D9"/>
        </w:rPr>
        <w:t xml:space="preserve">on-monetary benefits — consisting of provision of vehicles together with fringe benefits tax applicable </w:t>
      </w:r>
      <w:r w:rsidR="006723AF" w:rsidRPr="00E465A1">
        <w:rPr>
          <w:color w:val="262626" w:themeColor="text1" w:themeTint="D9"/>
        </w:rPr>
        <w:br/>
      </w:r>
      <w:r w:rsidR="000B10FA" w:rsidRPr="00E465A1">
        <w:rPr>
          <w:color w:val="262626" w:themeColor="text1" w:themeTint="D9"/>
        </w:rPr>
        <w:t>to the be</w:t>
      </w:r>
      <w:r w:rsidR="00487E00" w:rsidRPr="00E465A1">
        <w:rPr>
          <w:color w:val="262626" w:themeColor="text1" w:themeTint="D9"/>
        </w:rPr>
        <w:t>nefit and car parking benefits</w:t>
      </w:r>
    </w:p>
    <w:p w:rsidR="000B10FA" w:rsidRPr="00E465A1" w:rsidRDefault="000B10FA" w:rsidP="000F5909">
      <w:pPr>
        <w:pStyle w:val="NormalindentbulletsL1"/>
        <w:rPr>
          <w:color w:val="262626" w:themeColor="text1" w:themeTint="D9"/>
        </w:rPr>
      </w:pPr>
      <w:r w:rsidRPr="00E465A1">
        <w:rPr>
          <w:color w:val="262626" w:themeColor="text1" w:themeTint="D9"/>
        </w:rPr>
        <w:t>Long-term employee expenses include amounts expensed in respect of long se</w:t>
      </w:r>
      <w:r w:rsidR="00487E00" w:rsidRPr="00E465A1">
        <w:rPr>
          <w:color w:val="262626" w:themeColor="text1" w:themeTint="D9"/>
        </w:rPr>
        <w:t>rvice leave entitlements earned</w:t>
      </w:r>
    </w:p>
    <w:p w:rsidR="000B10FA" w:rsidRPr="00E465A1" w:rsidRDefault="000B10FA" w:rsidP="000F5909">
      <w:pPr>
        <w:pStyle w:val="NormalindentbulletsL1"/>
        <w:rPr>
          <w:color w:val="262626" w:themeColor="text1" w:themeTint="D9"/>
        </w:rPr>
      </w:pPr>
      <w:r w:rsidRPr="00E465A1">
        <w:rPr>
          <w:color w:val="262626" w:themeColor="text1" w:themeTint="D9"/>
        </w:rPr>
        <w:t>Post-employment expenses include amounts expensed in respect of empl</w:t>
      </w:r>
      <w:r w:rsidR="00487E00" w:rsidRPr="00E465A1">
        <w:rPr>
          <w:color w:val="262626" w:themeColor="text1" w:themeTint="D9"/>
        </w:rPr>
        <w:t>oyer superannuation obligations</w:t>
      </w:r>
    </w:p>
    <w:p w:rsidR="000B10FA" w:rsidRPr="00E465A1" w:rsidRDefault="000B10FA" w:rsidP="000F5909">
      <w:pPr>
        <w:pStyle w:val="NormalindentbulletsL1"/>
        <w:rPr>
          <w:color w:val="262626" w:themeColor="text1" w:themeTint="D9"/>
        </w:rPr>
      </w:pPr>
      <w:r w:rsidRPr="00E465A1">
        <w:rPr>
          <w:color w:val="262626" w:themeColor="text1" w:themeTint="D9"/>
        </w:rPr>
        <w:t xml:space="preserve">Termination </w:t>
      </w:r>
      <w:r w:rsidR="0017017B" w:rsidRPr="00E465A1">
        <w:rPr>
          <w:color w:val="262626" w:themeColor="text1" w:themeTint="D9"/>
        </w:rPr>
        <w:t>benefits</w:t>
      </w:r>
      <w:r w:rsidRPr="00E465A1">
        <w:rPr>
          <w:color w:val="262626" w:themeColor="text1" w:themeTint="D9"/>
        </w:rPr>
        <w:t xml:space="preserve"> are provided for within individual contracts of employment</w:t>
      </w:r>
      <w:r w:rsidR="0017017B" w:rsidRPr="00E465A1">
        <w:rPr>
          <w:color w:val="262626" w:themeColor="text1" w:themeTint="D9"/>
        </w:rPr>
        <w:t xml:space="preserve"> for senior executive </w:t>
      </w:r>
      <w:r w:rsidR="003A3AEF" w:rsidRPr="00E465A1">
        <w:rPr>
          <w:color w:val="262626" w:themeColor="text1" w:themeTint="D9"/>
        </w:rPr>
        <w:t>personnel</w:t>
      </w:r>
      <w:r w:rsidR="0017017B" w:rsidRPr="00E465A1">
        <w:rPr>
          <w:color w:val="262626" w:themeColor="text1" w:themeTint="D9"/>
        </w:rPr>
        <w:t xml:space="preserve"> </w:t>
      </w:r>
      <w:r w:rsidR="006723AF" w:rsidRPr="00E465A1">
        <w:rPr>
          <w:color w:val="262626" w:themeColor="text1" w:themeTint="D9"/>
        </w:rPr>
        <w:br/>
      </w:r>
      <w:r w:rsidR="0017017B" w:rsidRPr="00E465A1">
        <w:rPr>
          <w:color w:val="262626" w:themeColor="text1" w:themeTint="D9"/>
        </w:rPr>
        <w:t>only</w:t>
      </w:r>
      <w:r w:rsidRPr="00E465A1">
        <w:rPr>
          <w:color w:val="262626" w:themeColor="text1" w:themeTint="D9"/>
        </w:rPr>
        <w:t>. Contracts of employment provide only for notice periods or payment in lieu of notice</w:t>
      </w:r>
      <w:r w:rsidR="00304AB8" w:rsidRPr="00E465A1">
        <w:rPr>
          <w:color w:val="262626" w:themeColor="text1" w:themeTint="D9"/>
        </w:rPr>
        <w:t xml:space="preserve"> on termination, </w:t>
      </w:r>
      <w:r w:rsidR="006723AF" w:rsidRPr="00E465A1">
        <w:rPr>
          <w:color w:val="262626" w:themeColor="text1" w:themeTint="D9"/>
        </w:rPr>
        <w:br/>
      </w:r>
      <w:r w:rsidR="00304AB8" w:rsidRPr="00E465A1">
        <w:rPr>
          <w:color w:val="262626" w:themeColor="text1" w:themeTint="D9"/>
        </w:rPr>
        <w:t xml:space="preserve">regardless of </w:t>
      </w:r>
      <w:r w:rsidR="00487E00" w:rsidRPr="00E465A1">
        <w:rPr>
          <w:color w:val="262626" w:themeColor="text1" w:themeTint="D9"/>
        </w:rPr>
        <w:t>the reason for the termination</w:t>
      </w:r>
    </w:p>
    <w:p w:rsidR="000B10FA" w:rsidRPr="00E465A1" w:rsidRDefault="003D7303" w:rsidP="000F5909">
      <w:pPr>
        <w:pStyle w:val="NormalindentbulletsL1"/>
        <w:rPr>
          <w:color w:val="262626" w:themeColor="text1" w:themeTint="D9"/>
        </w:rPr>
      </w:pPr>
      <w:r w:rsidRPr="00E465A1">
        <w:rPr>
          <w:color w:val="262626" w:themeColor="text1" w:themeTint="D9"/>
        </w:rPr>
        <w:t>The CEO or senior executive personnel contracts do not provide for performance bonuses</w:t>
      </w:r>
      <w:r w:rsidR="009A585E" w:rsidRPr="00E465A1">
        <w:rPr>
          <w:color w:val="262626" w:themeColor="text1" w:themeTint="D9"/>
        </w:rPr>
        <w:t>.</w:t>
      </w:r>
    </w:p>
    <w:bookmarkEnd w:id="8"/>
    <w:bookmarkEnd w:id="9"/>
    <w:bookmarkEnd w:id="10"/>
    <w:p w:rsidR="00946125" w:rsidRPr="00E465A1" w:rsidRDefault="00580210" w:rsidP="009223C2">
      <w:pPr>
        <w:pStyle w:val="NormalIndent1"/>
        <w:rPr>
          <w:color w:val="262626" w:themeColor="text1" w:themeTint="D9"/>
        </w:rPr>
      </w:pPr>
      <w:r w:rsidRPr="00E465A1">
        <w:rPr>
          <w:color w:val="262626" w:themeColor="text1" w:themeTint="D9"/>
        </w:rPr>
        <w:t>The remuneration and other terms of employment for the key executive management personnel are spec</w:t>
      </w:r>
      <w:bookmarkStart w:id="11" w:name="OLE_LINK3"/>
      <w:bookmarkStart w:id="12" w:name="OLE_LINK4"/>
      <w:r w:rsidR="009223C2" w:rsidRPr="00E465A1">
        <w:rPr>
          <w:color w:val="262626" w:themeColor="text1" w:themeTint="D9"/>
        </w:rPr>
        <w:t xml:space="preserve">ified </w:t>
      </w:r>
      <w:r w:rsidR="009223C2" w:rsidRPr="00E465A1">
        <w:rPr>
          <w:color w:val="262626" w:themeColor="text1" w:themeTint="D9"/>
        </w:rPr>
        <w:br/>
        <w:t>in employment contracts.</w:t>
      </w:r>
    </w:p>
    <w:p w:rsidR="004C4800" w:rsidRPr="00E465A1" w:rsidRDefault="004C4800" w:rsidP="009223C2">
      <w:pPr>
        <w:pStyle w:val="NormalIndent1"/>
        <w:rPr>
          <w:color w:val="262626" w:themeColor="text1" w:themeTint="D9"/>
        </w:rPr>
      </w:pPr>
    </w:p>
    <w:p w:rsidR="004C4800" w:rsidRPr="00E465A1" w:rsidRDefault="004C4800" w:rsidP="009223C2">
      <w:pPr>
        <w:pStyle w:val="NormalIndent1"/>
        <w:rPr>
          <w:color w:val="262626" w:themeColor="text1" w:themeTint="D9"/>
        </w:rPr>
      </w:pPr>
    </w:p>
    <w:p w:rsidR="004C4800" w:rsidRPr="00E465A1" w:rsidRDefault="004C4800" w:rsidP="009223C2">
      <w:pPr>
        <w:pStyle w:val="NormalIndent1"/>
        <w:rPr>
          <w:color w:val="262626" w:themeColor="text1" w:themeTint="D9"/>
        </w:rPr>
      </w:pPr>
    </w:p>
    <w:p w:rsidR="004C4800" w:rsidRPr="00E465A1" w:rsidRDefault="004C4800" w:rsidP="009223C2">
      <w:pPr>
        <w:pStyle w:val="NormalIndent1"/>
        <w:rPr>
          <w:color w:val="262626" w:themeColor="text1" w:themeTint="D9"/>
        </w:rPr>
      </w:pPr>
    </w:p>
    <w:p w:rsidR="004C4800" w:rsidRPr="00E465A1" w:rsidRDefault="004C4800" w:rsidP="009223C2">
      <w:pPr>
        <w:pStyle w:val="NormalIndent1"/>
        <w:rPr>
          <w:color w:val="262626" w:themeColor="text1" w:themeTint="D9"/>
        </w:rPr>
      </w:pPr>
    </w:p>
    <w:p w:rsidR="004C4800" w:rsidRPr="00E465A1" w:rsidRDefault="004C4800" w:rsidP="009223C2">
      <w:pPr>
        <w:pStyle w:val="NormalIndent1"/>
        <w:rPr>
          <w:color w:val="262626" w:themeColor="text1" w:themeTint="D9"/>
        </w:rPr>
      </w:pPr>
    </w:p>
    <w:p w:rsidR="004C4800" w:rsidRPr="00E465A1" w:rsidRDefault="004C4800" w:rsidP="009223C2">
      <w:pPr>
        <w:pStyle w:val="NormalIndent1"/>
        <w:rPr>
          <w:color w:val="262626" w:themeColor="text1" w:themeTint="D9"/>
        </w:rPr>
      </w:pPr>
    </w:p>
    <w:tbl>
      <w:tblPr>
        <w:tblW w:w="10206"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0206"/>
      </w:tblGrid>
      <w:tr w:rsidR="00E465A1" w:rsidRPr="00E465A1" w:rsidTr="00C14BBF">
        <w:trPr>
          <w:trHeight w:val="20"/>
        </w:trPr>
        <w:tc>
          <w:tcPr>
            <w:tcW w:w="10206" w:type="dxa"/>
            <w:tcBorders>
              <w:top w:val="nil"/>
              <w:left w:val="nil"/>
              <w:bottom w:val="nil"/>
              <w:right w:val="nil"/>
            </w:tcBorders>
            <w:noWrap/>
            <w:vAlign w:val="bottom"/>
          </w:tcPr>
          <w:p w:rsidR="004C4800" w:rsidRPr="00E465A1" w:rsidRDefault="004C4800" w:rsidP="00C14BBF">
            <w:pPr>
              <w:pStyle w:val="Normal115pttext"/>
              <w:rPr>
                <w:color w:val="262626" w:themeColor="text1" w:themeTint="D9"/>
              </w:rPr>
            </w:pPr>
            <w:r w:rsidRPr="00E465A1">
              <w:rPr>
                <w:color w:val="262626" w:themeColor="text1" w:themeTint="D9"/>
              </w:rPr>
              <w:lastRenderedPageBreak/>
              <w:t xml:space="preserve">Note </w:t>
            </w:r>
            <w:r w:rsidR="0014516F" w:rsidRPr="00E465A1">
              <w:rPr>
                <w:color w:val="262626" w:themeColor="text1" w:themeTint="D9"/>
              </w:rPr>
              <w:t>5</w:t>
            </w:r>
            <w:r w:rsidRPr="00E465A1">
              <w:rPr>
                <w:color w:val="262626" w:themeColor="text1" w:themeTint="D9"/>
              </w:rPr>
              <w:t>:  The Commission, Senior Executive Personnel, Remuneration Expenses and Related Party Transactions (cont’d)</w:t>
            </w:r>
          </w:p>
          <w:p w:rsidR="004C4800" w:rsidRPr="00E465A1" w:rsidRDefault="004C4800" w:rsidP="00C14BBF">
            <w:pPr>
              <w:pStyle w:val="Noteswithhangingindent"/>
              <w:rPr>
                <w:color w:val="262626" w:themeColor="text1" w:themeTint="D9"/>
              </w:rPr>
            </w:pPr>
          </w:p>
        </w:tc>
      </w:tr>
    </w:tbl>
    <w:p w:rsidR="004C4800" w:rsidRPr="00E465A1" w:rsidRDefault="004C4800" w:rsidP="004C4800">
      <w:pPr>
        <w:pStyle w:val="Normalhanginglist105pt"/>
        <w:rPr>
          <w:color w:val="262626" w:themeColor="text1" w:themeTint="D9"/>
        </w:rPr>
      </w:pPr>
      <w:r w:rsidRPr="00E465A1">
        <w:rPr>
          <w:color w:val="262626" w:themeColor="text1" w:themeTint="D9"/>
        </w:rPr>
        <w:t>(d)</w:t>
      </w:r>
      <w:r w:rsidRPr="00E465A1">
        <w:rPr>
          <w:color w:val="262626" w:themeColor="text1" w:themeTint="D9"/>
        </w:rPr>
        <w:tab/>
        <w:t>Remuneration Expenses (cont’d)</w:t>
      </w:r>
    </w:p>
    <w:p w:rsidR="004C4800" w:rsidRPr="00E465A1" w:rsidRDefault="004C4800" w:rsidP="009223C2">
      <w:pPr>
        <w:pStyle w:val="NormalIndent1"/>
        <w:rPr>
          <w:color w:val="262626" w:themeColor="text1" w:themeTint="D9"/>
        </w:rPr>
      </w:pPr>
    </w:p>
    <w:p w:rsidR="00327C14" w:rsidRPr="00E465A1" w:rsidRDefault="000A5345" w:rsidP="00946125">
      <w:pPr>
        <w:rPr>
          <w:color w:val="262626" w:themeColor="text1" w:themeTint="D9"/>
        </w:rPr>
      </w:pPr>
      <w:r w:rsidRPr="00E465A1">
        <w:rPr>
          <w:b/>
          <w:color w:val="262626" w:themeColor="text1" w:themeTint="D9"/>
        </w:rPr>
        <w:t>1 July 201</w:t>
      </w:r>
      <w:r w:rsidR="0088473E" w:rsidRPr="00E465A1">
        <w:rPr>
          <w:b/>
          <w:color w:val="262626" w:themeColor="text1" w:themeTint="D9"/>
        </w:rPr>
        <w:t>7</w:t>
      </w:r>
      <w:r w:rsidR="00FF76E9" w:rsidRPr="00E465A1">
        <w:rPr>
          <w:b/>
          <w:color w:val="262626" w:themeColor="text1" w:themeTint="D9"/>
        </w:rPr>
        <w:t xml:space="preserve"> – 30 June 201</w:t>
      </w:r>
      <w:r w:rsidR="0088473E" w:rsidRPr="00E465A1">
        <w:rPr>
          <w:b/>
          <w:color w:val="262626" w:themeColor="text1" w:themeTint="D9"/>
        </w:rPr>
        <w:t>8</w:t>
      </w:r>
      <w:r w:rsidR="000E5462" w:rsidRPr="00E465A1">
        <w:rPr>
          <w:b/>
          <w:color w:val="262626" w:themeColor="text1" w:themeTint="D9"/>
        </w:rPr>
        <w:t>*</w:t>
      </w:r>
    </w:p>
    <w:tbl>
      <w:tblPr>
        <w:tblW w:w="10348" w:type="dxa"/>
        <w:tblLayout w:type="fixed"/>
        <w:tblCellMar>
          <w:left w:w="0" w:type="dxa"/>
          <w:bottom w:w="11" w:type="dxa"/>
          <w:right w:w="0" w:type="dxa"/>
        </w:tblCellMar>
        <w:tblLook w:val="04A0" w:firstRow="1" w:lastRow="0" w:firstColumn="1" w:lastColumn="0" w:noHBand="0" w:noVBand="1"/>
      </w:tblPr>
      <w:tblGrid>
        <w:gridCol w:w="3119"/>
        <w:gridCol w:w="2410"/>
        <w:gridCol w:w="993"/>
        <w:gridCol w:w="992"/>
        <w:gridCol w:w="992"/>
        <w:gridCol w:w="992"/>
        <w:gridCol w:w="850"/>
      </w:tblGrid>
      <w:tr w:rsidR="00E465A1" w:rsidRPr="00E465A1" w:rsidTr="00BA7ADA">
        <w:trPr>
          <w:trHeight w:hRule="exact" w:val="907"/>
        </w:trPr>
        <w:tc>
          <w:tcPr>
            <w:tcW w:w="3119" w:type="dxa"/>
            <w:tcBorders>
              <w:top w:val="single" w:sz="4" w:space="0" w:color="auto"/>
              <w:right w:val="single" w:sz="4" w:space="0" w:color="auto"/>
            </w:tcBorders>
            <w:shd w:val="clear" w:color="auto" w:fill="auto"/>
            <w:tcMar>
              <w:top w:w="0" w:type="dxa"/>
            </w:tcMar>
            <w:vAlign w:val="center"/>
          </w:tcPr>
          <w:p w:rsidR="002B4CC3" w:rsidRPr="00E465A1" w:rsidRDefault="002B4CC3" w:rsidP="00E30C12">
            <w:pPr>
              <w:pStyle w:val="Normaltabletextleft"/>
              <w:spacing w:line="220" w:lineRule="exact"/>
              <w:rPr>
                <w:b/>
                <w:color w:val="262626" w:themeColor="text1" w:themeTint="D9"/>
                <w:sz w:val="16"/>
                <w:szCs w:val="16"/>
              </w:rPr>
            </w:pPr>
            <w:r w:rsidRPr="00E465A1">
              <w:rPr>
                <w:b/>
                <w:color w:val="262626" w:themeColor="text1" w:themeTint="D9"/>
                <w:sz w:val="16"/>
                <w:szCs w:val="16"/>
              </w:rPr>
              <w:t>Position</w:t>
            </w:r>
          </w:p>
        </w:tc>
        <w:tc>
          <w:tcPr>
            <w:tcW w:w="2410" w:type="dxa"/>
            <w:tcBorders>
              <w:top w:val="single" w:sz="4" w:space="0" w:color="auto"/>
              <w:left w:val="single" w:sz="4" w:space="0" w:color="auto"/>
              <w:right w:val="single" w:sz="4" w:space="0" w:color="auto"/>
            </w:tcBorders>
            <w:vAlign w:val="center"/>
          </w:tcPr>
          <w:p w:rsidR="002B4CC3" w:rsidRPr="00E465A1" w:rsidRDefault="002B4CC3" w:rsidP="00E30C12">
            <w:pPr>
              <w:pStyle w:val="Normaltabletextleft"/>
              <w:tabs>
                <w:tab w:val="left" w:pos="371"/>
              </w:tabs>
              <w:spacing w:line="220" w:lineRule="exact"/>
              <w:jc w:val="center"/>
              <w:rPr>
                <w:b/>
                <w:color w:val="262626" w:themeColor="text1" w:themeTint="D9"/>
                <w:sz w:val="16"/>
                <w:szCs w:val="16"/>
              </w:rPr>
            </w:pPr>
            <w:r w:rsidRPr="00E465A1">
              <w:rPr>
                <w:b/>
                <w:color w:val="262626" w:themeColor="text1" w:themeTint="D9"/>
                <w:sz w:val="16"/>
                <w:szCs w:val="16"/>
              </w:rPr>
              <w:t>Contract classification and appointment authority</w:t>
            </w:r>
          </w:p>
        </w:tc>
        <w:tc>
          <w:tcPr>
            <w:tcW w:w="993" w:type="dxa"/>
            <w:tcBorders>
              <w:top w:val="single" w:sz="4" w:space="0" w:color="auto"/>
              <w:left w:val="single" w:sz="4" w:space="0" w:color="auto"/>
              <w:right w:val="single" w:sz="4" w:space="0" w:color="auto"/>
            </w:tcBorders>
            <w:shd w:val="clear" w:color="auto" w:fill="auto"/>
            <w:tcMar>
              <w:top w:w="28" w:type="dxa"/>
              <w:left w:w="0" w:type="dxa"/>
              <w:bottom w:w="57" w:type="dxa"/>
              <w:right w:w="0" w:type="dxa"/>
            </w:tcMar>
            <w:vAlign w:val="center"/>
          </w:tcPr>
          <w:p w:rsidR="002B4CC3" w:rsidRPr="00E465A1" w:rsidRDefault="002B4CC3" w:rsidP="00BA4011">
            <w:pPr>
              <w:pStyle w:val="Normaltabletext1stpararight"/>
              <w:spacing w:line="220" w:lineRule="exact"/>
              <w:jc w:val="center"/>
              <w:rPr>
                <w:b/>
                <w:color w:val="262626" w:themeColor="text1" w:themeTint="D9"/>
                <w:sz w:val="16"/>
                <w:szCs w:val="16"/>
              </w:rPr>
            </w:pPr>
          </w:p>
          <w:p w:rsidR="002B4CC3" w:rsidRPr="00E465A1" w:rsidRDefault="002B4CC3"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Monetary Expenses</w:t>
            </w:r>
          </w:p>
          <w:p w:rsidR="002B4CC3" w:rsidRPr="00E465A1" w:rsidRDefault="002B4CC3"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$’000</w:t>
            </w:r>
          </w:p>
        </w:tc>
        <w:tc>
          <w:tcPr>
            <w:tcW w:w="992" w:type="dxa"/>
            <w:tcBorders>
              <w:top w:val="single" w:sz="4" w:space="0" w:color="auto"/>
              <w:left w:val="single" w:sz="4" w:space="0" w:color="auto"/>
              <w:right w:val="single" w:sz="4" w:space="0" w:color="auto"/>
            </w:tcBorders>
            <w:shd w:val="clear" w:color="auto" w:fill="auto"/>
            <w:tcMar>
              <w:top w:w="28" w:type="dxa"/>
              <w:left w:w="0" w:type="dxa"/>
              <w:bottom w:w="57" w:type="dxa"/>
              <w:right w:w="0" w:type="dxa"/>
            </w:tcMar>
            <w:vAlign w:val="bottom"/>
          </w:tcPr>
          <w:p w:rsidR="002B4CC3" w:rsidRPr="00E465A1" w:rsidRDefault="002B4CC3"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Long-Term Employee Expenses</w:t>
            </w:r>
          </w:p>
          <w:p w:rsidR="002B4CC3" w:rsidRPr="00E465A1" w:rsidRDefault="002B4CC3" w:rsidP="00BA4011">
            <w:pPr>
              <w:pStyle w:val="Normaltabletext1stpararight"/>
              <w:spacing w:line="220" w:lineRule="exact"/>
              <w:ind w:right="113"/>
              <w:jc w:val="center"/>
              <w:rPr>
                <w:b/>
                <w:color w:val="262626" w:themeColor="text1" w:themeTint="D9"/>
                <w:sz w:val="16"/>
                <w:szCs w:val="16"/>
              </w:rPr>
            </w:pPr>
            <w:r w:rsidRPr="00E465A1">
              <w:rPr>
                <w:b/>
                <w:color w:val="262626" w:themeColor="text1" w:themeTint="D9"/>
                <w:sz w:val="16"/>
                <w:szCs w:val="16"/>
              </w:rPr>
              <w:t>$’000</w:t>
            </w:r>
          </w:p>
        </w:tc>
        <w:tc>
          <w:tcPr>
            <w:tcW w:w="992" w:type="dxa"/>
            <w:tcBorders>
              <w:top w:val="single" w:sz="4" w:space="0" w:color="auto"/>
              <w:left w:val="single" w:sz="4" w:space="0" w:color="auto"/>
              <w:right w:val="single" w:sz="4" w:space="0" w:color="auto"/>
            </w:tcBorders>
            <w:shd w:val="clear" w:color="auto" w:fill="auto"/>
            <w:tcMar>
              <w:top w:w="28" w:type="dxa"/>
              <w:left w:w="0" w:type="dxa"/>
              <w:bottom w:w="57" w:type="dxa"/>
              <w:right w:w="0" w:type="dxa"/>
            </w:tcMar>
            <w:vAlign w:val="bottom"/>
          </w:tcPr>
          <w:p w:rsidR="002B4CC3" w:rsidRPr="00E465A1" w:rsidRDefault="002B4CC3"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Post-Employment Expenses</w:t>
            </w:r>
          </w:p>
          <w:p w:rsidR="002B4CC3" w:rsidRPr="00E465A1" w:rsidRDefault="002B4CC3" w:rsidP="00BA4011">
            <w:pPr>
              <w:pStyle w:val="Normaltabletext1stpararight"/>
              <w:spacing w:line="220" w:lineRule="exact"/>
              <w:ind w:right="113"/>
              <w:jc w:val="center"/>
              <w:rPr>
                <w:b/>
                <w:color w:val="262626" w:themeColor="text1" w:themeTint="D9"/>
                <w:sz w:val="16"/>
                <w:szCs w:val="16"/>
              </w:rPr>
            </w:pPr>
            <w:r w:rsidRPr="00E465A1">
              <w:rPr>
                <w:b/>
                <w:color w:val="262626" w:themeColor="text1" w:themeTint="D9"/>
                <w:sz w:val="16"/>
                <w:szCs w:val="16"/>
              </w:rPr>
              <w:t>$’000</w:t>
            </w:r>
          </w:p>
        </w:tc>
        <w:tc>
          <w:tcPr>
            <w:tcW w:w="992" w:type="dxa"/>
            <w:tcBorders>
              <w:top w:val="single" w:sz="4" w:space="0" w:color="auto"/>
              <w:left w:val="single" w:sz="4" w:space="0" w:color="auto"/>
              <w:right w:val="single" w:sz="4" w:space="0" w:color="auto"/>
            </w:tcBorders>
            <w:vAlign w:val="bottom"/>
          </w:tcPr>
          <w:p w:rsidR="002B4CC3" w:rsidRPr="00E465A1" w:rsidRDefault="002B4CC3"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Termination Benefits  $’000</w:t>
            </w:r>
          </w:p>
        </w:tc>
        <w:tc>
          <w:tcPr>
            <w:tcW w:w="850" w:type="dxa"/>
            <w:tcBorders>
              <w:top w:val="single" w:sz="4" w:space="0" w:color="auto"/>
              <w:left w:val="single" w:sz="4" w:space="0" w:color="auto"/>
            </w:tcBorders>
            <w:shd w:val="clear" w:color="auto" w:fill="auto"/>
            <w:tcMar>
              <w:top w:w="28" w:type="dxa"/>
              <w:left w:w="0" w:type="dxa"/>
              <w:bottom w:w="57" w:type="dxa"/>
              <w:right w:w="0" w:type="dxa"/>
            </w:tcMar>
            <w:vAlign w:val="bottom"/>
          </w:tcPr>
          <w:p w:rsidR="002B4CC3" w:rsidRPr="00E465A1" w:rsidRDefault="002B4CC3"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Total</w:t>
            </w:r>
            <w:r w:rsidRPr="00E465A1">
              <w:rPr>
                <w:b/>
                <w:color w:val="262626" w:themeColor="text1" w:themeTint="D9"/>
                <w:sz w:val="16"/>
                <w:szCs w:val="16"/>
              </w:rPr>
              <w:br/>
              <w:t>Expenses</w:t>
            </w:r>
          </w:p>
          <w:p w:rsidR="002B4CC3" w:rsidRPr="00E465A1" w:rsidRDefault="002B4CC3" w:rsidP="00BA4011">
            <w:pPr>
              <w:pStyle w:val="Normaltabletext1stpararight"/>
              <w:spacing w:line="220" w:lineRule="exact"/>
              <w:ind w:right="113"/>
              <w:jc w:val="center"/>
              <w:rPr>
                <w:b/>
                <w:color w:val="262626" w:themeColor="text1" w:themeTint="D9"/>
                <w:sz w:val="16"/>
                <w:szCs w:val="16"/>
              </w:rPr>
            </w:pPr>
            <w:r w:rsidRPr="00E465A1">
              <w:rPr>
                <w:b/>
                <w:color w:val="262626" w:themeColor="text1" w:themeTint="D9"/>
                <w:sz w:val="16"/>
                <w:szCs w:val="16"/>
              </w:rPr>
              <w:t>$’000</w:t>
            </w:r>
          </w:p>
        </w:tc>
      </w:tr>
      <w:tr w:rsidR="00E465A1" w:rsidRPr="00E465A1" w:rsidTr="00BA7ADA">
        <w:trPr>
          <w:trHeight w:val="455"/>
        </w:trPr>
        <w:tc>
          <w:tcPr>
            <w:tcW w:w="3119" w:type="dxa"/>
            <w:tcBorders>
              <w:top w:val="single" w:sz="4" w:space="0" w:color="auto"/>
              <w:bottom w:val="single" w:sz="4" w:space="0" w:color="auto"/>
              <w:right w:val="single" w:sz="4" w:space="0" w:color="auto"/>
            </w:tcBorders>
            <w:tcMar>
              <w:top w:w="28" w:type="dxa"/>
              <w:bottom w:w="57" w:type="dxa"/>
            </w:tcMar>
            <w:vAlign w:val="center"/>
          </w:tcPr>
          <w:p w:rsidR="002B4CC3" w:rsidRPr="00E465A1" w:rsidRDefault="002B4CC3" w:rsidP="00341F67">
            <w:pPr>
              <w:pStyle w:val="Normaltabletextleft"/>
              <w:spacing w:line="220" w:lineRule="exact"/>
              <w:rPr>
                <w:color w:val="262626" w:themeColor="text1" w:themeTint="D9"/>
                <w:sz w:val="16"/>
                <w:szCs w:val="16"/>
              </w:rPr>
            </w:pPr>
            <w:r w:rsidRPr="00E465A1">
              <w:rPr>
                <w:color w:val="262626" w:themeColor="text1" w:themeTint="D9"/>
                <w:sz w:val="16"/>
                <w:szCs w:val="16"/>
              </w:rPr>
              <w:t>Chairperson</w:t>
            </w:r>
            <w:r w:rsidR="007B5183" w:rsidRPr="00E465A1">
              <w:rPr>
                <w:color w:val="262626" w:themeColor="text1" w:themeTint="D9"/>
                <w:sz w:val="16"/>
                <w:szCs w:val="16"/>
              </w:rPr>
              <w:t>¹</w:t>
            </w:r>
            <w:r w:rsidRPr="00E465A1">
              <w:rPr>
                <w:color w:val="262626" w:themeColor="text1" w:themeTint="D9"/>
                <w:sz w:val="16"/>
                <w:szCs w:val="16"/>
              </w:rPr>
              <w:t xml:space="preserve"> – 1 September 2015 to current </w:t>
            </w:r>
          </w:p>
        </w:tc>
        <w:tc>
          <w:tcPr>
            <w:tcW w:w="2410" w:type="dxa"/>
            <w:tcBorders>
              <w:top w:val="single" w:sz="4" w:space="0" w:color="auto"/>
              <w:left w:val="single" w:sz="4" w:space="0" w:color="auto"/>
              <w:bottom w:val="single" w:sz="4" w:space="0" w:color="auto"/>
              <w:right w:val="single" w:sz="4" w:space="0" w:color="auto"/>
            </w:tcBorders>
            <w:tcMar>
              <w:left w:w="57" w:type="dxa"/>
            </w:tcMar>
            <w:vAlign w:val="center"/>
          </w:tcPr>
          <w:p w:rsidR="002B4CC3" w:rsidRPr="00E465A1" w:rsidRDefault="002B4CC3" w:rsidP="00341F67">
            <w:pPr>
              <w:pStyle w:val="Normaltabletextleft"/>
              <w:spacing w:line="220" w:lineRule="exact"/>
              <w:rPr>
                <w:i/>
                <w:color w:val="262626" w:themeColor="text1" w:themeTint="D9"/>
                <w:spacing w:val="-2"/>
                <w:sz w:val="16"/>
                <w:szCs w:val="16"/>
              </w:rPr>
            </w:pPr>
            <w:r w:rsidRPr="00E465A1">
              <w:rPr>
                <w:color w:val="262626" w:themeColor="text1" w:themeTint="D9"/>
                <w:spacing w:val="-2"/>
                <w:sz w:val="16"/>
                <w:szCs w:val="16"/>
              </w:rPr>
              <w:t xml:space="preserve">Crime </w:t>
            </w:r>
            <w:r w:rsidRPr="00E465A1">
              <w:rPr>
                <w:i/>
                <w:color w:val="262626" w:themeColor="text1" w:themeTint="D9"/>
                <w:spacing w:val="-2"/>
                <w:sz w:val="16"/>
                <w:szCs w:val="16"/>
              </w:rPr>
              <w:t>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2B4CC3" w:rsidRPr="00E465A1" w:rsidRDefault="00247377"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471</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2B4CC3" w:rsidRPr="00E465A1" w:rsidRDefault="00247377"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10</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2B4CC3" w:rsidRPr="00E465A1" w:rsidRDefault="00247377"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5</w:t>
            </w:r>
          </w:p>
        </w:tc>
        <w:tc>
          <w:tcPr>
            <w:tcW w:w="992" w:type="dxa"/>
            <w:tcBorders>
              <w:top w:val="single" w:sz="4" w:space="0" w:color="auto"/>
              <w:left w:val="single" w:sz="4" w:space="0" w:color="auto"/>
              <w:bottom w:val="single" w:sz="4" w:space="0" w:color="auto"/>
              <w:right w:val="single" w:sz="4" w:space="0" w:color="auto"/>
            </w:tcBorders>
            <w:vAlign w:val="center"/>
          </w:tcPr>
          <w:p w:rsidR="002B4CC3" w:rsidRPr="00E465A1" w:rsidRDefault="00921835" w:rsidP="009E1F8F">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2B4CC3" w:rsidRPr="00E465A1" w:rsidRDefault="00247377"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486</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2B4CC3" w:rsidRPr="00E465A1" w:rsidRDefault="002B4CC3" w:rsidP="00341F67">
            <w:pPr>
              <w:pStyle w:val="Normaltabletextleft"/>
              <w:spacing w:line="220" w:lineRule="exact"/>
              <w:rPr>
                <w:color w:val="262626" w:themeColor="text1" w:themeTint="D9"/>
                <w:sz w:val="16"/>
                <w:szCs w:val="16"/>
              </w:rPr>
            </w:pPr>
            <w:r w:rsidRPr="00E465A1">
              <w:rPr>
                <w:color w:val="262626" w:themeColor="text1" w:themeTint="D9"/>
                <w:sz w:val="16"/>
                <w:szCs w:val="16"/>
              </w:rPr>
              <w:t xml:space="preserve">Chief Executive Officer – 1 January 2016 to current </w:t>
            </w:r>
          </w:p>
        </w:tc>
        <w:tc>
          <w:tcPr>
            <w:tcW w:w="2410" w:type="dxa"/>
            <w:tcBorders>
              <w:top w:val="single" w:sz="4" w:space="0" w:color="auto"/>
              <w:left w:val="single" w:sz="4" w:space="0" w:color="auto"/>
              <w:right w:val="single" w:sz="4" w:space="0" w:color="auto"/>
            </w:tcBorders>
            <w:tcMar>
              <w:left w:w="57" w:type="dxa"/>
            </w:tcMar>
            <w:vAlign w:val="center"/>
          </w:tcPr>
          <w:p w:rsidR="002B4CC3" w:rsidRPr="00E465A1" w:rsidRDefault="002B4CC3" w:rsidP="00341F67">
            <w:pPr>
              <w:pStyle w:val="Normaltabletextleft"/>
              <w:spacing w:line="220" w:lineRule="exact"/>
              <w:rPr>
                <w:color w:val="262626" w:themeColor="text1" w:themeTint="D9"/>
                <w:sz w:val="16"/>
                <w:szCs w:val="16"/>
              </w:rPr>
            </w:pPr>
            <w:r w:rsidRPr="00E465A1">
              <w:rPr>
                <w:color w:val="262626" w:themeColor="text1" w:themeTint="D9"/>
                <w:spacing w:val="-2"/>
                <w:sz w:val="16"/>
                <w:szCs w:val="16"/>
              </w:rPr>
              <w:t xml:space="preserve">CEO,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4CC3" w:rsidRPr="00E465A1" w:rsidRDefault="00921835"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145</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4CC3" w:rsidRPr="00E465A1" w:rsidRDefault="00615FC4"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3</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4CC3" w:rsidRPr="00E465A1" w:rsidRDefault="00921835" w:rsidP="00615FC4">
            <w:pPr>
              <w:pStyle w:val="Normaltabletext1stpararight"/>
              <w:spacing w:line="220" w:lineRule="exact"/>
              <w:rPr>
                <w:color w:val="262626" w:themeColor="text1" w:themeTint="D9"/>
                <w:sz w:val="16"/>
                <w:szCs w:val="16"/>
              </w:rPr>
            </w:pPr>
            <w:r w:rsidRPr="00E465A1">
              <w:rPr>
                <w:color w:val="262626" w:themeColor="text1" w:themeTint="D9"/>
                <w:sz w:val="16"/>
                <w:szCs w:val="16"/>
              </w:rPr>
              <w:t>3</w:t>
            </w:r>
            <w:r w:rsidR="00615FC4" w:rsidRPr="00E465A1">
              <w:rPr>
                <w:color w:val="262626" w:themeColor="text1" w:themeTint="D9"/>
                <w:sz w:val="16"/>
                <w:szCs w:val="16"/>
              </w:rPr>
              <w:t>4</w:t>
            </w:r>
          </w:p>
        </w:tc>
        <w:tc>
          <w:tcPr>
            <w:tcW w:w="992" w:type="dxa"/>
            <w:tcBorders>
              <w:top w:val="single" w:sz="4" w:space="0" w:color="auto"/>
              <w:left w:val="single" w:sz="4" w:space="0" w:color="auto"/>
              <w:right w:val="single" w:sz="4" w:space="0" w:color="auto"/>
            </w:tcBorders>
            <w:vAlign w:val="center"/>
          </w:tcPr>
          <w:p w:rsidR="002B4CC3" w:rsidRPr="00E465A1" w:rsidRDefault="00921835" w:rsidP="009E1F8F">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2B4CC3" w:rsidRPr="00E465A1" w:rsidRDefault="00615FC4"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182</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0C4372" w:rsidRPr="00E465A1" w:rsidRDefault="000C4372" w:rsidP="00827AF5">
            <w:pPr>
              <w:pStyle w:val="Normaltabletextleft"/>
              <w:spacing w:line="220" w:lineRule="exact"/>
              <w:rPr>
                <w:color w:val="262626" w:themeColor="text1" w:themeTint="D9"/>
                <w:sz w:val="16"/>
                <w:szCs w:val="16"/>
              </w:rPr>
            </w:pPr>
            <w:r w:rsidRPr="00E465A1">
              <w:rPr>
                <w:color w:val="262626" w:themeColor="text1" w:themeTint="D9"/>
                <w:sz w:val="16"/>
                <w:szCs w:val="16"/>
              </w:rPr>
              <w:t xml:space="preserve">Acting Chief Executive Officer – 14 August 2017 to 29 August 2017; 7 October 2017 to 2 February 2018; 19 March 2018 to </w:t>
            </w:r>
            <w:r w:rsidR="00827AF5" w:rsidRPr="00E465A1">
              <w:rPr>
                <w:color w:val="262626" w:themeColor="text1" w:themeTint="D9"/>
                <w:sz w:val="16"/>
                <w:szCs w:val="16"/>
              </w:rPr>
              <w:t>current</w:t>
            </w:r>
          </w:p>
        </w:tc>
        <w:tc>
          <w:tcPr>
            <w:tcW w:w="2410" w:type="dxa"/>
            <w:tcBorders>
              <w:top w:val="single" w:sz="4" w:space="0" w:color="auto"/>
              <w:left w:val="single" w:sz="4" w:space="0" w:color="auto"/>
              <w:bottom w:val="single" w:sz="4" w:space="0" w:color="auto"/>
              <w:right w:val="single" w:sz="4" w:space="0" w:color="auto"/>
            </w:tcBorders>
            <w:tcMar>
              <w:left w:w="57" w:type="dxa"/>
            </w:tcMar>
            <w:vAlign w:val="center"/>
          </w:tcPr>
          <w:p w:rsidR="000C4372" w:rsidRPr="00E465A1" w:rsidRDefault="000C4372" w:rsidP="00341F67">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 xml:space="preserve">CEO,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0C4372" w:rsidRPr="00E465A1" w:rsidRDefault="00065DD3" w:rsidP="00614D9F">
            <w:pPr>
              <w:pStyle w:val="Normaltabletext1stpararight"/>
              <w:spacing w:line="220" w:lineRule="exact"/>
              <w:rPr>
                <w:color w:val="262626" w:themeColor="text1" w:themeTint="D9"/>
                <w:sz w:val="16"/>
                <w:szCs w:val="16"/>
              </w:rPr>
            </w:pPr>
            <w:r w:rsidRPr="00E465A1">
              <w:rPr>
                <w:color w:val="262626" w:themeColor="text1" w:themeTint="D9"/>
                <w:sz w:val="16"/>
                <w:szCs w:val="16"/>
              </w:rPr>
              <w:t>199</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0C4372" w:rsidRPr="00E465A1" w:rsidRDefault="00065DD3"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4</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0C4372" w:rsidRPr="00E465A1" w:rsidRDefault="00065DD3"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17</w:t>
            </w:r>
          </w:p>
        </w:tc>
        <w:tc>
          <w:tcPr>
            <w:tcW w:w="992" w:type="dxa"/>
            <w:tcBorders>
              <w:top w:val="single" w:sz="4" w:space="0" w:color="auto"/>
              <w:left w:val="single" w:sz="4" w:space="0" w:color="auto"/>
              <w:bottom w:val="single" w:sz="4" w:space="0" w:color="auto"/>
              <w:right w:val="single" w:sz="4" w:space="0" w:color="auto"/>
            </w:tcBorders>
            <w:vAlign w:val="center"/>
          </w:tcPr>
          <w:p w:rsidR="000C4372" w:rsidRPr="00E465A1" w:rsidRDefault="00065DD3" w:rsidP="009E1F8F">
            <w:pPr>
              <w:pStyle w:val="Normaltabletext1stpararight"/>
              <w:spacing w:line="220" w:lineRule="exact"/>
              <w:ind w:right="141"/>
              <w:rPr>
                <w:color w:val="262626" w:themeColor="text1" w:themeTint="D9"/>
              </w:rPr>
            </w:pPr>
            <w:r w:rsidRPr="00E465A1">
              <w:rPr>
                <w:color w:val="262626" w:themeColor="text1" w:themeTint="D9"/>
              </w:rPr>
              <w:t>–</w:t>
            </w:r>
          </w:p>
        </w:tc>
        <w:tc>
          <w:tcPr>
            <w:tcW w:w="850"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0C4372" w:rsidRPr="00E465A1" w:rsidRDefault="00065DD3"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220</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2B4CC3" w:rsidRPr="00E465A1" w:rsidRDefault="0014672E" w:rsidP="0014672E">
            <w:pPr>
              <w:pStyle w:val="Normaltabletextleft"/>
              <w:spacing w:line="220" w:lineRule="exact"/>
              <w:rPr>
                <w:color w:val="262626" w:themeColor="text1" w:themeTint="D9"/>
                <w:sz w:val="16"/>
                <w:szCs w:val="16"/>
              </w:rPr>
            </w:pPr>
            <w:r w:rsidRPr="00E465A1">
              <w:rPr>
                <w:color w:val="262626" w:themeColor="text1" w:themeTint="D9"/>
                <w:sz w:val="16"/>
                <w:szCs w:val="16"/>
              </w:rPr>
              <w:t xml:space="preserve">Senior </w:t>
            </w:r>
            <w:r w:rsidR="002B4CC3" w:rsidRPr="00E465A1">
              <w:rPr>
                <w:color w:val="262626" w:themeColor="text1" w:themeTint="D9"/>
                <w:sz w:val="16"/>
                <w:szCs w:val="16"/>
              </w:rPr>
              <w:t xml:space="preserve">Executive </w:t>
            </w:r>
            <w:r w:rsidRPr="00E465A1">
              <w:rPr>
                <w:color w:val="262626" w:themeColor="text1" w:themeTint="D9"/>
                <w:sz w:val="16"/>
                <w:szCs w:val="16"/>
              </w:rPr>
              <w:t>Officer</w:t>
            </w:r>
            <w:r w:rsidR="009223C2" w:rsidRPr="00E465A1">
              <w:rPr>
                <w:color w:val="262626" w:themeColor="text1" w:themeTint="D9"/>
                <w:sz w:val="16"/>
                <w:szCs w:val="16"/>
              </w:rPr>
              <w:t>, Corruption</w:t>
            </w:r>
            <w:r w:rsidRPr="00E465A1">
              <w:rPr>
                <w:color w:val="262626" w:themeColor="text1" w:themeTint="D9"/>
                <w:sz w:val="16"/>
                <w:szCs w:val="16"/>
              </w:rPr>
              <w:t xml:space="preserve"> (previously Executive Director) </w:t>
            </w:r>
            <w:r w:rsidR="009223C2" w:rsidRPr="00E465A1">
              <w:rPr>
                <w:color w:val="262626" w:themeColor="text1" w:themeTint="D9"/>
                <w:sz w:val="16"/>
                <w:szCs w:val="16"/>
              </w:rPr>
              <w:t xml:space="preserve"> – 3 October 2017</w:t>
            </w:r>
            <w:r w:rsidR="002B4CC3" w:rsidRPr="00E465A1">
              <w:rPr>
                <w:color w:val="262626" w:themeColor="text1" w:themeTint="D9"/>
                <w:sz w:val="16"/>
                <w:szCs w:val="16"/>
              </w:rPr>
              <w:t xml:space="preserve"> to current</w:t>
            </w:r>
          </w:p>
        </w:tc>
        <w:tc>
          <w:tcPr>
            <w:tcW w:w="2410" w:type="dxa"/>
            <w:tcBorders>
              <w:top w:val="single" w:sz="4" w:space="0" w:color="auto"/>
              <w:left w:val="single" w:sz="4" w:space="0" w:color="auto"/>
              <w:bottom w:val="single" w:sz="4" w:space="0" w:color="auto"/>
              <w:right w:val="single" w:sz="4" w:space="0" w:color="auto"/>
            </w:tcBorders>
            <w:tcMar>
              <w:left w:w="57" w:type="dxa"/>
            </w:tcMar>
            <w:vAlign w:val="center"/>
          </w:tcPr>
          <w:p w:rsidR="002B4CC3" w:rsidRPr="00E465A1" w:rsidRDefault="002B4CC3" w:rsidP="00341F67">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 xml:space="preserve">SES4,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2B4CC3" w:rsidRPr="00E465A1" w:rsidRDefault="00614D9F" w:rsidP="00614D9F">
            <w:pPr>
              <w:pStyle w:val="Normaltabletext1stpararight"/>
              <w:spacing w:line="220" w:lineRule="exact"/>
              <w:rPr>
                <w:color w:val="262626" w:themeColor="text1" w:themeTint="D9"/>
                <w:sz w:val="16"/>
                <w:szCs w:val="16"/>
              </w:rPr>
            </w:pPr>
            <w:r w:rsidRPr="00E465A1">
              <w:rPr>
                <w:color w:val="262626" w:themeColor="text1" w:themeTint="D9"/>
                <w:sz w:val="16"/>
                <w:szCs w:val="16"/>
              </w:rPr>
              <w:t>193</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2B4CC3" w:rsidRPr="00E465A1" w:rsidRDefault="00614D9F"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4</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2B4CC3" w:rsidRPr="00E465A1" w:rsidRDefault="00614D9F"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22</w:t>
            </w:r>
          </w:p>
        </w:tc>
        <w:tc>
          <w:tcPr>
            <w:tcW w:w="992" w:type="dxa"/>
            <w:tcBorders>
              <w:top w:val="single" w:sz="4" w:space="0" w:color="auto"/>
              <w:left w:val="single" w:sz="4" w:space="0" w:color="auto"/>
              <w:bottom w:val="single" w:sz="4" w:space="0" w:color="auto"/>
              <w:right w:val="single" w:sz="4" w:space="0" w:color="auto"/>
            </w:tcBorders>
            <w:vAlign w:val="center"/>
          </w:tcPr>
          <w:p w:rsidR="002B4CC3" w:rsidRPr="00E465A1" w:rsidRDefault="00614D9F" w:rsidP="009E1F8F">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2B4CC3" w:rsidRPr="00E465A1" w:rsidRDefault="00614D9F"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219</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9223C2" w:rsidRPr="00E465A1" w:rsidRDefault="009223C2" w:rsidP="0057304F">
            <w:pPr>
              <w:pStyle w:val="Normaltabletextleft"/>
              <w:spacing w:line="220" w:lineRule="exact"/>
              <w:rPr>
                <w:color w:val="262626" w:themeColor="text1" w:themeTint="D9"/>
                <w:sz w:val="16"/>
                <w:szCs w:val="16"/>
              </w:rPr>
            </w:pPr>
            <w:r w:rsidRPr="00E465A1">
              <w:rPr>
                <w:color w:val="262626" w:themeColor="text1" w:themeTint="D9"/>
                <w:sz w:val="16"/>
                <w:szCs w:val="16"/>
              </w:rPr>
              <w:t>Executive Director, Corruption – 15 September 2014 to 15 September 2017</w:t>
            </w:r>
          </w:p>
        </w:tc>
        <w:tc>
          <w:tcPr>
            <w:tcW w:w="2410" w:type="dxa"/>
            <w:tcBorders>
              <w:top w:val="single" w:sz="4" w:space="0" w:color="auto"/>
              <w:left w:val="single" w:sz="4" w:space="0" w:color="auto"/>
              <w:bottom w:val="single" w:sz="4" w:space="0" w:color="auto"/>
              <w:right w:val="single" w:sz="4" w:space="0" w:color="auto"/>
            </w:tcBorders>
            <w:tcMar>
              <w:left w:w="57" w:type="dxa"/>
            </w:tcMar>
            <w:vAlign w:val="center"/>
          </w:tcPr>
          <w:p w:rsidR="009223C2" w:rsidRPr="00E465A1" w:rsidRDefault="00B93ADD" w:rsidP="00341F67">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 xml:space="preserve">SES4,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9223C2" w:rsidRPr="00E465A1" w:rsidRDefault="00612419"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62</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9223C2" w:rsidRPr="00E465A1" w:rsidRDefault="00065DD3" w:rsidP="00612419">
            <w:pPr>
              <w:pStyle w:val="Normaltabletext1stpararight"/>
              <w:spacing w:line="220" w:lineRule="exact"/>
              <w:rPr>
                <w:color w:val="262626" w:themeColor="text1" w:themeTint="D9"/>
                <w:sz w:val="16"/>
                <w:szCs w:val="16"/>
              </w:rPr>
            </w:pPr>
            <w:r w:rsidRPr="00E465A1">
              <w:rPr>
                <w:color w:val="262626" w:themeColor="text1" w:themeTint="D9"/>
                <w:sz w:val="16"/>
                <w:szCs w:val="16"/>
              </w:rPr>
              <w:t>2</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9223C2" w:rsidRPr="00E465A1" w:rsidRDefault="00612419"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6</w:t>
            </w:r>
          </w:p>
        </w:tc>
        <w:tc>
          <w:tcPr>
            <w:tcW w:w="992" w:type="dxa"/>
            <w:tcBorders>
              <w:top w:val="single" w:sz="4" w:space="0" w:color="auto"/>
              <w:left w:val="single" w:sz="4" w:space="0" w:color="auto"/>
              <w:bottom w:val="single" w:sz="4" w:space="0" w:color="auto"/>
              <w:right w:val="single" w:sz="4" w:space="0" w:color="auto"/>
            </w:tcBorders>
            <w:vAlign w:val="center"/>
          </w:tcPr>
          <w:p w:rsidR="009223C2" w:rsidRPr="00E465A1" w:rsidRDefault="00612419" w:rsidP="009E1F8F">
            <w:pPr>
              <w:pStyle w:val="Normaltabletext1stpararight"/>
              <w:spacing w:line="220" w:lineRule="exact"/>
              <w:ind w:right="141"/>
              <w:rPr>
                <w:color w:val="262626" w:themeColor="text1" w:themeTint="D9"/>
                <w:sz w:val="16"/>
                <w:szCs w:val="16"/>
              </w:rPr>
            </w:pPr>
            <w:r w:rsidRPr="00E465A1">
              <w:rPr>
                <w:color w:val="262626" w:themeColor="text1" w:themeTint="D9"/>
                <w:sz w:val="16"/>
                <w:szCs w:val="16"/>
              </w:rPr>
              <w:t>48</w:t>
            </w:r>
          </w:p>
        </w:tc>
        <w:tc>
          <w:tcPr>
            <w:tcW w:w="850"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9223C2" w:rsidRPr="00E465A1" w:rsidRDefault="00065DD3"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118</w:t>
            </w:r>
          </w:p>
        </w:tc>
      </w:tr>
      <w:tr w:rsidR="00E465A1" w:rsidRPr="00E465A1" w:rsidTr="00BA7ADA">
        <w:trPr>
          <w:trHeight w:val="430"/>
        </w:trPr>
        <w:tc>
          <w:tcPr>
            <w:tcW w:w="3119" w:type="dxa"/>
            <w:tcBorders>
              <w:top w:val="single" w:sz="4" w:space="0" w:color="auto"/>
              <w:bottom w:val="single" w:sz="4" w:space="0" w:color="auto"/>
              <w:right w:val="single" w:sz="4" w:space="0" w:color="auto"/>
            </w:tcBorders>
            <w:tcMar>
              <w:top w:w="28" w:type="dxa"/>
              <w:bottom w:w="57" w:type="dxa"/>
            </w:tcMar>
            <w:vAlign w:val="center"/>
          </w:tcPr>
          <w:p w:rsidR="002B4CC3" w:rsidRPr="00E465A1" w:rsidRDefault="0014672E" w:rsidP="0057304F">
            <w:pPr>
              <w:pStyle w:val="Normaltabletextleft"/>
              <w:spacing w:line="220" w:lineRule="exact"/>
              <w:rPr>
                <w:color w:val="262626" w:themeColor="text1" w:themeTint="D9"/>
                <w:sz w:val="16"/>
                <w:szCs w:val="16"/>
              </w:rPr>
            </w:pPr>
            <w:r w:rsidRPr="00E465A1">
              <w:rPr>
                <w:color w:val="262626" w:themeColor="text1" w:themeTint="D9"/>
                <w:sz w:val="16"/>
                <w:szCs w:val="16"/>
              </w:rPr>
              <w:t>Senior Executive Officer</w:t>
            </w:r>
            <w:r w:rsidR="002B4CC3" w:rsidRPr="00E465A1">
              <w:rPr>
                <w:color w:val="262626" w:themeColor="text1" w:themeTint="D9"/>
                <w:sz w:val="16"/>
                <w:szCs w:val="16"/>
              </w:rPr>
              <w:t>, Crime</w:t>
            </w:r>
            <w:r w:rsidRPr="00E465A1">
              <w:rPr>
                <w:color w:val="262626" w:themeColor="text1" w:themeTint="D9"/>
                <w:sz w:val="16"/>
                <w:szCs w:val="16"/>
              </w:rPr>
              <w:t xml:space="preserve"> (previously Executive Director)</w:t>
            </w:r>
            <w:r w:rsidR="002B4CC3" w:rsidRPr="00E465A1">
              <w:rPr>
                <w:color w:val="262626" w:themeColor="text1" w:themeTint="D9"/>
                <w:sz w:val="16"/>
                <w:szCs w:val="16"/>
              </w:rPr>
              <w:t xml:space="preserve"> </w:t>
            </w:r>
            <w:r w:rsidR="009223C2" w:rsidRPr="00E465A1">
              <w:rPr>
                <w:color w:val="262626" w:themeColor="text1" w:themeTint="D9"/>
                <w:sz w:val="16"/>
                <w:szCs w:val="16"/>
              </w:rPr>
              <w:t>– 3 July 2017 to current</w:t>
            </w:r>
          </w:p>
        </w:tc>
        <w:tc>
          <w:tcPr>
            <w:tcW w:w="2410" w:type="dxa"/>
            <w:tcBorders>
              <w:top w:val="single" w:sz="4" w:space="0" w:color="auto"/>
              <w:left w:val="single" w:sz="4" w:space="0" w:color="auto"/>
              <w:bottom w:val="single" w:sz="4" w:space="0" w:color="auto"/>
              <w:right w:val="single" w:sz="4" w:space="0" w:color="auto"/>
            </w:tcBorders>
            <w:tcMar>
              <w:left w:w="57" w:type="dxa"/>
            </w:tcMar>
            <w:vAlign w:val="center"/>
          </w:tcPr>
          <w:p w:rsidR="002B4CC3" w:rsidRPr="00E465A1" w:rsidRDefault="002B4CC3" w:rsidP="00341F67">
            <w:pPr>
              <w:pStyle w:val="Normaltabletextleft"/>
              <w:spacing w:line="220" w:lineRule="exact"/>
              <w:rPr>
                <w:i/>
                <w:color w:val="262626" w:themeColor="text1" w:themeTint="D9"/>
                <w:spacing w:val="-2"/>
                <w:sz w:val="16"/>
                <w:szCs w:val="16"/>
              </w:rPr>
            </w:pPr>
            <w:r w:rsidRPr="00E465A1">
              <w:rPr>
                <w:color w:val="262626" w:themeColor="text1" w:themeTint="D9"/>
                <w:spacing w:val="-2"/>
                <w:sz w:val="16"/>
                <w:szCs w:val="16"/>
              </w:rPr>
              <w:t xml:space="preserve">SES4,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2B4CC3" w:rsidRPr="00E465A1" w:rsidRDefault="00C97A56"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250</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2B4CC3" w:rsidRPr="00E465A1" w:rsidRDefault="00C97A56"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5</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2B4CC3" w:rsidRPr="00E465A1" w:rsidRDefault="00C97A56"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28</w:t>
            </w:r>
          </w:p>
        </w:tc>
        <w:tc>
          <w:tcPr>
            <w:tcW w:w="992" w:type="dxa"/>
            <w:tcBorders>
              <w:top w:val="single" w:sz="4" w:space="0" w:color="auto"/>
              <w:left w:val="single" w:sz="4" w:space="0" w:color="auto"/>
              <w:bottom w:val="single" w:sz="4" w:space="0" w:color="auto"/>
              <w:right w:val="single" w:sz="4" w:space="0" w:color="auto"/>
            </w:tcBorders>
            <w:vAlign w:val="center"/>
          </w:tcPr>
          <w:p w:rsidR="002B4CC3" w:rsidRPr="00E465A1" w:rsidRDefault="00614D9F" w:rsidP="009E1F8F">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2B4CC3" w:rsidRPr="00E465A1" w:rsidRDefault="00C97A56" w:rsidP="00341F67">
            <w:pPr>
              <w:pStyle w:val="Normaltabletext1stpararight"/>
              <w:spacing w:line="220" w:lineRule="exact"/>
              <w:rPr>
                <w:color w:val="262626" w:themeColor="text1" w:themeTint="D9"/>
                <w:sz w:val="16"/>
                <w:szCs w:val="16"/>
              </w:rPr>
            </w:pPr>
            <w:r w:rsidRPr="00E465A1">
              <w:rPr>
                <w:color w:val="262626" w:themeColor="text1" w:themeTint="D9"/>
                <w:sz w:val="16"/>
                <w:szCs w:val="16"/>
              </w:rPr>
              <w:t>283</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2B4CC3" w:rsidRPr="00E465A1" w:rsidRDefault="002B4CC3" w:rsidP="002B4CC3">
            <w:pPr>
              <w:pStyle w:val="Normaltabletextleft"/>
              <w:spacing w:line="220" w:lineRule="exact"/>
              <w:rPr>
                <w:color w:val="262626" w:themeColor="text1" w:themeTint="D9"/>
                <w:sz w:val="16"/>
                <w:szCs w:val="16"/>
              </w:rPr>
            </w:pPr>
            <w:r w:rsidRPr="00E465A1">
              <w:rPr>
                <w:color w:val="262626" w:themeColor="text1" w:themeTint="D9"/>
                <w:sz w:val="16"/>
                <w:szCs w:val="16"/>
              </w:rPr>
              <w:t xml:space="preserve">Executive Director, Strategic and Corporate Services – 13 July 2015 </w:t>
            </w:r>
            <w:r w:rsidR="00AE3102" w:rsidRPr="00E465A1">
              <w:rPr>
                <w:color w:val="262626" w:themeColor="text1" w:themeTint="D9"/>
                <w:sz w:val="16"/>
                <w:szCs w:val="16"/>
              </w:rPr>
              <w:t>to</w:t>
            </w:r>
            <w:r w:rsidRPr="00E465A1">
              <w:rPr>
                <w:color w:val="262626" w:themeColor="text1" w:themeTint="D9"/>
                <w:sz w:val="16"/>
                <w:szCs w:val="16"/>
              </w:rPr>
              <w:t xml:space="preserve"> current</w:t>
            </w:r>
          </w:p>
        </w:tc>
        <w:tc>
          <w:tcPr>
            <w:tcW w:w="2410" w:type="dxa"/>
            <w:tcBorders>
              <w:top w:val="single" w:sz="4" w:space="0" w:color="auto"/>
              <w:left w:val="single" w:sz="4" w:space="0" w:color="auto"/>
              <w:right w:val="single" w:sz="4" w:space="0" w:color="auto"/>
            </w:tcBorders>
            <w:tcMar>
              <w:left w:w="57" w:type="dxa"/>
            </w:tcMar>
            <w:vAlign w:val="center"/>
          </w:tcPr>
          <w:p w:rsidR="002B4CC3" w:rsidRPr="00E465A1" w:rsidRDefault="002B4CC3" w:rsidP="0057304F">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SES3,</w:t>
            </w:r>
            <w:r w:rsidRPr="00E465A1">
              <w:rPr>
                <w:i/>
                <w:color w:val="262626" w:themeColor="text1" w:themeTint="D9"/>
                <w:spacing w:val="-2"/>
                <w:sz w:val="16"/>
                <w:szCs w:val="16"/>
              </w:rPr>
              <w:t xml:space="preserve"> 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4CC3" w:rsidRPr="00E465A1" w:rsidRDefault="00065DD3"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56</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4CC3" w:rsidRPr="00E465A1" w:rsidRDefault="00065DD3"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2</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4CC3" w:rsidRPr="00E465A1" w:rsidRDefault="00065DD3"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9</w:t>
            </w:r>
          </w:p>
        </w:tc>
        <w:tc>
          <w:tcPr>
            <w:tcW w:w="992" w:type="dxa"/>
            <w:tcBorders>
              <w:top w:val="single" w:sz="4" w:space="0" w:color="auto"/>
              <w:left w:val="single" w:sz="4" w:space="0" w:color="auto"/>
              <w:right w:val="single" w:sz="4" w:space="0" w:color="auto"/>
            </w:tcBorders>
            <w:vAlign w:val="center"/>
          </w:tcPr>
          <w:p w:rsidR="002B4CC3" w:rsidRPr="00E465A1" w:rsidRDefault="00614D9F" w:rsidP="009E1F8F">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2B4CC3" w:rsidRPr="00E465A1" w:rsidRDefault="00065DD3"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67</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0C4372" w:rsidRPr="00E465A1" w:rsidRDefault="00834C44" w:rsidP="0057304F">
            <w:pPr>
              <w:pStyle w:val="Normaltabletextleft"/>
              <w:spacing w:line="220" w:lineRule="exact"/>
              <w:rPr>
                <w:color w:val="262626" w:themeColor="text1" w:themeTint="D9"/>
                <w:sz w:val="16"/>
                <w:szCs w:val="16"/>
              </w:rPr>
            </w:pPr>
            <w:r w:rsidRPr="00E465A1">
              <w:rPr>
                <w:color w:val="262626" w:themeColor="text1" w:themeTint="D9"/>
                <w:sz w:val="16"/>
                <w:szCs w:val="16"/>
              </w:rPr>
              <w:t>Acting Executive Director, Strategic and Corporate Services – 14 August 2017 to 2 February 2018</w:t>
            </w:r>
          </w:p>
        </w:tc>
        <w:tc>
          <w:tcPr>
            <w:tcW w:w="2410" w:type="dxa"/>
            <w:tcBorders>
              <w:top w:val="single" w:sz="4" w:space="0" w:color="auto"/>
              <w:left w:val="single" w:sz="4" w:space="0" w:color="auto"/>
              <w:right w:val="single" w:sz="4" w:space="0" w:color="auto"/>
            </w:tcBorders>
            <w:tcMar>
              <w:left w:w="57" w:type="dxa"/>
            </w:tcMar>
            <w:vAlign w:val="center"/>
          </w:tcPr>
          <w:p w:rsidR="000C4372" w:rsidRPr="00E465A1" w:rsidRDefault="00065DD3" w:rsidP="0057304F">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SES3,</w:t>
            </w:r>
            <w:r w:rsidRPr="00E465A1">
              <w:rPr>
                <w:i/>
                <w:color w:val="262626" w:themeColor="text1" w:themeTint="D9"/>
                <w:spacing w:val="-2"/>
                <w:sz w:val="16"/>
                <w:szCs w:val="16"/>
              </w:rPr>
              <w:t xml:space="preserve"> 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0C4372" w:rsidRPr="00E465A1" w:rsidRDefault="00065DD3"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93</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0C4372" w:rsidRPr="00E465A1" w:rsidRDefault="00065DD3"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2</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0C4372" w:rsidRPr="00E465A1" w:rsidRDefault="00065DD3"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11</w:t>
            </w:r>
          </w:p>
        </w:tc>
        <w:tc>
          <w:tcPr>
            <w:tcW w:w="992" w:type="dxa"/>
            <w:tcBorders>
              <w:top w:val="single" w:sz="4" w:space="0" w:color="auto"/>
              <w:left w:val="single" w:sz="4" w:space="0" w:color="auto"/>
              <w:right w:val="single" w:sz="4" w:space="0" w:color="auto"/>
            </w:tcBorders>
            <w:vAlign w:val="center"/>
          </w:tcPr>
          <w:p w:rsidR="000C4372" w:rsidRPr="00E465A1" w:rsidRDefault="00065DD3" w:rsidP="009E1F8F">
            <w:pPr>
              <w:pStyle w:val="Normaltabletext1stpararight"/>
              <w:spacing w:line="220" w:lineRule="exact"/>
              <w:ind w:right="141"/>
              <w:rPr>
                <w:color w:val="262626" w:themeColor="text1" w:themeTint="D9"/>
              </w:rPr>
            </w:pPr>
            <w:r w:rsidRPr="00E465A1">
              <w:rPr>
                <w:color w:val="262626" w:themeColor="text1" w:themeTint="D9"/>
              </w:rPr>
              <w:t>–</w:t>
            </w:r>
          </w:p>
        </w:tc>
        <w:tc>
          <w:tcPr>
            <w:tcW w:w="850"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0C4372" w:rsidRPr="00E465A1" w:rsidRDefault="00BA7ADA"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106</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2B4CC3" w:rsidRPr="00E465A1" w:rsidRDefault="002B4CC3" w:rsidP="0057304F">
            <w:pPr>
              <w:pStyle w:val="Normaltabletextleft"/>
              <w:spacing w:line="220" w:lineRule="exact"/>
              <w:rPr>
                <w:color w:val="262626" w:themeColor="text1" w:themeTint="D9"/>
                <w:sz w:val="16"/>
                <w:szCs w:val="16"/>
              </w:rPr>
            </w:pPr>
            <w:r w:rsidRPr="00E465A1">
              <w:rPr>
                <w:color w:val="262626" w:themeColor="text1" w:themeTint="D9"/>
                <w:sz w:val="16"/>
                <w:szCs w:val="16"/>
              </w:rPr>
              <w:t xml:space="preserve">Executive </w:t>
            </w:r>
            <w:r w:rsidR="00A94596" w:rsidRPr="00E465A1">
              <w:rPr>
                <w:color w:val="262626" w:themeColor="text1" w:themeTint="D9"/>
                <w:sz w:val="16"/>
                <w:szCs w:val="16"/>
              </w:rPr>
              <w:t>Director, Operations Support – 22 January 2018</w:t>
            </w:r>
            <w:r w:rsidRPr="00E465A1">
              <w:rPr>
                <w:color w:val="262626" w:themeColor="text1" w:themeTint="D9"/>
                <w:sz w:val="16"/>
                <w:szCs w:val="16"/>
              </w:rPr>
              <w:t xml:space="preserve"> to current </w:t>
            </w:r>
          </w:p>
        </w:tc>
        <w:tc>
          <w:tcPr>
            <w:tcW w:w="2410" w:type="dxa"/>
            <w:tcBorders>
              <w:top w:val="single" w:sz="4" w:space="0" w:color="auto"/>
              <w:left w:val="single" w:sz="4" w:space="0" w:color="auto"/>
              <w:right w:val="single" w:sz="4" w:space="0" w:color="auto"/>
            </w:tcBorders>
            <w:tcMar>
              <w:left w:w="57" w:type="dxa"/>
            </w:tcMar>
            <w:vAlign w:val="center"/>
          </w:tcPr>
          <w:p w:rsidR="002B4CC3" w:rsidRPr="00E465A1" w:rsidRDefault="002B4CC3" w:rsidP="0057304F">
            <w:pPr>
              <w:pStyle w:val="Normaltabletextleft"/>
              <w:spacing w:line="220" w:lineRule="exact"/>
              <w:rPr>
                <w:color w:val="262626" w:themeColor="text1" w:themeTint="D9"/>
                <w:sz w:val="16"/>
                <w:szCs w:val="16"/>
              </w:rPr>
            </w:pPr>
            <w:r w:rsidRPr="00E465A1">
              <w:rPr>
                <w:color w:val="262626" w:themeColor="text1" w:themeTint="D9"/>
                <w:spacing w:val="-2"/>
                <w:sz w:val="16"/>
                <w:szCs w:val="16"/>
              </w:rPr>
              <w:t xml:space="preserve">Chief Superintendent,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4CC3" w:rsidRPr="00E465A1" w:rsidRDefault="000613D1"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75</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4CC3" w:rsidRPr="00E465A1" w:rsidRDefault="000613D1"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1</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4CC3" w:rsidRPr="00E465A1" w:rsidRDefault="000613D1"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12</w:t>
            </w:r>
          </w:p>
        </w:tc>
        <w:tc>
          <w:tcPr>
            <w:tcW w:w="992" w:type="dxa"/>
            <w:tcBorders>
              <w:top w:val="single" w:sz="4" w:space="0" w:color="auto"/>
              <w:left w:val="single" w:sz="4" w:space="0" w:color="auto"/>
              <w:right w:val="single" w:sz="4" w:space="0" w:color="auto"/>
            </w:tcBorders>
            <w:vAlign w:val="center"/>
          </w:tcPr>
          <w:p w:rsidR="002B4CC3" w:rsidRPr="00E465A1" w:rsidRDefault="00614D9F" w:rsidP="009E1F8F">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2B4CC3" w:rsidRPr="00E465A1" w:rsidRDefault="000613D1" w:rsidP="0057304F">
            <w:pPr>
              <w:pStyle w:val="Normaltabletext1stpararight"/>
              <w:spacing w:line="220" w:lineRule="exact"/>
              <w:rPr>
                <w:color w:val="262626" w:themeColor="text1" w:themeTint="D9"/>
                <w:sz w:val="16"/>
                <w:szCs w:val="16"/>
              </w:rPr>
            </w:pPr>
            <w:r w:rsidRPr="00E465A1">
              <w:rPr>
                <w:color w:val="262626" w:themeColor="text1" w:themeTint="D9"/>
                <w:sz w:val="16"/>
                <w:szCs w:val="16"/>
              </w:rPr>
              <w:t>88</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9223C2" w:rsidRPr="00E465A1" w:rsidRDefault="009223C2" w:rsidP="009223C2">
            <w:pPr>
              <w:pStyle w:val="Normaltabletextleft"/>
              <w:spacing w:line="220" w:lineRule="exact"/>
              <w:rPr>
                <w:color w:val="262626" w:themeColor="text1" w:themeTint="D9"/>
                <w:sz w:val="16"/>
                <w:szCs w:val="16"/>
              </w:rPr>
            </w:pPr>
            <w:r w:rsidRPr="00E465A1">
              <w:rPr>
                <w:color w:val="262626" w:themeColor="text1" w:themeTint="D9"/>
                <w:sz w:val="16"/>
                <w:szCs w:val="16"/>
              </w:rPr>
              <w:t>Executive Director, Operations Supp</w:t>
            </w:r>
            <w:r w:rsidR="00A94596" w:rsidRPr="00E465A1">
              <w:rPr>
                <w:color w:val="262626" w:themeColor="text1" w:themeTint="D9"/>
                <w:sz w:val="16"/>
                <w:szCs w:val="16"/>
              </w:rPr>
              <w:t>ort – 12 October 2015 to 19 January 2018</w:t>
            </w:r>
            <w:r w:rsidRPr="00E465A1">
              <w:rPr>
                <w:color w:val="262626" w:themeColor="text1" w:themeTint="D9"/>
                <w:sz w:val="16"/>
                <w:szCs w:val="16"/>
              </w:rPr>
              <w:t xml:space="preserve"> </w:t>
            </w:r>
          </w:p>
        </w:tc>
        <w:tc>
          <w:tcPr>
            <w:tcW w:w="2410" w:type="dxa"/>
            <w:tcBorders>
              <w:top w:val="single" w:sz="4" w:space="0" w:color="auto"/>
              <w:left w:val="single" w:sz="4" w:space="0" w:color="auto"/>
              <w:right w:val="single" w:sz="4" w:space="0" w:color="auto"/>
            </w:tcBorders>
            <w:tcMar>
              <w:left w:w="57" w:type="dxa"/>
            </w:tcMar>
            <w:vAlign w:val="center"/>
          </w:tcPr>
          <w:p w:rsidR="009223C2" w:rsidRPr="00E465A1" w:rsidRDefault="009223C2" w:rsidP="009223C2">
            <w:pPr>
              <w:pStyle w:val="Normaltabletextleft"/>
              <w:spacing w:line="220" w:lineRule="exact"/>
              <w:rPr>
                <w:color w:val="262626" w:themeColor="text1" w:themeTint="D9"/>
                <w:sz w:val="16"/>
                <w:szCs w:val="16"/>
              </w:rPr>
            </w:pPr>
            <w:r w:rsidRPr="00E465A1">
              <w:rPr>
                <w:color w:val="262626" w:themeColor="text1" w:themeTint="D9"/>
                <w:spacing w:val="-2"/>
                <w:sz w:val="16"/>
                <w:szCs w:val="16"/>
              </w:rPr>
              <w:t xml:space="preserve">Chief Superintendent,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9223C2" w:rsidRPr="00E465A1" w:rsidRDefault="002D28D7" w:rsidP="002D28D7">
            <w:pPr>
              <w:pStyle w:val="Normaltabletext1stpararight"/>
              <w:spacing w:line="220" w:lineRule="exact"/>
              <w:rPr>
                <w:color w:val="262626" w:themeColor="text1" w:themeTint="D9"/>
                <w:sz w:val="16"/>
                <w:szCs w:val="16"/>
              </w:rPr>
            </w:pPr>
            <w:r w:rsidRPr="00E465A1">
              <w:rPr>
                <w:color w:val="262626" w:themeColor="text1" w:themeTint="D9"/>
                <w:sz w:val="16"/>
                <w:szCs w:val="16"/>
              </w:rPr>
              <w:t>99</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9223C2" w:rsidRPr="00E465A1" w:rsidRDefault="002D28D7"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2</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9223C2" w:rsidRPr="00E465A1" w:rsidRDefault="002D28D7"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17</w:t>
            </w:r>
          </w:p>
        </w:tc>
        <w:tc>
          <w:tcPr>
            <w:tcW w:w="992" w:type="dxa"/>
            <w:tcBorders>
              <w:top w:val="single" w:sz="4" w:space="0" w:color="auto"/>
              <w:left w:val="single" w:sz="4" w:space="0" w:color="auto"/>
              <w:right w:val="single" w:sz="4" w:space="0" w:color="auto"/>
            </w:tcBorders>
            <w:vAlign w:val="center"/>
          </w:tcPr>
          <w:p w:rsidR="009223C2" w:rsidRPr="00E465A1" w:rsidRDefault="00614D9F" w:rsidP="009223C2">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9223C2" w:rsidRPr="00E465A1" w:rsidRDefault="002D28D7"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118</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9223C2" w:rsidRPr="00E465A1" w:rsidRDefault="009223C2" w:rsidP="009223C2">
            <w:pPr>
              <w:pStyle w:val="Normaltabletextleft"/>
              <w:spacing w:line="220" w:lineRule="exact"/>
              <w:rPr>
                <w:color w:val="262626" w:themeColor="text1" w:themeTint="D9"/>
                <w:sz w:val="16"/>
                <w:szCs w:val="16"/>
              </w:rPr>
            </w:pPr>
            <w:r w:rsidRPr="00E465A1">
              <w:rPr>
                <w:color w:val="262626" w:themeColor="text1" w:themeTint="D9"/>
                <w:sz w:val="16"/>
                <w:szCs w:val="16"/>
              </w:rPr>
              <w:t>Director, Financial Investigations – 18 March 2013 to current</w:t>
            </w:r>
          </w:p>
        </w:tc>
        <w:tc>
          <w:tcPr>
            <w:tcW w:w="2410" w:type="dxa"/>
            <w:tcBorders>
              <w:top w:val="single" w:sz="4" w:space="0" w:color="auto"/>
              <w:left w:val="single" w:sz="4" w:space="0" w:color="auto"/>
              <w:right w:val="single" w:sz="4" w:space="0" w:color="auto"/>
            </w:tcBorders>
            <w:tcMar>
              <w:left w:w="57" w:type="dxa"/>
            </w:tcMar>
            <w:vAlign w:val="center"/>
          </w:tcPr>
          <w:p w:rsidR="009223C2" w:rsidRPr="00E465A1" w:rsidRDefault="009223C2" w:rsidP="009223C2">
            <w:pPr>
              <w:pStyle w:val="Normaltabletextleft"/>
              <w:spacing w:line="220" w:lineRule="exact"/>
              <w:rPr>
                <w:color w:val="262626" w:themeColor="text1" w:themeTint="D9"/>
                <w:sz w:val="16"/>
                <w:szCs w:val="16"/>
              </w:rPr>
            </w:pPr>
            <w:r w:rsidRPr="00E465A1">
              <w:rPr>
                <w:color w:val="262626" w:themeColor="text1" w:themeTint="D9"/>
                <w:spacing w:val="-2"/>
                <w:sz w:val="16"/>
                <w:szCs w:val="16"/>
              </w:rPr>
              <w:t xml:space="preserve">SES2,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9223C2" w:rsidRPr="00E465A1" w:rsidRDefault="00BA7ADA"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88</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9223C2" w:rsidRPr="00E465A1" w:rsidRDefault="00BA7ADA"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2</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9223C2" w:rsidRPr="00E465A1" w:rsidRDefault="00BA7ADA"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10</w:t>
            </w:r>
          </w:p>
        </w:tc>
        <w:tc>
          <w:tcPr>
            <w:tcW w:w="992" w:type="dxa"/>
            <w:tcBorders>
              <w:top w:val="single" w:sz="4" w:space="0" w:color="auto"/>
              <w:left w:val="single" w:sz="4" w:space="0" w:color="auto"/>
              <w:right w:val="single" w:sz="4" w:space="0" w:color="auto"/>
            </w:tcBorders>
            <w:vAlign w:val="center"/>
          </w:tcPr>
          <w:p w:rsidR="009223C2" w:rsidRPr="00E465A1" w:rsidRDefault="00614D9F" w:rsidP="009223C2">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9223C2" w:rsidRPr="00E465A1" w:rsidRDefault="00BA7ADA"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100</w:t>
            </w:r>
          </w:p>
        </w:tc>
      </w:tr>
      <w:tr w:rsidR="00E465A1" w:rsidRPr="00E465A1" w:rsidTr="00BA7ADA">
        <w:trPr>
          <w:trHeight w:val="379"/>
        </w:trPr>
        <w:tc>
          <w:tcPr>
            <w:tcW w:w="3119" w:type="dxa"/>
            <w:tcBorders>
              <w:top w:val="single" w:sz="4" w:space="0" w:color="auto"/>
              <w:bottom w:val="single" w:sz="4" w:space="0" w:color="auto"/>
              <w:right w:val="single" w:sz="4" w:space="0" w:color="auto"/>
            </w:tcBorders>
            <w:tcMar>
              <w:top w:w="28" w:type="dxa"/>
              <w:bottom w:w="57" w:type="dxa"/>
            </w:tcMar>
            <w:vAlign w:val="center"/>
          </w:tcPr>
          <w:p w:rsidR="002B70B2" w:rsidRPr="00E465A1" w:rsidRDefault="002B70B2" w:rsidP="005E0F17">
            <w:pPr>
              <w:pStyle w:val="Normaltabletextleft"/>
              <w:spacing w:line="220" w:lineRule="exact"/>
              <w:rPr>
                <w:color w:val="262626" w:themeColor="text1" w:themeTint="D9"/>
                <w:sz w:val="16"/>
                <w:szCs w:val="16"/>
              </w:rPr>
            </w:pPr>
            <w:r w:rsidRPr="00E465A1">
              <w:rPr>
                <w:color w:val="262626" w:themeColor="text1" w:themeTint="D9"/>
                <w:sz w:val="16"/>
                <w:szCs w:val="16"/>
              </w:rPr>
              <w:t xml:space="preserve">Acting Director, Financial Investigations – </w:t>
            </w:r>
            <w:r w:rsidR="005E0F17" w:rsidRPr="00E465A1">
              <w:rPr>
                <w:color w:val="262626" w:themeColor="text1" w:themeTint="D9"/>
                <w:sz w:val="16"/>
                <w:szCs w:val="16"/>
              </w:rPr>
              <w:t>21 August</w:t>
            </w:r>
            <w:r w:rsidR="0030297D" w:rsidRPr="00E465A1">
              <w:rPr>
                <w:color w:val="262626" w:themeColor="text1" w:themeTint="D9"/>
                <w:sz w:val="16"/>
                <w:szCs w:val="16"/>
              </w:rPr>
              <w:t xml:space="preserve"> 2017 to 2 February 2018</w:t>
            </w:r>
          </w:p>
        </w:tc>
        <w:tc>
          <w:tcPr>
            <w:tcW w:w="2410" w:type="dxa"/>
            <w:tcBorders>
              <w:top w:val="single" w:sz="4" w:space="0" w:color="auto"/>
              <w:left w:val="single" w:sz="4" w:space="0" w:color="auto"/>
              <w:right w:val="single" w:sz="4" w:space="0" w:color="auto"/>
            </w:tcBorders>
            <w:tcMar>
              <w:left w:w="57" w:type="dxa"/>
            </w:tcMar>
            <w:vAlign w:val="center"/>
          </w:tcPr>
          <w:p w:rsidR="002B70B2" w:rsidRPr="00E465A1" w:rsidRDefault="002B70B2" w:rsidP="009223C2">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 xml:space="preserve">SES2,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70B2" w:rsidRPr="00E465A1" w:rsidRDefault="00140FA5" w:rsidP="00140FA5">
            <w:pPr>
              <w:pStyle w:val="Normaltabletext1stpararight"/>
              <w:spacing w:line="220" w:lineRule="exact"/>
              <w:rPr>
                <w:color w:val="262626" w:themeColor="text1" w:themeTint="D9"/>
                <w:sz w:val="16"/>
                <w:szCs w:val="16"/>
              </w:rPr>
            </w:pPr>
            <w:r w:rsidRPr="00E465A1">
              <w:rPr>
                <w:color w:val="262626" w:themeColor="text1" w:themeTint="D9"/>
                <w:sz w:val="16"/>
                <w:szCs w:val="16"/>
              </w:rPr>
              <w:t>81</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70B2" w:rsidRPr="00E465A1" w:rsidRDefault="002B70B2"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2</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2B70B2" w:rsidRPr="00E465A1" w:rsidRDefault="00140FA5"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11</w:t>
            </w:r>
          </w:p>
        </w:tc>
        <w:tc>
          <w:tcPr>
            <w:tcW w:w="992" w:type="dxa"/>
            <w:tcBorders>
              <w:top w:val="single" w:sz="4" w:space="0" w:color="auto"/>
              <w:left w:val="single" w:sz="4" w:space="0" w:color="auto"/>
              <w:right w:val="single" w:sz="4" w:space="0" w:color="auto"/>
            </w:tcBorders>
            <w:vAlign w:val="center"/>
          </w:tcPr>
          <w:p w:rsidR="002B70B2" w:rsidRPr="00E465A1" w:rsidRDefault="00175099" w:rsidP="009223C2">
            <w:pPr>
              <w:pStyle w:val="Normaltabletext1stpararight"/>
              <w:spacing w:line="220" w:lineRule="exact"/>
              <w:ind w:right="141"/>
              <w:rPr>
                <w:color w:val="262626" w:themeColor="text1" w:themeTint="D9"/>
              </w:rPr>
            </w:pPr>
            <w:r w:rsidRPr="00E465A1">
              <w:rPr>
                <w:color w:val="262626" w:themeColor="text1" w:themeTint="D9"/>
              </w:rPr>
              <w:t>–</w:t>
            </w:r>
          </w:p>
        </w:tc>
        <w:tc>
          <w:tcPr>
            <w:tcW w:w="850"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2B70B2" w:rsidRPr="00E465A1" w:rsidRDefault="00140FA5"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94</w:t>
            </w:r>
          </w:p>
        </w:tc>
      </w:tr>
      <w:tr w:rsidR="00E465A1" w:rsidRPr="00E465A1" w:rsidTr="00BA7ADA">
        <w:trPr>
          <w:trHeight w:val="379"/>
        </w:trPr>
        <w:tc>
          <w:tcPr>
            <w:tcW w:w="3119" w:type="dxa"/>
            <w:tcBorders>
              <w:top w:val="single" w:sz="4" w:space="0" w:color="auto"/>
              <w:bottom w:val="single" w:sz="4" w:space="0" w:color="auto"/>
              <w:right w:val="single" w:sz="4" w:space="0" w:color="auto"/>
            </w:tcBorders>
            <w:tcMar>
              <w:top w:w="28" w:type="dxa"/>
              <w:bottom w:w="57" w:type="dxa"/>
            </w:tcMar>
            <w:vAlign w:val="center"/>
          </w:tcPr>
          <w:p w:rsidR="009223C2" w:rsidRPr="00E465A1" w:rsidRDefault="009223C2" w:rsidP="009223C2">
            <w:pPr>
              <w:pStyle w:val="Normaltabletextleft"/>
              <w:spacing w:line="220" w:lineRule="exact"/>
              <w:rPr>
                <w:color w:val="262626" w:themeColor="text1" w:themeTint="D9"/>
                <w:sz w:val="16"/>
                <w:szCs w:val="16"/>
              </w:rPr>
            </w:pPr>
            <w:r w:rsidRPr="00E465A1">
              <w:rPr>
                <w:color w:val="262626" w:themeColor="text1" w:themeTint="D9"/>
                <w:sz w:val="16"/>
                <w:szCs w:val="16"/>
              </w:rPr>
              <w:t>Director, Legal Services – 26 April 2012 to current</w:t>
            </w:r>
            <w:r w:rsidR="005517A0" w:rsidRPr="00E465A1">
              <w:rPr>
                <w:color w:val="262626" w:themeColor="text1" w:themeTint="D9"/>
                <w:vertAlign w:val="superscript"/>
              </w:rPr>
              <w:t>*</w:t>
            </w:r>
          </w:p>
        </w:tc>
        <w:tc>
          <w:tcPr>
            <w:tcW w:w="2410" w:type="dxa"/>
            <w:tcBorders>
              <w:top w:val="single" w:sz="4" w:space="0" w:color="auto"/>
              <w:left w:val="single" w:sz="4" w:space="0" w:color="auto"/>
              <w:right w:val="single" w:sz="4" w:space="0" w:color="auto"/>
            </w:tcBorders>
            <w:tcMar>
              <w:left w:w="57" w:type="dxa"/>
            </w:tcMar>
            <w:vAlign w:val="center"/>
          </w:tcPr>
          <w:p w:rsidR="009223C2" w:rsidRPr="00E465A1" w:rsidRDefault="009223C2" w:rsidP="009223C2">
            <w:pPr>
              <w:pStyle w:val="Normaltabletextleft"/>
              <w:spacing w:line="220" w:lineRule="exact"/>
              <w:rPr>
                <w:color w:val="262626" w:themeColor="text1" w:themeTint="D9"/>
                <w:sz w:val="16"/>
                <w:szCs w:val="16"/>
              </w:rPr>
            </w:pPr>
            <w:r w:rsidRPr="00E465A1">
              <w:rPr>
                <w:color w:val="262626" w:themeColor="text1" w:themeTint="D9"/>
                <w:spacing w:val="-2"/>
                <w:sz w:val="16"/>
                <w:szCs w:val="16"/>
              </w:rPr>
              <w:t xml:space="preserve">SES2,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9223C2" w:rsidRPr="00E465A1" w:rsidRDefault="00AD3902" w:rsidP="00AD3902">
            <w:pPr>
              <w:pStyle w:val="Normaltabletext1stpararight"/>
              <w:spacing w:line="220" w:lineRule="exact"/>
              <w:rPr>
                <w:color w:val="262626" w:themeColor="text1" w:themeTint="D9"/>
                <w:sz w:val="16"/>
                <w:szCs w:val="16"/>
              </w:rPr>
            </w:pPr>
            <w:r w:rsidRPr="00E465A1">
              <w:rPr>
                <w:color w:val="262626" w:themeColor="text1" w:themeTint="D9"/>
                <w:sz w:val="16"/>
                <w:szCs w:val="16"/>
              </w:rPr>
              <w:t>167</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9223C2" w:rsidRPr="00E465A1" w:rsidRDefault="00BA7ADA"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4</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9223C2" w:rsidRPr="00E465A1" w:rsidRDefault="00AD3902"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19</w:t>
            </w:r>
          </w:p>
        </w:tc>
        <w:tc>
          <w:tcPr>
            <w:tcW w:w="992" w:type="dxa"/>
            <w:tcBorders>
              <w:top w:val="single" w:sz="4" w:space="0" w:color="auto"/>
              <w:left w:val="single" w:sz="4" w:space="0" w:color="auto"/>
              <w:right w:val="single" w:sz="4" w:space="0" w:color="auto"/>
            </w:tcBorders>
            <w:vAlign w:val="center"/>
          </w:tcPr>
          <w:p w:rsidR="009223C2" w:rsidRPr="00E465A1" w:rsidRDefault="00614D9F" w:rsidP="009223C2">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9223C2" w:rsidRPr="00E465A1" w:rsidRDefault="00AD3902" w:rsidP="00BA7ADA">
            <w:pPr>
              <w:pStyle w:val="Normaltabletext1stpararight"/>
              <w:spacing w:line="220" w:lineRule="exact"/>
              <w:rPr>
                <w:color w:val="262626" w:themeColor="text1" w:themeTint="D9"/>
                <w:sz w:val="16"/>
                <w:szCs w:val="16"/>
              </w:rPr>
            </w:pPr>
            <w:r w:rsidRPr="00E465A1">
              <w:rPr>
                <w:color w:val="262626" w:themeColor="text1" w:themeTint="D9"/>
                <w:sz w:val="16"/>
                <w:szCs w:val="16"/>
              </w:rPr>
              <w:t>19</w:t>
            </w:r>
            <w:r w:rsidR="00BA7ADA" w:rsidRPr="00E465A1">
              <w:rPr>
                <w:color w:val="262626" w:themeColor="text1" w:themeTint="D9"/>
                <w:sz w:val="16"/>
                <w:szCs w:val="16"/>
              </w:rPr>
              <w:t>0</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9223C2" w:rsidRPr="00E465A1" w:rsidRDefault="009223C2" w:rsidP="009223C2">
            <w:pPr>
              <w:pStyle w:val="Normaltabletextleft"/>
              <w:spacing w:line="220" w:lineRule="exact"/>
              <w:rPr>
                <w:color w:val="262626" w:themeColor="text1" w:themeTint="D9"/>
                <w:sz w:val="16"/>
                <w:szCs w:val="16"/>
              </w:rPr>
            </w:pPr>
            <w:r w:rsidRPr="00E465A1">
              <w:rPr>
                <w:color w:val="262626" w:themeColor="text1" w:themeTint="D9"/>
                <w:sz w:val="16"/>
                <w:szCs w:val="16"/>
              </w:rPr>
              <w:t>Director, Research and Policy – 17 February 2012 to current</w:t>
            </w:r>
            <w:r w:rsidR="005517A0" w:rsidRPr="00E465A1">
              <w:rPr>
                <w:color w:val="262626" w:themeColor="text1" w:themeTint="D9"/>
                <w:vertAlign w:val="superscript"/>
              </w:rPr>
              <w:t>*</w:t>
            </w:r>
          </w:p>
        </w:tc>
        <w:tc>
          <w:tcPr>
            <w:tcW w:w="2410" w:type="dxa"/>
            <w:tcBorders>
              <w:top w:val="single" w:sz="4" w:space="0" w:color="auto"/>
              <w:left w:val="single" w:sz="4" w:space="0" w:color="auto"/>
              <w:bottom w:val="single" w:sz="4" w:space="0" w:color="auto"/>
              <w:right w:val="single" w:sz="4" w:space="0" w:color="auto"/>
            </w:tcBorders>
            <w:tcMar>
              <w:left w:w="57" w:type="dxa"/>
            </w:tcMar>
            <w:vAlign w:val="center"/>
          </w:tcPr>
          <w:p w:rsidR="009223C2" w:rsidRPr="00E465A1" w:rsidRDefault="009223C2" w:rsidP="009223C2">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 xml:space="preserve">SES2,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9223C2" w:rsidRPr="00E465A1" w:rsidRDefault="003A4854"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183</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9223C2" w:rsidRPr="00E465A1" w:rsidRDefault="003A4854"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4</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9223C2" w:rsidRPr="00E465A1" w:rsidRDefault="003A4854"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22</w:t>
            </w:r>
          </w:p>
        </w:tc>
        <w:tc>
          <w:tcPr>
            <w:tcW w:w="992" w:type="dxa"/>
            <w:tcBorders>
              <w:top w:val="single" w:sz="4" w:space="0" w:color="auto"/>
              <w:left w:val="single" w:sz="4" w:space="0" w:color="auto"/>
              <w:bottom w:val="single" w:sz="4" w:space="0" w:color="auto"/>
              <w:right w:val="single" w:sz="4" w:space="0" w:color="auto"/>
            </w:tcBorders>
            <w:vAlign w:val="center"/>
          </w:tcPr>
          <w:p w:rsidR="009223C2" w:rsidRPr="00E465A1" w:rsidRDefault="00614D9F" w:rsidP="009223C2">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9223C2" w:rsidRPr="00E465A1" w:rsidRDefault="003A4854"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209</w:t>
            </w:r>
          </w:p>
        </w:tc>
      </w:tr>
      <w:tr w:rsidR="00E465A1" w:rsidRPr="00E465A1" w:rsidTr="00BA7ADA">
        <w:tc>
          <w:tcPr>
            <w:tcW w:w="3119" w:type="dxa"/>
            <w:tcBorders>
              <w:top w:val="single" w:sz="4" w:space="0" w:color="auto"/>
              <w:bottom w:val="single" w:sz="4" w:space="0" w:color="auto"/>
              <w:right w:val="single" w:sz="4" w:space="0" w:color="auto"/>
            </w:tcBorders>
            <w:tcMar>
              <w:top w:w="28" w:type="dxa"/>
              <w:bottom w:w="57" w:type="dxa"/>
            </w:tcMar>
            <w:vAlign w:val="center"/>
          </w:tcPr>
          <w:p w:rsidR="009223C2" w:rsidRPr="00E465A1" w:rsidRDefault="009223C2" w:rsidP="009223C2">
            <w:pPr>
              <w:pStyle w:val="Normaltabletextleft"/>
              <w:spacing w:line="220" w:lineRule="exact"/>
              <w:rPr>
                <w:color w:val="262626" w:themeColor="text1" w:themeTint="D9"/>
                <w:sz w:val="16"/>
                <w:szCs w:val="16"/>
              </w:rPr>
            </w:pPr>
            <w:r w:rsidRPr="00E465A1">
              <w:rPr>
                <w:color w:val="262626" w:themeColor="text1" w:themeTint="D9"/>
                <w:sz w:val="16"/>
                <w:szCs w:val="16"/>
              </w:rPr>
              <w:t>Director, Intelligence – 23 November 2012 to current</w:t>
            </w:r>
          </w:p>
        </w:tc>
        <w:tc>
          <w:tcPr>
            <w:tcW w:w="2410" w:type="dxa"/>
            <w:tcBorders>
              <w:top w:val="single" w:sz="4" w:space="0" w:color="auto"/>
              <w:left w:val="single" w:sz="4" w:space="0" w:color="auto"/>
              <w:bottom w:val="single" w:sz="4" w:space="0" w:color="auto"/>
              <w:right w:val="single" w:sz="4" w:space="0" w:color="auto"/>
            </w:tcBorders>
            <w:tcMar>
              <w:left w:w="57" w:type="dxa"/>
            </w:tcMar>
            <w:vAlign w:val="center"/>
          </w:tcPr>
          <w:p w:rsidR="009223C2" w:rsidRPr="00E465A1" w:rsidRDefault="009223C2" w:rsidP="009223C2">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 xml:space="preserve">SO,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9223C2" w:rsidRPr="00E465A1" w:rsidRDefault="003A4854" w:rsidP="003A4854">
            <w:pPr>
              <w:pStyle w:val="Normaltabletext1stpararight"/>
              <w:spacing w:line="220" w:lineRule="exact"/>
              <w:rPr>
                <w:color w:val="262626" w:themeColor="text1" w:themeTint="D9"/>
                <w:sz w:val="16"/>
                <w:szCs w:val="16"/>
              </w:rPr>
            </w:pPr>
            <w:r w:rsidRPr="00E465A1">
              <w:rPr>
                <w:color w:val="262626" w:themeColor="text1" w:themeTint="D9"/>
                <w:sz w:val="16"/>
                <w:szCs w:val="16"/>
              </w:rPr>
              <w:t>139</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9223C2" w:rsidRPr="00E465A1" w:rsidRDefault="003A4854"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3</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9223C2" w:rsidRPr="00E465A1" w:rsidRDefault="003A4854"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18</w:t>
            </w:r>
          </w:p>
        </w:tc>
        <w:tc>
          <w:tcPr>
            <w:tcW w:w="992" w:type="dxa"/>
            <w:tcBorders>
              <w:top w:val="single" w:sz="4" w:space="0" w:color="auto"/>
              <w:left w:val="single" w:sz="4" w:space="0" w:color="auto"/>
              <w:bottom w:val="single" w:sz="4" w:space="0" w:color="auto"/>
              <w:right w:val="single" w:sz="4" w:space="0" w:color="auto"/>
            </w:tcBorders>
            <w:vAlign w:val="center"/>
          </w:tcPr>
          <w:p w:rsidR="009223C2" w:rsidRPr="00E465A1" w:rsidRDefault="00614D9F" w:rsidP="009223C2">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0"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9223C2" w:rsidRPr="00E465A1" w:rsidRDefault="003A4854" w:rsidP="009223C2">
            <w:pPr>
              <w:pStyle w:val="Normaltabletext1stpararight"/>
              <w:spacing w:line="220" w:lineRule="exact"/>
              <w:rPr>
                <w:color w:val="262626" w:themeColor="text1" w:themeTint="D9"/>
                <w:sz w:val="16"/>
                <w:szCs w:val="16"/>
              </w:rPr>
            </w:pPr>
            <w:r w:rsidRPr="00E465A1">
              <w:rPr>
                <w:color w:val="262626" w:themeColor="text1" w:themeTint="D9"/>
                <w:sz w:val="16"/>
                <w:szCs w:val="16"/>
              </w:rPr>
              <w:t>160</w:t>
            </w:r>
          </w:p>
        </w:tc>
      </w:tr>
      <w:tr w:rsidR="00E465A1" w:rsidRPr="00E465A1" w:rsidTr="00BA7ADA">
        <w:trPr>
          <w:trHeight w:val="333"/>
        </w:trPr>
        <w:tc>
          <w:tcPr>
            <w:tcW w:w="3119" w:type="dxa"/>
            <w:tcBorders>
              <w:top w:val="single" w:sz="4" w:space="0" w:color="auto"/>
              <w:bottom w:val="double" w:sz="4" w:space="0" w:color="auto"/>
              <w:right w:val="single" w:sz="4" w:space="0" w:color="auto"/>
            </w:tcBorders>
            <w:tcMar>
              <w:top w:w="28" w:type="dxa"/>
              <w:bottom w:w="57" w:type="dxa"/>
            </w:tcMar>
            <w:vAlign w:val="center"/>
          </w:tcPr>
          <w:p w:rsidR="009223C2" w:rsidRPr="00E465A1" w:rsidRDefault="009223C2" w:rsidP="009223C2">
            <w:pPr>
              <w:pStyle w:val="Normaltabletextleft"/>
              <w:spacing w:line="220" w:lineRule="exact"/>
              <w:rPr>
                <w:b/>
                <w:color w:val="262626" w:themeColor="text1" w:themeTint="D9"/>
                <w:sz w:val="16"/>
                <w:szCs w:val="16"/>
              </w:rPr>
            </w:pPr>
            <w:r w:rsidRPr="00E465A1">
              <w:rPr>
                <w:b/>
                <w:color w:val="262626" w:themeColor="text1" w:themeTint="D9"/>
                <w:sz w:val="16"/>
                <w:szCs w:val="16"/>
              </w:rPr>
              <w:t>Total Remuneration</w:t>
            </w:r>
          </w:p>
        </w:tc>
        <w:tc>
          <w:tcPr>
            <w:tcW w:w="2410" w:type="dxa"/>
            <w:tcBorders>
              <w:top w:val="single" w:sz="4" w:space="0" w:color="auto"/>
              <w:left w:val="single" w:sz="4" w:space="0" w:color="auto"/>
              <w:bottom w:val="double" w:sz="4" w:space="0" w:color="auto"/>
              <w:right w:val="single" w:sz="4" w:space="0" w:color="auto"/>
            </w:tcBorders>
            <w:vAlign w:val="center"/>
          </w:tcPr>
          <w:p w:rsidR="009223C2" w:rsidRPr="00E465A1" w:rsidRDefault="009223C2" w:rsidP="009223C2">
            <w:pPr>
              <w:pStyle w:val="Normaltabletext1stpararight"/>
              <w:spacing w:line="220" w:lineRule="exact"/>
              <w:rPr>
                <w:b/>
                <w:color w:val="262626" w:themeColor="text1" w:themeTint="D9"/>
                <w:sz w:val="16"/>
                <w:szCs w:val="16"/>
              </w:rPr>
            </w:pPr>
          </w:p>
        </w:tc>
        <w:tc>
          <w:tcPr>
            <w:tcW w:w="993" w:type="dxa"/>
            <w:tcBorders>
              <w:top w:val="single" w:sz="4" w:space="0" w:color="auto"/>
              <w:left w:val="single" w:sz="4" w:space="0" w:color="auto"/>
              <w:bottom w:val="double" w:sz="4" w:space="0" w:color="auto"/>
              <w:right w:val="single" w:sz="4" w:space="0" w:color="auto"/>
            </w:tcBorders>
            <w:tcMar>
              <w:top w:w="28" w:type="dxa"/>
              <w:left w:w="113" w:type="dxa"/>
              <w:bottom w:w="57" w:type="dxa"/>
              <w:right w:w="113" w:type="dxa"/>
            </w:tcMar>
            <w:vAlign w:val="center"/>
          </w:tcPr>
          <w:p w:rsidR="009223C2" w:rsidRPr="00E465A1" w:rsidRDefault="003A4854" w:rsidP="00140FA5">
            <w:pPr>
              <w:pStyle w:val="Normaltabletext1stpararight"/>
              <w:spacing w:line="220" w:lineRule="exact"/>
              <w:rPr>
                <w:b/>
                <w:color w:val="262626" w:themeColor="text1" w:themeTint="D9"/>
                <w:sz w:val="16"/>
                <w:szCs w:val="16"/>
              </w:rPr>
            </w:pPr>
            <w:r w:rsidRPr="00E465A1">
              <w:rPr>
                <w:b/>
                <w:color w:val="262626" w:themeColor="text1" w:themeTint="D9"/>
                <w:sz w:val="16"/>
                <w:szCs w:val="16"/>
              </w:rPr>
              <w:t>2,</w:t>
            </w:r>
            <w:r w:rsidR="00140FA5" w:rsidRPr="00E465A1">
              <w:rPr>
                <w:b/>
                <w:color w:val="262626" w:themeColor="text1" w:themeTint="D9"/>
                <w:sz w:val="16"/>
                <w:szCs w:val="16"/>
              </w:rPr>
              <w:t>301</w:t>
            </w:r>
          </w:p>
        </w:tc>
        <w:tc>
          <w:tcPr>
            <w:tcW w:w="992" w:type="dxa"/>
            <w:tcBorders>
              <w:top w:val="single" w:sz="4" w:space="0" w:color="auto"/>
              <w:left w:val="single" w:sz="4" w:space="0" w:color="auto"/>
              <w:bottom w:val="double" w:sz="4" w:space="0" w:color="auto"/>
              <w:right w:val="single" w:sz="4" w:space="0" w:color="auto"/>
            </w:tcBorders>
            <w:tcMar>
              <w:top w:w="28" w:type="dxa"/>
              <w:left w:w="113" w:type="dxa"/>
              <w:bottom w:w="57" w:type="dxa"/>
              <w:right w:w="113" w:type="dxa"/>
            </w:tcMar>
            <w:vAlign w:val="center"/>
          </w:tcPr>
          <w:p w:rsidR="009223C2" w:rsidRPr="00E465A1" w:rsidRDefault="00573E30" w:rsidP="009223C2">
            <w:pPr>
              <w:pStyle w:val="Normaltabletext1stpararight"/>
              <w:spacing w:line="220" w:lineRule="exact"/>
              <w:rPr>
                <w:b/>
                <w:color w:val="262626" w:themeColor="text1" w:themeTint="D9"/>
                <w:sz w:val="16"/>
                <w:szCs w:val="16"/>
              </w:rPr>
            </w:pPr>
            <w:r w:rsidRPr="00E465A1">
              <w:rPr>
                <w:b/>
                <w:color w:val="262626" w:themeColor="text1" w:themeTint="D9"/>
                <w:sz w:val="16"/>
                <w:szCs w:val="16"/>
              </w:rPr>
              <w:t>50</w:t>
            </w:r>
          </w:p>
        </w:tc>
        <w:tc>
          <w:tcPr>
            <w:tcW w:w="992" w:type="dxa"/>
            <w:tcBorders>
              <w:top w:val="single" w:sz="4" w:space="0" w:color="auto"/>
              <w:left w:val="single" w:sz="4" w:space="0" w:color="auto"/>
              <w:bottom w:val="double" w:sz="4" w:space="0" w:color="auto"/>
              <w:right w:val="single" w:sz="4" w:space="0" w:color="auto"/>
            </w:tcBorders>
            <w:tcMar>
              <w:top w:w="28" w:type="dxa"/>
              <w:left w:w="113" w:type="dxa"/>
              <w:bottom w:w="57" w:type="dxa"/>
              <w:right w:w="113" w:type="dxa"/>
            </w:tcMar>
            <w:vAlign w:val="center"/>
          </w:tcPr>
          <w:p w:rsidR="009223C2" w:rsidRPr="00E465A1" w:rsidRDefault="00573E30" w:rsidP="00140FA5">
            <w:pPr>
              <w:pStyle w:val="Normaltabletext1stpararight"/>
              <w:spacing w:line="220" w:lineRule="exact"/>
              <w:rPr>
                <w:b/>
                <w:color w:val="262626" w:themeColor="text1" w:themeTint="D9"/>
                <w:sz w:val="16"/>
                <w:szCs w:val="16"/>
              </w:rPr>
            </w:pPr>
            <w:r w:rsidRPr="00E465A1">
              <w:rPr>
                <w:b/>
                <w:color w:val="262626" w:themeColor="text1" w:themeTint="D9"/>
                <w:sz w:val="16"/>
                <w:szCs w:val="16"/>
              </w:rPr>
              <w:t>241</w:t>
            </w:r>
          </w:p>
        </w:tc>
        <w:tc>
          <w:tcPr>
            <w:tcW w:w="992" w:type="dxa"/>
            <w:tcBorders>
              <w:top w:val="single" w:sz="4" w:space="0" w:color="auto"/>
              <w:left w:val="single" w:sz="4" w:space="0" w:color="auto"/>
              <w:bottom w:val="double" w:sz="4" w:space="0" w:color="auto"/>
              <w:right w:val="single" w:sz="4" w:space="0" w:color="auto"/>
            </w:tcBorders>
            <w:vAlign w:val="center"/>
          </w:tcPr>
          <w:p w:rsidR="009223C2" w:rsidRPr="00E465A1" w:rsidRDefault="003A4854" w:rsidP="009223C2">
            <w:pPr>
              <w:pStyle w:val="Normaltabletext1stpararight"/>
              <w:spacing w:line="220" w:lineRule="exact"/>
              <w:ind w:right="141"/>
              <w:rPr>
                <w:b/>
                <w:color w:val="262626" w:themeColor="text1" w:themeTint="D9"/>
                <w:sz w:val="16"/>
                <w:szCs w:val="16"/>
              </w:rPr>
            </w:pPr>
            <w:r w:rsidRPr="00E465A1">
              <w:rPr>
                <w:b/>
                <w:color w:val="262626" w:themeColor="text1" w:themeTint="D9"/>
                <w:sz w:val="16"/>
                <w:szCs w:val="16"/>
              </w:rPr>
              <w:t>48</w:t>
            </w:r>
          </w:p>
        </w:tc>
        <w:tc>
          <w:tcPr>
            <w:tcW w:w="850" w:type="dxa"/>
            <w:tcBorders>
              <w:top w:val="single" w:sz="4" w:space="0" w:color="auto"/>
              <w:left w:val="single" w:sz="4" w:space="0" w:color="auto"/>
              <w:bottom w:val="double" w:sz="4" w:space="0" w:color="auto"/>
            </w:tcBorders>
            <w:shd w:val="clear" w:color="auto" w:fill="auto"/>
            <w:tcMar>
              <w:top w:w="28" w:type="dxa"/>
              <w:left w:w="113" w:type="dxa"/>
              <w:bottom w:w="57" w:type="dxa"/>
              <w:right w:w="113" w:type="dxa"/>
            </w:tcMar>
            <w:vAlign w:val="center"/>
          </w:tcPr>
          <w:p w:rsidR="009223C2" w:rsidRPr="00E465A1" w:rsidRDefault="00573E30" w:rsidP="00140FA5">
            <w:pPr>
              <w:pStyle w:val="Normaltabletext1stpararight"/>
              <w:spacing w:line="220" w:lineRule="exact"/>
              <w:rPr>
                <w:b/>
                <w:color w:val="262626" w:themeColor="text1" w:themeTint="D9"/>
                <w:sz w:val="16"/>
                <w:szCs w:val="16"/>
              </w:rPr>
            </w:pPr>
            <w:r w:rsidRPr="00E465A1">
              <w:rPr>
                <w:b/>
                <w:color w:val="262626" w:themeColor="text1" w:themeTint="D9"/>
                <w:sz w:val="16"/>
                <w:szCs w:val="16"/>
              </w:rPr>
              <w:t>2,640</w:t>
            </w:r>
          </w:p>
        </w:tc>
      </w:tr>
    </w:tbl>
    <w:p w:rsidR="002B4CC3" w:rsidRPr="00E465A1" w:rsidRDefault="003A4D61" w:rsidP="006432EC">
      <w:pPr>
        <w:pStyle w:val="Noteswithhangingindent"/>
        <w:tabs>
          <w:tab w:val="left" w:pos="340"/>
          <w:tab w:val="left" w:pos="680"/>
          <w:tab w:val="left" w:pos="1020"/>
          <w:tab w:val="left" w:pos="1360"/>
          <w:tab w:val="left" w:pos="1700"/>
          <w:tab w:val="left" w:pos="2040"/>
          <w:tab w:val="left" w:pos="2380"/>
          <w:tab w:val="left" w:pos="2720"/>
          <w:tab w:val="left" w:pos="3060"/>
          <w:tab w:val="left" w:pos="3400"/>
          <w:tab w:val="left" w:pos="3740"/>
          <w:tab w:val="left" w:pos="4080"/>
          <w:tab w:val="left" w:pos="4420"/>
          <w:tab w:val="left" w:pos="4760"/>
          <w:tab w:val="left" w:pos="5100"/>
          <w:tab w:val="left" w:pos="5440"/>
          <w:tab w:val="left" w:pos="5780"/>
          <w:tab w:val="left" w:pos="6120"/>
          <w:tab w:val="left" w:pos="6460"/>
          <w:tab w:val="left" w:pos="6800"/>
          <w:tab w:val="left" w:pos="7140"/>
          <w:tab w:val="left" w:pos="7480"/>
          <w:tab w:val="right" w:pos="10205"/>
        </w:tabs>
        <w:rPr>
          <w:color w:val="262626" w:themeColor="text1" w:themeTint="D9"/>
        </w:rPr>
      </w:pPr>
      <w:r w:rsidRPr="00E465A1">
        <w:rPr>
          <w:color w:val="262626" w:themeColor="text1" w:themeTint="D9"/>
          <w:vertAlign w:val="superscript"/>
        </w:rPr>
        <w:t>1</w:t>
      </w:r>
      <w:r w:rsidRPr="00E465A1">
        <w:rPr>
          <w:color w:val="262626" w:themeColor="text1" w:themeTint="D9"/>
        </w:rPr>
        <w:tab/>
      </w:r>
      <w:r w:rsidR="004D6FDF" w:rsidRPr="00E465A1">
        <w:rPr>
          <w:color w:val="262626" w:themeColor="text1" w:themeTint="D9"/>
        </w:rPr>
        <w:t xml:space="preserve">The </w:t>
      </w:r>
      <w:r w:rsidR="004E7554" w:rsidRPr="00E465A1">
        <w:rPr>
          <w:color w:val="262626" w:themeColor="text1" w:themeTint="D9"/>
        </w:rPr>
        <w:t xml:space="preserve">Chairperson </w:t>
      </w:r>
      <w:r w:rsidR="000E5462" w:rsidRPr="00E465A1">
        <w:rPr>
          <w:color w:val="262626" w:themeColor="text1" w:themeTint="D9"/>
        </w:rPr>
        <w:t xml:space="preserve">also </w:t>
      </w:r>
      <w:r w:rsidR="004E7554" w:rsidRPr="00E465A1">
        <w:rPr>
          <w:color w:val="262626" w:themeColor="text1" w:themeTint="D9"/>
        </w:rPr>
        <w:t>receiv</w:t>
      </w:r>
      <w:r w:rsidR="004D6FDF" w:rsidRPr="00E465A1">
        <w:rPr>
          <w:color w:val="262626" w:themeColor="text1" w:themeTint="D9"/>
        </w:rPr>
        <w:t xml:space="preserve">ed a non-monetary motor vehicle </w:t>
      </w:r>
      <w:r w:rsidR="00341F67" w:rsidRPr="00E465A1">
        <w:rPr>
          <w:color w:val="262626" w:themeColor="text1" w:themeTint="D9"/>
        </w:rPr>
        <w:t>benefit of $</w:t>
      </w:r>
      <w:r w:rsidR="00797EE0" w:rsidRPr="00E465A1">
        <w:rPr>
          <w:color w:val="262626" w:themeColor="text1" w:themeTint="D9"/>
        </w:rPr>
        <w:t>20,425</w:t>
      </w:r>
      <w:r w:rsidR="004D6FDF" w:rsidRPr="00E465A1">
        <w:rPr>
          <w:color w:val="262626" w:themeColor="text1" w:themeTint="D9"/>
        </w:rPr>
        <w:t xml:space="preserve"> during the financial year.</w:t>
      </w:r>
    </w:p>
    <w:p w:rsidR="004D6FDF" w:rsidRPr="00E465A1" w:rsidRDefault="003A4D61" w:rsidP="003A4D61">
      <w:pPr>
        <w:pStyle w:val="Noteswithhangingindent"/>
        <w:rPr>
          <w:color w:val="262626" w:themeColor="text1" w:themeTint="D9"/>
        </w:rPr>
      </w:pPr>
      <w:r w:rsidRPr="00E465A1">
        <w:rPr>
          <w:color w:val="262626" w:themeColor="text1" w:themeTint="D9"/>
          <w:vertAlign w:val="superscript"/>
        </w:rPr>
        <w:t>*</w:t>
      </w:r>
      <w:r w:rsidRPr="00E465A1">
        <w:rPr>
          <w:color w:val="262626" w:themeColor="text1" w:themeTint="D9"/>
        </w:rPr>
        <w:tab/>
      </w:r>
      <w:r w:rsidR="000E5462" w:rsidRPr="00E465A1">
        <w:rPr>
          <w:color w:val="262626" w:themeColor="text1" w:themeTint="D9"/>
        </w:rPr>
        <w:t>Remuneration</w:t>
      </w:r>
      <w:r w:rsidR="00D210E9" w:rsidRPr="00E465A1">
        <w:rPr>
          <w:color w:val="262626" w:themeColor="text1" w:themeTint="D9"/>
        </w:rPr>
        <w:t xml:space="preserve"> </w:t>
      </w:r>
      <w:r w:rsidR="00614347" w:rsidRPr="00E465A1">
        <w:rPr>
          <w:color w:val="262626" w:themeColor="text1" w:themeTint="D9"/>
        </w:rPr>
        <w:t>expenses include co</w:t>
      </w:r>
      <w:r w:rsidR="00341F67" w:rsidRPr="00E465A1">
        <w:rPr>
          <w:color w:val="262626" w:themeColor="text1" w:themeTint="D9"/>
        </w:rPr>
        <w:t xml:space="preserve">sts in relation to </w:t>
      </w:r>
      <w:r w:rsidR="000E5462" w:rsidRPr="00E465A1">
        <w:rPr>
          <w:color w:val="262626" w:themeColor="text1" w:themeTint="D9"/>
        </w:rPr>
        <w:t xml:space="preserve">acting </w:t>
      </w:r>
      <w:r w:rsidR="00614347" w:rsidRPr="00E465A1">
        <w:rPr>
          <w:color w:val="262626" w:themeColor="text1" w:themeTint="D9"/>
        </w:rPr>
        <w:t>arrangements</w:t>
      </w:r>
      <w:r w:rsidR="00341F67" w:rsidRPr="00E465A1">
        <w:rPr>
          <w:color w:val="262626" w:themeColor="text1" w:themeTint="D9"/>
        </w:rPr>
        <w:t xml:space="preserve"> established during the year.</w:t>
      </w:r>
    </w:p>
    <w:p w:rsidR="004C4800" w:rsidRPr="00E465A1" w:rsidRDefault="004C4800" w:rsidP="003A4D61">
      <w:pPr>
        <w:pStyle w:val="Normal1stpara"/>
        <w:rPr>
          <w:color w:val="262626" w:themeColor="text1" w:themeTint="D9"/>
        </w:rPr>
      </w:pPr>
    </w:p>
    <w:tbl>
      <w:tblPr>
        <w:tblW w:w="10206"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0206"/>
      </w:tblGrid>
      <w:tr w:rsidR="00E465A1" w:rsidRPr="00E465A1" w:rsidTr="00C14BBF">
        <w:trPr>
          <w:trHeight w:val="20"/>
        </w:trPr>
        <w:tc>
          <w:tcPr>
            <w:tcW w:w="10206" w:type="dxa"/>
            <w:tcBorders>
              <w:top w:val="nil"/>
              <w:left w:val="nil"/>
              <w:bottom w:val="nil"/>
              <w:right w:val="nil"/>
            </w:tcBorders>
            <w:noWrap/>
            <w:vAlign w:val="bottom"/>
          </w:tcPr>
          <w:p w:rsidR="004C4800" w:rsidRPr="00E465A1" w:rsidRDefault="004C4800" w:rsidP="00C14BBF">
            <w:pPr>
              <w:pStyle w:val="Normal115pttext"/>
              <w:rPr>
                <w:color w:val="262626" w:themeColor="text1" w:themeTint="D9"/>
              </w:rPr>
            </w:pPr>
            <w:r w:rsidRPr="00E465A1">
              <w:rPr>
                <w:color w:val="262626" w:themeColor="text1" w:themeTint="D9"/>
              </w:rPr>
              <w:lastRenderedPageBreak/>
              <w:t xml:space="preserve">Note </w:t>
            </w:r>
            <w:r w:rsidR="0014516F" w:rsidRPr="00E465A1">
              <w:rPr>
                <w:color w:val="262626" w:themeColor="text1" w:themeTint="D9"/>
              </w:rPr>
              <w:t>5</w:t>
            </w:r>
            <w:r w:rsidRPr="00E465A1">
              <w:rPr>
                <w:color w:val="262626" w:themeColor="text1" w:themeTint="D9"/>
              </w:rPr>
              <w:t>:  The Commission, Senior Executive Personnel, Remuneration Expenses and Related Party Transactions (cont’d)</w:t>
            </w:r>
          </w:p>
          <w:p w:rsidR="004C4800" w:rsidRPr="00E465A1" w:rsidRDefault="004C4800" w:rsidP="00C14BBF">
            <w:pPr>
              <w:pStyle w:val="Noteswithhangingindent"/>
              <w:rPr>
                <w:color w:val="262626" w:themeColor="text1" w:themeTint="D9"/>
              </w:rPr>
            </w:pPr>
          </w:p>
        </w:tc>
      </w:tr>
    </w:tbl>
    <w:p w:rsidR="004C4800" w:rsidRPr="00E465A1" w:rsidRDefault="004C4800" w:rsidP="004C4800">
      <w:pPr>
        <w:pStyle w:val="Normalhanginglist105pt"/>
        <w:rPr>
          <w:color w:val="262626" w:themeColor="text1" w:themeTint="D9"/>
        </w:rPr>
      </w:pPr>
      <w:r w:rsidRPr="00E465A1">
        <w:rPr>
          <w:color w:val="262626" w:themeColor="text1" w:themeTint="D9"/>
        </w:rPr>
        <w:t>(d)</w:t>
      </w:r>
      <w:r w:rsidRPr="00E465A1">
        <w:rPr>
          <w:color w:val="262626" w:themeColor="text1" w:themeTint="D9"/>
        </w:rPr>
        <w:tab/>
        <w:t>Remuneration Expenses (cont’d)</w:t>
      </w:r>
    </w:p>
    <w:p w:rsidR="004C4800" w:rsidRPr="00E465A1" w:rsidRDefault="004C4800" w:rsidP="004C4800">
      <w:pPr>
        <w:pStyle w:val="NormalIndent1"/>
        <w:rPr>
          <w:color w:val="262626" w:themeColor="text1" w:themeTint="D9"/>
        </w:rPr>
      </w:pPr>
    </w:p>
    <w:p w:rsidR="00C0567F" w:rsidRPr="00E465A1" w:rsidRDefault="00C0567F" w:rsidP="00C0567F">
      <w:pPr>
        <w:rPr>
          <w:b/>
          <w:color w:val="262626" w:themeColor="text1" w:themeTint="D9"/>
        </w:rPr>
      </w:pPr>
      <w:r w:rsidRPr="00E465A1">
        <w:rPr>
          <w:b/>
          <w:color w:val="262626" w:themeColor="text1" w:themeTint="D9"/>
        </w:rPr>
        <w:t>1 July 201</w:t>
      </w:r>
      <w:r w:rsidR="0032055E" w:rsidRPr="00E465A1">
        <w:rPr>
          <w:b/>
          <w:color w:val="262626" w:themeColor="text1" w:themeTint="D9"/>
        </w:rPr>
        <w:t>6</w:t>
      </w:r>
      <w:r w:rsidRPr="00E465A1">
        <w:rPr>
          <w:b/>
          <w:color w:val="262626" w:themeColor="text1" w:themeTint="D9"/>
        </w:rPr>
        <w:t xml:space="preserve"> – 30 June 201</w:t>
      </w:r>
      <w:r w:rsidR="0032055E" w:rsidRPr="00E465A1">
        <w:rPr>
          <w:b/>
          <w:color w:val="262626" w:themeColor="text1" w:themeTint="D9"/>
        </w:rPr>
        <w:t>7</w:t>
      </w:r>
      <w:r w:rsidRPr="00E465A1">
        <w:rPr>
          <w:b/>
          <w:color w:val="262626" w:themeColor="text1" w:themeTint="D9"/>
        </w:rPr>
        <w:t>*</w:t>
      </w:r>
    </w:p>
    <w:p w:rsidR="0032055E" w:rsidRPr="00E465A1" w:rsidRDefault="0032055E" w:rsidP="0032055E">
      <w:pPr>
        <w:rPr>
          <w:color w:val="262626" w:themeColor="text1" w:themeTint="D9"/>
        </w:rPr>
      </w:pPr>
    </w:p>
    <w:tbl>
      <w:tblPr>
        <w:tblW w:w="10490" w:type="dxa"/>
        <w:tblLayout w:type="fixed"/>
        <w:tblCellMar>
          <w:left w:w="0" w:type="dxa"/>
          <w:bottom w:w="11" w:type="dxa"/>
          <w:right w:w="0" w:type="dxa"/>
        </w:tblCellMar>
        <w:tblLook w:val="04A0" w:firstRow="1" w:lastRow="0" w:firstColumn="1" w:lastColumn="0" w:noHBand="0" w:noVBand="1"/>
      </w:tblPr>
      <w:tblGrid>
        <w:gridCol w:w="3119"/>
        <w:gridCol w:w="2551"/>
        <w:gridCol w:w="993"/>
        <w:gridCol w:w="992"/>
        <w:gridCol w:w="992"/>
        <w:gridCol w:w="992"/>
        <w:gridCol w:w="851"/>
      </w:tblGrid>
      <w:tr w:rsidR="00E465A1" w:rsidRPr="00E465A1" w:rsidTr="004C4800">
        <w:trPr>
          <w:trHeight w:hRule="exact" w:val="907"/>
        </w:trPr>
        <w:tc>
          <w:tcPr>
            <w:tcW w:w="3119" w:type="dxa"/>
            <w:tcBorders>
              <w:top w:val="single" w:sz="4" w:space="0" w:color="auto"/>
              <w:right w:val="single" w:sz="4" w:space="0" w:color="auto"/>
            </w:tcBorders>
            <w:shd w:val="clear" w:color="auto" w:fill="auto"/>
            <w:tcMar>
              <w:top w:w="0" w:type="dxa"/>
            </w:tcMar>
            <w:vAlign w:val="center"/>
          </w:tcPr>
          <w:p w:rsidR="0032055E" w:rsidRPr="00E465A1" w:rsidRDefault="0032055E" w:rsidP="00E34A1D">
            <w:pPr>
              <w:pStyle w:val="Normaltabletextleft"/>
              <w:spacing w:line="220" w:lineRule="exact"/>
              <w:rPr>
                <w:b/>
                <w:color w:val="262626" w:themeColor="text1" w:themeTint="D9"/>
                <w:sz w:val="16"/>
                <w:szCs w:val="16"/>
              </w:rPr>
            </w:pPr>
            <w:r w:rsidRPr="00E465A1">
              <w:rPr>
                <w:b/>
                <w:color w:val="262626" w:themeColor="text1" w:themeTint="D9"/>
                <w:sz w:val="16"/>
                <w:szCs w:val="16"/>
              </w:rPr>
              <w:t>Position</w:t>
            </w:r>
          </w:p>
        </w:tc>
        <w:tc>
          <w:tcPr>
            <w:tcW w:w="2551" w:type="dxa"/>
            <w:tcBorders>
              <w:top w:val="single" w:sz="4" w:space="0" w:color="auto"/>
              <w:left w:val="single" w:sz="4" w:space="0" w:color="auto"/>
              <w:right w:val="single" w:sz="4" w:space="0" w:color="auto"/>
            </w:tcBorders>
            <w:vAlign w:val="center"/>
          </w:tcPr>
          <w:p w:rsidR="0032055E" w:rsidRPr="00E465A1" w:rsidRDefault="0032055E" w:rsidP="00E34A1D">
            <w:pPr>
              <w:pStyle w:val="Normaltabletextleft"/>
              <w:tabs>
                <w:tab w:val="left" w:pos="371"/>
              </w:tabs>
              <w:spacing w:line="220" w:lineRule="exact"/>
              <w:jc w:val="center"/>
              <w:rPr>
                <w:b/>
                <w:color w:val="262626" w:themeColor="text1" w:themeTint="D9"/>
                <w:sz w:val="16"/>
                <w:szCs w:val="16"/>
              </w:rPr>
            </w:pPr>
            <w:r w:rsidRPr="00E465A1">
              <w:rPr>
                <w:b/>
                <w:color w:val="262626" w:themeColor="text1" w:themeTint="D9"/>
                <w:sz w:val="16"/>
                <w:szCs w:val="16"/>
              </w:rPr>
              <w:t>Contract classification and appointment authority</w:t>
            </w:r>
          </w:p>
        </w:tc>
        <w:tc>
          <w:tcPr>
            <w:tcW w:w="993" w:type="dxa"/>
            <w:tcBorders>
              <w:top w:val="single" w:sz="4" w:space="0" w:color="auto"/>
              <w:left w:val="single" w:sz="4" w:space="0" w:color="auto"/>
              <w:right w:val="single" w:sz="4" w:space="0" w:color="auto"/>
            </w:tcBorders>
            <w:shd w:val="clear" w:color="auto" w:fill="auto"/>
            <w:tcMar>
              <w:top w:w="28" w:type="dxa"/>
              <w:left w:w="0" w:type="dxa"/>
              <w:bottom w:w="57" w:type="dxa"/>
              <w:right w:w="0" w:type="dxa"/>
            </w:tcMar>
            <w:vAlign w:val="center"/>
          </w:tcPr>
          <w:p w:rsidR="0032055E" w:rsidRPr="00E465A1" w:rsidRDefault="0032055E" w:rsidP="00BA4011">
            <w:pPr>
              <w:pStyle w:val="Normaltabletext1stpararight"/>
              <w:spacing w:line="220" w:lineRule="exact"/>
              <w:jc w:val="center"/>
              <w:rPr>
                <w:b/>
                <w:color w:val="262626" w:themeColor="text1" w:themeTint="D9"/>
                <w:sz w:val="16"/>
                <w:szCs w:val="16"/>
              </w:rPr>
            </w:pPr>
          </w:p>
          <w:p w:rsidR="0032055E" w:rsidRPr="00E465A1" w:rsidRDefault="0032055E"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Monetary Expenses</w:t>
            </w:r>
          </w:p>
          <w:p w:rsidR="0032055E" w:rsidRPr="00E465A1" w:rsidRDefault="0032055E"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$’000</w:t>
            </w:r>
          </w:p>
        </w:tc>
        <w:tc>
          <w:tcPr>
            <w:tcW w:w="992" w:type="dxa"/>
            <w:tcBorders>
              <w:top w:val="single" w:sz="4" w:space="0" w:color="auto"/>
              <w:left w:val="single" w:sz="4" w:space="0" w:color="auto"/>
              <w:right w:val="single" w:sz="4" w:space="0" w:color="auto"/>
            </w:tcBorders>
            <w:shd w:val="clear" w:color="auto" w:fill="auto"/>
            <w:tcMar>
              <w:top w:w="28" w:type="dxa"/>
              <w:left w:w="0" w:type="dxa"/>
              <w:bottom w:w="57" w:type="dxa"/>
              <w:right w:w="0" w:type="dxa"/>
            </w:tcMar>
            <w:vAlign w:val="center"/>
          </w:tcPr>
          <w:p w:rsidR="0032055E" w:rsidRPr="00E465A1" w:rsidRDefault="0032055E"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Long-Term Employee Expenses</w:t>
            </w:r>
          </w:p>
          <w:p w:rsidR="0032055E" w:rsidRPr="00E465A1" w:rsidRDefault="0032055E" w:rsidP="00BA4011">
            <w:pPr>
              <w:pStyle w:val="Normaltabletext1stpararight"/>
              <w:spacing w:line="220" w:lineRule="exact"/>
              <w:ind w:right="113"/>
              <w:jc w:val="center"/>
              <w:rPr>
                <w:b/>
                <w:color w:val="262626" w:themeColor="text1" w:themeTint="D9"/>
                <w:sz w:val="16"/>
                <w:szCs w:val="16"/>
              </w:rPr>
            </w:pPr>
            <w:r w:rsidRPr="00E465A1">
              <w:rPr>
                <w:b/>
                <w:color w:val="262626" w:themeColor="text1" w:themeTint="D9"/>
                <w:sz w:val="16"/>
                <w:szCs w:val="16"/>
              </w:rPr>
              <w:t>$’000</w:t>
            </w:r>
          </w:p>
        </w:tc>
        <w:tc>
          <w:tcPr>
            <w:tcW w:w="992" w:type="dxa"/>
            <w:tcBorders>
              <w:top w:val="single" w:sz="4" w:space="0" w:color="auto"/>
              <w:left w:val="single" w:sz="4" w:space="0" w:color="auto"/>
              <w:right w:val="single" w:sz="4" w:space="0" w:color="auto"/>
            </w:tcBorders>
            <w:shd w:val="clear" w:color="auto" w:fill="auto"/>
            <w:tcMar>
              <w:top w:w="28" w:type="dxa"/>
              <w:left w:w="0" w:type="dxa"/>
              <w:bottom w:w="57" w:type="dxa"/>
              <w:right w:w="0" w:type="dxa"/>
            </w:tcMar>
            <w:vAlign w:val="center"/>
          </w:tcPr>
          <w:p w:rsidR="0032055E" w:rsidRPr="00E465A1" w:rsidRDefault="0032055E"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Post-Employment Expenses</w:t>
            </w:r>
          </w:p>
          <w:p w:rsidR="0032055E" w:rsidRPr="00E465A1" w:rsidRDefault="0032055E" w:rsidP="00BA4011">
            <w:pPr>
              <w:pStyle w:val="Normaltabletext1stpararight"/>
              <w:spacing w:line="220" w:lineRule="exact"/>
              <w:ind w:right="113"/>
              <w:jc w:val="center"/>
              <w:rPr>
                <w:b/>
                <w:color w:val="262626" w:themeColor="text1" w:themeTint="D9"/>
                <w:sz w:val="16"/>
                <w:szCs w:val="16"/>
              </w:rPr>
            </w:pPr>
            <w:r w:rsidRPr="00E465A1">
              <w:rPr>
                <w:b/>
                <w:color w:val="262626" w:themeColor="text1" w:themeTint="D9"/>
                <w:sz w:val="16"/>
                <w:szCs w:val="16"/>
              </w:rPr>
              <w:t>$’000</w:t>
            </w:r>
          </w:p>
        </w:tc>
        <w:tc>
          <w:tcPr>
            <w:tcW w:w="992" w:type="dxa"/>
            <w:tcBorders>
              <w:top w:val="single" w:sz="4" w:space="0" w:color="auto"/>
              <w:left w:val="single" w:sz="4" w:space="0" w:color="auto"/>
              <w:right w:val="single" w:sz="4" w:space="0" w:color="auto"/>
            </w:tcBorders>
            <w:vAlign w:val="center"/>
          </w:tcPr>
          <w:p w:rsidR="0032055E" w:rsidRPr="00E465A1" w:rsidRDefault="0032055E"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Termination Benefits  $’000</w:t>
            </w:r>
          </w:p>
        </w:tc>
        <w:tc>
          <w:tcPr>
            <w:tcW w:w="851" w:type="dxa"/>
            <w:tcBorders>
              <w:top w:val="single" w:sz="4" w:space="0" w:color="auto"/>
              <w:left w:val="single" w:sz="4" w:space="0" w:color="auto"/>
            </w:tcBorders>
            <w:shd w:val="clear" w:color="auto" w:fill="auto"/>
            <w:tcMar>
              <w:top w:w="28" w:type="dxa"/>
              <w:left w:w="0" w:type="dxa"/>
              <w:bottom w:w="57" w:type="dxa"/>
              <w:right w:w="0" w:type="dxa"/>
            </w:tcMar>
            <w:vAlign w:val="center"/>
          </w:tcPr>
          <w:p w:rsidR="0032055E" w:rsidRPr="00E465A1" w:rsidRDefault="0032055E" w:rsidP="00BA4011">
            <w:pPr>
              <w:pStyle w:val="Normaltabletext1stpararight"/>
              <w:spacing w:line="220" w:lineRule="exact"/>
              <w:jc w:val="center"/>
              <w:rPr>
                <w:b/>
                <w:color w:val="262626" w:themeColor="text1" w:themeTint="D9"/>
                <w:sz w:val="16"/>
                <w:szCs w:val="16"/>
              </w:rPr>
            </w:pPr>
            <w:r w:rsidRPr="00E465A1">
              <w:rPr>
                <w:b/>
                <w:color w:val="262626" w:themeColor="text1" w:themeTint="D9"/>
                <w:sz w:val="16"/>
                <w:szCs w:val="16"/>
              </w:rPr>
              <w:t>Total</w:t>
            </w:r>
            <w:r w:rsidRPr="00E465A1">
              <w:rPr>
                <w:b/>
                <w:color w:val="262626" w:themeColor="text1" w:themeTint="D9"/>
                <w:sz w:val="16"/>
                <w:szCs w:val="16"/>
              </w:rPr>
              <w:br/>
              <w:t>Expenses</w:t>
            </w:r>
          </w:p>
          <w:p w:rsidR="0032055E" w:rsidRPr="00E465A1" w:rsidRDefault="0032055E" w:rsidP="00BA4011">
            <w:pPr>
              <w:pStyle w:val="Normaltabletext1stpararight"/>
              <w:spacing w:line="220" w:lineRule="exact"/>
              <w:ind w:right="113"/>
              <w:jc w:val="center"/>
              <w:rPr>
                <w:b/>
                <w:color w:val="262626" w:themeColor="text1" w:themeTint="D9"/>
                <w:sz w:val="16"/>
                <w:szCs w:val="16"/>
              </w:rPr>
            </w:pPr>
            <w:r w:rsidRPr="00E465A1">
              <w:rPr>
                <w:b/>
                <w:color w:val="262626" w:themeColor="text1" w:themeTint="D9"/>
                <w:sz w:val="16"/>
                <w:szCs w:val="16"/>
              </w:rPr>
              <w:t>$’000</w:t>
            </w:r>
          </w:p>
        </w:tc>
      </w:tr>
      <w:tr w:rsidR="00E465A1" w:rsidRPr="00E465A1" w:rsidTr="004C4800">
        <w:trPr>
          <w:trHeight w:val="362"/>
        </w:trPr>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Chairperson</w:t>
            </w:r>
            <w:r w:rsidR="007B5183" w:rsidRPr="00E465A1">
              <w:rPr>
                <w:color w:val="262626" w:themeColor="text1" w:themeTint="D9"/>
                <w:sz w:val="16"/>
                <w:szCs w:val="16"/>
              </w:rPr>
              <w:t>¹</w:t>
            </w:r>
            <w:r w:rsidRPr="00E465A1">
              <w:rPr>
                <w:color w:val="262626" w:themeColor="text1" w:themeTint="D9"/>
                <w:sz w:val="16"/>
                <w:szCs w:val="16"/>
              </w:rPr>
              <w:t xml:space="preserve"> – 1 September 2015 to current </w:t>
            </w:r>
          </w:p>
        </w:tc>
        <w:tc>
          <w:tcPr>
            <w:tcW w:w="2551" w:type="dxa"/>
            <w:tcBorders>
              <w:top w:val="single" w:sz="4" w:space="0" w:color="auto"/>
              <w:left w:val="single" w:sz="4" w:space="0" w:color="auto"/>
              <w:bottom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i/>
                <w:color w:val="262626" w:themeColor="text1" w:themeTint="D9"/>
                <w:spacing w:val="-2"/>
                <w:sz w:val="16"/>
                <w:szCs w:val="16"/>
              </w:rPr>
            </w:pPr>
            <w:r w:rsidRPr="00E465A1">
              <w:rPr>
                <w:color w:val="262626" w:themeColor="text1" w:themeTint="D9"/>
                <w:spacing w:val="-2"/>
                <w:sz w:val="16"/>
                <w:szCs w:val="16"/>
              </w:rPr>
              <w:t xml:space="preserve">Crime </w:t>
            </w:r>
            <w:r w:rsidRPr="00E465A1">
              <w:rPr>
                <w:i/>
                <w:color w:val="262626" w:themeColor="text1" w:themeTint="D9"/>
                <w:spacing w:val="-2"/>
                <w:sz w:val="16"/>
                <w:szCs w:val="16"/>
              </w:rPr>
              <w:t>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487</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9</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rPr>
              <w:t>–</w:t>
            </w:r>
          </w:p>
        </w:tc>
        <w:tc>
          <w:tcPr>
            <w:tcW w:w="992" w:type="dxa"/>
            <w:tcBorders>
              <w:top w:val="single" w:sz="4" w:space="0" w:color="auto"/>
              <w:left w:val="single" w:sz="4" w:space="0" w:color="auto"/>
              <w:bottom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1"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496</w:t>
            </w:r>
          </w:p>
        </w:tc>
      </w:tr>
      <w:tr w:rsidR="00E465A1" w:rsidRPr="00E465A1" w:rsidTr="004C4800">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 xml:space="preserve">Chief Executive Officer – 1 January 2016 to current </w:t>
            </w:r>
          </w:p>
        </w:tc>
        <w:tc>
          <w:tcPr>
            <w:tcW w:w="2551" w:type="dxa"/>
            <w:tcBorders>
              <w:top w:val="single" w:sz="4" w:space="0" w:color="auto"/>
              <w:left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pacing w:val="-2"/>
                <w:sz w:val="16"/>
                <w:szCs w:val="16"/>
              </w:rPr>
              <w:t xml:space="preserve">CEO,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300</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6</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32</w:t>
            </w:r>
          </w:p>
        </w:tc>
        <w:tc>
          <w:tcPr>
            <w:tcW w:w="992" w:type="dxa"/>
            <w:tcBorders>
              <w:top w:val="single" w:sz="4" w:space="0" w:color="auto"/>
              <w:left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1"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338</w:t>
            </w:r>
          </w:p>
        </w:tc>
      </w:tr>
      <w:tr w:rsidR="00E465A1" w:rsidRPr="00E465A1" w:rsidTr="004C4800">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 xml:space="preserve">Executive Director, Corruption – 15 September 2014 to </w:t>
            </w:r>
            <w:r w:rsidR="009223C2" w:rsidRPr="00E465A1">
              <w:rPr>
                <w:color w:val="262626" w:themeColor="text1" w:themeTint="D9"/>
                <w:sz w:val="16"/>
                <w:szCs w:val="16"/>
              </w:rPr>
              <w:t>15 September 2017</w:t>
            </w:r>
          </w:p>
        </w:tc>
        <w:tc>
          <w:tcPr>
            <w:tcW w:w="2551" w:type="dxa"/>
            <w:tcBorders>
              <w:top w:val="single" w:sz="4" w:space="0" w:color="auto"/>
              <w:left w:val="single" w:sz="4" w:space="0" w:color="auto"/>
              <w:bottom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 xml:space="preserve">SES4,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249</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5</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26</w:t>
            </w:r>
          </w:p>
        </w:tc>
        <w:tc>
          <w:tcPr>
            <w:tcW w:w="992" w:type="dxa"/>
            <w:tcBorders>
              <w:top w:val="single" w:sz="4" w:space="0" w:color="auto"/>
              <w:left w:val="single" w:sz="4" w:space="0" w:color="auto"/>
              <w:bottom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1"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280</w:t>
            </w:r>
          </w:p>
        </w:tc>
      </w:tr>
      <w:tr w:rsidR="00E465A1" w:rsidRPr="00E465A1" w:rsidTr="004C4800">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Executive Director, Crime – 9 January 2012 to 30 June 2017</w:t>
            </w:r>
          </w:p>
        </w:tc>
        <w:tc>
          <w:tcPr>
            <w:tcW w:w="2551" w:type="dxa"/>
            <w:tcBorders>
              <w:top w:val="single" w:sz="4" w:space="0" w:color="auto"/>
              <w:left w:val="single" w:sz="4" w:space="0" w:color="auto"/>
              <w:bottom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i/>
                <w:color w:val="262626" w:themeColor="text1" w:themeTint="D9"/>
                <w:spacing w:val="-2"/>
                <w:sz w:val="16"/>
                <w:szCs w:val="16"/>
              </w:rPr>
            </w:pPr>
            <w:r w:rsidRPr="00E465A1">
              <w:rPr>
                <w:color w:val="262626" w:themeColor="text1" w:themeTint="D9"/>
                <w:spacing w:val="-2"/>
                <w:sz w:val="16"/>
                <w:szCs w:val="16"/>
              </w:rPr>
              <w:t xml:space="preserve">SES4,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284</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5</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28</w:t>
            </w:r>
          </w:p>
        </w:tc>
        <w:tc>
          <w:tcPr>
            <w:tcW w:w="992" w:type="dxa"/>
            <w:tcBorders>
              <w:top w:val="single" w:sz="4" w:space="0" w:color="auto"/>
              <w:left w:val="single" w:sz="4" w:space="0" w:color="auto"/>
              <w:bottom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sz w:val="16"/>
                <w:szCs w:val="16"/>
              </w:rPr>
              <w:t>51</w:t>
            </w:r>
          </w:p>
        </w:tc>
        <w:tc>
          <w:tcPr>
            <w:tcW w:w="851"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368</w:t>
            </w:r>
          </w:p>
        </w:tc>
      </w:tr>
      <w:tr w:rsidR="00E465A1" w:rsidRPr="00E465A1" w:rsidTr="004C4800">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Executive Director, Strategic and Corporate Services – 13 July 2015 to current</w:t>
            </w:r>
          </w:p>
        </w:tc>
        <w:tc>
          <w:tcPr>
            <w:tcW w:w="2551" w:type="dxa"/>
            <w:tcBorders>
              <w:top w:val="single" w:sz="4" w:space="0" w:color="auto"/>
              <w:left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SES3,</w:t>
            </w:r>
            <w:r w:rsidRPr="00E465A1">
              <w:rPr>
                <w:i/>
                <w:color w:val="262626" w:themeColor="text1" w:themeTint="D9"/>
                <w:spacing w:val="-2"/>
                <w:sz w:val="16"/>
                <w:szCs w:val="16"/>
              </w:rPr>
              <w:t xml:space="preserve"> 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241</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5</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23</w:t>
            </w:r>
          </w:p>
        </w:tc>
        <w:tc>
          <w:tcPr>
            <w:tcW w:w="992" w:type="dxa"/>
            <w:tcBorders>
              <w:top w:val="single" w:sz="4" w:space="0" w:color="auto"/>
              <w:left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1"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269</w:t>
            </w:r>
          </w:p>
        </w:tc>
      </w:tr>
      <w:tr w:rsidR="00E465A1" w:rsidRPr="00E465A1" w:rsidTr="004C4800">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 xml:space="preserve">Executive Director, Operations Support – 12 October 2015 to </w:t>
            </w:r>
            <w:r w:rsidR="00A94596" w:rsidRPr="00E465A1">
              <w:rPr>
                <w:color w:val="262626" w:themeColor="text1" w:themeTint="D9"/>
                <w:sz w:val="16"/>
                <w:szCs w:val="16"/>
              </w:rPr>
              <w:t>19 January 2018</w:t>
            </w:r>
            <w:r w:rsidRPr="00E465A1">
              <w:rPr>
                <w:color w:val="262626" w:themeColor="text1" w:themeTint="D9"/>
                <w:sz w:val="16"/>
                <w:szCs w:val="16"/>
              </w:rPr>
              <w:t xml:space="preserve"> </w:t>
            </w:r>
          </w:p>
        </w:tc>
        <w:tc>
          <w:tcPr>
            <w:tcW w:w="2551" w:type="dxa"/>
            <w:tcBorders>
              <w:top w:val="single" w:sz="4" w:space="0" w:color="auto"/>
              <w:left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pacing w:val="-2"/>
                <w:sz w:val="16"/>
                <w:szCs w:val="16"/>
              </w:rPr>
              <w:t xml:space="preserve">Chief Superintendent,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188</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4</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22</w:t>
            </w:r>
          </w:p>
        </w:tc>
        <w:tc>
          <w:tcPr>
            <w:tcW w:w="992" w:type="dxa"/>
            <w:tcBorders>
              <w:top w:val="single" w:sz="4" w:space="0" w:color="auto"/>
              <w:left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1"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214</w:t>
            </w:r>
          </w:p>
        </w:tc>
      </w:tr>
      <w:tr w:rsidR="00E465A1" w:rsidRPr="00E465A1" w:rsidTr="004C4800">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Director, Financial Investigations – 18 March 2013 to current</w:t>
            </w:r>
          </w:p>
        </w:tc>
        <w:tc>
          <w:tcPr>
            <w:tcW w:w="2551" w:type="dxa"/>
            <w:tcBorders>
              <w:top w:val="single" w:sz="4" w:space="0" w:color="auto"/>
              <w:left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pacing w:val="-2"/>
                <w:sz w:val="16"/>
                <w:szCs w:val="16"/>
              </w:rPr>
              <w:t xml:space="preserve">SES2,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179</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4</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18</w:t>
            </w:r>
          </w:p>
        </w:tc>
        <w:tc>
          <w:tcPr>
            <w:tcW w:w="992" w:type="dxa"/>
            <w:tcBorders>
              <w:top w:val="single" w:sz="4" w:space="0" w:color="auto"/>
              <w:left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1"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201</w:t>
            </w:r>
          </w:p>
        </w:tc>
      </w:tr>
      <w:tr w:rsidR="00E465A1" w:rsidRPr="00E465A1" w:rsidTr="004C4800">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Director, Legal Services – 26 April 2012 to current</w:t>
            </w:r>
          </w:p>
        </w:tc>
        <w:tc>
          <w:tcPr>
            <w:tcW w:w="2551" w:type="dxa"/>
            <w:tcBorders>
              <w:top w:val="single" w:sz="4" w:space="0" w:color="auto"/>
              <w:left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pacing w:val="-2"/>
                <w:sz w:val="16"/>
                <w:szCs w:val="16"/>
              </w:rPr>
              <w:t xml:space="preserve">SES2,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174</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3</w:t>
            </w:r>
          </w:p>
        </w:tc>
        <w:tc>
          <w:tcPr>
            <w:tcW w:w="992" w:type="dxa"/>
            <w:tcBorders>
              <w:top w:val="single" w:sz="4" w:space="0" w:color="auto"/>
              <w:left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18</w:t>
            </w:r>
          </w:p>
        </w:tc>
        <w:tc>
          <w:tcPr>
            <w:tcW w:w="992" w:type="dxa"/>
            <w:tcBorders>
              <w:top w:val="single" w:sz="4" w:space="0" w:color="auto"/>
              <w:left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1" w:type="dxa"/>
            <w:tcBorders>
              <w:top w:val="single" w:sz="4" w:space="0" w:color="auto"/>
              <w:left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195</w:t>
            </w:r>
          </w:p>
        </w:tc>
      </w:tr>
      <w:tr w:rsidR="00E465A1" w:rsidRPr="00E465A1" w:rsidTr="004C4800">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Director, Research and Policy – 17 February 2012 to current</w:t>
            </w:r>
          </w:p>
        </w:tc>
        <w:tc>
          <w:tcPr>
            <w:tcW w:w="2551" w:type="dxa"/>
            <w:tcBorders>
              <w:top w:val="single" w:sz="4" w:space="0" w:color="auto"/>
              <w:left w:val="single" w:sz="4" w:space="0" w:color="auto"/>
              <w:bottom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 xml:space="preserve">SES2,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189</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4</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20</w:t>
            </w:r>
          </w:p>
        </w:tc>
        <w:tc>
          <w:tcPr>
            <w:tcW w:w="992" w:type="dxa"/>
            <w:tcBorders>
              <w:top w:val="single" w:sz="4" w:space="0" w:color="auto"/>
              <w:left w:val="single" w:sz="4" w:space="0" w:color="auto"/>
              <w:bottom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1"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213</w:t>
            </w:r>
          </w:p>
        </w:tc>
      </w:tr>
      <w:tr w:rsidR="00E465A1" w:rsidRPr="00E465A1" w:rsidTr="004C4800">
        <w:tc>
          <w:tcPr>
            <w:tcW w:w="3119" w:type="dxa"/>
            <w:tcBorders>
              <w:top w:val="single" w:sz="4" w:space="0" w:color="auto"/>
              <w:bottom w:val="sing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color w:val="262626" w:themeColor="text1" w:themeTint="D9"/>
                <w:sz w:val="16"/>
                <w:szCs w:val="16"/>
              </w:rPr>
            </w:pPr>
            <w:r w:rsidRPr="00E465A1">
              <w:rPr>
                <w:color w:val="262626" w:themeColor="text1" w:themeTint="D9"/>
                <w:sz w:val="16"/>
                <w:szCs w:val="16"/>
              </w:rPr>
              <w:t>Director, Intelligence – 23 November 2012 to current</w:t>
            </w:r>
          </w:p>
        </w:tc>
        <w:tc>
          <w:tcPr>
            <w:tcW w:w="2551" w:type="dxa"/>
            <w:tcBorders>
              <w:top w:val="single" w:sz="4" w:space="0" w:color="auto"/>
              <w:left w:val="single" w:sz="4" w:space="0" w:color="auto"/>
              <w:bottom w:val="single" w:sz="4" w:space="0" w:color="auto"/>
              <w:right w:val="single" w:sz="4" w:space="0" w:color="auto"/>
            </w:tcBorders>
            <w:tcMar>
              <w:left w:w="57" w:type="dxa"/>
            </w:tcMar>
            <w:vAlign w:val="center"/>
          </w:tcPr>
          <w:p w:rsidR="0032055E" w:rsidRPr="00E465A1" w:rsidRDefault="0032055E" w:rsidP="00E34A1D">
            <w:pPr>
              <w:pStyle w:val="Normaltabletextleft"/>
              <w:spacing w:line="220" w:lineRule="exact"/>
              <w:rPr>
                <w:color w:val="262626" w:themeColor="text1" w:themeTint="D9"/>
                <w:spacing w:val="-2"/>
                <w:sz w:val="16"/>
                <w:szCs w:val="16"/>
              </w:rPr>
            </w:pPr>
            <w:r w:rsidRPr="00E465A1">
              <w:rPr>
                <w:color w:val="262626" w:themeColor="text1" w:themeTint="D9"/>
                <w:spacing w:val="-2"/>
                <w:sz w:val="16"/>
                <w:szCs w:val="16"/>
              </w:rPr>
              <w:t xml:space="preserve">SO, </w:t>
            </w:r>
            <w:r w:rsidRPr="00E465A1">
              <w:rPr>
                <w:i/>
                <w:color w:val="262626" w:themeColor="text1" w:themeTint="D9"/>
                <w:spacing w:val="-2"/>
                <w:sz w:val="16"/>
                <w:szCs w:val="16"/>
              </w:rPr>
              <w:t>Crime and Corruption Act 2001</w:t>
            </w:r>
          </w:p>
        </w:tc>
        <w:tc>
          <w:tcPr>
            <w:tcW w:w="993"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133</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2</w:t>
            </w:r>
          </w:p>
        </w:tc>
        <w:tc>
          <w:tcPr>
            <w:tcW w:w="992" w:type="dxa"/>
            <w:tcBorders>
              <w:top w:val="single" w:sz="4" w:space="0" w:color="auto"/>
              <w:left w:val="single" w:sz="4" w:space="0" w:color="auto"/>
              <w:bottom w:val="sing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16</w:t>
            </w:r>
          </w:p>
        </w:tc>
        <w:tc>
          <w:tcPr>
            <w:tcW w:w="992" w:type="dxa"/>
            <w:tcBorders>
              <w:top w:val="single" w:sz="4" w:space="0" w:color="auto"/>
              <w:left w:val="single" w:sz="4" w:space="0" w:color="auto"/>
              <w:bottom w:val="single" w:sz="4" w:space="0" w:color="auto"/>
              <w:right w:val="single" w:sz="4" w:space="0" w:color="auto"/>
            </w:tcBorders>
            <w:vAlign w:val="center"/>
          </w:tcPr>
          <w:p w:rsidR="0032055E" w:rsidRPr="00E465A1" w:rsidRDefault="0032055E" w:rsidP="00E34A1D">
            <w:pPr>
              <w:pStyle w:val="Normaltabletext1stpararight"/>
              <w:spacing w:line="220" w:lineRule="exact"/>
              <w:ind w:right="141"/>
              <w:rPr>
                <w:color w:val="262626" w:themeColor="text1" w:themeTint="D9"/>
                <w:sz w:val="16"/>
                <w:szCs w:val="16"/>
              </w:rPr>
            </w:pPr>
            <w:r w:rsidRPr="00E465A1">
              <w:rPr>
                <w:color w:val="262626" w:themeColor="text1" w:themeTint="D9"/>
              </w:rPr>
              <w:t>–</w:t>
            </w:r>
          </w:p>
        </w:tc>
        <w:tc>
          <w:tcPr>
            <w:tcW w:w="851" w:type="dxa"/>
            <w:tcBorders>
              <w:top w:val="single" w:sz="4" w:space="0" w:color="auto"/>
              <w:left w:val="single" w:sz="4" w:space="0" w:color="auto"/>
              <w:bottom w:val="sing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color w:val="262626" w:themeColor="text1" w:themeTint="D9"/>
                <w:sz w:val="16"/>
                <w:szCs w:val="16"/>
              </w:rPr>
            </w:pPr>
            <w:r w:rsidRPr="00E465A1">
              <w:rPr>
                <w:color w:val="262626" w:themeColor="text1" w:themeTint="D9"/>
                <w:sz w:val="16"/>
                <w:szCs w:val="16"/>
              </w:rPr>
              <w:t>151</w:t>
            </w:r>
          </w:p>
        </w:tc>
      </w:tr>
      <w:tr w:rsidR="00E465A1" w:rsidRPr="00E465A1" w:rsidTr="004C4800">
        <w:trPr>
          <w:trHeight w:val="352"/>
        </w:trPr>
        <w:tc>
          <w:tcPr>
            <w:tcW w:w="3119" w:type="dxa"/>
            <w:tcBorders>
              <w:top w:val="single" w:sz="4" w:space="0" w:color="auto"/>
              <w:bottom w:val="double" w:sz="4" w:space="0" w:color="auto"/>
              <w:right w:val="single" w:sz="4" w:space="0" w:color="auto"/>
            </w:tcBorders>
            <w:tcMar>
              <w:top w:w="28" w:type="dxa"/>
              <w:bottom w:w="57" w:type="dxa"/>
            </w:tcMar>
            <w:vAlign w:val="center"/>
          </w:tcPr>
          <w:p w:rsidR="0032055E" w:rsidRPr="00E465A1" w:rsidRDefault="0032055E" w:rsidP="00E34A1D">
            <w:pPr>
              <w:pStyle w:val="Normaltabletextleft"/>
              <w:spacing w:line="220" w:lineRule="exact"/>
              <w:rPr>
                <w:b/>
                <w:color w:val="262626" w:themeColor="text1" w:themeTint="D9"/>
                <w:sz w:val="16"/>
                <w:szCs w:val="16"/>
              </w:rPr>
            </w:pPr>
            <w:r w:rsidRPr="00E465A1">
              <w:rPr>
                <w:b/>
                <w:color w:val="262626" w:themeColor="text1" w:themeTint="D9"/>
                <w:sz w:val="16"/>
                <w:szCs w:val="16"/>
              </w:rPr>
              <w:t>Total Remuneration</w:t>
            </w:r>
          </w:p>
        </w:tc>
        <w:tc>
          <w:tcPr>
            <w:tcW w:w="2551" w:type="dxa"/>
            <w:tcBorders>
              <w:top w:val="single" w:sz="4" w:space="0" w:color="auto"/>
              <w:left w:val="single" w:sz="4" w:space="0" w:color="auto"/>
              <w:bottom w:val="double" w:sz="4" w:space="0" w:color="auto"/>
              <w:right w:val="single" w:sz="4" w:space="0" w:color="auto"/>
            </w:tcBorders>
            <w:vAlign w:val="center"/>
          </w:tcPr>
          <w:p w:rsidR="0032055E" w:rsidRPr="00E465A1" w:rsidRDefault="0032055E" w:rsidP="00E34A1D">
            <w:pPr>
              <w:pStyle w:val="Normaltabletext1stpararight"/>
              <w:spacing w:line="220" w:lineRule="exact"/>
              <w:rPr>
                <w:b/>
                <w:color w:val="262626" w:themeColor="text1" w:themeTint="D9"/>
                <w:sz w:val="16"/>
                <w:szCs w:val="16"/>
              </w:rPr>
            </w:pPr>
          </w:p>
        </w:tc>
        <w:tc>
          <w:tcPr>
            <w:tcW w:w="993" w:type="dxa"/>
            <w:tcBorders>
              <w:top w:val="single" w:sz="4" w:space="0" w:color="auto"/>
              <w:left w:val="single" w:sz="4" w:space="0" w:color="auto"/>
              <w:bottom w:val="doub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b/>
                <w:color w:val="262626" w:themeColor="text1" w:themeTint="D9"/>
                <w:sz w:val="16"/>
                <w:szCs w:val="16"/>
              </w:rPr>
            </w:pPr>
            <w:r w:rsidRPr="00E465A1">
              <w:rPr>
                <w:b/>
                <w:color w:val="262626" w:themeColor="text1" w:themeTint="D9"/>
                <w:sz w:val="16"/>
                <w:szCs w:val="16"/>
              </w:rPr>
              <w:t>2,424</w:t>
            </w:r>
          </w:p>
        </w:tc>
        <w:tc>
          <w:tcPr>
            <w:tcW w:w="992" w:type="dxa"/>
            <w:tcBorders>
              <w:top w:val="single" w:sz="4" w:space="0" w:color="auto"/>
              <w:left w:val="single" w:sz="4" w:space="0" w:color="auto"/>
              <w:bottom w:val="doub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b/>
                <w:color w:val="262626" w:themeColor="text1" w:themeTint="D9"/>
                <w:sz w:val="16"/>
                <w:szCs w:val="16"/>
              </w:rPr>
            </w:pPr>
            <w:r w:rsidRPr="00E465A1">
              <w:rPr>
                <w:b/>
                <w:color w:val="262626" w:themeColor="text1" w:themeTint="D9"/>
                <w:sz w:val="16"/>
                <w:szCs w:val="16"/>
              </w:rPr>
              <w:t>47</w:t>
            </w:r>
          </w:p>
        </w:tc>
        <w:tc>
          <w:tcPr>
            <w:tcW w:w="992" w:type="dxa"/>
            <w:tcBorders>
              <w:top w:val="single" w:sz="4" w:space="0" w:color="auto"/>
              <w:left w:val="single" w:sz="4" w:space="0" w:color="auto"/>
              <w:bottom w:val="double" w:sz="4" w:space="0" w:color="auto"/>
              <w:right w:val="single" w:sz="4" w:space="0" w:color="auto"/>
            </w:tcBorders>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b/>
                <w:color w:val="262626" w:themeColor="text1" w:themeTint="D9"/>
                <w:sz w:val="16"/>
                <w:szCs w:val="16"/>
              </w:rPr>
            </w:pPr>
            <w:r w:rsidRPr="00E465A1">
              <w:rPr>
                <w:b/>
                <w:color w:val="262626" w:themeColor="text1" w:themeTint="D9"/>
                <w:sz w:val="16"/>
                <w:szCs w:val="16"/>
              </w:rPr>
              <w:t>203</w:t>
            </w:r>
          </w:p>
        </w:tc>
        <w:tc>
          <w:tcPr>
            <w:tcW w:w="992" w:type="dxa"/>
            <w:tcBorders>
              <w:top w:val="single" w:sz="4" w:space="0" w:color="auto"/>
              <w:left w:val="single" w:sz="4" w:space="0" w:color="auto"/>
              <w:bottom w:val="double" w:sz="4" w:space="0" w:color="auto"/>
              <w:right w:val="single" w:sz="4" w:space="0" w:color="auto"/>
            </w:tcBorders>
            <w:vAlign w:val="center"/>
          </w:tcPr>
          <w:p w:rsidR="0032055E" w:rsidRPr="00E465A1" w:rsidRDefault="0032055E" w:rsidP="00E34A1D">
            <w:pPr>
              <w:pStyle w:val="Normaltabletext1stpararight"/>
              <w:spacing w:line="220" w:lineRule="exact"/>
              <w:ind w:right="141"/>
              <w:rPr>
                <w:b/>
                <w:color w:val="262626" w:themeColor="text1" w:themeTint="D9"/>
                <w:sz w:val="16"/>
                <w:szCs w:val="16"/>
              </w:rPr>
            </w:pPr>
            <w:r w:rsidRPr="00E465A1">
              <w:rPr>
                <w:b/>
                <w:color w:val="262626" w:themeColor="text1" w:themeTint="D9"/>
                <w:sz w:val="16"/>
                <w:szCs w:val="16"/>
              </w:rPr>
              <w:t>51</w:t>
            </w:r>
          </w:p>
        </w:tc>
        <w:tc>
          <w:tcPr>
            <w:tcW w:w="851" w:type="dxa"/>
            <w:tcBorders>
              <w:top w:val="single" w:sz="4" w:space="0" w:color="auto"/>
              <w:left w:val="single" w:sz="4" w:space="0" w:color="auto"/>
              <w:bottom w:val="double" w:sz="4" w:space="0" w:color="auto"/>
            </w:tcBorders>
            <w:shd w:val="clear" w:color="auto" w:fill="auto"/>
            <w:tcMar>
              <w:top w:w="28" w:type="dxa"/>
              <w:left w:w="113" w:type="dxa"/>
              <w:bottom w:w="57" w:type="dxa"/>
              <w:right w:w="113" w:type="dxa"/>
            </w:tcMar>
            <w:vAlign w:val="center"/>
          </w:tcPr>
          <w:p w:rsidR="0032055E" w:rsidRPr="00E465A1" w:rsidRDefault="0032055E" w:rsidP="00E34A1D">
            <w:pPr>
              <w:pStyle w:val="Normaltabletext1stpararight"/>
              <w:spacing w:line="220" w:lineRule="exact"/>
              <w:rPr>
                <w:b/>
                <w:color w:val="262626" w:themeColor="text1" w:themeTint="D9"/>
                <w:sz w:val="16"/>
                <w:szCs w:val="16"/>
              </w:rPr>
            </w:pPr>
            <w:r w:rsidRPr="00E465A1">
              <w:rPr>
                <w:b/>
                <w:color w:val="262626" w:themeColor="text1" w:themeTint="D9"/>
                <w:sz w:val="16"/>
                <w:szCs w:val="16"/>
              </w:rPr>
              <w:t>2,725</w:t>
            </w:r>
          </w:p>
        </w:tc>
      </w:tr>
    </w:tbl>
    <w:p w:rsidR="00C0567F" w:rsidRPr="00E465A1" w:rsidRDefault="00C0567F" w:rsidP="00C0567F">
      <w:pPr>
        <w:pStyle w:val="Noteswithhangingindent"/>
        <w:rPr>
          <w:color w:val="262626" w:themeColor="text1" w:themeTint="D9"/>
        </w:rPr>
      </w:pPr>
      <w:r w:rsidRPr="00E465A1">
        <w:rPr>
          <w:color w:val="262626" w:themeColor="text1" w:themeTint="D9"/>
          <w:vertAlign w:val="superscript"/>
        </w:rPr>
        <w:t>1</w:t>
      </w:r>
      <w:r w:rsidRPr="00E465A1">
        <w:rPr>
          <w:color w:val="262626" w:themeColor="text1" w:themeTint="D9"/>
        </w:rPr>
        <w:tab/>
        <w:t>The Chairperson also received a non-monetary motor vehicle benefit of $</w:t>
      </w:r>
      <w:r w:rsidR="00D94AD1" w:rsidRPr="00E465A1">
        <w:rPr>
          <w:color w:val="262626" w:themeColor="text1" w:themeTint="D9"/>
        </w:rPr>
        <w:t xml:space="preserve">20,514 </w:t>
      </w:r>
      <w:r w:rsidRPr="00E465A1">
        <w:rPr>
          <w:color w:val="262626" w:themeColor="text1" w:themeTint="D9"/>
        </w:rPr>
        <w:t>during the financial year.</w:t>
      </w:r>
    </w:p>
    <w:p w:rsidR="00C0567F" w:rsidRPr="00E465A1" w:rsidRDefault="00C0567F" w:rsidP="00C0567F">
      <w:pPr>
        <w:pStyle w:val="Noteswithhangingindent"/>
        <w:rPr>
          <w:color w:val="262626" w:themeColor="text1" w:themeTint="D9"/>
        </w:rPr>
      </w:pPr>
      <w:r w:rsidRPr="00E465A1">
        <w:rPr>
          <w:color w:val="262626" w:themeColor="text1" w:themeTint="D9"/>
          <w:vertAlign w:val="superscript"/>
        </w:rPr>
        <w:t>*</w:t>
      </w:r>
      <w:r w:rsidRPr="00E465A1">
        <w:rPr>
          <w:color w:val="262626" w:themeColor="text1" w:themeTint="D9"/>
        </w:rPr>
        <w:tab/>
        <w:t>Remuneration expenses include costs in relation to the acting arrangements and former incumbents where applicable.</w:t>
      </w:r>
    </w:p>
    <w:p w:rsidR="008B1121" w:rsidRPr="00E465A1" w:rsidRDefault="008B1121" w:rsidP="00C0567F">
      <w:pPr>
        <w:pStyle w:val="Noteswithhangingindent"/>
        <w:rPr>
          <w:color w:val="262626" w:themeColor="text1" w:themeTint="D9"/>
        </w:rPr>
      </w:pPr>
    </w:p>
    <w:p w:rsidR="008B1121" w:rsidRPr="00E465A1" w:rsidRDefault="008B1121" w:rsidP="008B1121">
      <w:pPr>
        <w:pStyle w:val="Normalhanginglist105pt"/>
        <w:rPr>
          <w:color w:val="262626" w:themeColor="text1" w:themeTint="D9"/>
        </w:rPr>
      </w:pPr>
      <w:r w:rsidRPr="00E465A1">
        <w:rPr>
          <w:color w:val="262626" w:themeColor="text1" w:themeTint="D9"/>
        </w:rPr>
        <w:t>(</w:t>
      </w:r>
      <w:proofErr w:type="gramStart"/>
      <w:r w:rsidRPr="00E465A1">
        <w:rPr>
          <w:color w:val="262626" w:themeColor="text1" w:themeTint="D9"/>
        </w:rPr>
        <w:t>e</w:t>
      </w:r>
      <w:proofErr w:type="gramEnd"/>
      <w:r w:rsidRPr="00E465A1">
        <w:rPr>
          <w:color w:val="262626" w:themeColor="text1" w:themeTint="D9"/>
        </w:rPr>
        <w:t>)</w:t>
      </w:r>
      <w:r w:rsidRPr="00E465A1">
        <w:rPr>
          <w:color w:val="262626" w:themeColor="text1" w:themeTint="D9"/>
        </w:rPr>
        <w:tab/>
        <w:t>Related Party Transactions</w:t>
      </w:r>
    </w:p>
    <w:p w:rsidR="008B1121" w:rsidRPr="00E465A1" w:rsidRDefault="0042227A" w:rsidP="0042227A">
      <w:pPr>
        <w:pStyle w:val="Noteswithhangingindent"/>
        <w:spacing w:before="120"/>
        <w:ind w:left="0" w:firstLine="0"/>
        <w:rPr>
          <w:color w:val="262626" w:themeColor="text1" w:themeTint="D9"/>
          <w:sz w:val="20"/>
          <w:szCs w:val="18"/>
        </w:rPr>
      </w:pPr>
      <w:r w:rsidRPr="00E465A1">
        <w:rPr>
          <w:color w:val="262626" w:themeColor="text1" w:themeTint="D9"/>
          <w:sz w:val="20"/>
          <w:szCs w:val="18"/>
        </w:rPr>
        <w:t xml:space="preserve">The CCC </w:t>
      </w:r>
      <w:r w:rsidR="008E3993" w:rsidRPr="00E465A1">
        <w:rPr>
          <w:color w:val="262626" w:themeColor="text1" w:themeTint="D9"/>
          <w:sz w:val="20"/>
          <w:szCs w:val="18"/>
        </w:rPr>
        <w:t xml:space="preserve">obtained related party declarations for each member of the Commission and </w:t>
      </w:r>
      <w:r w:rsidRPr="00E465A1">
        <w:rPr>
          <w:color w:val="262626" w:themeColor="text1" w:themeTint="D9"/>
          <w:sz w:val="20"/>
          <w:szCs w:val="18"/>
        </w:rPr>
        <w:t>key executive management pers</w:t>
      </w:r>
      <w:r w:rsidR="00964041" w:rsidRPr="00E465A1">
        <w:rPr>
          <w:color w:val="262626" w:themeColor="text1" w:themeTint="D9"/>
          <w:sz w:val="20"/>
          <w:szCs w:val="18"/>
        </w:rPr>
        <w:t>onnel for the period 1 July 2017 to 30 June 2018</w:t>
      </w:r>
      <w:r w:rsidRPr="00E465A1">
        <w:rPr>
          <w:color w:val="262626" w:themeColor="text1" w:themeTint="D9"/>
          <w:sz w:val="20"/>
          <w:szCs w:val="18"/>
        </w:rPr>
        <w:t xml:space="preserve">.  No related party transactions requiring disclosure per </w:t>
      </w:r>
      <w:proofErr w:type="spellStart"/>
      <w:r w:rsidRPr="00E465A1">
        <w:rPr>
          <w:color w:val="262626" w:themeColor="text1" w:themeTint="D9"/>
          <w:sz w:val="20"/>
          <w:szCs w:val="18"/>
        </w:rPr>
        <w:t>AASB</w:t>
      </w:r>
      <w:proofErr w:type="spellEnd"/>
      <w:r w:rsidRPr="00E465A1">
        <w:rPr>
          <w:color w:val="262626" w:themeColor="text1" w:themeTint="D9"/>
          <w:sz w:val="20"/>
          <w:szCs w:val="18"/>
        </w:rPr>
        <w:t xml:space="preserve"> 124 </w:t>
      </w:r>
      <w:r w:rsidR="00626FB9" w:rsidRPr="00E465A1">
        <w:rPr>
          <w:i/>
          <w:color w:val="262626" w:themeColor="text1" w:themeTint="D9"/>
          <w:sz w:val="20"/>
          <w:szCs w:val="20"/>
        </w:rPr>
        <w:t>Related Party Disclosures</w:t>
      </w:r>
      <w:r w:rsidR="00626FB9" w:rsidRPr="00E465A1">
        <w:rPr>
          <w:color w:val="262626" w:themeColor="text1" w:themeTint="D9"/>
          <w:sz w:val="20"/>
          <w:szCs w:val="18"/>
        </w:rPr>
        <w:t xml:space="preserve"> </w:t>
      </w:r>
      <w:r w:rsidRPr="00E465A1">
        <w:rPr>
          <w:color w:val="262626" w:themeColor="text1" w:themeTint="D9"/>
          <w:sz w:val="20"/>
          <w:szCs w:val="18"/>
        </w:rPr>
        <w:t xml:space="preserve">were identified. </w:t>
      </w:r>
    </w:p>
    <w:p w:rsidR="00C948BD" w:rsidRPr="00E465A1" w:rsidRDefault="009F5455" w:rsidP="009F5455">
      <w:pPr>
        <w:spacing w:before="0" w:line="240" w:lineRule="auto"/>
        <w:rPr>
          <w:rFonts w:cs="Arial"/>
          <w:color w:val="262626" w:themeColor="text1" w:themeTint="D9"/>
          <w:szCs w:val="18"/>
        </w:rPr>
      </w:pPr>
      <w:r w:rsidRPr="00E465A1">
        <w:rPr>
          <w:color w:val="262626" w:themeColor="text1" w:themeTint="D9"/>
        </w:rPr>
        <w:br w:type="page"/>
      </w:r>
    </w:p>
    <w:p w:rsidR="003F08E2" w:rsidRPr="00E465A1" w:rsidRDefault="003F08E2" w:rsidP="003F08E2">
      <w:pPr>
        <w:pStyle w:val="Normal115pttext"/>
        <w:rPr>
          <w:color w:val="262626" w:themeColor="text1" w:themeTint="D9"/>
        </w:rPr>
      </w:pPr>
      <w:r w:rsidRPr="00E465A1">
        <w:rPr>
          <w:color w:val="262626" w:themeColor="text1" w:themeTint="D9"/>
        </w:rPr>
        <w:lastRenderedPageBreak/>
        <w:t xml:space="preserve">Note </w:t>
      </w:r>
      <w:r w:rsidR="0014516F" w:rsidRPr="00E465A1">
        <w:rPr>
          <w:color w:val="262626" w:themeColor="text1" w:themeTint="D9"/>
        </w:rPr>
        <w:t>6</w:t>
      </w:r>
      <w:r w:rsidRPr="00E465A1">
        <w:rPr>
          <w:color w:val="262626" w:themeColor="text1" w:themeTint="D9"/>
        </w:rPr>
        <w:t>:  Supplies and Services</w:t>
      </w:r>
    </w:p>
    <w:p w:rsidR="003F08E2" w:rsidRPr="00E465A1" w:rsidRDefault="003F08E2" w:rsidP="003F08E2">
      <w:pPr>
        <w:pStyle w:val="Normal1stpara"/>
        <w:rPr>
          <w:color w:val="262626" w:themeColor="text1" w:themeTint="D9"/>
        </w:rPr>
      </w:pPr>
    </w:p>
    <w:tbl>
      <w:tblPr>
        <w:tblW w:w="10207" w:type="dxa"/>
        <w:tblBorders>
          <w:top w:val="double" w:sz="4" w:space="0" w:color="auto"/>
          <w:left w:val="double" w:sz="4" w:space="0" w:color="auto"/>
          <w:bottom w:val="double" w:sz="4" w:space="0" w:color="auto"/>
          <w:right w:val="double" w:sz="4" w:space="0" w:color="auto"/>
        </w:tblBorders>
        <w:tblLayout w:type="fixed"/>
        <w:tblCellMar>
          <w:bottom w:w="11" w:type="dxa"/>
          <w:right w:w="0" w:type="dxa"/>
        </w:tblCellMar>
        <w:tblLook w:val="0000" w:firstRow="0" w:lastRow="0" w:firstColumn="0" w:lastColumn="0" w:noHBand="0" w:noVBand="0"/>
      </w:tblPr>
      <w:tblGrid>
        <w:gridCol w:w="6803"/>
        <w:gridCol w:w="852"/>
        <w:gridCol w:w="1134"/>
        <w:gridCol w:w="283"/>
        <w:gridCol w:w="1135"/>
      </w:tblGrid>
      <w:tr w:rsidR="00E465A1" w:rsidRPr="00E465A1" w:rsidTr="00AD6577">
        <w:trPr>
          <w:trHeight w:val="20"/>
        </w:trPr>
        <w:tc>
          <w:tcPr>
            <w:tcW w:w="6803" w:type="dxa"/>
            <w:tcBorders>
              <w:top w:val="nil"/>
              <w:left w:val="nil"/>
              <w:bottom w:val="nil"/>
            </w:tcBorders>
            <w:noWrap/>
            <w:tcMar>
              <w:left w:w="0" w:type="dxa"/>
              <w:right w:w="0" w:type="dxa"/>
            </w:tcMar>
            <w:vAlign w:val="bottom"/>
          </w:tcPr>
          <w:p w:rsidR="003F08E2" w:rsidRPr="00E465A1" w:rsidRDefault="003F08E2" w:rsidP="003F08E2">
            <w:pPr>
              <w:pStyle w:val="Normaltabletextleft"/>
              <w:tabs>
                <w:tab w:val="left" w:pos="0"/>
              </w:tabs>
              <w:rPr>
                <w:color w:val="262626" w:themeColor="text1" w:themeTint="D9"/>
                <w:lang w:eastAsia="en-AU"/>
              </w:rPr>
            </w:pPr>
          </w:p>
        </w:tc>
        <w:tc>
          <w:tcPr>
            <w:tcW w:w="852" w:type="dxa"/>
            <w:tcBorders>
              <w:top w:val="nil"/>
              <w:bottom w:val="nil"/>
            </w:tcBorders>
            <w:noWrap/>
            <w:tcMar>
              <w:left w:w="0" w:type="dxa"/>
              <w:right w:w="0" w:type="dxa"/>
            </w:tcMar>
            <w:vAlign w:val="bottom"/>
          </w:tcPr>
          <w:p w:rsidR="003F08E2" w:rsidRPr="00E465A1" w:rsidRDefault="003F08E2" w:rsidP="003F08E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3F08E2" w:rsidRPr="00E465A1" w:rsidRDefault="003F08E2" w:rsidP="003F08E2">
            <w:pPr>
              <w:pStyle w:val="Normaltabletext1stpararight"/>
              <w:rPr>
                <w:b/>
                <w:color w:val="262626" w:themeColor="text1" w:themeTint="D9"/>
                <w:lang w:eastAsia="en-AU"/>
              </w:rPr>
            </w:pPr>
            <w:r w:rsidRPr="00E465A1">
              <w:rPr>
                <w:b/>
                <w:color w:val="262626" w:themeColor="text1" w:themeTint="D9"/>
                <w:lang w:eastAsia="en-AU"/>
              </w:rPr>
              <w:t>201</w:t>
            </w:r>
            <w:r w:rsidR="000726D2" w:rsidRPr="00E465A1">
              <w:rPr>
                <w:b/>
                <w:color w:val="262626" w:themeColor="text1" w:themeTint="D9"/>
                <w:lang w:eastAsia="en-AU"/>
              </w:rPr>
              <w:t>8</w:t>
            </w:r>
          </w:p>
        </w:tc>
        <w:tc>
          <w:tcPr>
            <w:tcW w:w="283" w:type="dxa"/>
            <w:tcBorders>
              <w:top w:val="nil"/>
              <w:bottom w:val="nil"/>
            </w:tcBorders>
            <w:noWrap/>
          </w:tcPr>
          <w:p w:rsidR="003F08E2" w:rsidRPr="00E465A1" w:rsidRDefault="003F08E2" w:rsidP="003F08E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3F08E2" w:rsidRPr="00E465A1" w:rsidRDefault="003F08E2" w:rsidP="00C0567F">
            <w:pPr>
              <w:pStyle w:val="Normaltabletext1stpararight"/>
              <w:rPr>
                <w:b/>
                <w:color w:val="262626" w:themeColor="text1" w:themeTint="D9"/>
                <w:lang w:eastAsia="en-AU"/>
              </w:rPr>
            </w:pPr>
            <w:r w:rsidRPr="00E465A1">
              <w:rPr>
                <w:b/>
                <w:color w:val="262626" w:themeColor="text1" w:themeTint="D9"/>
                <w:lang w:eastAsia="en-AU"/>
              </w:rPr>
              <w:t>201</w:t>
            </w:r>
            <w:r w:rsidR="000726D2" w:rsidRPr="00E465A1">
              <w:rPr>
                <w:b/>
                <w:color w:val="262626" w:themeColor="text1" w:themeTint="D9"/>
                <w:lang w:eastAsia="en-AU"/>
              </w:rPr>
              <w:t>7</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3F08E2" w:rsidRPr="00E465A1" w:rsidRDefault="003F08E2" w:rsidP="003F08E2">
            <w:pPr>
              <w:pStyle w:val="Normaltabletextleft"/>
              <w:tabs>
                <w:tab w:val="left" w:pos="0"/>
              </w:tabs>
              <w:rPr>
                <w:color w:val="262626" w:themeColor="text1" w:themeTint="D9"/>
                <w:lang w:eastAsia="en-AU"/>
              </w:rPr>
            </w:pPr>
          </w:p>
        </w:tc>
        <w:tc>
          <w:tcPr>
            <w:tcW w:w="852" w:type="dxa"/>
            <w:tcBorders>
              <w:top w:val="nil"/>
              <w:bottom w:val="nil"/>
            </w:tcBorders>
            <w:noWrap/>
            <w:tcMar>
              <w:left w:w="0" w:type="dxa"/>
              <w:right w:w="0" w:type="dxa"/>
            </w:tcMar>
            <w:vAlign w:val="bottom"/>
          </w:tcPr>
          <w:p w:rsidR="003F08E2" w:rsidRPr="00E465A1" w:rsidRDefault="003F08E2" w:rsidP="003F08E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3F08E2" w:rsidRPr="00E465A1" w:rsidRDefault="003F08E2" w:rsidP="003F08E2">
            <w:pPr>
              <w:pStyle w:val="Normaltabletext1stpararight"/>
              <w:rPr>
                <w:b/>
                <w:color w:val="262626" w:themeColor="text1" w:themeTint="D9"/>
                <w:lang w:eastAsia="en-AU"/>
              </w:rPr>
            </w:pPr>
            <w:r w:rsidRPr="00E465A1">
              <w:rPr>
                <w:b/>
                <w:color w:val="262626" w:themeColor="text1" w:themeTint="D9"/>
                <w:lang w:eastAsia="en-AU"/>
              </w:rPr>
              <w:t>$’000</w:t>
            </w:r>
          </w:p>
        </w:tc>
        <w:tc>
          <w:tcPr>
            <w:tcW w:w="283" w:type="dxa"/>
            <w:tcBorders>
              <w:top w:val="nil"/>
              <w:bottom w:val="nil"/>
            </w:tcBorders>
            <w:noWrap/>
          </w:tcPr>
          <w:p w:rsidR="003F08E2" w:rsidRPr="00E465A1" w:rsidRDefault="003F08E2" w:rsidP="003F08E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3F08E2" w:rsidRPr="00E465A1" w:rsidRDefault="003F08E2" w:rsidP="003F08E2">
            <w:pPr>
              <w:pStyle w:val="Normaltabletext1stpararight"/>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3F08E2" w:rsidRPr="00E465A1" w:rsidRDefault="003F08E2" w:rsidP="003F08E2">
            <w:pPr>
              <w:pStyle w:val="Normaltabletextleft"/>
              <w:rPr>
                <w:color w:val="262626" w:themeColor="text1" w:themeTint="D9"/>
                <w:lang w:eastAsia="en-AU"/>
              </w:rPr>
            </w:pPr>
          </w:p>
        </w:tc>
        <w:tc>
          <w:tcPr>
            <w:tcW w:w="852" w:type="dxa"/>
            <w:tcBorders>
              <w:top w:val="nil"/>
              <w:bottom w:val="nil"/>
            </w:tcBorders>
            <w:noWrap/>
            <w:tcMar>
              <w:left w:w="0" w:type="dxa"/>
              <w:right w:w="0" w:type="dxa"/>
            </w:tcMar>
            <w:vAlign w:val="bottom"/>
          </w:tcPr>
          <w:p w:rsidR="003F08E2" w:rsidRPr="00E465A1" w:rsidRDefault="003F08E2" w:rsidP="00F618A2">
            <w:pPr>
              <w:pStyle w:val="Normaltabletextleft"/>
              <w:jc w:val="center"/>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3F08E2" w:rsidRPr="00E465A1" w:rsidRDefault="003F08E2" w:rsidP="00F618A2">
            <w:pPr>
              <w:pStyle w:val="Normaltabletextleft"/>
              <w:jc w:val="right"/>
              <w:rPr>
                <w:color w:val="262626" w:themeColor="text1" w:themeTint="D9"/>
                <w:lang w:eastAsia="en-AU"/>
              </w:rPr>
            </w:pPr>
          </w:p>
        </w:tc>
        <w:tc>
          <w:tcPr>
            <w:tcW w:w="283" w:type="dxa"/>
            <w:tcBorders>
              <w:top w:val="nil"/>
              <w:bottom w:val="nil"/>
            </w:tcBorders>
            <w:noWrap/>
          </w:tcPr>
          <w:p w:rsidR="003F08E2" w:rsidRPr="00E465A1" w:rsidRDefault="003F08E2" w:rsidP="003F08E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3F08E2" w:rsidRPr="00E465A1" w:rsidRDefault="003F08E2" w:rsidP="00F618A2">
            <w:pPr>
              <w:pStyle w:val="Normaltabletextleft"/>
              <w:jc w:val="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Operating Lease Rentals</w:t>
            </w:r>
            <w:r w:rsidRPr="00E465A1">
              <w:rPr>
                <w:color w:val="262626" w:themeColor="text1" w:themeTint="D9"/>
              </w:rPr>
              <w:t>¹</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4,265</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4,161</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 xml:space="preserve">Information technology (IT) hardware and software maintenance </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814</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753</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Software purchases</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378</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349</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Consultants and contractors</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2,273</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1,248</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Corporate service providers</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333</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128</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Electricity</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332</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320</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Furniture and equipment (non-asset)</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455</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959</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Telecommunications and access costs</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1,349</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1,410</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Legal costs</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449</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630</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Building and equipment maintenance</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305</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342</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Motor vehicle running costs</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448</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434</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Operational expenses</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377</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512</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 xml:space="preserve">Security </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460</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428</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Travel</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453</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654</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color w:val="262626" w:themeColor="text1" w:themeTint="D9"/>
                <w:lang w:eastAsia="en-AU"/>
              </w:rPr>
            </w:pPr>
            <w:r w:rsidRPr="00E465A1">
              <w:rPr>
                <w:color w:val="262626" w:themeColor="text1" w:themeTint="D9"/>
                <w:lang w:eastAsia="en-AU"/>
              </w:rPr>
              <w:t xml:space="preserve">Other </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0726D2" w:rsidRPr="00E465A1" w:rsidRDefault="00F010BA" w:rsidP="000726D2">
            <w:pPr>
              <w:pStyle w:val="Normaltabletext1stpararight"/>
              <w:rPr>
                <w:color w:val="262626" w:themeColor="text1" w:themeTint="D9"/>
                <w:lang w:eastAsia="en-AU"/>
              </w:rPr>
            </w:pPr>
            <w:r w:rsidRPr="00E465A1">
              <w:rPr>
                <w:color w:val="262626" w:themeColor="text1" w:themeTint="D9"/>
                <w:lang w:eastAsia="en-AU"/>
              </w:rPr>
              <w:t>573</w:t>
            </w:r>
          </w:p>
        </w:tc>
        <w:tc>
          <w:tcPr>
            <w:tcW w:w="283" w:type="dxa"/>
            <w:tcBorders>
              <w:top w:val="nil"/>
              <w:bottom w:val="nil"/>
            </w:tcBorders>
            <w:noWrap/>
          </w:tcPr>
          <w:p w:rsidR="000726D2" w:rsidRPr="00E465A1" w:rsidRDefault="000726D2" w:rsidP="000726D2">
            <w:pPr>
              <w:pStyle w:val="Normaltabletextleft"/>
              <w:rPr>
                <w:color w:val="262626" w:themeColor="text1" w:themeTint="D9"/>
              </w:rPr>
            </w:pPr>
          </w:p>
        </w:tc>
        <w:tc>
          <w:tcPr>
            <w:tcW w:w="1135" w:type="dxa"/>
            <w:tcBorders>
              <w:top w:val="nil"/>
              <w:bottom w:val="single" w:sz="4" w:space="0" w:color="auto"/>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color w:val="262626" w:themeColor="text1" w:themeTint="D9"/>
                <w:lang w:eastAsia="en-AU"/>
              </w:rPr>
            </w:pPr>
            <w:r w:rsidRPr="00E465A1">
              <w:rPr>
                <w:color w:val="262626" w:themeColor="text1" w:themeTint="D9"/>
                <w:lang w:eastAsia="en-AU"/>
              </w:rPr>
              <w:t>454</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0726D2" w:rsidRPr="00E465A1" w:rsidRDefault="000726D2" w:rsidP="000726D2">
            <w:pPr>
              <w:pStyle w:val="Normaltabletextleft"/>
              <w:tabs>
                <w:tab w:val="left" w:pos="0"/>
              </w:tabs>
              <w:rPr>
                <w:b/>
                <w:color w:val="262626" w:themeColor="text1" w:themeTint="D9"/>
                <w:lang w:eastAsia="en-AU"/>
              </w:rPr>
            </w:pPr>
            <w:r w:rsidRPr="00E465A1">
              <w:rPr>
                <w:b/>
                <w:color w:val="262626" w:themeColor="text1" w:themeTint="D9"/>
                <w:lang w:eastAsia="en-AU"/>
              </w:rPr>
              <w:t>Total</w:t>
            </w:r>
          </w:p>
        </w:tc>
        <w:tc>
          <w:tcPr>
            <w:tcW w:w="852" w:type="dxa"/>
            <w:tcBorders>
              <w:top w:val="nil"/>
              <w:bottom w:val="nil"/>
            </w:tcBorders>
            <w:noWrap/>
            <w:tcMar>
              <w:left w:w="0" w:type="dxa"/>
              <w:right w:w="0" w:type="dxa"/>
            </w:tcMar>
            <w:vAlign w:val="bottom"/>
          </w:tcPr>
          <w:p w:rsidR="000726D2" w:rsidRPr="00E465A1" w:rsidRDefault="000726D2" w:rsidP="000726D2">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0726D2" w:rsidRPr="00E465A1" w:rsidRDefault="00F010BA" w:rsidP="000726D2">
            <w:pPr>
              <w:pStyle w:val="Normaltabletext1stpararight"/>
              <w:rPr>
                <w:b/>
                <w:iCs/>
                <w:color w:val="262626" w:themeColor="text1" w:themeTint="D9"/>
                <w:lang w:eastAsia="en-AU"/>
              </w:rPr>
            </w:pPr>
            <w:r w:rsidRPr="00E465A1">
              <w:rPr>
                <w:b/>
                <w:iCs/>
                <w:color w:val="262626" w:themeColor="text1" w:themeTint="D9"/>
                <w:lang w:eastAsia="en-AU"/>
              </w:rPr>
              <w:t>13,264</w:t>
            </w:r>
          </w:p>
        </w:tc>
        <w:tc>
          <w:tcPr>
            <w:tcW w:w="283" w:type="dxa"/>
            <w:tcBorders>
              <w:top w:val="nil"/>
              <w:bottom w:val="nil"/>
            </w:tcBorders>
            <w:noWrap/>
          </w:tcPr>
          <w:p w:rsidR="000726D2" w:rsidRPr="00E465A1" w:rsidRDefault="000726D2" w:rsidP="000726D2">
            <w:pPr>
              <w:pStyle w:val="Normaltabletextleft"/>
              <w:rPr>
                <w:b/>
                <w:color w:val="262626" w:themeColor="text1" w:themeTint="D9"/>
              </w:rPr>
            </w:pPr>
          </w:p>
        </w:tc>
        <w:tc>
          <w:tcPr>
            <w:tcW w:w="1135" w:type="dxa"/>
            <w:tcBorders>
              <w:top w:val="single" w:sz="4" w:space="0" w:color="auto"/>
              <w:bottom w:val="double" w:sz="4" w:space="0" w:color="auto"/>
              <w:right w:val="nil"/>
            </w:tcBorders>
            <w:shd w:val="clear" w:color="auto" w:fill="FFFFFF" w:themeFill="background1"/>
            <w:noWrap/>
            <w:tcMar>
              <w:left w:w="0" w:type="dxa"/>
              <w:right w:w="113" w:type="dxa"/>
            </w:tcMar>
            <w:vAlign w:val="bottom"/>
          </w:tcPr>
          <w:p w:rsidR="000726D2" w:rsidRPr="00E465A1" w:rsidRDefault="000726D2" w:rsidP="000726D2">
            <w:pPr>
              <w:pStyle w:val="Normaltabletext1stpararight"/>
              <w:rPr>
                <w:b/>
                <w:iCs/>
                <w:color w:val="262626" w:themeColor="text1" w:themeTint="D9"/>
                <w:lang w:eastAsia="en-AU"/>
              </w:rPr>
            </w:pPr>
            <w:r w:rsidRPr="00E465A1">
              <w:rPr>
                <w:b/>
                <w:iCs/>
                <w:color w:val="262626" w:themeColor="text1" w:themeTint="D9"/>
                <w:lang w:eastAsia="en-AU"/>
              </w:rPr>
              <w:t>12,782</w:t>
            </w:r>
          </w:p>
        </w:tc>
      </w:tr>
      <w:tr w:rsidR="00E465A1" w:rsidRPr="00E465A1" w:rsidTr="003F08E2">
        <w:trPr>
          <w:trHeight w:val="20"/>
        </w:trPr>
        <w:tc>
          <w:tcPr>
            <w:tcW w:w="6803" w:type="dxa"/>
            <w:tcBorders>
              <w:top w:val="nil"/>
              <w:left w:val="nil"/>
              <w:bottom w:val="nil"/>
            </w:tcBorders>
            <w:shd w:val="clear" w:color="auto" w:fill="auto"/>
            <w:noWrap/>
            <w:tcMar>
              <w:left w:w="0" w:type="dxa"/>
              <w:right w:w="0" w:type="dxa"/>
            </w:tcMar>
            <w:vAlign w:val="bottom"/>
          </w:tcPr>
          <w:p w:rsidR="000726D2" w:rsidRPr="00E465A1" w:rsidRDefault="000726D2" w:rsidP="000726D2">
            <w:pPr>
              <w:pStyle w:val="Normaltabletextleft"/>
              <w:tabs>
                <w:tab w:val="left" w:pos="0"/>
              </w:tabs>
              <w:rPr>
                <w:b/>
                <w:color w:val="262626" w:themeColor="text1" w:themeTint="D9"/>
                <w:lang w:eastAsia="en-AU"/>
              </w:rPr>
            </w:pPr>
          </w:p>
        </w:tc>
        <w:tc>
          <w:tcPr>
            <w:tcW w:w="852" w:type="dxa"/>
            <w:tcBorders>
              <w:top w:val="nil"/>
              <w:bottom w:val="nil"/>
            </w:tcBorders>
            <w:shd w:val="clear" w:color="auto" w:fill="auto"/>
            <w:noWrap/>
            <w:tcMar>
              <w:left w:w="0" w:type="dxa"/>
              <w:right w:w="0" w:type="dxa"/>
            </w:tcMar>
            <w:vAlign w:val="bottom"/>
          </w:tcPr>
          <w:p w:rsidR="000726D2" w:rsidRPr="00E465A1" w:rsidRDefault="000726D2" w:rsidP="000726D2">
            <w:pPr>
              <w:pStyle w:val="Normaltabletextcentred"/>
              <w:rPr>
                <w:b/>
                <w:color w:val="262626" w:themeColor="text1" w:themeTint="D9"/>
                <w:lang w:eastAsia="en-AU"/>
              </w:rPr>
            </w:pPr>
          </w:p>
        </w:tc>
        <w:tc>
          <w:tcPr>
            <w:tcW w:w="1134" w:type="dxa"/>
            <w:tcBorders>
              <w:top w:val="single" w:sz="4" w:space="0" w:color="auto"/>
              <w:bottom w:val="nil"/>
            </w:tcBorders>
            <w:shd w:val="clear" w:color="auto" w:fill="auto"/>
            <w:noWrap/>
            <w:tcMar>
              <w:left w:w="0" w:type="dxa"/>
              <w:right w:w="113" w:type="dxa"/>
            </w:tcMar>
            <w:vAlign w:val="bottom"/>
          </w:tcPr>
          <w:p w:rsidR="000726D2" w:rsidRPr="00E465A1" w:rsidRDefault="000726D2" w:rsidP="000726D2">
            <w:pPr>
              <w:pStyle w:val="Normaltabletext1stpararight"/>
              <w:rPr>
                <w:b/>
                <w:iCs/>
                <w:color w:val="262626" w:themeColor="text1" w:themeTint="D9"/>
                <w:lang w:eastAsia="en-AU"/>
              </w:rPr>
            </w:pPr>
          </w:p>
        </w:tc>
        <w:tc>
          <w:tcPr>
            <w:tcW w:w="283" w:type="dxa"/>
            <w:tcBorders>
              <w:top w:val="nil"/>
              <w:bottom w:val="nil"/>
            </w:tcBorders>
            <w:shd w:val="clear" w:color="auto" w:fill="auto"/>
            <w:noWrap/>
          </w:tcPr>
          <w:p w:rsidR="000726D2" w:rsidRPr="00E465A1" w:rsidRDefault="000726D2" w:rsidP="000726D2">
            <w:pPr>
              <w:pStyle w:val="Normaltabletextleft"/>
              <w:rPr>
                <w:b/>
                <w:color w:val="262626" w:themeColor="text1" w:themeTint="D9"/>
              </w:rPr>
            </w:pPr>
          </w:p>
        </w:tc>
        <w:tc>
          <w:tcPr>
            <w:tcW w:w="1135" w:type="dxa"/>
            <w:tcBorders>
              <w:top w:val="single" w:sz="4" w:space="0" w:color="auto"/>
              <w:bottom w:val="nil"/>
              <w:right w:val="nil"/>
            </w:tcBorders>
            <w:shd w:val="clear" w:color="auto" w:fill="auto"/>
            <w:noWrap/>
            <w:tcMar>
              <w:left w:w="0" w:type="dxa"/>
              <w:right w:w="113" w:type="dxa"/>
            </w:tcMar>
            <w:vAlign w:val="bottom"/>
          </w:tcPr>
          <w:p w:rsidR="000726D2" w:rsidRPr="00E465A1" w:rsidRDefault="000726D2" w:rsidP="000726D2">
            <w:pPr>
              <w:pStyle w:val="Normaltabletext1stpararight"/>
              <w:rPr>
                <w:b/>
                <w:iCs/>
                <w:color w:val="262626" w:themeColor="text1" w:themeTint="D9"/>
                <w:lang w:eastAsia="en-AU"/>
              </w:rPr>
            </w:pPr>
          </w:p>
        </w:tc>
      </w:tr>
    </w:tbl>
    <w:p w:rsidR="00FB1675" w:rsidRPr="00E465A1" w:rsidRDefault="003A4D61" w:rsidP="009F5455">
      <w:pPr>
        <w:pStyle w:val="Noteswithhangingindent"/>
        <w:spacing w:after="240"/>
        <w:rPr>
          <w:color w:val="262626" w:themeColor="text1" w:themeTint="D9"/>
        </w:rPr>
      </w:pPr>
      <w:r w:rsidRPr="00E465A1">
        <w:rPr>
          <w:color w:val="262626" w:themeColor="text1" w:themeTint="D9"/>
          <w:vertAlign w:val="superscript"/>
        </w:rPr>
        <w:t>1</w:t>
      </w:r>
      <w:r w:rsidRPr="00E465A1">
        <w:rPr>
          <w:color w:val="262626" w:themeColor="text1" w:themeTint="D9"/>
        </w:rPr>
        <w:tab/>
      </w:r>
      <w:r w:rsidR="00390681" w:rsidRPr="00E465A1">
        <w:rPr>
          <w:color w:val="262626" w:themeColor="text1" w:themeTint="D9"/>
        </w:rPr>
        <w:t xml:space="preserve">A new </w:t>
      </w:r>
      <w:r w:rsidR="005368EE" w:rsidRPr="00E465A1">
        <w:rPr>
          <w:color w:val="262626" w:themeColor="text1" w:themeTint="D9"/>
        </w:rPr>
        <w:t xml:space="preserve">operating </w:t>
      </w:r>
      <w:r w:rsidR="00390681" w:rsidRPr="00E465A1">
        <w:rPr>
          <w:color w:val="262626" w:themeColor="text1" w:themeTint="D9"/>
        </w:rPr>
        <w:t xml:space="preserve">lease agreement for Green Square office accommodation </w:t>
      </w:r>
      <w:r w:rsidR="005368EE" w:rsidRPr="00E465A1">
        <w:rPr>
          <w:color w:val="262626" w:themeColor="text1" w:themeTint="D9"/>
        </w:rPr>
        <w:t xml:space="preserve">became </w:t>
      </w:r>
      <w:r w:rsidR="00390681" w:rsidRPr="00E465A1">
        <w:rPr>
          <w:color w:val="262626" w:themeColor="text1" w:themeTint="D9"/>
        </w:rPr>
        <w:t>effective from 4 July 2016</w:t>
      </w:r>
      <w:r w:rsidR="009C7405" w:rsidRPr="00E465A1">
        <w:rPr>
          <w:color w:val="262626" w:themeColor="text1" w:themeTint="D9"/>
        </w:rPr>
        <w:t xml:space="preserve"> for a five (5) year term with an option to extend the lease for a further five (5) years</w:t>
      </w:r>
      <w:r w:rsidR="00390681" w:rsidRPr="00E465A1">
        <w:rPr>
          <w:color w:val="262626" w:themeColor="text1" w:themeTint="D9"/>
        </w:rPr>
        <w:t xml:space="preserve">. </w:t>
      </w:r>
      <w:r w:rsidR="00BF4A75" w:rsidRPr="00E465A1">
        <w:rPr>
          <w:color w:val="262626" w:themeColor="text1" w:themeTint="D9"/>
        </w:rPr>
        <w:t xml:space="preserve">  </w:t>
      </w:r>
      <w:r w:rsidR="009F5455" w:rsidRPr="00E465A1">
        <w:rPr>
          <w:color w:val="262626" w:themeColor="text1" w:themeTint="D9"/>
        </w:rPr>
        <w:t>Refer to Note 1</w:t>
      </w:r>
      <w:r w:rsidR="00700E6A" w:rsidRPr="00E465A1">
        <w:rPr>
          <w:color w:val="262626" w:themeColor="text1" w:themeTint="D9"/>
        </w:rPr>
        <w:t>2</w:t>
      </w:r>
      <w:r w:rsidR="00AE7ADA" w:rsidRPr="00E465A1">
        <w:rPr>
          <w:color w:val="262626" w:themeColor="text1" w:themeTint="D9"/>
        </w:rPr>
        <w:t xml:space="preserve"> </w:t>
      </w:r>
      <w:r w:rsidR="009F5455" w:rsidRPr="00E465A1">
        <w:rPr>
          <w:color w:val="262626" w:themeColor="text1" w:themeTint="D9"/>
        </w:rPr>
        <w:t>and Note 1</w:t>
      </w:r>
      <w:r w:rsidR="00700E6A" w:rsidRPr="00E465A1">
        <w:rPr>
          <w:color w:val="262626" w:themeColor="text1" w:themeTint="D9"/>
        </w:rPr>
        <w:t>5</w:t>
      </w:r>
      <w:r w:rsidR="009F5455" w:rsidRPr="00E465A1">
        <w:rPr>
          <w:color w:val="262626" w:themeColor="text1" w:themeTint="D9"/>
        </w:rPr>
        <w:t>.</w:t>
      </w:r>
    </w:p>
    <w:p w:rsidR="00E9542D" w:rsidRPr="00E465A1" w:rsidRDefault="00E9542D" w:rsidP="009F5455">
      <w:pPr>
        <w:pStyle w:val="Noteswithhangingindent"/>
        <w:spacing w:after="240"/>
        <w:rPr>
          <w:color w:val="262626" w:themeColor="text1" w:themeTint="D9"/>
        </w:rPr>
      </w:pPr>
    </w:p>
    <w:p w:rsidR="003F08E2" w:rsidRPr="00E465A1" w:rsidRDefault="003F08E2" w:rsidP="00334B0D">
      <w:pPr>
        <w:pStyle w:val="Normal115pttext"/>
        <w:rPr>
          <w:color w:val="262626" w:themeColor="text1" w:themeTint="D9"/>
        </w:rPr>
      </w:pPr>
      <w:r w:rsidRPr="00E465A1">
        <w:rPr>
          <w:color w:val="262626" w:themeColor="text1" w:themeTint="D9"/>
        </w:rPr>
        <w:t xml:space="preserve">Note </w:t>
      </w:r>
      <w:r w:rsidR="0014516F" w:rsidRPr="00E465A1">
        <w:rPr>
          <w:color w:val="262626" w:themeColor="text1" w:themeTint="D9"/>
        </w:rPr>
        <w:t>7</w:t>
      </w:r>
      <w:r w:rsidRPr="00E465A1">
        <w:rPr>
          <w:color w:val="262626" w:themeColor="text1" w:themeTint="D9"/>
        </w:rPr>
        <w:t>:  Other Expenses</w:t>
      </w:r>
    </w:p>
    <w:p w:rsidR="002D6FCF" w:rsidRPr="00E465A1" w:rsidRDefault="002D6FCF" w:rsidP="002D6FCF">
      <w:pPr>
        <w:pStyle w:val="Normal1stpara"/>
        <w:rPr>
          <w:color w:val="262626" w:themeColor="text1" w:themeTint="D9"/>
        </w:rPr>
      </w:pPr>
    </w:p>
    <w:tbl>
      <w:tblPr>
        <w:tblW w:w="10236" w:type="dxa"/>
        <w:tblBorders>
          <w:top w:val="double" w:sz="4" w:space="0" w:color="auto"/>
          <w:left w:val="double" w:sz="4" w:space="0" w:color="auto"/>
          <w:bottom w:val="double" w:sz="4" w:space="0" w:color="auto"/>
          <w:right w:val="double" w:sz="4" w:space="0" w:color="auto"/>
        </w:tblBorders>
        <w:tblLayout w:type="fixed"/>
        <w:tblCellMar>
          <w:bottom w:w="11" w:type="dxa"/>
          <w:right w:w="0" w:type="dxa"/>
        </w:tblCellMar>
        <w:tblLook w:val="0000" w:firstRow="0" w:lastRow="0" w:firstColumn="0" w:lastColumn="0" w:noHBand="0" w:noVBand="0"/>
      </w:tblPr>
      <w:tblGrid>
        <w:gridCol w:w="6916"/>
        <w:gridCol w:w="881"/>
        <w:gridCol w:w="1134"/>
        <w:gridCol w:w="170"/>
        <w:gridCol w:w="1135"/>
      </w:tblGrid>
      <w:tr w:rsidR="00E465A1" w:rsidRPr="00E465A1" w:rsidTr="00AD6577">
        <w:trPr>
          <w:trHeight w:val="20"/>
        </w:trPr>
        <w:tc>
          <w:tcPr>
            <w:tcW w:w="6916" w:type="dxa"/>
            <w:tcBorders>
              <w:top w:val="nil"/>
              <w:left w:val="nil"/>
              <w:bottom w:val="nil"/>
            </w:tcBorders>
            <w:noWrap/>
            <w:tcMar>
              <w:left w:w="0" w:type="dxa"/>
              <w:right w:w="0" w:type="dxa"/>
            </w:tcMar>
            <w:vAlign w:val="bottom"/>
          </w:tcPr>
          <w:p w:rsidR="001A7B7D" w:rsidRPr="00E465A1" w:rsidRDefault="001A7B7D" w:rsidP="001A7B7D">
            <w:pPr>
              <w:pStyle w:val="Normaltabletextleft"/>
              <w:tabs>
                <w:tab w:val="left" w:pos="0"/>
              </w:tabs>
              <w:rPr>
                <w:color w:val="262626" w:themeColor="text1" w:themeTint="D9"/>
                <w:lang w:eastAsia="en-AU"/>
              </w:rPr>
            </w:pPr>
          </w:p>
        </w:tc>
        <w:tc>
          <w:tcPr>
            <w:tcW w:w="881" w:type="dxa"/>
            <w:tcBorders>
              <w:top w:val="nil"/>
              <w:bottom w:val="nil"/>
            </w:tcBorders>
            <w:noWrap/>
            <w:tcMar>
              <w:left w:w="0" w:type="dxa"/>
              <w:right w:w="0" w:type="dxa"/>
            </w:tcMar>
            <w:vAlign w:val="bottom"/>
          </w:tcPr>
          <w:p w:rsidR="001A7B7D" w:rsidRPr="00E465A1" w:rsidRDefault="001A7B7D" w:rsidP="003F08E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1A7B7D" w:rsidRPr="00E465A1" w:rsidRDefault="00FB1675" w:rsidP="00C0567F">
            <w:pPr>
              <w:pStyle w:val="Normaltabletext1stpararight"/>
              <w:rPr>
                <w:b/>
                <w:color w:val="262626" w:themeColor="text1" w:themeTint="D9"/>
                <w:lang w:eastAsia="en-AU"/>
              </w:rPr>
            </w:pPr>
            <w:r w:rsidRPr="00E465A1">
              <w:rPr>
                <w:b/>
                <w:color w:val="262626" w:themeColor="text1" w:themeTint="D9"/>
                <w:lang w:eastAsia="en-AU"/>
              </w:rPr>
              <w:t>201</w:t>
            </w:r>
            <w:r w:rsidR="00B158A8" w:rsidRPr="00E465A1">
              <w:rPr>
                <w:b/>
                <w:color w:val="262626" w:themeColor="text1" w:themeTint="D9"/>
                <w:lang w:eastAsia="en-AU"/>
              </w:rPr>
              <w:t>8</w:t>
            </w:r>
          </w:p>
        </w:tc>
        <w:tc>
          <w:tcPr>
            <w:tcW w:w="170" w:type="dxa"/>
            <w:tcBorders>
              <w:top w:val="nil"/>
              <w:bottom w:val="nil"/>
            </w:tcBorders>
            <w:noWrap/>
          </w:tcPr>
          <w:p w:rsidR="001A7B7D" w:rsidRPr="00E465A1" w:rsidRDefault="001A7B7D" w:rsidP="003F08E2">
            <w:pPr>
              <w:pStyle w:val="Normaltabletextleft"/>
              <w:rPr>
                <w:b/>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1A7B7D" w:rsidRPr="00E465A1" w:rsidRDefault="00FB1675" w:rsidP="00C0567F">
            <w:pPr>
              <w:pStyle w:val="Normaltabletext1stpararight"/>
              <w:rPr>
                <w:b/>
                <w:color w:val="262626" w:themeColor="text1" w:themeTint="D9"/>
                <w:lang w:eastAsia="en-AU"/>
              </w:rPr>
            </w:pPr>
            <w:r w:rsidRPr="00E465A1">
              <w:rPr>
                <w:b/>
                <w:color w:val="262626" w:themeColor="text1" w:themeTint="D9"/>
                <w:lang w:eastAsia="en-AU"/>
              </w:rPr>
              <w:t>201</w:t>
            </w:r>
            <w:r w:rsidR="00B158A8" w:rsidRPr="00E465A1">
              <w:rPr>
                <w:b/>
                <w:color w:val="262626" w:themeColor="text1" w:themeTint="D9"/>
                <w:lang w:eastAsia="en-AU"/>
              </w:rPr>
              <w:t>7</w:t>
            </w:r>
          </w:p>
        </w:tc>
      </w:tr>
      <w:tr w:rsidR="00E465A1" w:rsidRPr="00E465A1" w:rsidTr="00AD6577">
        <w:trPr>
          <w:trHeight w:val="20"/>
        </w:trPr>
        <w:tc>
          <w:tcPr>
            <w:tcW w:w="6916" w:type="dxa"/>
            <w:tcBorders>
              <w:top w:val="nil"/>
              <w:left w:val="nil"/>
              <w:bottom w:val="nil"/>
            </w:tcBorders>
            <w:noWrap/>
            <w:tcMar>
              <w:left w:w="0" w:type="dxa"/>
              <w:right w:w="0" w:type="dxa"/>
            </w:tcMar>
            <w:vAlign w:val="bottom"/>
          </w:tcPr>
          <w:p w:rsidR="00FB1675" w:rsidRPr="00E465A1" w:rsidRDefault="00FB1675" w:rsidP="001A7B7D">
            <w:pPr>
              <w:pStyle w:val="Normaltabletextleft"/>
              <w:tabs>
                <w:tab w:val="left" w:pos="0"/>
              </w:tabs>
              <w:rPr>
                <w:color w:val="262626" w:themeColor="text1" w:themeTint="D9"/>
                <w:lang w:eastAsia="en-AU"/>
              </w:rPr>
            </w:pPr>
          </w:p>
        </w:tc>
        <w:tc>
          <w:tcPr>
            <w:tcW w:w="881" w:type="dxa"/>
            <w:tcBorders>
              <w:top w:val="nil"/>
              <w:bottom w:val="nil"/>
            </w:tcBorders>
            <w:noWrap/>
            <w:tcMar>
              <w:left w:w="0" w:type="dxa"/>
              <w:right w:w="0" w:type="dxa"/>
            </w:tcMar>
            <w:vAlign w:val="bottom"/>
          </w:tcPr>
          <w:p w:rsidR="00FB1675" w:rsidRPr="00E465A1" w:rsidRDefault="00FB1675" w:rsidP="003F08E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FB1675" w:rsidRPr="00E465A1" w:rsidRDefault="00FB1675" w:rsidP="00FB1675">
            <w:pPr>
              <w:pStyle w:val="Normaltabletext1stpararight"/>
              <w:rPr>
                <w:b/>
                <w:color w:val="262626" w:themeColor="text1" w:themeTint="D9"/>
                <w:lang w:eastAsia="en-AU"/>
              </w:rPr>
            </w:pPr>
            <w:r w:rsidRPr="00E465A1">
              <w:rPr>
                <w:b/>
                <w:color w:val="262626" w:themeColor="text1" w:themeTint="D9"/>
                <w:lang w:eastAsia="en-AU"/>
              </w:rPr>
              <w:t>$’000</w:t>
            </w:r>
          </w:p>
        </w:tc>
        <w:tc>
          <w:tcPr>
            <w:tcW w:w="170" w:type="dxa"/>
            <w:tcBorders>
              <w:top w:val="nil"/>
              <w:bottom w:val="nil"/>
            </w:tcBorders>
            <w:noWrap/>
          </w:tcPr>
          <w:p w:rsidR="00FB1675" w:rsidRPr="00E465A1" w:rsidRDefault="00FB1675" w:rsidP="003F08E2">
            <w:pPr>
              <w:pStyle w:val="Normaltabletextleft"/>
              <w:rPr>
                <w:b/>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FB1675" w:rsidRPr="00E465A1" w:rsidRDefault="00FB1675" w:rsidP="003F08E2">
            <w:pPr>
              <w:pStyle w:val="Normaltabletext1stpararight"/>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916" w:type="dxa"/>
            <w:tcBorders>
              <w:top w:val="nil"/>
              <w:left w:val="nil"/>
              <w:bottom w:val="nil"/>
            </w:tcBorders>
            <w:noWrap/>
            <w:tcMar>
              <w:left w:w="0" w:type="dxa"/>
              <w:right w:w="0" w:type="dxa"/>
            </w:tcMar>
            <w:vAlign w:val="bottom"/>
          </w:tcPr>
          <w:p w:rsidR="00FB1675" w:rsidRPr="00E465A1" w:rsidRDefault="00FB1675" w:rsidP="001A7B7D">
            <w:pPr>
              <w:pStyle w:val="Normaltabletextleft"/>
              <w:tabs>
                <w:tab w:val="left" w:pos="0"/>
              </w:tabs>
              <w:rPr>
                <w:color w:val="262626" w:themeColor="text1" w:themeTint="D9"/>
                <w:lang w:eastAsia="en-AU"/>
              </w:rPr>
            </w:pPr>
          </w:p>
        </w:tc>
        <w:tc>
          <w:tcPr>
            <w:tcW w:w="881" w:type="dxa"/>
            <w:tcBorders>
              <w:top w:val="nil"/>
              <w:bottom w:val="nil"/>
            </w:tcBorders>
            <w:noWrap/>
            <w:tcMar>
              <w:left w:w="0" w:type="dxa"/>
              <w:right w:w="0" w:type="dxa"/>
            </w:tcMar>
            <w:vAlign w:val="bottom"/>
          </w:tcPr>
          <w:p w:rsidR="00FB1675" w:rsidRPr="00E465A1" w:rsidRDefault="00FB1675" w:rsidP="003F08E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FB1675" w:rsidRPr="00E465A1" w:rsidRDefault="00FB1675" w:rsidP="001A7B7D">
            <w:pPr>
              <w:pStyle w:val="Normaltabletext1stpararight"/>
              <w:jc w:val="left"/>
              <w:rPr>
                <w:color w:val="262626" w:themeColor="text1" w:themeTint="D9"/>
                <w:lang w:eastAsia="en-AU"/>
              </w:rPr>
            </w:pPr>
          </w:p>
        </w:tc>
        <w:tc>
          <w:tcPr>
            <w:tcW w:w="170" w:type="dxa"/>
            <w:tcBorders>
              <w:top w:val="nil"/>
              <w:bottom w:val="nil"/>
            </w:tcBorders>
            <w:noWrap/>
          </w:tcPr>
          <w:p w:rsidR="00FB1675" w:rsidRPr="00E465A1" w:rsidRDefault="00FB1675" w:rsidP="003F08E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FB1675" w:rsidRPr="00E465A1" w:rsidRDefault="00FB1675" w:rsidP="003F08E2">
            <w:pPr>
              <w:pStyle w:val="Normaltabletext1stpararight"/>
              <w:rPr>
                <w:color w:val="262626" w:themeColor="text1" w:themeTint="D9"/>
                <w:lang w:eastAsia="en-AU"/>
              </w:rPr>
            </w:pPr>
          </w:p>
        </w:tc>
      </w:tr>
      <w:tr w:rsidR="00E465A1" w:rsidRPr="00E465A1" w:rsidTr="00AD6577">
        <w:trPr>
          <w:trHeight w:val="20"/>
        </w:trPr>
        <w:tc>
          <w:tcPr>
            <w:tcW w:w="6916" w:type="dxa"/>
            <w:tcBorders>
              <w:top w:val="nil"/>
              <w:left w:val="nil"/>
              <w:bottom w:val="nil"/>
            </w:tcBorders>
            <w:noWrap/>
            <w:tcMar>
              <w:left w:w="0" w:type="dxa"/>
              <w:right w:w="0" w:type="dxa"/>
            </w:tcMar>
            <w:vAlign w:val="bottom"/>
          </w:tcPr>
          <w:p w:rsidR="00B158A8" w:rsidRPr="00E465A1" w:rsidRDefault="00B158A8" w:rsidP="00B158A8">
            <w:pPr>
              <w:pStyle w:val="Normaltabletextleft"/>
              <w:tabs>
                <w:tab w:val="left" w:pos="0"/>
              </w:tabs>
              <w:rPr>
                <w:color w:val="262626" w:themeColor="text1" w:themeTint="D9"/>
                <w:lang w:eastAsia="en-AU"/>
              </w:rPr>
            </w:pPr>
            <w:r w:rsidRPr="00E465A1">
              <w:rPr>
                <w:color w:val="262626" w:themeColor="text1" w:themeTint="D9"/>
                <w:lang w:eastAsia="en-AU"/>
              </w:rPr>
              <w:t>External audit fees¹</w:t>
            </w:r>
          </w:p>
        </w:tc>
        <w:tc>
          <w:tcPr>
            <w:tcW w:w="881" w:type="dxa"/>
            <w:tcBorders>
              <w:top w:val="nil"/>
              <w:bottom w:val="nil"/>
            </w:tcBorders>
            <w:shd w:val="clear" w:color="auto" w:fill="auto"/>
            <w:noWrap/>
            <w:tcMar>
              <w:left w:w="0" w:type="dxa"/>
              <w:right w:w="113" w:type="dxa"/>
            </w:tcMar>
            <w:vAlign w:val="bottom"/>
          </w:tcPr>
          <w:p w:rsidR="00B158A8" w:rsidRPr="00E465A1" w:rsidRDefault="00B158A8" w:rsidP="00B158A8">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B158A8" w:rsidRPr="00E465A1" w:rsidRDefault="000B402A" w:rsidP="00B158A8">
            <w:pPr>
              <w:pStyle w:val="Normaltabletext1stpararight"/>
              <w:rPr>
                <w:color w:val="262626" w:themeColor="text1" w:themeTint="D9"/>
                <w:lang w:eastAsia="en-AU"/>
              </w:rPr>
            </w:pPr>
            <w:r w:rsidRPr="00E465A1">
              <w:rPr>
                <w:color w:val="262626" w:themeColor="text1" w:themeTint="D9"/>
                <w:lang w:eastAsia="en-AU"/>
              </w:rPr>
              <w:t>61</w:t>
            </w:r>
          </w:p>
        </w:tc>
        <w:tc>
          <w:tcPr>
            <w:tcW w:w="170" w:type="dxa"/>
            <w:tcBorders>
              <w:top w:val="nil"/>
              <w:bottom w:val="nil"/>
              <w:right w:val="nil"/>
            </w:tcBorders>
            <w:noWrap/>
          </w:tcPr>
          <w:p w:rsidR="00B158A8" w:rsidRPr="00E465A1" w:rsidRDefault="00B158A8" w:rsidP="00B158A8">
            <w:pPr>
              <w:pStyle w:val="Normaltabletextleft"/>
              <w:rPr>
                <w:color w:val="262626" w:themeColor="text1" w:themeTint="D9"/>
              </w:rPr>
            </w:pPr>
          </w:p>
        </w:tc>
        <w:tc>
          <w:tcPr>
            <w:tcW w:w="1135" w:type="dxa"/>
            <w:tcBorders>
              <w:top w:val="nil"/>
              <w:bottom w:val="nil"/>
              <w:right w:val="nil"/>
            </w:tcBorders>
            <w:shd w:val="clear" w:color="auto" w:fill="FFFFFF" w:themeFill="background1"/>
            <w:tcMar>
              <w:right w:w="113" w:type="dxa"/>
            </w:tcMar>
          </w:tcPr>
          <w:p w:rsidR="00B158A8" w:rsidRPr="00E465A1" w:rsidRDefault="00B158A8" w:rsidP="00B158A8">
            <w:pPr>
              <w:pStyle w:val="Normaltabletext1stpararight"/>
              <w:rPr>
                <w:color w:val="262626" w:themeColor="text1" w:themeTint="D9"/>
                <w:lang w:eastAsia="en-AU"/>
              </w:rPr>
            </w:pPr>
            <w:r w:rsidRPr="00E465A1">
              <w:rPr>
                <w:color w:val="262626" w:themeColor="text1" w:themeTint="D9"/>
                <w:lang w:eastAsia="en-AU"/>
              </w:rPr>
              <w:t>60</w:t>
            </w:r>
          </w:p>
        </w:tc>
      </w:tr>
      <w:tr w:rsidR="00E465A1" w:rsidRPr="00E465A1" w:rsidTr="00AD6577">
        <w:trPr>
          <w:trHeight w:val="20"/>
        </w:trPr>
        <w:tc>
          <w:tcPr>
            <w:tcW w:w="6916" w:type="dxa"/>
            <w:tcBorders>
              <w:top w:val="nil"/>
              <w:left w:val="nil"/>
              <w:bottom w:val="nil"/>
            </w:tcBorders>
            <w:noWrap/>
            <w:tcMar>
              <w:left w:w="0" w:type="dxa"/>
              <w:right w:w="0" w:type="dxa"/>
            </w:tcMar>
            <w:vAlign w:val="bottom"/>
          </w:tcPr>
          <w:p w:rsidR="00B158A8" w:rsidRPr="00E465A1" w:rsidRDefault="00B158A8" w:rsidP="00B158A8">
            <w:pPr>
              <w:pStyle w:val="Normaltabletextleft"/>
              <w:tabs>
                <w:tab w:val="left" w:pos="0"/>
              </w:tabs>
              <w:rPr>
                <w:color w:val="262626" w:themeColor="text1" w:themeTint="D9"/>
                <w:lang w:eastAsia="en-AU"/>
              </w:rPr>
            </w:pPr>
            <w:r w:rsidRPr="00E465A1">
              <w:rPr>
                <w:color w:val="262626" w:themeColor="text1" w:themeTint="D9"/>
                <w:lang w:eastAsia="en-AU"/>
              </w:rPr>
              <w:t>Insurance Premiums²</w:t>
            </w:r>
          </w:p>
        </w:tc>
        <w:tc>
          <w:tcPr>
            <w:tcW w:w="881" w:type="dxa"/>
            <w:tcBorders>
              <w:top w:val="nil"/>
              <w:bottom w:val="nil"/>
            </w:tcBorders>
            <w:shd w:val="clear" w:color="auto" w:fill="auto"/>
            <w:noWrap/>
            <w:tcMar>
              <w:left w:w="0" w:type="dxa"/>
              <w:right w:w="113" w:type="dxa"/>
            </w:tcMar>
            <w:vAlign w:val="bottom"/>
          </w:tcPr>
          <w:p w:rsidR="00B158A8" w:rsidRPr="00E465A1" w:rsidRDefault="00B158A8" w:rsidP="00B158A8">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B158A8" w:rsidRPr="00E465A1" w:rsidRDefault="000B402A" w:rsidP="00B158A8">
            <w:pPr>
              <w:pStyle w:val="Normaltabletext1stpararight"/>
              <w:rPr>
                <w:color w:val="262626" w:themeColor="text1" w:themeTint="D9"/>
                <w:lang w:eastAsia="en-AU"/>
              </w:rPr>
            </w:pPr>
            <w:r w:rsidRPr="00E465A1">
              <w:rPr>
                <w:color w:val="262626" w:themeColor="text1" w:themeTint="D9"/>
                <w:lang w:eastAsia="en-AU"/>
              </w:rPr>
              <w:t>31</w:t>
            </w:r>
          </w:p>
        </w:tc>
        <w:tc>
          <w:tcPr>
            <w:tcW w:w="170" w:type="dxa"/>
            <w:tcBorders>
              <w:top w:val="nil"/>
              <w:bottom w:val="nil"/>
              <w:right w:val="nil"/>
            </w:tcBorders>
            <w:noWrap/>
          </w:tcPr>
          <w:p w:rsidR="00B158A8" w:rsidRPr="00E465A1" w:rsidRDefault="00B158A8" w:rsidP="00B158A8">
            <w:pPr>
              <w:pStyle w:val="Normaltabletextleft"/>
              <w:rPr>
                <w:color w:val="262626" w:themeColor="text1" w:themeTint="D9"/>
              </w:rPr>
            </w:pPr>
          </w:p>
        </w:tc>
        <w:tc>
          <w:tcPr>
            <w:tcW w:w="1135" w:type="dxa"/>
            <w:tcBorders>
              <w:top w:val="nil"/>
              <w:bottom w:val="nil"/>
              <w:right w:val="nil"/>
            </w:tcBorders>
            <w:shd w:val="clear" w:color="auto" w:fill="FFFFFF" w:themeFill="background1"/>
            <w:tcMar>
              <w:right w:w="113" w:type="dxa"/>
            </w:tcMar>
          </w:tcPr>
          <w:p w:rsidR="00B158A8" w:rsidRPr="00E465A1" w:rsidRDefault="00B158A8" w:rsidP="00B158A8">
            <w:pPr>
              <w:pStyle w:val="Normaltabletext1stpararight"/>
              <w:rPr>
                <w:color w:val="262626" w:themeColor="text1" w:themeTint="D9"/>
                <w:lang w:eastAsia="en-AU"/>
              </w:rPr>
            </w:pPr>
            <w:r w:rsidRPr="00E465A1">
              <w:rPr>
                <w:color w:val="262626" w:themeColor="text1" w:themeTint="D9"/>
                <w:lang w:eastAsia="en-AU"/>
              </w:rPr>
              <w:t>29</w:t>
            </w:r>
          </w:p>
        </w:tc>
      </w:tr>
      <w:tr w:rsidR="00E465A1" w:rsidRPr="00E465A1" w:rsidTr="00AD6577">
        <w:trPr>
          <w:trHeight w:val="20"/>
        </w:trPr>
        <w:tc>
          <w:tcPr>
            <w:tcW w:w="6916" w:type="dxa"/>
            <w:tcBorders>
              <w:top w:val="nil"/>
              <w:left w:val="nil"/>
              <w:bottom w:val="nil"/>
            </w:tcBorders>
            <w:noWrap/>
            <w:tcMar>
              <w:left w:w="0" w:type="dxa"/>
              <w:right w:w="0" w:type="dxa"/>
            </w:tcMar>
            <w:vAlign w:val="bottom"/>
          </w:tcPr>
          <w:p w:rsidR="00B158A8" w:rsidRPr="00E465A1" w:rsidRDefault="00B158A8" w:rsidP="00B158A8">
            <w:pPr>
              <w:pStyle w:val="Normaltabletextleft"/>
              <w:tabs>
                <w:tab w:val="left" w:pos="0"/>
              </w:tabs>
              <w:rPr>
                <w:color w:val="262626" w:themeColor="text1" w:themeTint="D9"/>
                <w:lang w:eastAsia="en-AU"/>
              </w:rPr>
            </w:pPr>
            <w:r w:rsidRPr="00E465A1">
              <w:rPr>
                <w:color w:val="262626" w:themeColor="text1" w:themeTint="D9"/>
                <w:lang w:eastAsia="en-AU"/>
              </w:rPr>
              <w:t>Services received below fair value (see Note 2)</w:t>
            </w:r>
          </w:p>
        </w:tc>
        <w:tc>
          <w:tcPr>
            <w:tcW w:w="881" w:type="dxa"/>
            <w:tcBorders>
              <w:top w:val="nil"/>
              <w:bottom w:val="nil"/>
            </w:tcBorders>
            <w:shd w:val="clear" w:color="auto" w:fill="auto"/>
            <w:noWrap/>
            <w:tcMar>
              <w:left w:w="0" w:type="dxa"/>
              <w:right w:w="113" w:type="dxa"/>
            </w:tcMar>
            <w:vAlign w:val="bottom"/>
          </w:tcPr>
          <w:p w:rsidR="00B158A8" w:rsidRPr="00E465A1" w:rsidRDefault="00B158A8" w:rsidP="00B158A8">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B158A8" w:rsidRPr="00E465A1" w:rsidRDefault="000B402A" w:rsidP="00B158A8">
            <w:pPr>
              <w:pStyle w:val="Normaltabletext1stpararight"/>
              <w:rPr>
                <w:color w:val="262626" w:themeColor="text1" w:themeTint="D9"/>
                <w:lang w:eastAsia="en-AU"/>
              </w:rPr>
            </w:pPr>
            <w:r w:rsidRPr="00E465A1">
              <w:rPr>
                <w:color w:val="262626" w:themeColor="text1" w:themeTint="D9"/>
                <w:lang w:eastAsia="en-AU"/>
              </w:rPr>
              <w:t>1,139</w:t>
            </w:r>
          </w:p>
        </w:tc>
        <w:tc>
          <w:tcPr>
            <w:tcW w:w="170" w:type="dxa"/>
            <w:tcBorders>
              <w:top w:val="nil"/>
              <w:bottom w:val="nil"/>
              <w:right w:val="nil"/>
            </w:tcBorders>
            <w:noWrap/>
          </w:tcPr>
          <w:p w:rsidR="00B158A8" w:rsidRPr="00E465A1" w:rsidRDefault="00B158A8" w:rsidP="00B158A8">
            <w:pPr>
              <w:pStyle w:val="Normaltabletextleft"/>
              <w:rPr>
                <w:color w:val="262626" w:themeColor="text1" w:themeTint="D9"/>
              </w:rPr>
            </w:pPr>
          </w:p>
        </w:tc>
        <w:tc>
          <w:tcPr>
            <w:tcW w:w="1135" w:type="dxa"/>
            <w:tcBorders>
              <w:top w:val="nil"/>
              <w:bottom w:val="nil"/>
              <w:right w:val="nil"/>
            </w:tcBorders>
            <w:shd w:val="clear" w:color="auto" w:fill="FFFFFF" w:themeFill="background1"/>
            <w:tcMar>
              <w:right w:w="113" w:type="dxa"/>
            </w:tcMar>
          </w:tcPr>
          <w:p w:rsidR="00B158A8" w:rsidRPr="00E465A1" w:rsidRDefault="00B158A8" w:rsidP="00B158A8">
            <w:pPr>
              <w:pStyle w:val="Normaltabletext1stpararight"/>
              <w:rPr>
                <w:color w:val="262626" w:themeColor="text1" w:themeTint="D9"/>
                <w:lang w:eastAsia="en-AU"/>
              </w:rPr>
            </w:pPr>
            <w:r w:rsidRPr="00E465A1">
              <w:rPr>
                <w:color w:val="262626" w:themeColor="text1" w:themeTint="D9"/>
                <w:lang w:eastAsia="en-AU"/>
              </w:rPr>
              <w:t>1,123</w:t>
            </w:r>
          </w:p>
        </w:tc>
      </w:tr>
      <w:tr w:rsidR="00E465A1" w:rsidRPr="00E465A1" w:rsidTr="00AD6577">
        <w:trPr>
          <w:trHeight w:val="20"/>
        </w:trPr>
        <w:tc>
          <w:tcPr>
            <w:tcW w:w="6916" w:type="dxa"/>
            <w:tcBorders>
              <w:top w:val="nil"/>
              <w:left w:val="nil"/>
              <w:bottom w:val="nil"/>
            </w:tcBorders>
            <w:noWrap/>
            <w:tcMar>
              <w:left w:w="0" w:type="dxa"/>
              <w:right w:w="0" w:type="dxa"/>
            </w:tcMar>
            <w:vAlign w:val="bottom"/>
          </w:tcPr>
          <w:p w:rsidR="00B158A8" w:rsidRPr="00E465A1" w:rsidRDefault="00B158A8" w:rsidP="00F22BDC">
            <w:pPr>
              <w:pStyle w:val="Normaltabletextleft"/>
              <w:tabs>
                <w:tab w:val="left" w:pos="0"/>
              </w:tabs>
              <w:rPr>
                <w:color w:val="262626" w:themeColor="text1" w:themeTint="D9"/>
                <w:lang w:eastAsia="en-AU"/>
              </w:rPr>
            </w:pPr>
            <w:r w:rsidRPr="00E465A1">
              <w:rPr>
                <w:color w:val="262626" w:themeColor="text1" w:themeTint="D9"/>
                <w:lang w:eastAsia="en-AU"/>
              </w:rPr>
              <w:t>Losses</w:t>
            </w:r>
            <w:r w:rsidR="00F22BDC" w:rsidRPr="00E465A1">
              <w:rPr>
                <w:color w:val="262626" w:themeColor="text1" w:themeTint="D9"/>
                <w:lang w:eastAsia="en-AU"/>
              </w:rPr>
              <w:t xml:space="preserve"> </w:t>
            </w:r>
            <w:r w:rsidR="0096241E" w:rsidRPr="00E465A1">
              <w:rPr>
                <w:color w:val="262626" w:themeColor="text1" w:themeTint="D9"/>
                <w:lang w:eastAsia="en-AU"/>
              </w:rPr>
              <w:t xml:space="preserve">– </w:t>
            </w:r>
            <w:r w:rsidRPr="00E465A1">
              <w:rPr>
                <w:color w:val="262626" w:themeColor="text1" w:themeTint="D9"/>
              </w:rPr>
              <w:t>On disposal of property, plant and equipment</w:t>
            </w:r>
          </w:p>
        </w:tc>
        <w:tc>
          <w:tcPr>
            <w:tcW w:w="881" w:type="dxa"/>
            <w:tcBorders>
              <w:top w:val="nil"/>
              <w:bottom w:val="nil"/>
            </w:tcBorders>
            <w:shd w:val="clear" w:color="auto" w:fill="auto"/>
            <w:noWrap/>
            <w:tcMar>
              <w:left w:w="0" w:type="dxa"/>
              <w:right w:w="113" w:type="dxa"/>
            </w:tcMar>
            <w:vAlign w:val="bottom"/>
          </w:tcPr>
          <w:p w:rsidR="00B158A8" w:rsidRPr="00E465A1" w:rsidRDefault="00B158A8" w:rsidP="00B158A8">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F22BDC" w:rsidRPr="00E465A1" w:rsidRDefault="000B402A" w:rsidP="004A40AB">
            <w:pPr>
              <w:pStyle w:val="Normaltabletext1stpararight"/>
              <w:rPr>
                <w:color w:val="262626" w:themeColor="text1" w:themeTint="D9"/>
                <w:lang w:eastAsia="en-AU"/>
              </w:rPr>
            </w:pPr>
            <w:r w:rsidRPr="00E465A1">
              <w:rPr>
                <w:color w:val="262626" w:themeColor="text1" w:themeTint="D9"/>
                <w:lang w:eastAsia="en-AU"/>
              </w:rPr>
              <w:t>1</w:t>
            </w:r>
          </w:p>
        </w:tc>
        <w:tc>
          <w:tcPr>
            <w:tcW w:w="170" w:type="dxa"/>
            <w:tcBorders>
              <w:top w:val="nil"/>
              <w:bottom w:val="nil"/>
              <w:right w:val="nil"/>
            </w:tcBorders>
            <w:noWrap/>
          </w:tcPr>
          <w:p w:rsidR="00B158A8" w:rsidRPr="00E465A1" w:rsidRDefault="00B158A8" w:rsidP="00B158A8">
            <w:pPr>
              <w:pStyle w:val="Normaltabletextleft"/>
              <w:rPr>
                <w:color w:val="262626" w:themeColor="text1" w:themeTint="D9"/>
              </w:rPr>
            </w:pPr>
          </w:p>
        </w:tc>
        <w:tc>
          <w:tcPr>
            <w:tcW w:w="1135" w:type="dxa"/>
            <w:tcBorders>
              <w:top w:val="nil"/>
              <w:bottom w:val="nil"/>
              <w:right w:val="nil"/>
            </w:tcBorders>
            <w:shd w:val="clear" w:color="auto" w:fill="FFFFFF" w:themeFill="background1"/>
            <w:tcMar>
              <w:right w:w="113" w:type="dxa"/>
            </w:tcMar>
          </w:tcPr>
          <w:p w:rsidR="00B158A8" w:rsidRPr="00E465A1" w:rsidRDefault="00B158A8" w:rsidP="00F22BDC">
            <w:pPr>
              <w:pStyle w:val="Normaltabletext1stpararight"/>
              <w:rPr>
                <w:color w:val="262626" w:themeColor="text1" w:themeTint="D9"/>
                <w:lang w:eastAsia="en-AU"/>
              </w:rPr>
            </w:pPr>
            <w:r w:rsidRPr="00E465A1">
              <w:rPr>
                <w:color w:val="262626" w:themeColor="text1" w:themeTint="D9"/>
                <w:lang w:eastAsia="en-AU"/>
              </w:rPr>
              <w:t>37</w:t>
            </w:r>
          </w:p>
        </w:tc>
      </w:tr>
      <w:tr w:rsidR="00E465A1" w:rsidRPr="00E465A1" w:rsidTr="00AD6577">
        <w:trPr>
          <w:trHeight w:val="20"/>
        </w:trPr>
        <w:tc>
          <w:tcPr>
            <w:tcW w:w="6916" w:type="dxa"/>
            <w:tcBorders>
              <w:top w:val="nil"/>
              <w:left w:val="nil"/>
              <w:bottom w:val="nil"/>
            </w:tcBorders>
            <w:noWrap/>
            <w:tcMar>
              <w:left w:w="0" w:type="dxa"/>
              <w:right w:w="0" w:type="dxa"/>
            </w:tcMar>
            <w:vAlign w:val="bottom"/>
          </w:tcPr>
          <w:p w:rsidR="00B158A8" w:rsidRPr="00E465A1" w:rsidRDefault="00B158A8" w:rsidP="00B158A8">
            <w:pPr>
              <w:pStyle w:val="Normaltabletextleft"/>
              <w:tabs>
                <w:tab w:val="left" w:pos="0"/>
              </w:tabs>
              <w:rPr>
                <w:color w:val="262626" w:themeColor="text1" w:themeTint="D9"/>
                <w:lang w:eastAsia="en-AU"/>
              </w:rPr>
            </w:pPr>
            <w:r w:rsidRPr="00E465A1">
              <w:rPr>
                <w:color w:val="262626" w:themeColor="text1" w:themeTint="D9"/>
                <w:lang w:eastAsia="en-AU"/>
              </w:rPr>
              <w:t>Special payments</w:t>
            </w:r>
            <w:r w:rsidR="00F22BDC" w:rsidRPr="00E465A1">
              <w:rPr>
                <w:color w:val="262626" w:themeColor="text1" w:themeTint="D9"/>
              </w:rPr>
              <w:t>³</w:t>
            </w:r>
          </w:p>
        </w:tc>
        <w:tc>
          <w:tcPr>
            <w:tcW w:w="881" w:type="dxa"/>
            <w:tcBorders>
              <w:top w:val="nil"/>
              <w:bottom w:val="nil"/>
            </w:tcBorders>
            <w:noWrap/>
            <w:tcMar>
              <w:left w:w="0" w:type="dxa"/>
              <w:right w:w="0" w:type="dxa"/>
            </w:tcMar>
            <w:vAlign w:val="bottom"/>
          </w:tcPr>
          <w:p w:rsidR="00B158A8" w:rsidRPr="00E465A1" w:rsidRDefault="00B158A8" w:rsidP="00B158A8">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B158A8" w:rsidRPr="00E465A1" w:rsidRDefault="000B402A" w:rsidP="00B158A8">
            <w:pPr>
              <w:pStyle w:val="Normaltabletext1stpararight"/>
              <w:rPr>
                <w:color w:val="262626" w:themeColor="text1" w:themeTint="D9"/>
                <w:lang w:eastAsia="en-AU"/>
              </w:rPr>
            </w:pPr>
            <w:r w:rsidRPr="00E465A1">
              <w:rPr>
                <w:color w:val="262626" w:themeColor="text1" w:themeTint="D9"/>
              </w:rPr>
              <w:t>–</w:t>
            </w:r>
          </w:p>
        </w:tc>
        <w:tc>
          <w:tcPr>
            <w:tcW w:w="170" w:type="dxa"/>
            <w:tcBorders>
              <w:top w:val="nil"/>
              <w:bottom w:val="nil"/>
            </w:tcBorders>
            <w:noWrap/>
          </w:tcPr>
          <w:p w:rsidR="00B158A8" w:rsidRPr="00E465A1" w:rsidRDefault="00B158A8" w:rsidP="00B158A8">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B158A8" w:rsidRPr="00E465A1" w:rsidRDefault="00B158A8" w:rsidP="00B158A8">
            <w:pPr>
              <w:pStyle w:val="Normaltabletext1stpararight"/>
              <w:rPr>
                <w:color w:val="262626" w:themeColor="text1" w:themeTint="D9"/>
                <w:lang w:eastAsia="en-AU"/>
              </w:rPr>
            </w:pPr>
            <w:r w:rsidRPr="00E465A1">
              <w:rPr>
                <w:color w:val="262626" w:themeColor="text1" w:themeTint="D9"/>
                <w:lang w:eastAsia="en-AU"/>
              </w:rPr>
              <w:t>8</w:t>
            </w:r>
          </w:p>
        </w:tc>
      </w:tr>
      <w:tr w:rsidR="00E465A1" w:rsidRPr="00E465A1" w:rsidTr="00AD6577">
        <w:trPr>
          <w:trHeight w:val="20"/>
        </w:trPr>
        <w:tc>
          <w:tcPr>
            <w:tcW w:w="6916" w:type="dxa"/>
            <w:tcBorders>
              <w:top w:val="nil"/>
              <w:left w:val="nil"/>
              <w:bottom w:val="nil"/>
            </w:tcBorders>
            <w:noWrap/>
            <w:tcMar>
              <w:left w:w="0" w:type="dxa"/>
              <w:right w:w="0" w:type="dxa"/>
            </w:tcMar>
            <w:vAlign w:val="bottom"/>
          </w:tcPr>
          <w:p w:rsidR="00B158A8" w:rsidRPr="00E465A1" w:rsidRDefault="00B158A8" w:rsidP="00B158A8">
            <w:pPr>
              <w:pStyle w:val="Normaltabletextleft"/>
              <w:tabs>
                <w:tab w:val="left" w:pos="0"/>
              </w:tabs>
              <w:rPr>
                <w:color w:val="262626" w:themeColor="text1" w:themeTint="D9"/>
                <w:lang w:eastAsia="en-AU"/>
              </w:rPr>
            </w:pPr>
            <w:r w:rsidRPr="00E465A1">
              <w:rPr>
                <w:color w:val="262626" w:themeColor="text1" w:themeTint="D9"/>
                <w:lang w:eastAsia="en-AU"/>
              </w:rPr>
              <w:t>Sundry expenses</w:t>
            </w:r>
          </w:p>
        </w:tc>
        <w:tc>
          <w:tcPr>
            <w:tcW w:w="881" w:type="dxa"/>
            <w:tcBorders>
              <w:top w:val="nil"/>
              <w:bottom w:val="nil"/>
            </w:tcBorders>
            <w:noWrap/>
            <w:tcMar>
              <w:left w:w="0" w:type="dxa"/>
              <w:right w:w="0" w:type="dxa"/>
            </w:tcMar>
            <w:vAlign w:val="bottom"/>
          </w:tcPr>
          <w:p w:rsidR="00B158A8" w:rsidRPr="00E465A1" w:rsidRDefault="00B158A8" w:rsidP="00B158A8">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B158A8" w:rsidRPr="00E465A1" w:rsidRDefault="000B402A" w:rsidP="00B158A8">
            <w:pPr>
              <w:pStyle w:val="Normaltabletext1stpararight"/>
              <w:rPr>
                <w:color w:val="262626" w:themeColor="text1" w:themeTint="D9"/>
                <w:lang w:eastAsia="en-AU"/>
              </w:rPr>
            </w:pPr>
            <w:r w:rsidRPr="00E465A1">
              <w:rPr>
                <w:color w:val="262626" w:themeColor="text1" w:themeTint="D9"/>
                <w:lang w:eastAsia="en-AU"/>
              </w:rPr>
              <w:t>26</w:t>
            </w:r>
          </w:p>
        </w:tc>
        <w:tc>
          <w:tcPr>
            <w:tcW w:w="170" w:type="dxa"/>
            <w:tcBorders>
              <w:top w:val="nil"/>
              <w:bottom w:val="nil"/>
            </w:tcBorders>
            <w:noWrap/>
          </w:tcPr>
          <w:p w:rsidR="00B158A8" w:rsidRPr="00E465A1" w:rsidRDefault="00B158A8" w:rsidP="00B158A8">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B158A8" w:rsidRPr="00E465A1" w:rsidRDefault="00B158A8" w:rsidP="00B158A8">
            <w:pPr>
              <w:pStyle w:val="Normaltabletext1stpararight"/>
              <w:rPr>
                <w:color w:val="262626" w:themeColor="text1" w:themeTint="D9"/>
                <w:lang w:eastAsia="en-AU"/>
              </w:rPr>
            </w:pPr>
            <w:r w:rsidRPr="00E465A1">
              <w:rPr>
                <w:color w:val="262626" w:themeColor="text1" w:themeTint="D9"/>
                <w:lang w:eastAsia="en-AU"/>
              </w:rPr>
              <w:t>18</w:t>
            </w:r>
          </w:p>
        </w:tc>
      </w:tr>
      <w:tr w:rsidR="00E465A1" w:rsidRPr="00E465A1" w:rsidTr="00AD6577">
        <w:trPr>
          <w:trHeight w:val="20"/>
        </w:trPr>
        <w:tc>
          <w:tcPr>
            <w:tcW w:w="6916" w:type="dxa"/>
            <w:tcBorders>
              <w:top w:val="nil"/>
              <w:left w:val="nil"/>
              <w:bottom w:val="nil"/>
            </w:tcBorders>
            <w:noWrap/>
            <w:tcMar>
              <w:left w:w="0" w:type="dxa"/>
              <w:right w:w="0" w:type="dxa"/>
            </w:tcMar>
            <w:vAlign w:val="bottom"/>
          </w:tcPr>
          <w:p w:rsidR="00B158A8" w:rsidRPr="00E465A1" w:rsidRDefault="00B158A8" w:rsidP="00B158A8">
            <w:pPr>
              <w:pStyle w:val="Normaltabletextleft"/>
              <w:tabs>
                <w:tab w:val="left" w:pos="0"/>
              </w:tabs>
              <w:rPr>
                <w:b/>
                <w:color w:val="262626" w:themeColor="text1" w:themeTint="D9"/>
                <w:lang w:eastAsia="en-AU"/>
              </w:rPr>
            </w:pPr>
            <w:r w:rsidRPr="00E465A1">
              <w:rPr>
                <w:b/>
                <w:color w:val="262626" w:themeColor="text1" w:themeTint="D9"/>
                <w:lang w:eastAsia="en-AU"/>
              </w:rPr>
              <w:t>Total</w:t>
            </w:r>
          </w:p>
        </w:tc>
        <w:tc>
          <w:tcPr>
            <w:tcW w:w="881" w:type="dxa"/>
            <w:tcBorders>
              <w:top w:val="nil"/>
              <w:bottom w:val="nil"/>
            </w:tcBorders>
            <w:noWrap/>
            <w:tcMar>
              <w:left w:w="0" w:type="dxa"/>
              <w:right w:w="0" w:type="dxa"/>
            </w:tcMar>
            <w:vAlign w:val="bottom"/>
          </w:tcPr>
          <w:p w:rsidR="00B158A8" w:rsidRPr="00E465A1" w:rsidRDefault="00B158A8" w:rsidP="00B158A8">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B158A8" w:rsidRPr="00E465A1" w:rsidRDefault="000B402A" w:rsidP="00B158A8">
            <w:pPr>
              <w:pStyle w:val="Normaltabletext1stpararight"/>
              <w:rPr>
                <w:b/>
                <w:color w:val="262626" w:themeColor="text1" w:themeTint="D9"/>
                <w:lang w:eastAsia="en-AU"/>
              </w:rPr>
            </w:pPr>
            <w:r w:rsidRPr="00E465A1">
              <w:rPr>
                <w:b/>
                <w:color w:val="262626" w:themeColor="text1" w:themeTint="D9"/>
                <w:lang w:eastAsia="en-AU"/>
              </w:rPr>
              <w:t>1,258</w:t>
            </w:r>
          </w:p>
        </w:tc>
        <w:tc>
          <w:tcPr>
            <w:tcW w:w="170" w:type="dxa"/>
            <w:tcBorders>
              <w:top w:val="nil"/>
              <w:bottom w:val="nil"/>
            </w:tcBorders>
            <w:noWrap/>
          </w:tcPr>
          <w:p w:rsidR="00B158A8" w:rsidRPr="00E465A1" w:rsidRDefault="00B158A8" w:rsidP="00B158A8">
            <w:pPr>
              <w:pStyle w:val="Normaltabletextleft"/>
              <w:rPr>
                <w:b/>
                <w:color w:val="262626" w:themeColor="text1" w:themeTint="D9"/>
              </w:rPr>
            </w:pPr>
          </w:p>
        </w:tc>
        <w:tc>
          <w:tcPr>
            <w:tcW w:w="1135" w:type="dxa"/>
            <w:tcBorders>
              <w:top w:val="single" w:sz="4" w:space="0" w:color="auto"/>
              <w:bottom w:val="double" w:sz="4" w:space="0" w:color="auto"/>
              <w:right w:val="nil"/>
            </w:tcBorders>
            <w:shd w:val="clear" w:color="auto" w:fill="FFFFFF" w:themeFill="background1"/>
            <w:noWrap/>
            <w:tcMar>
              <w:left w:w="0" w:type="dxa"/>
              <w:right w:w="113" w:type="dxa"/>
            </w:tcMar>
            <w:vAlign w:val="bottom"/>
          </w:tcPr>
          <w:p w:rsidR="00B158A8" w:rsidRPr="00E465A1" w:rsidRDefault="00B158A8" w:rsidP="00B158A8">
            <w:pPr>
              <w:pStyle w:val="Normaltabletext1stpararight"/>
              <w:rPr>
                <w:b/>
                <w:color w:val="262626" w:themeColor="text1" w:themeTint="D9"/>
                <w:lang w:eastAsia="en-AU"/>
              </w:rPr>
            </w:pPr>
            <w:r w:rsidRPr="00E465A1">
              <w:rPr>
                <w:b/>
                <w:color w:val="262626" w:themeColor="text1" w:themeTint="D9"/>
                <w:lang w:eastAsia="en-AU"/>
              </w:rPr>
              <w:t>1,275</w:t>
            </w:r>
          </w:p>
        </w:tc>
      </w:tr>
      <w:tr w:rsidR="00E465A1" w:rsidRPr="00E465A1" w:rsidTr="003F08E2">
        <w:trPr>
          <w:trHeight w:val="20"/>
        </w:trPr>
        <w:tc>
          <w:tcPr>
            <w:tcW w:w="10236" w:type="dxa"/>
            <w:gridSpan w:val="5"/>
            <w:tcBorders>
              <w:top w:val="nil"/>
              <w:left w:val="nil"/>
              <w:bottom w:val="nil"/>
              <w:right w:val="nil"/>
            </w:tcBorders>
            <w:noWrap/>
            <w:tcMar>
              <w:left w:w="0" w:type="dxa"/>
              <w:right w:w="0" w:type="dxa"/>
            </w:tcMar>
            <w:vAlign w:val="bottom"/>
          </w:tcPr>
          <w:p w:rsidR="00B158A8" w:rsidRPr="00E465A1" w:rsidRDefault="00B158A8" w:rsidP="00B158A8">
            <w:pPr>
              <w:pStyle w:val="Noteswithhangingindent"/>
              <w:rPr>
                <w:color w:val="262626" w:themeColor="text1" w:themeTint="D9"/>
              </w:rPr>
            </w:pPr>
          </w:p>
        </w:tc>
      </w:tr>
    </w:tbl>
    <w:p w:rsidR="002D6FCF" w:rsidRPr="00E465A1" w:rsidRDefault="002D6FCF" w:rsidP="00356B25">
      <w:pPr>
        <w:pStyle w:val="Noteswithhangingindent"/>
        <w:rPr>
          <w:color w:val="262626" w:themeColor="text1" w:themeTint="D9"/>
        </w:rPr>
      </w:pPr>
      <w:r w:rsidRPr="00E465A1">
        <w:rPr>
          <w:color w:val="262626" w:themeColor="text1" w:themeTint="D9"/>
          <w:vertAlign w:val="superscript"/>
        </w:rPr>
        <w:t>1</w:t>
      </w:r>
      <w:r w:rsidRPr="00E465A1">
        <w:rPr>
          <w:color w:val="262626" w:themeColor="text1" w:themeTint="D9"/>
        </w:rPr>
        <w:tab/>
        <w:t>Estimate of fees payable to Queensland A</w:t>
      </w:r>
      <w:r w:rsidR="00BF4A75" w:rsidRPr="00E465A1">
        <w:rPr>
          <w:color w:val="262626" w:themeColor="text1" w:themeTint="D9"/>
        </w:rPr>
        <w:t>udit Office relatin</w:t>
      </w:r>
      <w:r w:rsidR="00CD58A4" w:rsidRPr="00E465A1">
        <w:rPr>
          <w:color w:val="262626" w:themeColor="text1" w:themeTint="D9"/>
        </w:rPr>
        <w:t>g to the 2017</w:t>
      </w:r>
      <w:r w:rsidR="00356B25" w:rsidRPr="00E465A1">
        <w:rPr>
          <w:color w:val="262626" w:themeColor="text1" w:themeTint="D9"/>
        </w:rPr>
        <w:t>–</w:t>
      </w:r>
      <w:r w:rsidR="00CD58A4" w:rsidRPr="00E465A1">
        <w:rPr>
          <w:color w:val="262626" w:themeColor="text1" w:themeTint="D9"/>
        </w:rPr>
        <w:t>18</w:t>
      </w:r>
      <w:r w:rsidR="0010373D" w:rsidRPr="00E465A1">
        <w:rPr>
          <w:color w:val="262626" w:themeColor="text1" w:themeTint="D9"/>
        </w:rPr>
        <w:t xml:space="preserve"> financial statements is </w:t>
      </w:r>
      <w:r w:rsidR="00E7440F" w:rsidRPr="00E465A1">
        <w:rPr>
          <w:color w:val="262626" w:themeColor="text1" w:themeTint="D9"/>
        </w:rPr>
        <w:t>$61,000</w:t>
      </w:r>
      <w:r w:rsidR="0010373D" w:rsidRPr="00E465A1">
        <w:rPr>
          <w:color w:val="262626" w:themeColor="text1" w:themeTint="D9"/>
        </w:rPr>
        <w:t xml:space="preserve"> </w:t>
      </w:r>
      <w:r w:rsidR="00CD58A4" w:rsidRPr="00E465A1">
        <w:rPr>
          <w:color w:val="262626" w:themeColor="text1" w:themeTint="D9"/>
        </w:rPr>
        <w:t>(2017</w:t>
      </w:r>
      <w:r w:rsidRPr="00E465A1">
        <w:rPr>
          <w:color w:val="262626" w:themeColor="text1" w:themeTint="D9"/>
        </w:rPr>
        <w:t xml:space="preserve"> fee: $</w:t>
      </w:r>
      <w:r w:rsidR="002409C8" w:rsidRPr="00E465A1">
        <w:rPr>
          <w:color w:val="262626" w:themeColor="text1" w:themeTint="D9"/>
        </w:rPr>
        <w:t>59,500</w:t>
      </w:r>
      <w:r w:rsidRPr="00E465A1">
        <w:rPr>
          <w:color w:val="262626" w:themeColor="text1" w:themeTint="D9"/>
        </w:rPr>
        <w:t xml:space="preserve">). </w:t>
      </w:r>
    </w:p>
    <w:p w:rsidR="0029279F" w:rsidRPr="00E465A1" w:rsidRDefault="002D6FCF" w:rsidP="00356B25">
      <w:pPr>
        <w:pStyle w:val="Noteswithhangingindent"/>
        <w:rPr>
          <w:color w:val="262626" w:themeColor="text1" w:themeTint="D9"/>
        </w:rPr>
      </w:pPr>
      <w:r w:rsidRPr="00E465A1">
        <w:rPr>
          <w:color w:val="262626" w:themeColor="text1" w:themeTint="D9"/>
          <w:vertAlign w:val="superscript"/>
        </w:rPr>
        <w:t>2</w:t>
      </w:r>
      <w:r w:rsidRPr="00E465A1">
        <w:rPr>
          <w:color w:val="262626" w:themeColor="text1" w:themeTint="D9"/>
        </w:rPr>
        <w:tab/>
      </w:r>
      <w:r w:rsidR="0029279F" w:rsidRPr="00E465A1">
        <w:rPr>
          <w:color w:val="262626" w:themeColor="text1" w:themeTint="D9"/>
        </w:rPr>
        <w:t xml:space="preserve">The </w:t>
      </w:r>
      <w:r w:rsidR="00EC2665" w:rsidRPr="00E465A1">
        <w:rPr>
          <w:color w:val="262626" w:themeColor="text1" w:themeTint="D9"/>
        </w:rPr>
        <w:t>CCC</w:t>
      </w:r>
      <w:r w:rsidR="0029279F" w:rsidRPr="00E465A1">
        <w:rPr>
          <w:color w:val="262626" w:themeColor="text1" w:themeTint="D9"/>
        </w:rPr>
        <w:t>’s non–current physical assets and other risks are insured through the Queensland Government Insurance Fund, premiums being paid on a risk assessment basis. Insurance claims are subject to a $10,000 deductible per claim.</w:t>
      </w:r>
    </w:p>
    <w:p w:rsidR="00F22BDC" w:rsidRPr="00E465A1" w:rsidRDefault="002D6FCF" w:rsidP="00F22BDC">
      <w:pPr>
        <w:pStyle w:val="Noteswithhangingindent"/>
        <w:rPr>
          <w:color w:val="262626" w:themeColor="text1" w:themeTint="D9"/>
        </w:rPr>
      </w:pPr>
      <w:r w:rsidRPr="00E465A1">
        <w:rPr>
          <w:color w:val="262626" w:themeColor="text1" w:themeTint="D9"/>
          <w:vertAlign w:val="superscript"/>
        </w:rPr>
        <w:t>3</w:t>
      </w:r>
      <w:r w:rsidRPr="00E465A1">
        <w:rPr>
          <w:color w:val="262626" w:themeColor="text1" w:themeTint="D9"/>
        </w:rPr>
        <w:tab/>
      </w:r>
      <w:r w:rsidR="00F22BDC" w:rsidRPr="00E465A1">
        <w:rPr>
          <w:color w:val="262626" w:themeColor="text1" w:themeTint="D9"/>
        </w:rPr>
        <w:t xml:space="preserve">Special payments include ex gratia expenditure and other expenditure that the CCC is not contractually or legally obligated to make to other parties.  During the 2016-17 financial year the CCC reimbursed medical costs of $6,945 to an employee who was hospitalised for an illness whilst attending a conference overseas on behalf of the CCC that was declined by the CCC travel insurance provider based on an exemption under their product disclosure statement. </w:t>
      </w:r>
    </w:p>
    <w:p w:rsidR="00F22BDC" w:rsidRPr="00E465A1" w:rsidRDefault="00F22BDC" w:rsidP="0029279F">
      <w:pPr>
        <w:pStyle w:val="Normal115pttext"/>
        <w:rPr>
          <w:color w:val="262626" w:themeColor="text1" w:themeTint="D9"/>
        </w:rPr>
      </w:pPr>
    </w:p>
    <w:p w:rsidR="0029279F" w:rsidRPr="00E465A1" w:rsidRDefault="0029279F" w:rsidP="0029279F">
      <w:pPr>
        <w:pStyle w:val="Normal115pttext"/>
        <w:rPr>
          <w:color w:val="262626" w:themeColor="text1" w:themeTint="D9"/>
        </w:rPr>
      </w:pPr>
      <w:r w:rsidRPr="00E465A1">
        <w:rPr>
          <w:color w:val="262626" w:themeColor="text1" w:themeTint="D9"/>
        </w:rPr>
        <w:lastRenderedPageBreak/>
        <w:t xml:space="preserve">Note </w:t>
      </w:r>
      <w:r w:rsidR="0014516F" w:rsidRPr="00E465A1">
        <w:rPr>
          <w:color w:val="262626" w:themeColor="text1" w:themeTint="D9"/>
        </w:rPr>
        <w:t>8</w:t>
      </w:r>
      <w:r w:rsidRPr="00E465A1">
        <w:rPr>
          <w:color w:val="262626" w:themeColor="text1" w:themeTint="D9"/>
        </w:rPr>
        <w:t>:  Cash and Cash Equivalents</w:t>
      </w:r>
    </w:p>
    <w:p w:rsidR="0029279F" w:rsidRPr="00E465A1" w:rsidRDefault="0029279F" w:rsidP="0029279F">
      <w:pPr>
        <w:pStyle w:val="Normal1stpara"/>
        <w:rPr>
          <w:color w:val="262626" w:themeColor="text1" w:themeTint="D9"/>
        </w:rPr>
      </w:pPr>
    </w:p>
    <w:tbl>
      <w:tblPr>
        <w:tblStyle w:val="TableGrid"/>
        <w:tblW w:w="10206" w:type="dxa"/>
        <w:tblInd w:w="-5" w:type="dxa"/>
        <w:tblCellMar>
          <w:top w:w="113" w:type="dxa"/>
          <w:bottom w:w="113" w:type="dxa"/>
        </w:tblCellMar>
        <w:tblLook w:val="04A0" w:firstRow="1" w:lastRow="0" w:firstColumn="1" w:lastColumn="0" w:noHBand="0" w:noVBand="1"/>
      </w:tblPr>
      <w:tblGrid>
        <w:gridCol w:w="10206"/>
      </w:tblGrid>
      <w:tr w:rsidR="00E465A1" w:rsidRPr="00E465A1" w:rsidTr="00BA4011">
        <w:tc>
          <w:tcPr>
            <w:tcW w:w="10206" w:type="dxa"/>
          </w:tcPr>
          <w:p w:rsidR="0029279F" w:rsidRPr="00E465A1" w:rsidRDefault="0029279F" w:rsidP="00F618A2">
            <w:pPr>
              <w:pStyle w:val="Policyheading"/>
              <w:rPr>
                <w:color w:val="262626" w:themeColor="text1" w:themeTint="D9"/>
              </w:rPr>
            </w:pPr>
            <w:r w:rsidRPr="00E465A1">
              <w:rPr>
                <w:color w:val="262626" w:themeColor="text1" w:themeTint="D9"/>
              </w:rPr>
              <w:t>Accounting Policy:</w:t>
            </w:r>
          </w:p>
          <w:p w:rsidR="0029279F" w:rsidRPr="00E465A1" w:rsidRDefault="0029279F" w:rsidP="00385FF3">
            <w:pPr>
              <w:pStyle w:val="Policy1stpara"/>
              <w:rPr>
                <w:color w:val="262626" w:themeColor="text1" w:themeTint="D9"/>
                <w:lang w:eastAsia="en-AU"/>
              </w:rPr>
            </w:pPr>
            <w:r w:rsidRPr="00E465A1">
              <w:rPr>
                <w:b/>
                <w:i/>
                <w:color w:val="262626" w:themeColor="text1" w:themeTint="D9"/>
              </w:rPr>
              <w:t xml:space="preserve">Cash and Cash Equivalents – </w:t>
            </w:r>
            <w:r w:rsidRPr="00E465A1">
              <w:rPr>
                <w:color w:val="262626" w:themeColor="text1" w:themeTint="D9"/>
                <w:lang w:eastAsia="en-AU"/>
              </w:rPr>
              <w:t xml:space="preserve">Cash and cash equivalents include all cash and cheques receipted but not banked at </w:t>
            </w:r>
            <w:r w:rsidR="009A585E" w:rsidRPr="00E465A1">
              <w:rPr>
                <w:color w:val="262626" w:themeColor="text1" w:themeTint="D9"/>
                <w:lang w:eastAsia="en-AU"/>
              </w:rPr>
              <w:br/>
            </w:r>
            <w:r w:rsidRPr="00E465A1">
              <w:rPr>
                <w:color w:val="262626" w:themeColor="text1" w:themeTint="D9"/>
                <w:lang w:eastAsia="en-AU"/>
              </w:rPr>
              <w:t xml:space="preserve">30 June. </w:t>
            </w:r>
            <w:r w:rsidRPr="00E465A1">
              <w:rPr>
                <w:color w:val="262626" w:themeColor="text1" w:themeTint="D9"/>
              </w:rPr>
              <w:t xml:space="preserve">Term </w:t>
            </w:r>
            <w:r w:rsidRPr="00E465A1">
              <w:rPr>
                <w:color w:val="262626" w:themeColor="text1" w:themeTint="D9"/>
                <w:lang w:eastAsia="en-AU"/>
              </w:rPr>
              <w:t>deposits are held with</w:t>
            </w:r>
            <w:r w:rsidR="00B5171E" w:rsidRPr="00E465A1">
              <w:rPr>
                <w:color w:val="262626" w:themeColor="text1" w:themeTint="D9"/>
                <w:lang w:eastAsia="en-AU"/>
              </w:rPr>
              <w:t xml:space="preserve"> </w:t>
            </w:r>
            <w:r w:rsidRPr="00E465A1">
              <w:rPr>
                <w:color w:val="262626" w:themeColor="text1" w:themeTint="D9"/>
                <w:lang w:eastAsia="en-AU"/>
              </w:rPr>
              <w:t xml:space="preserve">major banking institutions </w:t>
            </w:r>
            <w:r w:rsidR="00B5171E" w:rsidRPr="00E465A1">
              <w:rPr>
                <w:color w:val="262626" w:themeColor="text1" w:themeTint="D9"/>
                <w:lang w:eastAsia="en-AU"/>
              </w:rPr>
              <w:t>and</w:t>
            </w:r>
            <w:r w:rsidR="00385FF3" w:rsidRPr="00E465A1">
              <w:rPr>
                <w:color w:val="262626" w:themeColor="text1" w:themeTint="D9"/>
                <w:lang w:eastAsia="en-AU"/>
              </w:rPr>
              <w:t>/or</w:t>
            </w:r>
            <w:r w:rsidR="00B5171E" w:rsidRPr="00E465A1">
              <w:rPr>
                <w:color w:val="262626" w:themeColor="text1" w:themeTint="D9"/>
                <w:lang w:eastAsia="en-AU"/>
              </w:rPr>
              <w:t xml:space="preserve"> Queensland Treasury Corporation </w:t>
            </w:r>
            <w:r w:rsidR="00385FF3" w:rsidRPr="00E465A1">
              <w:rPr>
                <w:color w:val="262626" w:themeColor="text1" w:themeTint="D9"/>
                <w:lang w:eastAsia="en-AU"/>
              </w:rPr>
              <w:t>and</w:t>
            </w:r>
            <w:r w:rsidRPr="00E465A1">
              <w:rPr>
                <w:color w:val="262626" w:themeColor="text1" w:themeTint="D9"/>
                <w:lang w:eastAsia="en-AU"/>
              </w:rPr>
              <w:t xml:space="preserve"> represent liquid investments with short periods to maturity that are readily convertible to cash on hand at the </w:t>
            </w:r>
            <w:r w:rsidR="00EC2665" w:rsidRPr="00E465A1">
              <w:rPr>
                <w:color w:val="262626" w:themeColor="text1" w:themeTint="D9"/>
                <w:lang w:eastAsia="en-AU"/>
              </w:rPr>
              <w:t>CCC</w:t>
            </w:r>
            <w:r w:rsidRPr="00E465A1">
              <w:rPr>
                <w:color w:val="262626" w:themeColor="text1" w:themeTint="D9"/>
                <w:lang w:eastAsia="en-AU"/>
              </w:rPr>
              <w:t xml:space="preserve">’s option and that are subject to a low risk of </w:t>
            </w:r>
            <w:r w:rsidR="007B5183" w:rsidRPr="00E465A1">
              <w:rPr>
                <w:color w:val="262626" w:themeColor="text1" w:themeTint="D9"/>
                <w:lang w:eastAsia="en-AU"/>
              </w:rPr>
              <w:t>changes in value.</w:t>
            </w:r>
          </w:p>
        </w:tc>
      </w:tr>
    </w:tbl>
    <w:p w:rsidR="0029279F" w:rsidRPr="00E465A1" w:rsidRDefault="0029279F" w:rsidP="00356B25">
      <w:pPr>
        <w:pStyle w:val="Normal1stpara"/>
        <w:rPr>
          <w:color w:val="262626" w:themeColor="text1" w:themeTint="D9"/>
        </w:rPr>
      </w:pPr>
    </w:p>
    <w:p w:rsidR="00BA4011" w:rsidRPr="00E465A1" w:rsidRDefault="00BA4011" w:rsidP="00356B25">
      <w:pPr>
        <w:pStyle w:val="Normal1stpara"/>
        <w:rPr>
          <w:color w:val="262626" w:themeColor="text1" w:themeTint="D9"/>
        </w:rPr>
      </w:pPr>
    </w:p>
    <w:tbl>
      <w:tblPr>
        <w:tblW w:w="10236" w:type="dxa"/>
        <w:tblBorders>
          <w:top w:val="double" w:sz="4" w:space="0" w:color="auto"/>
          <w:left w:val="double" w:sz="4" w:space="0" w:color="auto"/>
          <w:bottom w:val="double" w:sz="4" w:space="0" w:color="auto"/>
          <w:right w:val="double" w:sz="4" w:space="0" w:color="auto"/>
        </w:tblBorders>
        <w:tblLayout w:type="fixed"/>
        <w:tblCellMar>
          <w:bottom w:w="11" w:type="dxa"/>
          <w:right w:w="0" w:type="dxa"/>
        </w:tblCellMar>
        <w:tblLook w:val="0000" w:firstRow="0" w:lastRow="0" w:firstColumn="0" w:lastColumn="0" w:noHBand="0" w:noVBand="0"/>
      </w:tblPr>
      <w:tblGrid>
        <w:gridCol w:w="6916"/>
        <w:gridCol w:w="881"/>
        <w:gridCol w:w="1134"/>
        <w:gridCol w:w="170"/>
        <w:gridCol w:w="1135"/>
      </w:tblGrid>
      <w:tr w:rsidR="00E465A1" w:rsidRPr="00E465A1" w:rsidTr="00AD6577">
        <w:trPr>
          <w:trHeight w:val="23"/>
        </w:trPr>
        <w:tc>
          <w:tcPr>
            <w:tcW w:w="6916" w:type="dxa"/>
            <w:tcBorders>
              <w:top w:val="nil"/>
              <w:left w:val="nil"/>
              <w:bottom w:val="nil"/>
            </w:tcBorders>
            <w:noWrap/>
            <w:tcMar>
              <w:left w:w="0" w:type="dxa"/>
              <w:right w:w="0" w:type="dxa"/>
            </w:tcMar>
            <w:vAlign w:val="bottom"/>
          </w:tcPr>
          <w:p w:rsidR="0029279F" w:rsidRPr="00E465A1" w:rsidRDefault="0029279F" w:rsidP="00E9542D">
            <w:pPr>
              <w:pStyle w:val="Normaltabletextleft"/>
              <w:tabs>
                <w:tab w:val="left" w:pos="0"/>
              </w:tabs>
              <w:rPr>
                <w:color w:val="262626" w:themeColor="text1" w:themeTint="D9"/>
                <w:lang w:eastAsia="en-AU"/>
              </w:rPr>
            </w:pPr>
          </w:p>
        </w:tc>
        <w:tc>
          <w:tcPr>
            <w:tcW w:w="881" w:type="dxa"/>
            <w:tcBorders>
              <w:top w:val="nil"/>
              <w:bottom w:val="nil"/>
            </w:tcBorders>
            <w:noWrap/>
            <w:tcMar>
              <w:left w:w="0" w:type="dxa"/>
              <w:right w:w="0" w:type="dxa"/>
            </w:tcMar>
            <w:vAlign w:val="bottom"/>
          </w:tcPr>
          <w:p w:rsidR="0029279F" w:rsidRPr="00E465A1" w:rsidRDefault="0029279F" w:rsidP="00F618A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29279F" w:rsidRPr="00E465A1" w:rsidRDefault="0029279F" w:rsidP="00F618A2">
            <w:pPr>
              <w:pStyle w:val="Normaltabletext1stpararight"/>
              <w:rPr>
                <w:b/>
                <w:color w:val="262626" w:themeColor="text1" w:themeTint="D9"/>
                <w:lang w:eastAsia="en-AU"/>
              </w:rPr>
            </w:pPr>
            <w:r w:rsidRPr="00E465A1">
              <w:rPr>
                <w:b/>
                <w:color w:val="262626" w:themeColor="text1" w:themeTint="D9"/>
                <w:lang w:eastAsia="en-AU"/>
              </w:rPr>
              <w:t>201</w:t>
            </w:r>
            <w:r w:rsidR="00F34433" w:rsidRPr="00E465A1">
              <w:rPr>
                <w:b/>
                <w:color w:val="262626" w:themeColor="text1" w:themeTint="D9"/>
                <w:lang w:eastAsia="en-AU"/>
              </w:rPr>
              <w:t>8</w:t>
            </w:r>
          </w:p>
        </w:tc>
        <w:tc>
          <w:tcPr>
            <w:tcW w:w="170" w:type="dxa"/>
            <w:tcBorders>
              <w:top w:val="nil"/>
              <w:bottom w:val="nil"/>
            </w:tcBorders>
            <w:noWrap/>
          </w:tcPr>
          <w:p w:rsidR="0029279F" w:rsidRPr="00E465A1" w:rsidRDefault="0029279F" w:rsidP="00F618A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29279F" w:rsidRPr="00E465A1" w:rsidRDefault="0029279F" w:rsidP="00F618A2">
            <w:pPr>
              <w:pStyle w:val="Normaltabletext1stpararight"/>
              <w:rPr>
                <w:b/>
                <w:color w:val="262626" w:themeColor="text1" w:themeTint="D9"/>
                <w:lang w:eastAsia="en-AU"/>
              </w:rPr>
            </w:pPr>
            <w:r w:rsidRPr="00E465A1">
              <w:rPr>
                <w:b/>
                <w:color w:val="262626" w:themeColor="text1" w:themeTint="D9"/>
                <w:lang w:eastAsia="en-AU"/>
              </w:rPr>
              <w:t>201</w:t>
            </w:r>
            <w:r w:rsidR="00F34433" w:rsidRPr="00E465A1">
              <w:rPr>
                <w:b/>
                <w:color w:val="262626" w:themeColor="text1" w:themeTint="D9"/>
                <w:lang w:eastAsia="en-AU"/>
              </w:rPr>
              <w:t>7</w:t>
            </w:r>
          </w:p>
        </w:tc>
      </w:tr>
      <w:tr w:rsidR="00E465A1" w:rsidRPr="00E465A1" w:rsidTr="00AD6577">
        <w:trPr>
          <w:trHeight w:val="23"/>
        </w:trPr>
        <w:tc>
          <w:tcPr>
            <w:tcW w:w="6916" w:type="dxa"/>
            <w:tcBorders>
              <w:top w:val="nil"/>
              <w:left w:val="nil"/>
              <w:bottom w:val="nil"/>
            </w:tcBorders>
            <w:noWrap/>
            <w:tcMar>
              <w:left w:w="0" w:type="dxa"/>
              <w:right w:w="0" w:type="dxa"/>
            </w:tcMar>
            <w:vAlign w:val="bottom"/>
          </w:tcPr>
          <w:p w:rsidR="0029279F" w:rsidRPr="00E465A1" w:rsidRDefault="0029279F" w:rsidP="00F618A2">
            <w:pPr>
              <w:pStyle w:val="Normaltabletextleft"/>
              <w:tabs>
                <w:tab w:val="left" w:pos="0"/>
              </w:tabs>
              <w:rPr>
                <w:color w:val="262626" w:themeColor="text1" w:themeTint="D9"/>
                <w:lang w:eastAsia="en-AU"/>
              </w:rPr>
            </w:pPr>
          </w:p>
        </w:tc>
        <w:tc>
          <w:tcPr>
            <w:tcW w:w="881" w:type="dxa"/>
            <w:tcBorders>
              <w:top w:val="nil"/>
              <w:bottom w:val="nil"/>
            </w:tcBorders>
            <w:noWrap/>
            <w:tcMar>
              <w:left w:w="0" w:type="dxa"/>
              <w:right w:w="0" w:type="dxa"/>
            </w:tcMar>
            <w:vAlign w:val="bottom"/>
          </w:tcPr>
          <w:p w:rsidR="0029279F" w:rsidRPr="00E465A1" w:rsidRDefault="0029279F" w:rsidP="00F618A2">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29279F" w:rsidRPr="00E465A1" w:rsidRDefault="0029279F" w:rsidP="00F618A2">
            <w:pPr>
              <w:pStyle w:val="Normaltabletext1stpararight"/>
              <w:rPr>
                <w:b/>
                <w:color w:val="262626" w:themeColor="text1" w:themeTint="D9"/>
                <w:lang w:eastAsia="en-AU"/>
              </w:rPr>
            </w:pPr>
            <w:r w:rsidRPr="00E465A1">
              <w:rPr>
                <w:b/>
                <w:color w:val="262626" w:themeColor="text1" w:themeTint="D9"/>
                <w:lang w:eastAsia="en-AU"/>
              </w:rPr>
              <w:t>$’000</w:t>
            </w:r>
          </w:p>
        </w:tc>
        <w:tc>
          <w:tcPr>
            <w:tcW w:w="170" w:type="dxa"/>
            <w:tcBorders>
              <w:top w:val="nil"/>
              <w:bottom w:val="nil"/>
            </w:tcBorders>
            <w:noWrap/>
          </w:tcPr>
          <w:p w:rsidR="0029279F" w:rsidRPr="00E465A1" w:rsidRDefault="0029279F" w:rsidP="00F618A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29279F" w:rsidRPr="00E465A1" w:rsidRDefault="0029279F" w:rsidP="00F618A2">
            <w:pPr>
              <w:pStyle w:val="Normaltabletext1stpararight"/>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3"/>
        </w:trPr>
        <w:tc>
          <w:tcPr>
            <w:tcW w:w="6916" w:type="dxa"/>
            <w:tcBorders>
              <w:top w:val="nil"/>
              <w:left w:val="nil"/>
              <w:bottom w:val="nil"/>
            </w:tcBorders>
            <w:noWrap/>
            <w:tcMar>
              <w:left w:w="0" w:type="dxa"/>
              <w:right w:w="0" w:type="dxa"/>
            </w:tcMar>
            <w:vAlign w:val="bottom"/>
          </w:tcPr>
          <w:p w:rsidR="00E9542D" w:rsidRPr="00E465A1" w:rsidRDefault="00E9542D" w:rsidP="00F34433">
            <w:pPr>
              <w:pStyle w:val="Normaltabletextleft"/>
              <w:tabs>
                <w:tab w:val="left" w:pos="0"/>
              </w:tabs>
              <w:rPr>
                <w:color w:val="262626" w:themeColor="text1" w:themeTint="D9"/>
                <w:lang w:eastAsia="en-AU"/>
              </w:rPr>
            </w:pPr>
          </w:p>
        </w:tc>
        <w:tc>
          <w:tcPr>
            <w:tcW w:w="881" w:type="dxa"/>
            <w:tcBorders>
              <w:top w:val="nil"/>
              <w:bottom w:val="nil"/>
            </w:tcBorders>
            <w:noWrap/>
            <w:tcMar>
              <w:left w:w="0" w:type="dxa"/>
              <w:right w:w="0" w:type="dxa"/>
            </w:tcMar>
            <w:vAlign w:val="bottom"/>
          </w:tcPr>
          <w:p w:rsidR="00E9542D" w:rsidRPr="00E465A1" w:rsidRDefault="00E9542D" w:rsidP="00F34433">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E9542D" w:rsidRPr="00E465A1" w:rsidRDefault="00E9542D" w:rsidP="00F34433">
            <w:pPr>
              <w:pStyle w:val="Normaltabletext1stpararight"/>
              <w:rPr>
                <w:color w:val="262626" w:themeColor="text1" w:themeTint="D9"/>
                <w:lang w:eastAsia="en-AU"/>
              </w:rPr>
            </w:pPr>
          </w:p>
        </w:tc>
        <w:tc>
          <w:tcPr>
            <w:tcW w:w="170" w:type="dxa"/>
            <w:tcBorders>
              <w:top w:val="nil"/>
              <w:bottom w:val="nil"/>
            </w:tcBorders>
            <w:noWrap/>
          </w:tcPr>
          <w:p w:rsidR="00E9542D" w:rsidRPr="00E465A1" w:rsidRDefault="00E9542D" w:rsidP="00F34433">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E9542D" w:rsidRPr="00E465A1" w:rsidRDefault="00E9542D" w:rsidP="00F34433">
            <w:pPr>
              <w:pStyle w:val="Normaltabletext1stpararight"/>
              <w:rPr>
                <w:color w:val="262626" w:themeColor="text1" w:themeTint="D9"/>
                <w:lang w:eastAsia="en-AU"/>
              </w:rPr>
            </w:pPr>
          </w:p>
        </w:tc>
      </w:tr>
      <w:tr w:rsidR="00E465A1" w:rsidRPr="00E465A1" w:rsidTr="00AD6577">
        <w:trPr>
          <w:trHeight w:val="23"/>
        </w:trPr>
        <w:tc>
          <w:tcPr>
            <w:tcW w:w="6916"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color w:val="262626" w:themeColor="text1" w:themeTint="D9"/>
                <w:lang w:eastAsia="en-AU"/>
              </w:rPr>
            </w:pPr>
            <w:proofErr w:type="spellStart"/>
            <w:r w:rsidRPr="00E465A1">
              <w:rPr>
                <w:color w:val="262626" w:themeColor="text1" w:themeTint="D9"/>
                <w:lang w:eastAsia="en-AU"/>
              </w:rPr>
              <w:t>Imprest</w:t>
            </w:r>
            <w:proofErr w:type="spellEnd"/>
            <w:r w:rsidRPr="00E465A1">
              <w:rPr>
                <w:color w:val="262626" w:themeColor="text1" w:themeTint="D9"/>
                <w:lang w:eastAsia="en-AU"/>
              </w:rPr>
              <w:t xml:space="preserve"> accounts</w:t>
            </w:r>
          </w:p>
        </w:tc>
        <w:tc>
          <w:tcPr>
            <w:tcW w:w="881" w:type="dxa"/>
            <w:tcBorders>
              <w:top w:val="nil"/>
              <w:bottom w:val="nil"/>
            </w:tcBorders>
            <w:noWrap/>
            <w:tcMar>
              <w:left w:w="0" w:type="dxa"/>
              <w:right w:w="0" w:type="dxa"/>
            </w:tcMar>
            <w:vAlign w:val="bottom"/>
          </w:tcPr>
          <w:p w:rsidR="00F34433" w:rsidRPr="00E465A1" w:rsidRDefault="00F34433" w:rsidP="00F34433">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F34433" w:rsidRPr="00E465A1" w:rsidRDefault="00D40839" w:rsidP="00F34433">
            <w:pPr>
              <w:pStyle w:val="Normaltabletext1stpararight"/>
              <w:rPr>
                <w:color w:val="262626" w:themeColor="text1" w:themeTint="D9"/>
                <w:lang w:eastAsia="en-AU"/>
              </w:rPr>
            </w:pPr>
            <w:r w:rsidRPr="00E465A1">
              <w:rPr>
                <w:color w:val="262626" w:themeColor="text1" w:themeTint="D9"/>
                <w:lang w:eastAsia="en-AU"/>
              </w:rPr>
              <w:t>8</w:t>
            </w:r>
          </w:p>
        </w:tc>
        <w:tc>
          <w:tcPr>
            <w:tcW w:w="170" w:type="dxa"/>
            <w:tcBorders>
              <w:top w:val="nil"/>
              <w:bottom w:val="nil"/>
            </w:tcBorders>
            <w:noWrap/>
          </w:tcPr>
          <w:p w:rsidR="00F34433" w:rsidRPr="00E465A1" w:rsidRDefault="00F34433" w:rsidP="00F34433">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F34433" w:rsidRPr="00E465A1" w:rsidRDefault="00F34433" w:rsidP="00F34433">
            <w:pPr>
              <w:pStyle w:val="Normaltabletext1stpararight"/>
              <w:rPr>
                <w:color w:val="262626" w:themeColor="text1" w:themeTint="D9"/>
                <w:lang w:eastAsia="en-AU"/>
              </w:rPr>
            </w:pPr>
            <w:r w:rsidRPr="00E465A1">
              <w:rPr>
                <w:color w:val="262626" w:themeColor="text1" w:themeTint="D9"/>
                <w:lang w:eastAsia="en-AU"/>
              </w:rPr>
              <w:t>15</w:t>
            </w:r>
          </w:p>
        </w:tc>
      </w:tr>
      <w:tr w:rsidR="00E465A1" w:rsidRPr="00E465A1" w:rsidTr="00AD6577">
        <w:trPr>
          <w:trHeight w:val="23"/>
        </w:trPr>
        <w:tc>
          <w:tcPr>
            <w:tcW w:w="6916"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color w:val="262626" w:themeColor="text1" w:themeTint="D9"/>
                <w:lang w:eastAsia="en-AU"/>
              </w:rPr>
            </w:pPr>
            <w:r w:rsidRPr="00E465A1">
              <w:rPr>
                <w:color w:val="262626" w:themeColor="text1" w:themeTint="D9"/>
                <w:lang w:eastAsia="en-AU"/>
              </w:rPr>
              <w:t xml:space="preserve">Cash at bank </w:t>
            </w:r>
          </w:p>
        </w:tc>
        <w:tc>
          <w:tcPr>
            <w:tcW w:w="881" w:type="dxa"/>
            <w:tcBorders>
              <w:top w:val="nil"/>
              <w:bottom w:val="nil"/>
            </w:tcBorders>
            <w:noWrap/>
            <w:tcMar>
              <w:left w:w="0" w:type="dxa"/>
              <w:right w:w="0" w:type="dxa"/>
            </w:tcMar>
            <w:vAlign w:val="bottom"/>
          </w:tcPr>
          <w:p w:rsidR="00F34433" w:rsidRPr="00E465A1" w:rsidRDefault="00F34433" w:rsidP="00F34433">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F34433" w:rsidRPr="00E465A1" w:rsidRDefault="004F0D78" w:rsidP="005C1F39">
            <w:pPr>
              <w:pStyle w:val="Normaltabletext1stpararight"/>
              <w:rPr>
                <w:color w:val="262626" w:themeColor="text1" w:themeTint="D9"/>
                <w:lang w:eastAsia="en-AU"/>
              </w:rPr>
            </w:pPr>
            <w:r w:rsidRPr="00E465A1">
              <w:rPr>
                <w:color w:val="262626" w:themeColor="text1" w:themeTint="D9"/>
              </w:rPr>
              <w:t>2,566</w:t>
            </w:r>
          </w:p>
        </w:tc>
        <w:tc>
          <w:tcPr>
            <w:tcW w:w="170" w:type="dxa"/>
            <w:tcBorders>
              <w:top w:val="nil"/>
              <w:bottom w:val="nil"/>
            </w:tcBorders>
            <w:noWrap/>
          </w:tcPr>
          <w:p w:rsidR="00F34433" w:rsidRPr="00E465A1" w:rsidRDefault="00F34433" w:rsidP="00F34433">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F34433" w:rsidRPr="00E465A1" w:rsidRDefault="00F34433" w:rsidP="00F34433">
            <w:pPr>
              <w:pStyle w:val="Normaltabletext1stpararight"/>
              <w:rPr>
                <w:color w:val="262626" w:themeColor="text1" w:themeTint="D9"/>
                <w:lang w:eastAsia="en-AU"/>
              </w:rPr>
            </w:pPr>
            <w:r w:rsidRPr="00E465A1">
              <w:rPr>
                <w:color w:val="262626" w:themeColor="text1" w:themeTint="D9"/>
                <w:lang w:eastAsia="en-AU"/>
              </w:rPr>
              <w:t>390</w:t>
            </w:r>
          </w:p>
        </w:tc>
      </w:tr>
      <w:tr w:rsidR="00E465A1" w:rsidRPr="00E465A1" w:rsidTr="00AD6577">
        <w:trPr>
          <w:trHeight w:val="23"/>
        </w:trPr>
        <w:tc>
          <w:tcPr>
            <w:tcW w:w="6916" w:type="dxa"/>
            <w:tcBorders>
              <w:top w:val="nil"/>
              <w:left w:val="nil"/>
              <w:bottom w:val="nil"/>
            </w:tcBorders>
            <w:noWrap/>
            <w:tcMar>
              <w:left w:w="0" w:type="dxa"/>
              <w:right w:w="0" w:type="dxa"/>
            </w:tcMar>
            <w:vAlign w:val="bottom"/>
          </w:tcPr>
          <w:p w:rsidR="00F34433" w:rsidRPr="00E465A1" w:rsidRDefault="00F34433" w:rsidP="005476E1">
            <w:pPr>
              <w:pStyle w:val="Normaltabletextleft"/>
              <w:tabs>
                <w:tab w:val="left" w:pos="0"/>
              </w:tabs>
              <w:rPr>
                <w:color w:val="262626" w:themeColor="text1" w:themeTint="D9"/>
                <w:lang w:eastAsia="en-AU"/>
              </w:rPr>
            </w:pPr>
            <w:r w:rsidRPr="00E465A1">
              <w:rPr>
                <w:color w:val="262626" w:themeColor="text1" w:themeTint="D9"/>
                <w:lang w:eastAsia="en-AU"/>
              </w:rPr>
              <w:t>Term deposits</w:t>
            </w:r>
          </w:p>
        </w:tc>
        <w:tc>
          <w:tcPr>
            <w:tcW w:w="881" w:type="dxa"/>
            <w:tcBorders>
              <w:top w:val="nil"/>
              <w:bottom w:val="nil"/>
            </w:tcBorders>
            <w:noWrap/>
            <w:tcMar>
              <w:left w:w="0" w:type="dxa"/>
              <w:right w:w="0" w:type="dxa"/>
            </w:tcMar>
            <w:vAlign w:val="bottom"/>
          </w:tcPr>
          <w:p w:rsidR="00F34433" w:rsidRPr="00E465A1" w:rsidRDefault="00F34433" w:rsidP="00F34433">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vAlign w:val="bottom"/>
          </w:tcPr>
          <w:p w:rsidR="00F34433" w:rsidRPr="00E465A1" w:rsidRDefault="004F0D78" w:rsidP="00F34433">
            <w:pPr>
              <w:pStyle w:val="Normaltabletext1stpararight"/>
              <w:rPr>
                <w:color w:val="262626" w:themeColor="text1" w:themeTint="D9"/>
                <w:lang w:eastAsia="en-AU"/>
              </w:rPr>
            </w:pPr>
            <w:r w:rsidRPr="00E465A1">
              <w:rPr>
                <w:color w:val="262626" w:themeColor="text1" w:themeTint="D9"/>
                <w:lang w:eastAsia="en-AU"/>
              </w:rPr>
              <w:t>14,144</w:t>
            </w:r>
          </w:p>
        </w:tc>
        <w:tc>
          <w:tcPr>
            <w:tcW w:w="170" w:type="dxa"/>
            <w:tcBorders>
              <w:top w:val="nil"/>
              <w:bottom w:val="nil"/>
            </w:tcBorders>
            <w:noWrap/>
          </w:tcPr>
          <w:p w:rsidR="00F34433" w:rsidRPr="00E465A1" w:rsidRDefault="00F34433" w:rsidP="00F34433">
            <w:pPr>
              <w:pStyle w:val="Normaltabletextleft"/>
              <w:rPr>
                <w:color w:val="262626" w:themeColor="text1" w:themeTint="D9"/>
              </w:rPr>
            </w:pPr>
          </w:p>
        </w:tc>
        <w:tc>
          <w:tcPr>
            <w:tcW w:w="1135" w:type="dxa"/>
            <w:tcBorders>
              <w:top w:val="nil"/>
              <w:bottom w:val="single" w:sz="4" w:space="0" w:color="auto"/>
              <w:right w:val="nil"/>
            </w:tcBorders>
            <w:shd w:val="clear" w:color="auto" w:fill="FFFFFF" w:themeFill="background1"/>
            <w:noWrap/>
            <w:tcMar>
              <w:left w:w="0" w:type="dxa"/>
              <w:right w:w="113" w:type="dxa"/>
            </w:tcMar>
            <w:vAlign w:val="bottom"/>
          </w:tcPr>
          <w:p w:rsidR="00F34433" w:rsidRPr="00E465A1" w:rsidRDefault="00F34433" w:rsidP="00F34433">
            <w:pPr>
              <w:pStyle w:val="Normaltabletext1stpararight"/>
              <w:rPr>
                <w:color w:val="262626" w:themeColor="text1" w:themeTint="D9"/>
                <w:lang w:eastAsia="en-AU"/>
              </w:rPr>
            </w:pPr>
            <w:r w:rsidRPr="00E465A1">
              <w:rPr>
                <w:color w:val="262626" w:themeColor="text1" w:themeTint="D9"/>
                <w:lang w:eastAsia="en-AU"/>
              </w:rPr>
              <w:t>14,548</w:t>
            </w:r>
          </w:p>
        </w:tc>
      </w:tr>
      <w:tr w:rsidR="00E465A1" w:rsidRPr="00E465A1" w:rsidTr="00AD6577">
        <w:trPr>
          <w:trHeight w:val="23"/>
        </w:trPr>
        <w:tc>
          <w:tcPr>
            <w:tcW w:w="6916"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b/>
                <w:color w:val="262626" w:themeColor="text1" w:themeTint="D9"/>
                <w:lang w:eastAsia="en-AU"/>
              </w:rPr>
            </w:pPr>
            <w:r w:rsidRPr="00E465A1">
              <w:rPr>
                <w:b/>
                <w:color w:val="262626" w:themeColor="text1" w:themeTint="D9"/>
                <w:lang w:eastAsia="en-AU"/>
              </w:rPr>
              <w:t>Total</w:t>
            </w:r>
          </w:p>
        </w:tc>
        <w:tc>
          <w:tcPr>
            <w:tcW w:w="881" w:type="dxa"/>
            <w:tcBorders>
              <w:top w:val="nil"/>
              <w:bottom w:val="nil"/>
            </w:tcBorders>
            <w:noWrap/>
            <w:tcMar>
              <w:left w:w="0" w:type="dxa"/>
              <w:right w:w="0" w:type="dxa"/>
            </w:tcMar>
            <w:vAlign w:val="bottom"/>
          </w:tcPr>
          <w:p w:rsidR="00F34433" w:rsidRPr="00E465A1" w:rsidRDefault="00F34433" w:rsidP="00F34433">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F34433" w:rsidRPr="00E465A1" w:rsidRDefault="004F0D78" w:rsidP="005C1F39">
            <w:pPr>
              <w:pStyle w:val="Normaltabletext1stpararight"/>
              <w:rPr>
                <w:b/>
                <w:color w:val="262626" w:themeColor="text1" w:themeTint="D9"/>
                <w:lang w:eastAsia="en-AU"/>
              </w:rPr>
            </w:pPr>
            <w:r w:rsidRPr="00E465A1">
              <w:rPr>
                <w:b/>
                <w:color w:val="262626" w:themeColor="text1" w:themeTint="D9"/>
                <w:lang w:eastAsia="en-AU"/>
              </w:rPr>
              <w:t>16,718</w:t>
            </w:r>
          </w:p>
        </w:tc>
        <w:tc>
          <w:tcPr>
            <w:tcW w:w="170" w:type="dxa"/>
            <w:tcBorders>
              <w:top w:val="nil"/>
              <w:bottom w:val="nil"/>
            </w:tcBorders>
            <w:noWrap/>
          </w:tcPr>
          <w:p w:rsidR="00F34433" w:rsidRPr="00E465A1" w:rsidRDefault="00F34433" w:rsidP="00F34433">
            <w:pPr>
              <w:pStyle w:val="Normaltabletextleft"/>
              <w:rPr>
                <w:b/>
                <w:color w:val="262626" w:themeColor="text1" w:themeTint="D9"/>
              </w:rPr>
            </w:pPr>
          </w:p>
        </w:tc>
        <w:tc>
          <w:tcPr>
            <w:tcW w:w="1135" w:type="dxa"/>
            <w:tcBorders>
              <w:top w:val="single" w:sz="4" w:space="0" w:color="auto"/>
              <w:bottom w:val="double" w:sz="4" w:space="0" w:color="auto"/>
              <w:right w:val="nil"/>
            </w:tcBorders>
            <w:shd w:val="clear" w:color="auto" w:fill="FFFFFF" w:themeFill="background1"/>
            <w:noWrap/>
            <w:tcMar>
              <w:left w:w="0" w:type="dxa"/>
              <w:right w:w="113" w:type="dxa"/>
            </w:tcMar>
            <w:vAlign w:val="bottom"/>
          </w:tcPr>
          <w:p w:rsidR="00F34433" w:rsidRPr="00E465A1" w:rsidRDefault="00F34433" w:rsidP="00F34433">
            <w:pPr>
              <w:pStyle w:val="Normaltabletext1stpararight"/>
              <w:rPr>
                <w:b/>
                <w:color w:val="262626" w:themeColor="text1" w:themeTint="D9"/>
                <w:lang w:eastAsia="en-AU"/>
              </w:rPr>
            </w:pPr>
            <w:r w:rsidRPr="00E465A1">
              <w:rPr>
                <w:b/>
                <w:color w:val="262626" w:themeColor="text1" w:themeTint="D9"/>
                <w:lang w:eastAsia="en-AU"/>
              </w:rPr>
              <w:t>14,953</w:t>
            </w:r>
          </w:p>
        </w:tc>
      </w:tr>
      <w:tr w:rsidR="00F34433" w:rsidRPr="00E465A1" w:rsidTr="0029279F">
        <w:trPr>
          <w:trHeight w:val="23"/>
        </w:trPr>
        <w:tc>
          <w:tcPr>
            <w:tcW w:w="10236" w:type="dxa"/>
            <w:gridSpan w:val="5"/>
            <w:tcBorders>
              <w:top w:val="nil"/>
              <w:left w:val="nil"/>
              <w:bottom w:val="nil"/>
              <w:right w:val="nil"/>
            </w:tcBorders>
            <w:noWrap/>
            <w:tcMar>
              <w:left w:w="0" w:type="dxa"/>
              <w:right w:w="0" w:type="dxa"/>
            </w:tcMar>
          </w:tcPr>
          <w:p w:rsidR="00F34433" w:rsidRPr="00E465A1" w:rsidRDefault="00F34433" w:rsidP="00F34433">
            <w:pPr>
              <w:pStyle w:val="Normaltabletextleft"/>
              <w:rPr>
                <w:color w:val="262626" w:themeColor="text1" w:themeTint="D9"/>
              </w:rPr>
            </w:pPr>
          </w:p>
        </w:tc>
      </w:tr>
    </w:tbl>
    <w:p w:rsidR="00632657" w:rsidRPr="00E465A1" w:rsidRDefault="00632657" w:rsidP="009F5455">
      <w:pPr>
        <w:pStyle w:val="Noteswithhangingindent"/>
        <w:rPr>
          <w:strike/>
          <w:color w:val="262626" w:themeColor="text1" w:themeTint="D9"/>
        </w:rPr>
      </w:pPr>
    </w:p>
    <w:p w:rsidR="001263AA" w:rsidRPr="00E465A1" w:rsidRDefault="001263AA" w:rsidP="001263AA">
      <w:pPr>
        <w:pStyle w:val="Normal115pttext"/>
        <w:rPr>
          <w:color w:val="262626" w:themeColor="text1" w:themeTint="D9"/>
        </w:rPr>
      </w:pPr>
      <w:r w:rsidRPr="00E465A1">
        <w:rPr>
          <w:color w:val="262626" w:themeColor="text1" w:themeTint="D9"/>
        </w:rPr>
        <w:t xml:space="preserve">Note </w:t>
      </w:r>
      <w:r w:rsidR="0014516F" w:rsidRPr="00E465A1">
        <w:rPr>
          <w:color w:val="262626" w:themeColor="text1" w:themeTint="D9"/>
        </w:rPr>
        <w:t>9</w:t>
      </w:r>
      <w:r w:rsidRPr="00E465A1">
        <w:rPr>
          <w:color w:val="262626" w:themeColor="text1" w:themeTint="D9"/>
        </w:rPr>
        <w:t>:  Other Assets</w:t>
      </w:r>
    </w:p>
    <w:p w:rsidR="001263AA" w:rsidRPr="00E465A1" w:rsidRDefault="001263AA" w:rsidP="00E133D4">
      <w:pPr>
        <w:pStyle w:val="Normal1stpara"/>
        <w:rPr>
          <w:color w:val="262626" w:themeColor="text1" w:themeTint="D9"/>
        </w:rPr>
      </w:pPr>
    </w:p>
    <w:tbl>
      <w:tblPr>
        <w:tblStyle w:val="TableGrid"/>
        <w:tblW w:w="0" w:type="auto"/>
        <w:tblCellMar>
          <w:top w:w="113" w:type="dxa"/>
          <w:bottom w:w="113" w:type="dxa"/>
        </w:tblCellMar>
        <w:tblLook w:val="04A0" w:firstRow="1" w:lastRow="0" w:firstColumn="1" w:lastColumn="0" w:noHBand="0" w:noVBand="1"/>
      </w:tblPr>
      <w:tblGrid>
        <w:gridCol w:w="10195"/>
      </w:tblGrid>
      <w:tr w:rsidR="001263AA" w:rsidRPr="00E465A1" w:rsidTr="00E133D4">
        <w:tc>
          <w:tcPr>
            <w:tcW w:w="10201" w:type="dxa"/>
          </w:tcPr>
          <w:p w:rsidR="001263AA" w:rsidRPr="00E465A1" w:rsidRDefault="001263AA" w:rsidP="00F618A2">
            <w:pPr>
              <w:pStyle w:val="Policyheading"/>
              <w:rPr>
                <w:color w:val="262626" w:themeColor="text1" w:themeTint="D9"/>
              </w:rPr>
            </w:pPr>
            <w:r w:rsidRPr="00E465A1">
              <w:rPr>
                <w:color w:val="262626" w:themeColor="text1" w:themeTint="D9"/>
              </w:rPr>
              <w:t>Accounting Policy:</w:t>
            </w:r>
          </w:p>
          <w:p w:rsidR="001263AA" w:rsidRPr="00E465A1" w:rsidRDefault="001263AA" w:rsidP="005476E1">
            <w:pPr>
              <w:pStyle w:val="Policy1stpara"/>
              <w:rPr>
                <w:color w:val="262626" w:themeColor="text1" w:themeTint="D9"/>
              </w:rPr>
            </w:pPr>
            <w:r w:rsidRPr="00E465A1">
              <w:rPr>
                <w:b/>
                <w:i/>
                <w:color w:val="262626" w:themeColor="text1" w:themeTint="D9"/>
                <w:lang w:eastAsia="en-AU"/>
              </w:rPr>
              <w:t>Prepayments</w:t>
            </w:r>
            <w:r w:rsidRPr="00E465A1">
              <w:rPr>
                <w:color w:val="262626" w:themeColor="text1" w:themeTint="D9"/>
                <w:lang w:eastAsia="en-AU"/>
              </w:rPr>
              <w:t xml:space="preserve"> – Prepayments relate to invoices paid in advance for goods and services yet to be received and where the value of the invoice is greater than or equal to $</w:t>
            </w:r>
            <w:r w:rsidR="00332475" w:rsidRPr="00E465A1">
              <w:rPr>
                <w:color w:val="262626" w:themeColor="text1" w:themeTint="D9"/>
                <w:lang w:eastAsia="en-AU"/>
              </w:rPr>
              <w:t>5</w:t>
            </w:r>
            <w:r w:rsidRPr="00E465A1">
              <w:rPr>
                <w:color w:val="262626" w:themeColor="text1" w:themeTint="D9"/>
                <w:lang w:eastAsia="en-AU"/>
              </w:rPr>
              <w:t>000.</w:t>
            </w:r>
            <w:r w:rsidR="000B666A" w:rsidRPr="00E465A1">
              <w:rPr>
                <w:color w:val="262626" w:themeColor="text1" w:themeTint="D9"/>
                <w:lang w:eastAsia="en-AU"/>
              </w:rPr>
              <w:t xml:space="preserve"> </w:t>
            </w:r>
          </w:p>
        </w:tc>
      </w:tr>
    </w:tbl>
    <w:p w:rsidR="001263AA" w:rsidRPr="00E465A1" w:rsidRDefault="001263AA" w:rsidP="001263AA">
      <w:pPr>
        <w:pStyle w:val="Normal1stpara"/>
        <w:rPr>
          <w:color w:val="262626" w:themeColor="text1" w:themeTint="D9"/>
        </w:rPr>
      </w:pPr>
    </w:p>
    <w:p w:rsidR="00BA4011" w:rsidRPr="00E465A1" w:rsidRDefault="00BA4011" w:rsidP="001263AA">
      <w:pPr>
        <w:pStyle w:val="Normal1stpara"/>
        <w:rPr>
          <w:color w:val="262626" w:themeColor="text1" w:themeTint="D9"/>
        </w:rPr>
      </w:pPr>
    </w:p>
    <w:tbl>
      <w:tblPr>
        <w:tblW w:w="10206" w:type="dxa"/>
        <w:tblBorders>
          <w:top w:val="double" w:sz="4" w:space="0" w:color="auto"/>
          <w:left w:val="double" w:sz="4" w:space="0" w:color="auto"/>
          <w:bottom w:val="double" w:sz="4" w:space="0" w:color="auto"/>
          <w:right w:val="double" w:sz="4" w:space="0" w:color="auto"/>
        </w:tblBorders>
        <w:tblLayout w:type="fixed"/>
        <w:tblCellMar>
          <w:bottom w:w="11" w:type="dxa"/>
          <w:right w:w="0" w:type="dxa"/>
        </w:tblCellMar>
        <w:tblLook w:val="0000" w:firstRow="0" w:lastRow="0" w:firstColumn="0" w:lastColumn="0" w:noHBand="0" w:noVBand="0"/>
      </w:tblPr>
      <w:tblGrid>
        <w:gridCol w:w="6803"/>
        <w:gridCol w:w="851"/>
        <w:gridCol w:w="1134"/>
        <w:gridCol w:w="283"/>
        <w:gridCol w:w="1135"/>
      </w:tblGrid>
      <w:tr w:rsidR="00E465A1" w:rsidRPr="00E465A1" w:rsidTr="00AD6577">
        <w:trPr>
          <w:trHeight w:val="20"/>
        </w:trPr>
        <w:tc>
          <w:tcPr>
            <w:tcW w:w="6803" w:type="dxa"/>
            <w:tcBorders>
              <w:top w:val="nil"/>
              <w:left w:val="nil"/>
              <w:bottom w:val="nil"/>
            </w:tcBorders>
            <w:noWrap/>
            <w:tcMar>
              <w:left w:w="0" w:type="dxa"/>
              <w:right w:w="0" w:type="dxa"/>
            </w:tcMar>
            <w:vAlign w:val="bottom"/>
          </w:tcPr>
          <w:p w:rsidR="001263AA" w:rsidRPr="00E465A1" w:rsidRDefault="001263AA" w:rsidP="00F618A2">
            <w:pPr>
              <w:pStyle w:val="Normaltabletextleft"/>
              <w:tabs>
                <w:tab w:val="left" w:pos="0"/>
              </w:tabs>
              <w:rPr>
                <w:b/>
                <w:color w:val="262626" w:themeColor="text1" w:themeTint="D9"/>
                <w:lang w:eastAsia="en-AU"/>
              </w:rPr>
            </w:pPr>
          </w:p>
        </w:tc>
        <w:tc>
          <w:tcPr>
            <w:tcW w:w="851" w:type="dxa"/>
            <w:tcBorders>
              <w:top w:val="nil"/>
              <w:bottom w:val="nil"/>
            </w:tcBorders>
            <w:noWrap/>
            <w:tcMar>
              <w:left w:w="0" w:type="dxa"/>
              <w:right w:w="0" w:type="dxa"/>
            </w:tcMar>
            <w:vAlign w:val="bottom"/>
          </w:tcPr>
          <w:p w:rsidR="001263AA" w:rsidRPr="00E465A1" w:rsidRDefault="001263AA" w:rsidP="00F618A2">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1263AA" w:rsidRPr="00E465A1" w:rsidRDefault="001263AA" w:rsidP="00C0567F">
            <w:pPr>
              <w:pStyle w:val="Normaltabletext1stpararight"/>
              <w:rPr>
                <w:b/>
                <w:color w:val="262626" w:themeColor="text1" w:themeTint="D9"/>
                <w:lang w:eastAsia="en-AU"/>
              </w:rPr>
            </w:pPr>
            <w:r w:rsidRPr="00E465A1">
              <w:rPr>
                <w:b/>
                <w:color w:val="262626" w:themeColor="text1" w:themeTint="D9"/>
                <w:lang w:eastAsia="en-AU"/>
              </w:rPr>
              <w:t>201</w:t>
            </w:r>
            <w:r w:rsidR="00F34433" w:rsidRPr="00E465A1">
              <w:rPr>
                <w:b/>
                <w:color w:val="262626" w:themeColor="text1" w:themeTint="D9"/>
                <w:lang w:eastAsia="en-AU"/>
              </w:rPr>
              <w:t>8</w:t>
            </w:r>
          </w:p>
        </w:tc>
        <w:tc>
          <w:tcPr>
            <w:tcW w:w="283" w:type="dxa"/>
            <w:tcBorders>
              <w:top w:val="nil"/>
              <w:bottom w:val="nil"/>
            </w:tcBorders>
            <w:noWrap/>
          </w:tcPr>
          <w:p w:rsidR="001263AA" w:rsidRPr="00E465A1" w:rsidRDefault="001263AA" w:rsidP="00F618A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1263AA" w:rsidRPr="00E465A1" w:rsidRDefault="001263AA" w:rsidP="00C0567F">
            <w:pPr>
              <w:pStyle w:val="Normaltabletext1stpararight"/>
              <w:rPr>
                <w:b/>
                <w:color w:val="262626" w:themeColor="text1" w:themeTint="D9"/>
                <w:lang w:eastAsia="en-AU"/>
              </w:rPr>
            </w:pPr>
            <w:r w:rsidRPr="00E465A1">
              <w:rPr>
                <w:b/>
                <w:color w:val="262626" w:themeColor="text1" w:themeTint="D9"/>
                <w:lang w:eastAsia="en-AU"/>
              </w:rPr>
              <w:t>201</w:t>
            </w:r>
            <w:r w:rsidR="00F34433" w:rsidRPr="00E465A1">
              <w:rPr>
                <w:b/>
                <w:color w:val="262626" w:themeColor="text1" w:themeTint="D9"/>
                <w:lang w:eastAsia="en-AU"/>
              </w:rPr>
              <w:t>7</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1263AA" w:rsidRPr="00E465A1" w:rsidRDefault="001263AA" w:rsidP="00F618A2">
            <w:pPr>
              <w:pStyle w:val="Normaltabletextleft"/>
              <w:tabs>
                <w:tab w:val="left" w:pos="0"/>
              </w:tabs>
              <w:rPr>
                <w:b/>
                <w:color w:val="262626" w:themeColor="text1" w:themeTint="D9"/>
                <w:lang w:eastAsia="en-AU"/>
              </w:rPr>
            </w:pPr>
          </w:p>
        </w:tc>
        <w:tc>
          <w:tcPr>
            <w:tcW w:w="851" w:type="dxa"/>
            <w:tcBorders>
              <w:top w:val="nil"/>
              <w:bottom w:val="nil"/>
            </w:tcBorders>
            <w:noWrap/>
            <w:tcMar>
              <w:left w:w="0" w:type="dxa"/>
              <w:right w:w="0" w:type="dxa"/>
            </w:tcMar>
            <w:vAlign w:val="bottom"/>
          </w:tcPr>
          <w:p w:rsidR="001263AA" w:rsidRPr="00E465A1" w:rsidRDefault="001263AA" w:rsidP="00F618A2">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1263AA" w:rsidRPr="00E465A1" w:rsidRDefault="001263AA" w:rsidP="00F618A2">
            <w:pPr>
              <w:pStyle w:val="Normaltabletext1stpararight"/>
              <w:rPr>
                <w:b/>
                <w:color w:val="262626" w:themeColor="text1" w:themeTint="D9"/>
                <w:lang w:eastAsia="en-AU"/>
              </w:rPr>
            </w:pPr>
            <w:r w:rsidRPr="00E465A1">
              <w:rPr>
                <w:b/>
                <w:color w:val="262626" w:themeColor="text1" w:themeTint="D9"/>
                <w:lang w:eastAsia="en-AU"/>
              </w:rPr>
              <w:t>$’000</w:t>
            </w:r>
          </w:p>
        </w:tc>
        <w:tc>
          <w:tcPr>
            <w:tcW w:w="283" w:type="dxa"/>
            <w:tcBorders>
              <w:top w:val="nil"/>
              <w:bottom w:val="nil"/>
            </w:tcBorders>
            <w:noWrap/>
          </w:tcPr>
          <w:p w:rsidR="001263AA" w:rsidRPr="00E465A1" w:rsidRDefault="001263AA" w:rsidP="00F618A2">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1263AA" w:rsidRPr="00E465A1" w:rsidRDefault="001263AA" w:rsidP="00F618A2">
            <w:pPr>
              <w:pStyle w:val="Normaltabletext1stpararight"/>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b/>
                <w:color w:val="262626" w:themeColor="text1" w:themeTint="D9"/>
                <w:lang w:eastAsia="en-AU"/>
              </w:rPr>
            </w:pPr>
            <w:r w:rsidRPr="00E465A1">
              <w:rPr>
                <w:b/>
                <w:color w:val="262626" w:themeColor="text1" w:themeTint="D9"/>
                <w:lang w:eastAsia="en-AU"/>
              </w:rPr>
              <w:t>Current</w:t>
            </w:r>
          </w:p>
          <w:p w:rsidR="00F34433" w:rsidRPr="00E465A1" w:rsidRDefault="00F34433" w:rsidP="00F34433">
            <w:pPr>
              <w:pStyle w:val="Normaltabletextleft"/>
              <w:tabs>
                <w:tab w:val="left" w:pos="0"/>
              </w:tabs>
              <w:rPr>
                <w:color w:val="262626" w:themeColor="text1" w:themeTint="D9"/>
                <w:lang w:eastAsia="en-AU"/>
              </w:rPr>
            </w:pPr>
            <w:r w:rsidRPr="00E465A1">
              <w:rPr>
                <w:color w:val="262626" w:themeColor="text1" w:themeTint="D9"/>
                <w:lang w:eastAsia="en-AU"/>
              </w:rPr>
              <w:t>Prepayments</w:t>
            </w:r>
          </w:p>
        </w:tc>
        <w:tc>
          <w:tcPr>
            <w:tcW w:w="851" w:type="dxa"/>
            <w:tcBorders>
              <w:top w:val="nil"/>
              <w:bottom w:val="nil"/>
            </w:tcBorders>
            <w:noWrap/>
            <w:tcMar>
              <w:left w:w="0" w:type="dxa"/>
              <w:right w:w="0" w:type="dxa"/>
            </w:tcMar>
            <w:vAlign w:val="bottom"/>
          </w:tcPr>
          <w:p w:rsidR="00F34433" w:rsidRPr="00E465A1" w:rsidRDefault="00F34433" w:rsidP="00F34433">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F34433" w:rsidRPr="00E465A1" w:rsidRDefault="00400D33" w:rsidP="00CF400A">
            <w:pPr>
              <w:pStyle w:val="Normaltabletext1stpararight"/>
              <w:rPr>
                <w:color w:val="262626" w:themeColor="text1" w:themeTint="D9"/>
                <w:lang w:eastAsia="en-AU"/>
              </w:rPr>
            </w:pPr>
            <w:r w:rsidRPr="00E465A1">
              <w:rPr>
                <w:color w:val="262626" w:themeColor="text1" w:themeTint="D9"/>
                <w:lang w:eastAsia="en-AU"/>
              </w:rPr>
              <w:t>5</w:t>
            </w:r>
            <w:r w:rsidR="00CF400A" w:rsidRPr="00E465A1">
              <w:rPr>
                <w:color w:val="262626" w:themeColor="text1" w:themeTint="D9"/>
                <w:lang w:eastAsia="en-AU"/>
              </w:rPr>
              <w:t>62</w:t>
            </w:r>
          </w:p>
        </w:tc>
        <w:tc>
          <w:tcPr>
            <w:tcW w:w="283" w:type="dxa"/>
            <w:tcBorders>
              <w:top w:val="nil"/>
              <w:bottom w:val="nil"/>
            </w:tcBorders>
            <w:noWrap/>
          </w:tcPr>
          <w:p w:rsidR="00F34433" w:rsidRPr="00E465A1" w:rsidRDefault="00F34433" w:rsidP="00F34433">
            <w:pPr>
              <w:pStyle w:val="Normaltabletextleft"/>
              <w:rPr>
                <w:b/>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F34433" w:rsidRPr="00E465A1" w:rsidRDefault="00F34433" w:rsidP="00F34433">
            <w:pPr>
              <w:pStyle w:val="Normaltabletext1stpararight"/>
              <w:rPr>
                <w:color w:val="262626" w:themeColor="text1" w:themeTint="D9"/>
                <w:lang w:eastAsia="en-AU"/>
              </w:rPr>
            </w:pPr>
            <w:r w:rsidRPr="00E465A1">
              <w:rPr>
                <w:color w:val="262626" w:themeColor="text1" w:themeTint="D9"/>
                <w:lang w:eastAsia="en-AU"/>
              </w:rPr>
              <w:t>551</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color w:val="262626" w:themeColor="text1" w:themeTint="D9"/>
                <w:lang w:eastAsia="en-AU"/>
              </w:rPr>
            </w:pPr>
            <w:r w:rsidRPr="00E465A1">
              <w:rPr>
                <w:color w:val="262626" w:themeColor="text1" w:themeTint="D9"/>
                <w:lang w:eastAsia="en-AU"/>
              </w:rPr>
              <w:t xml:space="preserve">Rental security deposits </w:t>
            </w:r>
          </w:p>
        </w:tc>
        <w:tc>
          <w:tcPr>
            <w:tcW w:w="851" w:type="dxa"/>
            <w:tcBorders>
              <w:top w:val="nil"/>
              <w:bottom w:val="nil"/>
            </w:tcBorders>
            <w:noWrap/>
            <w:tcMar>
              <w:left w:w="0" w:type="dxa"/>
              <w:right w:w="0" w:type="dxa"/>
            </w:tcMar>
            <w:vAlign w:val="bottom"/>
          </w:tcPr>
          <w:p w:rsidR="00F34433" w:rsidRPr="00E465A1" w:rsidRDefault="00F34433" w:rsidP="00F34433">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F34433" w:rsidRPr="00E465A1" w:rsidRDefault="00DA02E3" w:rsidP="00F34433">
            <w:pPr>
              <w:pStyle w:val="Normaltabletext1stpararight"/>
              <w:rPr>
                <w:color w:val="262626" w:themeColor="text1" w:themeTint="D9"/>
                <w:lang w:eastAsia="en-AU"/>
              </w:rPr>
            </w:pPr>
            <w:r w:rsidRPr="00E465A1">
              <w:rPr>
                <w:color w:val="262626" w:themeColor="text1" w:themeTint="D9"/>
                <w:lang w:eastAsia="en-AU"/>
              </w:rPr>
              <w:t>3</w:t>
            </w:r>
          </w:p>
        </w:tc>
        <w:tc>
          <w:tcPr>
            <w:tcW w:w="283" w:type="dxa"/>
            <w:tcBorders>
              <w:top w:val="nil"/>
              <w:bottom w:val="nil"/>
            </w:tcBorders>
            <w:noWrap/>
          </w:tcPr>
          <w:p w:rsidR="00F34433" w:rsidRPr="00E465A1" w:rsidRDefault="00F34433" w:rsidP="00F34433">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F34433" w:rsidRPr="00E465A1" w:rsidRDefault="00F34433" w:rsidP="00F34433">
            <w:pPr>
              <w:pStyle w:val="Normaltabletext1stpararight"/>
              <w:rPr>
                <w:color w:val="262626" w:themeColor="text1" w:themeTint="D9"/>
                <w:lang w:eastAsia="en-AU"/>
              </w:rPr>
            </w:pPr>
            <w:r w:rsidRPr="00E465A1">
              <w:rPr>
                <w:color w:val="262626" w:themeColor="text1" w:themeTint="D9"/>
                <w:lang w:eastAsia="en-AU"/>
              </w:rPr>
              <w:t>1</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b/>
                <w:color w:val="262626" w:themeColor="text1" w:themeTint="D9"/>
                <w:lang w:eastAsia="en-AU"/>
              </w:rPr>
            </w:pPr>
            <w:r w:rsidRPr="00E465A1">
              <w:rPr>
                <w:b/>
                <w:color w:val="262626" w:themeColor="text1" w:themeTint="D9"/>
                <w:lang w:eastAsia="en-AU"/>
              </w:rPr>
              <w:t>Total</w:t>
            </w:r>
          </w:p>
        </w:tc>
        <w:tc>
          <w:tcPr>
            <w:tcW w:w="851" w:type="dxa"/>
            <w:tcBorders>
              <w:top w:val="nil"/>
              <w:bottom w:val="nil"/>
            </w:tcBorders>
            <w:noWrap/>
            <w:tcMar>
              <w:left w:w="0" w:type="dxa"/>
              <w:right w:w="0" w:type="dxa"/>
            </w:tcMar>
            <w:vAlign w:val="bottom"/>
          </w:tcPr>
          <w:p w:rsidR="00F34433" w:rsidRPr="00E465A1" w:rsidRDefault="00F34433" w:rsidP="00F34433">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F34433" w:rsidRPr="00E465A1" w:rsidRDefault="00CF400A" w:rsidP="00F34433">
            <w:pPr>
              <w:pStyle w:val="Normaltabletext1stpararight"/>
              <w:rPr>
                <w:b/>
                <w:color w:val="262626" w:themeColor="text1" w:themeTint="D9"/>
                <w:lang w:eastAsia="en-AU"/>
              </w:rPr>
            </w:pPr>
            <w:r w:rsidRPr="00E465A1">
              <w:rPr>
                <w:b/>
                <w:color w:val="262626" w:themeColor="text1" w:themeTint="D9"/>
                <w:lang w:eastAsia="en-AU"/>
              </w:rPr>
              <w:t>565</w:t>
            </w:r>
          </w:p>
        </w:tc>
        <w:tc>
          <w:tcPr>
            <w:tcW w:w="283" w:type="dxa"/>
            <w:tcBorders>
              <w:top w:val="nil"/>
              <w:bottom w:val="nil"/>
            </w:tcBorders>
            <w:noWrap/>
          </w:tcPr>
          <w:p w:rsidR="00F34433" w:rsidRPr="00E465A1" w:rsidRDefault="00F34433" w:rsidP="00F34433">
            <w:pPr>
              <w:pStyle w:val="Normaltabletextleft"/>
              <w:rPr>
                <w:b/>
                <w:color w:val="262626" w:themeColor="text1" w:themeTint="D9"/>
              </w:rPr>
            </w:pPr>
          </w:p>
        </w:tc>
        <w:tc>
          <w:tcPr>
            <w:tcW w:w="1135" w:type="dxa"/>
            <w:tcBorders>
              <w:top w:val="single" w:sz="4" w:space="0" w:color="auto"/>
              <w:bottom w:val="double" w:sz="4" w:space="0" w:color="auto"/>
              <w:right w:val="nil"/>
            </w:tcBorders>
            <w:shd w:val="clear" w:color="auto" w:fill="FFFFFF" w:themeFill="background1"/>
            <w:noWrap/>
            <w:tcMar>
              <w:left w:w="0" w:type="dxa"/>
              <w:right w:w="113" w:type="dxa"/>
            </w:tcMar>
            <w:vAlign w:val="bottom"/>
          </w:tcPr>
          <w:p w:rsidR="00F34433" w:rsidRPr="00E465A1" w:rsidRDefault="00F34433" w:rsidP="00F34433">
            <w:pPr>
              <w:pStyle w:val="Normaltabletext1stpararight"/>
              <w:rPr>
                <w:b/>
                <w:color w:val="262626" w:themeColor="text1" w:themeTint="D9"/>
                <w:lang w:eastAsia="en-AU"/>
              </w:rPr>
            </w:pPr>
            <w:r w:rsidRPr="00E465A1">
              <w:rPr>
                <w:b/>
                <w:color w:val="262626" w:themeColor="text1" w:themeTint="D9"/>
                <w:lang w:eastAsia="en-AU"/>
              </w:rPr>
              <w:t>552</w:t>
            </w:r>
          </w:p>
        </w:tc>
      </w:tr>
      <w:tr w:rsidR="00E465A1" w:rsidRPr="00E465A1" w:rsidTr="00AD6577">
        <w:tblPrEx>
          <w:tblCellMar>
            <w:left w:w="0" w:type="dxa"/>
          </w:tblCellMar>
        </w:tblPrEx>
        <w:trPr>
          <w:trHeight w:val="20"/>
        </w:trPr>
        <w:tc>
          <w:tcPr>
            <w:tcW w:w="6803"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color w:val="262626" w:themeColor="text1" w:themeTint="D9"/>
                <w:lang w:eastAsia="en-AU"/>
              </w:rPr>
            </w:pPr>
          </w:p>
        </w:tc>
        <w:tc>
          <w:tcPr>
            <w:tcW w:w="851" w:type="dxa"/>
            <w:tcBorders>
              <w:top w:val="nil"/>
              <w:bottom w:val="nil"/>
            </w:tcBorders>
            <w:noWrap/>
            <w:vAlign w:val="bottom"/>
          </w:tcPr>
          <w:p w:rsidR="00F34433" w:rsidRPr="00E465A1" w:rsidRDefault="00F34433" w:rsidP="00F34433">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tcMar>
            <w:vAlign w:val="bottom"/>
          </w:tcPr>
          <w:p w:rsidR="00F34433" w:rsidRPr="00E465A1" w:rsidRDefault="00F34433" w:rsidP="00F34433">
            <w:pPr>
              <w:pStyle w:val="Normaltabletext1stpararight"/>
              <w:rPr>
                <w:color w:val="262626" w:themeColor="text1" w:themeTint="D9"/>
                <w:lang w:eastAsia="en-AU"/>
              </w:rPr>
            </w:pPr>
          </w:p>
        </w:tc>
        <w:tc>
          <w:tcPr>
            <w:tcW w:w="283" w:type="dxa"/>
            <w:tcBorders>
              <w:top w:val="nil"/>
              <w:bottom w:val="nil"/>
            </w:tcBorders>
            <w:noWrap/>
          </w:tcPr>
          <w:p w:rsidR="00F34433" w:rsidRPr="00E465A1" w:rsidRDefault="00F34433" w:rsidP="00F34433">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F34433" w:rsidRPr="00E465A1" w:rsidRDefault="00F34433" w:rsidP="00F34433">
            <w:pPr>
              <w:pStyle w:val="Normaltabletext1stpararight"/>
              <w:rPr>
                <w:color w:val="262626" w:themeColor="text1" w:themeTint="D9"/>
                <w:lang w:eastAsia="en-AU"/>
              </w:rPr>
            </w:pPr>
          </w:p>
        </w:tc>
      </w:tr>
      <w:tr w:rsidR="00E465A1" w:rsidRPr="00E465A1" w:rsidTr="00AD6577">
        <w:tblPrEx>
          <w:tblCellMar>
            <w:left w:w="0" w:type="dxa"/>
          </w:tblCellMar>
        </w:tblPrEx>
        <w:trPr>
          <w:trHeight w:val="20"/>
        </w:trPr>
        <w:tc>
          <w:tcPr>
            <w:tcW w:w="6803"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b/>
                <w:color w:val="262626" w:themeColor="text1" w:themeTint="D9"/>
                <w:lang w:eastAsia="en-AU"/>
              </w:rPr>
            </w:pPr>
            <w:r w:rsidRPr="00E465A1">
              <w:rPr>
                <w:b/>
                <w:color w:val="262626" w:themeColor="text1" w:themeTint="D9"/>
                <w:lang w:eastAsia="en-AU"/>
              </w:rPr>
              <w:t>Non-Current</w:t>
            </w:r>
          </w:p>
        </w:tc>
        <w:tc>
          <w:tcPr>
            <w:tcW w:w="851" w:type="dxa"/>
            <w:tcBorders>
              <w:top w:val="nil"/>
              <w:bottom w:val="nil"/>
            </w:tcBorders>
            <w:noWrap/>
            <w:vAlign w:val="bottom"/>
          </w:tcPr>
          <w:p w:rsidR="00F34433" w:rsidRPr="00E465A1" w:rsidRDefault="00F34433" w:rsidP="00F34433">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tcMar>
            <w:vAlign w:val="bottom"/>
          </w:tcPr>
          <w:p w:rsidR="00F34433" w:rsidRPr="00E465A1" w:rsidRDefault="00F34433" w:rsidP="00F34433">
            <w:pPr>
              <w:pStyle w:val="Normaltabletext1stpararight"/>
              <w:rPr>
                <w:b/>
                <w:color w:val="262626" w:themeColor="text1" w:themeTint="D9"/>
                <w:lang w:eastAsia="en-AU"/>
              </w:rPr>
            </w:pPr>
          </w:p>
        </w:tc>
        <w:tc>
          <w:tcPr>
            <w:tcW w:w="283" w:type="dxa"/>
            <w:tcBorders>
              <w:top w:val="nil"/>
              <w:bottom w:val="nil"/>
            </w:tcBorders>
            <w:noWrap/>
          </w:tcPr>
          <w:p w:rsidR="00F34433" w:rsidRPr="00E465A1" w:rsidRDefault="00F34433" w:rsidP="00F34433">
            <w:pPr>
              <w:pStyle w:val="Normaltabletextleft"/>
              <w:rPr>
                <w:b/>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F34433" w:rsidRPr="00E465A1" w:rsidRDefault="00F34433" w:rsidP="00F34433">
            <w:pPr>
              <w:pStyle w:val="Normaltabletext1stpararight"/>
              <w:rPr>
                <w:b/>
                <w:color w:val="262626" w:themeColor="text1" w:themeTint="D9"/>
                <w:lang w:eastAsia="en-AU"/>
              </w:rPr>
            </w:pPr>
          </w:p>
        </w:tc>
      </w:tr>
      <w:tr w:rsidR="00E465A1" w:rsidRPr="00E465A1" w:rsidTr="00AD6577">
        <w:tblPrEx>
          <w:tblCellMar>
            <w:left w:w="0" w:type="dxa"/>
          </w:tblCellMar>
        </w:tblPrEx>
        <w:trPr>
          <w:trHeight w:val="20"/>
        </w:trPr>
        <w:tc>
          <w:tcPr>
            <w:tcW w:w="6803"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color w:val="262626" w:themeColor="text1" w:themeTint="D9"/>
                <w:lang w:eastAsia="en-AU"/>
              </w:rPr>
            </w:pPr>
            <w:r w:rsidRPr="00E465A1">
              <w:rPr>
                <w:color w:val="262626" w:themeColor="text1" w:themeTint="D9"/>
                <w:lang w:eastAsia="en-AU"/>
              </w:rPr>
              <w:t xml:space="preserve">Prepayments </w:t>
            </w:r>
          </w:p>
        </w:tc>
        <w:tc>
          <w:tcPr>
            <w:tcW w:w="851" w:type="dxa"/>
            <w:tcBorders>
              <w:top w:val="nil"/>
              <w:bottom w:val="nil"/>
            </w:tcBorders>
            <w:noWrap/>
            <w:vAlign w:val="bottom"/>
          </w:tcPr>
          <w:p w:rsidR="00F34433" w:rsidRPr="00E465A1" w:rsidRDefault="00F34433" w:rsidP="00F34433">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tcMar>
            <w:vAlign w:val="bottom"/>
          </w:tcPr>
          <w:p w:rsidR="00F34433" w:rsidRPr="00E465A1" w:rsidRDefault="00CF400A" w:rsidP="00F34433">
            <w:pPr>
              <w:pStyle w:val="Normaltabletext1stpararight"/>
              <w:ind w:right="141"/>
              <w:rPr>
                <w:color w:val="262626" w:themeColor="text1" w:themeTint="D9"/>
                <w:lang w:eastAsia="en-AU"/>
              </w:rPr>
            </w:pPr>
            <w:r w:rsidRPr="00E465A1">
              <w:rPr>
                <w:color w:val="262626" w:themeColor="text1" w:themeTint="D9"/>
                <w:lang w:eastAsia="en-AU"/>
              </w:rPr>
              <w:t>50</w:t>
            </w:r>
          </w:p>
        </w:tc>
        <w:tc>
          <w:tcPr>
            <w:tcW w:w="283" w:type="dxa"/>
            <w:tcBorders>
              <w:top w:val="nil"/>
              <w:bottom w:val="nil"/>
            </w:tcBorders>
            <w:noWrap/>
          </w:tcPr>
          <w:p w:rsidR="00F34433" w:rsidRPr="00E465A1" w:rsidRDefault="00F34433" w:rsidP="00F34433">
            <w:pPr>
              <w:pStyle w:val="Normaltabletextleft"/>
              <w:rPr>
                <w:color w:val="262626" w:themeColor="text1" w:themeTint="D9"/>
              </w:rPr>
            </w:pPr>
          </w:p>
        </w:tc>
        <w:tc>
          <w:tcPr>
            <w:tcW w:w="1135" w:type="dxa"/>
            <w:tcBorders>
              <w:top w:val="nil"/>
              <w:bottom w:val="nil"/>
              <w:right w:val="nil"/>
            </w:tcBorders>
            <w:shd w:val="clear" w:color="auto" w:fill="FFFFFF" w:themeFill="background1"/>
            <w:noWrap/>
            <w:tcMar>
              <w:left w:w="0" w:type="dxa"/>
              <w:right w:w="113" w:type="dxa"/>
            </w:tcMar>
            <w:vAlign w:val="bottom"/>
          </w:tcPr>
          <w:p w:rsidR="00F34433" w:rsidRPr="00E465A1" w:rsidRDefault="00F34433" w:rsidP="002F7489">
            <w:pPr>
              <w:pStyle w:val="Normaltabletext1stpararight"/>
              <w:ind w:right="28"/>
              <w:rPr>
                <w:color w:val="262626" w:themeColor="text1" w:themeTint="D9"/>
                <w:lang w:eastAsia="en-AU"/>
              </w:rPr>
            </w:pPr>
            <w:r w:rsidRPr="00E465A1">
              <w:rPr>
                <w:color w:val="262626" w:themeColor="text1" w:themeTint="D9"/>
                <w:lang w:eastAsia="en-AU"/>
              </w:rPr>
              <w:t>90</w:t>
            </w:r>
          </w:p>
        </w:tc>
      </w:tr>
      <w:tr w:rsidR="00E465A1" w:rsidRPr="00E465A1" w:rsidTr="00AD6577">
        <w:tblPrEx>
          <w:tblCellMar>
            <w:left w:w="0" w:type="dxa"/>
          </w:tblCellMar>
        </w:tblPrEx>
        <w:trPr>
          <w:trHeight w:val="20"/>
        </w:trPr>
        <w:tc>
          <w:tcPr>
            <w:tcW w:w="6803"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color w:val="262626" w:themeColor="text1" w:themeTint="D9"/>
                <w:lang w:eastAsia="en-AU"/>
              </w:rPr>
            </w:pPr>
            <w:r w:rsidRPr="00E465A1">
              <w:rPr>
                <w:color w:val="262626" w:themeColor="text1" w:themeTint="D9"/>
                <w:lang w:eastAsia="en-AU"/>
              </w:rPr>
              <w:t>Rental security deposits</w:t>
            </w:r>
          </w:p>
        </w:tc>
        <w:tc>
          <w:tcPr>
            <w:tcW w:w="851" w:type="dxa"/>
            <w:tcBorders>
              <w:top w:val="nil"/>
              <w:bottom w:val="nil"/>
            </w:tcBorders>
            <w:noWrap/>
            <w:vAlign w:val="bottom"/>
          </w:tcPr>
          <w:p w:rsidR="00F34433" w:rsidRPr="00E465A1" w:rsidRDefault="00F34433" w:rsidP="00F34433">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tcMar>
            <w:vAlign w:val="bottom"/>
          </w:tcPr>
          <w:p w:rsidR="00F34433" w:rsidRPr="00E465A1" w:rsidDel="00760439" w:rsidRDefault="00DA02E3" w:rsidP="00F34433">
            <w:pPr>
              <w:pStyle w:val="Normaltabletext1stpararight"/>
              <w:ind w:right="141"/>
              <w:rPr>
                <w:color w:val="262626" w:themeColor="text1" w:themeTint="D9"/>
                <w:lang w:eastAsia="en-AU"/>
              </w:rPr>
            </w:pPr>
            <w:r w:rsidRPr="00E465A1">
              <w:rPr>
                <w:color w:val="262626" w:themeColor="text1" w:themeTint="D9"/>
                <w:lang w:eastAsia="en-AU"/>
              </w:rPr>
              <w:t>22</w:t>
            </w:r>
          </w:p>
        </w:tc>
        <w:tc>
          <w:tcPr>
            <w:tcW w:w="283" w:type="dxa"/>
            <w:tcBorders>
              <w:top w:val="nil"/>
              <w:bottom w:val="nil"/>
            </w:tcBorders>
            <w:noWrap/>
          </w:tcPr>
          <w:p w:rsidR="00F34433" w:rsidRPr="00E465A1" w:rsidRDefault="00F34433" w:rsidP="00F34433">
            <w:pPr>
              <w:pStyle w:val="Normaltabletextleft"/>
              <w:rPr>
                <w:color w:val="262626" w:themeColor="text1" w:themeTint="D9"/>
              </w:rPr>
            </w:pPr>
          </w:p>
        </w:tc>
        <w:tc>
          <w:tcPr>
            <w:tcW w:w="1135" w:type="dxa"/>
            <w:tcBorders>
              <w:top w:val="nil"/>
              <w:bottom w:val="single" w:sz="4" w:space="0" w:color="auto"/>
              <w:right w:val="nil"/>
            </w:tcBorders>
            <w:shd w:val="clear" w:color="auto" w:fill="FFFFFF" w:themeFill="background1"/>
            <w:noWrap/>
            <w:tcMar>
              <w:left w:w="0" w:type="dxa"/>
              <w:right w:w="113" w:type="dxa"/>
            </w:tcMar>
            <w:vAlign w:val="bottom"/>
          </w:tcPr>
          <w:p w:rsidR="00F34433" w:rsidRPr="00E465A1" w:rsidDel="00760439" w:rsidRDefault="00F34433" w:rsidP="002F7489">
            <w:pPr>
              <w:pStyle w:val="Normaltabletext1stpararight"/>
              <w:ind w:right="28"/>
              <w:rPr>
                <w:color w:val="262626" w:themeColor="text1" w:themeTint="D9"/>
                <w:lang w:eastAsia="en-AU"/>
              </w:rPr>
            </w:pPr>
            <w:r w:rsidRPr="00E465A1">
              <w:rPr>
                <w:color w:val="262626" w:themeColor="text1" w:themeTint="D9"/>
                <w:lang w:eastAsia="en-AU"/>
              </w:rPr>
              <w:t>25</w:t>
            </w:r>
          </w:p>
        </w:tc>
      </w:tr>
      <w:tr w:rsidR="00E465A1" w:rsidRPr="00E465A1" w:rsidTr="00AD6577">
        <w:tblPrEx>
          <w:tblCellMar>
            <w:left w:w="0" w:type="dxa"/>
          </w:tblCellMar>
        </w:tblPrEx>
        <w:trPr>
          <w:trHeight w:val="20"/>
        </w:trPr>
        <w:tc>
          <w:tcPr>
            <w:tcW w:w="6803" w:type="dxa"/>
            <w:tcBorders>
              <w:top w:val="nil"/>
              <w:left w:val="nil"/>
              <w:bottom w:val="nil"/>
            </w:tcBorders>
            <w:noWrap/>
            <w:tcMar>
              <w:left w:w="0" w:type="dxa"/>
              <w:right w:w="0" w:type="dxa"/>
            </w:tcMar>
            <w:vAlign w:val="bottom"/>
          </w:tcPr>
          <w:p w:rsidR="00F34433" w:rsidRPr="00E465A1" w:rsidRDefault="00F34433" w:rsidP="00F34433">
            <w:pPr>
              <w:pStyle w:val="Normaltabletextleft"/>
              <w:tabs>
                <w:tab w:val="left" w:pos="0"/>
              </w:tabs>
              <w:rPr>
                <w:b/>
                <w:color w:val="262626" w:themeColor="text1" w:themeTint="D9"/>
                <w:lang w:eastAsia="en-AU"/>
              </w:rPr>
            </w:pPr>
            <w:r w:rsidRPr="00E465A1">
              <w:rPr>
                <w:b/>
                <w:color w:val="262626" w:themeColor="text1" w:themeTint="D9"/>
                <w:lang w:eastAsia="en-AU"/>
              </w:rPr>
              <w:t>Total</w:t>
            </w:r>
          </w:p>
        </w:tc>
        <w:tc>
          <w:tcPr>
            <w:tcW w:w="851" w:type="dxa"/>
            <w:tcBorders>
              <w:top w:val="nil"/>
              <w:bottom w:val="nil"/>
            </w:tcBorders>
            <w:noWrap/>
            <w:vAlign w:val="bottom"/>
          </w:tcPr>
          <w:p w:rsidR="00F34433" w:rsidRPr="00E465A1" w:rsidRDefault="00F34433" w:rsidP="00F34433">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tcMar>
            <w:vAlign w:val="bottom"/>
          </w:tcPr>
          <w:p w:rsidR="00F34433" w:rsidRPr="00E465A1" w:rsidRDefault="00CF400A" w:rsidP="00F34433">
            <w:pPr>
              <w:pStyle w:val="Normaltabletext1stpararight"/>
              <w:ind w:right="141"/>
              <w:rPr>
                <w:b/>
                <w:color w:val="262626" w:themeColor="text1" w:themeTint="D9"/>
                <w:lang w:eastAsia="en-AU"/>
              </w:rPr>
            </w:pPr>
            <w:r w:rsidRPr="00E465A1">
              <w:rPr>
                <w:b/>
                <w:color w:val="262626" w:themeColor="text1" w:themeTint="D9"/>
                <w:lang w:eastAsia="en-AU"/>
              </w:rPr>
              <w:t>72</w:t>
            </w:r>
          </w:p>
        </w:tc>
        <w:tc>
          <w:tcPr>
            <w:tcW w:w="283" w:type="dxa"/>
            <w:tcBorders>
              <w:top w:val="nil"/>
              <w:bottom w:val="nil"/>
            </w:tcBorders>
            <w:noWrap/>
          </w:tcPr>
          <w:p w:rsidR="00F34433" w:rsidRPr="00E465A1" w:rsidRDefault="00F34433" w:rsidP="00F34433">
            <w:pPr>
              <w:pStyle w:val="Normaltabletextleft"/>
              <w:rPr>
                <w:b/>
                <w:color w:val="262626" w:themeColor="text1" w:themeTint="D9"/>
              </w:rPr>
            </w:pPr>
          </w:p>
        </w:tc>
        <w:tc>
          <w:tcPr>
            <w:tcW w:w="1135" w:type="dxa"/>
            <w:tcBorders>
              <w:top w:val="single" w:sz="4" w:space="0" w:color="auto"/>
              <w:bottom w:val="double" w:sz="4" w:space="0" w:color="auto"/>
              <w:right w:val="nil"/>
            </w:tcBorders>
            <w:shd w:val="clear" w:color="auto" w:fill="FFFFFF" w:themeFill="background1"/>
            <w:noWrap/>
            <w:tcMar>
              <w:left w:w="0" w:type="dxa"/>
              <w:right w:w="113" w:type="dxa"/>
            </w:tcMar>
            <w:vAlign w:val="bottom"/>
          </w:tcPr>
          <w:p w:rsidR="00F34433" w:rsidRPr="00E465A1" w:rsidRDefault="00F34433" w:rsidP="002F7489">
            <w:pPr>
              <w:pStyle w:val="Normaltabletext1stpararight"/>
              <w:ind w:right="28"/>
              <w:rPr>
                <w:b/>
                <w:color w:val="262626" w:themeColor="text1" w:themeTint="D9"/>
                <w:lang w:eastAsia="en-AU"/>
              </w:rPr>
            </w:pPr>
            <w:r w:rsidRPr="00E465A1">
              <w:rPr>
                <w:b/>
                <w:color w:val="262626" w:themeColor="text1" w:themeTint="D9"/>
                <w:lang w:eastAsia="en-AU"/>
              </w:rPr>
              <w:t>115</w:t>
            </w:r>
          </w:p>
        </w:tc>
      </w:tr>
      <w:tr w:rsidR="00E465A1" w:rsidRPr="00E465A1" w:rsidTr="00C0567F">
        <w:tblPrEx>
          <w:tblCellMar>
            <w:left w:w="0" w:type="dxa"/>
          </w:tblCellMar>
        </w:tblPrEx>
        <w:trPr>
          <w:trHeight w:val="131"/>
        </w:trPr>
        <w:tc>
          <w:tcPr>
            <w:tcW w:w="6803" w:type="dxa"/>
            <w:tcBorders>
              <w:top w:val="nil"/>
              <w:left w:val="nil"/>
              <w:bottom w:val="nil"/>
              <w:right w:val="nil"/>
            </w:tcBorders>
            <w:noWrap/>
            <w:tcMar>
              <w:left w:w="0" w:type="dxa"/>
              <w:right w:w="0" w:type="dxa"/>
            </w:tcMar>
            <w:vAlign w:val="bottom"/>
          </w:tcPr>
          <w:p w:rsidR="00F34433" w:rsidRPr="00E465A1" w:rsidRDefault="00F34433" w:rsidP="00F34433">
            <w:pPr>
              <w:pStyle w:val="Normaltabletextleft"/>
              <w:rPr>
                <w:color w:val="262626" w:themeColor="text1" w:themeTint="D9"/>
                <w:lang w:eastAsia="en-AU"/>
              </w:rPr>
            </w:pPr>
          </w:p>
        </w:tc>
        <w:tc>
          <w:tcPr>
            <w:tcW w:w="851" w:type="dxa"/>
            <w:tcBorders>
              <w:top w:val="nil"/>
              <w:left w:val="nil"/>
              <w:bottom w:val="nil"/>
              <w:right w:val="nil"/>
            </w:tcBorders>
            <w:vAlign w:val="bottom"/>
          </w:tcPr>
          <w:p w:rsidR="00F34433" w:rsidRPr="00E465A1" w:rsidRDefault="00F34433" w:rsidP="00F34433">
            <w:pPr>
              <w:pStyle w:val="Normaltabletextleft"/>
              <w:rPr>
                <w:color w:val="262626" w:themeColor="text1" w:themeTint="D9"/>
                <w:lang w:eastAsia="en-AU"/>
              </w:rPr>
            </w:pPr>
          </w:p>
        </w:tc>
        <w:tc>
          <w:tcPr>
            <w:tcW w:w="1134" w:type="dxa"/>
            <w:tcBorders>
              <w:top w:val="nil"/>
              <w:left w:val="nil"/>
              <w:bottom w:val="nil"/>
              <w:right w:val="nil"/>
            </w:tcBorders>
            <w:vAlign w:val="bottom"/>
          </w:tcPr>
          <w:p w:rsidR="00F34433" w:rsidRPr="00E465A1" w:rsidRDefault="00F34433" w:rsidP="00F34433">
            <w:pPr>
              <w:pStyle w:val="Normaltabletextleft"/>
              <w:rPr>
                <w:color w:val="262626" w:themeColor="text1" w:themeTint="D9"/>
                <w:lang w:eastAsia="en-AU"/>
              </w:rPr>
            </w:pPr>
          </w:p>
        </w:tc>
        <w:tc>
          <w:tcPr>
            <w:tcW w:w="283" w:type="dxa"/>
            <w:tcBorders>
              <w:top w:val="nil"/>
              <w:left w:val="nil"/>
              <w:bottom w:val="nil"/>
              <w:right w:val="nil"/>
            </w:tcBorders>
            <w:vAlign w:val="bottom"/>
          </w:tcPr>
          <w:p w:rsidR="00F34433" w:rsidRPr="00E465A1" w:rsidRDefault="00F34433" w:rsidP="00F34433">
            <w:pPr>
              <w:pStyle w:val="Normaltabletextleft"/>
              <w:rPr>
                <w:color w:val="262626" w:themeColor="text1" w:themeTint="D9"/>
                <w:lang w:eastAsia="en-AU"/>
              </w:rPr>
            </w:pPr>
          </w:p>
        </w:tc>
        <w:tc>
          <w:tcPr>
            <w:tcW w:w="1135" w:type="dxa"/>
            <w:tcBorders>
              <w:top w:val="nil"/>
              <w:left w:val="nil"/>
              <w:bottom w:val="nil"/>
              <w:right w:val="nil"/>
            </w:tcBorders>
            <w:vAlign w:val="bottom"/>
          </w:tcPr>
          <w:p w:rsidR="00F34433" w:rsidRPr="00E465A1" w:rsidRDefault="00F34433" w:rsidP="00F34433">
            <w:pPr>
              <w:pStyle w:val="Normaltabletextleft"/>
              <w:rPr>
                <w:color w:val="262626" w:themeColor="text1" w:themeTint="D9"/>
                <w:lang w:eastAsia="en-AU"/>
              </w:rPr>
            </w:pPr>
          </w:p>
        </w:tc>
      </w:tr>
    </w:tbl>
    <w:p w:rsidR="001263AA" w:rsidRPr="00E465A1" w:rsidRDefault="001263AA" w:rsidP="001263AA">
      <w:pPr>
        <w:rPr>
          <w:color w:val="262626" w:themeColor="text1" w:themeTint="D9"/>
          <w:sz w:val="17"/>
          <w:szCs w:val="17"/>
          <w:lang w:eastAsia="en-AU"/>
        </w:rPr>
      </w:pPr>
      <w:r w:rsidRPr="00E465A1">
        <w:rPr>
          <w:color w:val="262626" w:themeColor="text1" w:themeTint="D9"/>
          <w:lang w:eastAsia="en-AU"/>
        </w:rPr>
        <w:t>The rental security deposits relate mainly to office accommodation. The deposit is refundable when the lease expires.</w:t>
      </w:r>
    </w:p>
    <w:p w:rsidR="00334B0D" w:rsidRPr="00E465A1" w:rsidRDefault="00334B0D" w:rsidP="001263AA">
      <w:pPr>
        <w:pStyle w:val="Normal1stpara"/>
        <w:rPr>
          <w:color w:val="262626" w:themeColor="text1" w:themeTint="D9"/>
        </w:rPr>
      </w:pPr>
    </w:p>
    <w:p w:rsidR="00BA4011" w:rsidRPr="00E465A1" w:rsidRDefault="00BA4011" w:rsidP="001263AA">
      <w:pPr>
        <w:pStyle w:val="Normal1stpara"/>
        <w:rPr>
          <w:color w:val="262626" w:themeColor="text1" w:themeTint="D9"/>
        </w:rPr>
      </w:pPr>
    </w:p>
    <w:p w:rsidR="00BA4011" w:rsidRPr="00E465A1" w:rsidRDefault="00BA4011" w:rsidP="001263AA">
      <w:pPr>
        <w:pStyle w:val="Normal1stpara"/>
        <w:rPr>
          <w:color w:val="262626" w:themeColor="text1" w:themeTint="D9"/>
        </w:rPr>
      </w:pPr>
    </w:p>
    <w:p w:rsidR="007B5183" w:rsidRPr="00E465A1" w:rsidRDefault="007B5183" w:rsidP="001263AA">
      <w:pPr>
        <w:pStyle w:val="Normal1stpara"/>
        <w:rPr>
          <w:color w:val="262626" w:themeColor="text1" w:themeTint="D9"/>
        </w:rPr>
      </w:pPr>
    </w:p>
    <w:p w:rsidR="00BA4011" w:rsidRPr="00E465A1" w:rsidRDefault="00BA4011" w:rsidP="001263AA">
      <w:pPr>
        <w:pStyle w:val="Normal1stpara"/>
        <w:rPr>
          <w:color w:val="262626" w:themeColor="text1" w:themeTint="D9"/>
        </w:rPr>
      </w:pPr>
    </w:p>
    <w:p w:rsidR="001263AA" w:rsidRPr="00E465A1" w:rsidRDefault="00DA3914" w:rsidP="00577F0E">
      <w:pPr>
        <w:pStyle w:val="Normal115pttext"/>
        <w:rPr>
          <w:color w:val="262626" w:themeColor="text1" w:themeTint="D9"/>
        </w:rPr>
      </w:pPr>
      <w:r w:rsidRPr="00E465A1">
        <w:rPr>
          <w:color w:val="262626" w:themeColor="text1" w:themeTint="D9"/>
        </w:rPr>
        <w:lastRenderedPageBreak/>
        <w:t xml:space="preserve">Note </w:t>
      </w:r>
      <w:r w:rsidR="0014516F" w:rsidRPr="00E465A1">
        <w:rPr>
          <w:color w:val="262626" w:themeColor="text1" w:themeTint="D9"/>
        </w:rPr>
        <w:t>10</w:t>
      </w:r>
      <w:r w:rsidRPr="00E465A1">
        <w:rPr>
          <w:color w:val="262626" w:themeColor="text1" w:themeTint="D9"/>
        </w:rPr>
        <w:t>:  Property, plant and equipment</w:t>
      </w:r>
      <w:r w:rsidR="00577F0E" w:rsidRPr="00E465A1">
        <w:rPr>
          <w:color w:val="262626" w:themeColor="text1" w:themeTint="D9"/>
        </w:rPr>
        <w:t xml:space="preserve"> and Intangible Assets</w:t>
      </w:r>
    </w:p>
    <w:p w:rsidR="00353FD2" w:rsidRPr="00E465A1" w:rsidRDefault="00353FD2" w:rsidP="00E133D4">
      <w:pPr>
        <w:pStyle w:val="Normal1stpara"/>
        <w:rPr>
          <w:color w:val="262626" w:themeColor="text1" w:themeTint="D9"/>
        </w:rPr>
      </w:pPr>
    </w:p>
    <w:tbl>
      <w:tblPr>
        <w:tblStyle w:val="TableGrid"/>
        <w:tblW w:w="10201" w:type="dxa"/>
        <w:tblCellMar>
          <w:top w:w="113" w:type="dxa"/>
          <w:bottom w:w="113" w:type="dxa"/>
        </w:tblCellMar>
        <w:tblLook w:val="04A0" w:firstRow="1" w:lastRow="0" w:firstColumn="1" w:lastColumn="0" w:noHBand="0" w:noVBand="1"/>
      </w:tblPr>
      <w:tblGrid>
        <w:gridCol w:w="10201"/>
      </w:tblGrid>
      <w:tr w:rsidR="00E465A1" w:rsidRPr="00E465A1" w:rsidTr="00E133D4">
        <w:tc>
          <w:tcPr>
            <w:tcW w:w="10201" w:type="dxa"/>
          </w:tcPr>
          <w:p w:rsidR="00577F0E" w:rsidRPr="00E465A1" w:rsidRDefault="00577F0E" w:rsidP="00B451CD">
            <w:pPr>
              <w:pStyle w:val="Policyheading"/>
              <w:rPr>
                <w:color w:val="262626" w:themeColor="text1" w:themeTint="D9"/>
              </w:rPr>
            </w:pPr>
            <w:r w:rsidRPr="00E465A1">
              <w:rPr>
                <w:color w:val="262626" w:themeColor="text1" w:themeTint="D9"/>
              </w:rPr>
              <w:t>Accounting Policy:</w:t>
            </w:r>
          </w:p>
          <w:p w:rsidR="002F7038" w:rsidRPr="00E465A1" w:rsidRDefault="002F7038" w:rsidP="00B451CD">
            <w:pPr>
              <w:pStyle w:val="Policyheading"/>
              <w:rPr>
                <w:color w:val="262626" w:themeColor="text1" w:themeTint="D9"/>
              </w:rPr>
            </w:pPr>
          </w:p>
          <w:p w:rsidR="00577F0E" w:rsidRPr="00E465A1" w:rsidRDefault="00577F0E" w:rsidP="00B451CD">
            <w:pPr>
              <w:pStyle w:val="Policyfollowingparas"/>
              <w:rPr>
                <w:color w:val="262626" w:themeColor="text1" w:themeTint="D9"/>
              </w:rPr>
            </w:pPr>
            <w:r w:rsidRPr="00E465A1">
              <w:rPr>
                <w:b/>
                <w:i/>
                <w:color w:val="262626" w:themeColor="text1" w:themeTint="D9"/>
              </w:rPr>
              <w:t xml:space="preserve">Recognition –  </w:t>
            </w:r>
            <w:r w:rsidRPr="00E465A1">
              <w:rPr>
                <w:color w:val="262626" w:themeColor="text1" w:themeTint="D9"/>
              </w:rPr>
              <w:t xml:space="preserve">The </w:t>
            </w:r>
            <w:r w:rsidR="00EC2665" w:rsidRPr="00E465A1">
              <w:rPr>
                <w:color w:val="262626" w:themeColor="text1" w:themeTint="D9"/>
              </w:rPr>
              <w:t>CCC</w:t>
            </w:r>
            <w:r w:rsidRPr="00E465A1">
              <w:rPr>
                <w:color w:val="262626" w:themeColor="text1" w:themeTint="D9"/>
              </w:rPr>
              <w:t xml:space="preserve"> only recognises assets in the Statement of Financial Position where their initial acquisition costs exceed a set monetary threshold with assets below this value being expensed:</w:t>
            </w:r>
          </w:p>
          <w:p w:rsidR="00577F0E" w:rsidRPr="00E465A1" w:rsidRDefault="00577F0E" w:rsidP="00B451CD">
            <w:pPr>
              <w:pStyle w:val="Policyindented"/>
              <w:rPr>
                <w:color w:val="262626" w:themeColor="text1" w:themeTint="D9"/>
              </w:rPr>
            </w:pPr>
            <w:r w:rsidRPr="00E465A1">
              <w:rPr>
                <w:color w:val="262626" w:themeColor="text1" w:themeTint="D9"/>
              </w:rPr>
              <w:t>Plant and Equipment</w:t>
            </w:r>
            <w:r w:rsidR="00B451CD" w:rsidRPr="00E465A1">
              <w:rPr>
                <w:color w:val="262626" w:themeColor="text1" w:themeTint="D9"/>
              </w:rPr>
              <w:tab/>
            </w:r>
            <w:r w:rsidRPr="00E465A1">
              <w:rPr>
                <w:color w:val="262626" w:themeColor="text1" w:themeTint="D9"/>
              </w:rPr>
              <w:t>$5</w:t>
            </w:r>
            <w:r w:rsidR="009A585E" w:rsidRPr="00E465A1">
              <w:rPr>
                <w:color w:val="262626" w:themeColor="text1" w:themeTint="D9"/>
              </w:rPr>
              <w:t>,</w:t>
            </w:r>
            <w:r w:rsidRPr="00E465A1">
              <w:rPr>
                <w:color w:val="262626" w:themeColor="text1" w:themeTint="D9"/>
              </w:rPr>
              <w:t>000</w:t>
            </w:r>
          </w:p>
          <w:p w:rsidR="00577F0E" w:rsidRPr="00E465A1" w:rsidRDefault="00577F0E" w:rsidP="00B451CD">
            <w:pPr>
              <w:pStyle w:val="Policyindented"/>
              <w:rPr>
                <w:color w:val="262626" w:themeColor="text1" w:themeTint="D9"/>
              </w:rPr>
            </w:pPr>
            <w:r w:rsidRPr="00E465A1">
              <w:rPr>
                <w:color w:val="262626" w:themeColor="text1" w:themeTint="D9"/>
              </w:rPr>
              <w:t>Intangible Assets</w:t>
            </w:r>
            <w:r w:rsidR="00B451CD" w:rsidRPr="00E465A1">
              <w:rPr>
                <w:color w:val="262626" w:themeColor="text1" w:themeTint="D9"/>
              </w:rPr>
              <w:tab/>
            </w:r>
            <w:r w:rsidRPr="00E465A1">
              <w:rPr>
                <w:color w:val="262626" w:themeColor="text1" w:themeTint="D9"/>
              </w:rPr>
              <w:t>$100</w:t>
            </w:r>
            <w:r w:rsidR="009A585E" w:rsidRPr="00E465A1">
              <w:rPr>
                <w:color w:val="262626" w:themeColor="text1" w:themeTint="D9"/>
              </w:rPr>
              <w:t>,</w:t>
            </w:r>
            <w:r w:rsidRPr="00E465A1">
              <w:rPr>
                <w:color w:val="262626" w:themeColor="text1" w:themeTint="D9"/>
              </w:rPr>
              <w:t>000</w:t>
            </w:r>
          </w:p>
          <w:p w:rsidR="00577F0E" w:rsidRPr="00E465A1" w:rsidRDefault="00577F0E" w:rsidP="00B451CD">
            <w:pPr>
              <w:pStyle w:val="Policy1stpara"/>
              <w:rPr>
                <w:color w:val="262626" w:themeColor="text1" w:themeTint="D9"/>
              </w:rPr>
            </w:pPr>
            <w:r w:rsidRPr="00E465A1">
              <w:rPr>
                <w:color w:val="262626" w:themeColor="text1" w:themeTint="D9"/>
              </w:rPr>
              <w:t xml:space="preserve">Items comprising the </w:t>
            </w:r>
            <w:r w:rsidR="00EC2665" w:rsidRPr="00E465A1">
              <w:rPr>
                <w:color w:val="262626" w:themeColor="text1" w:themeTint="D9"/>
              </w:rPr>
              <w:t>CCC</w:t>
            </w:r>
            <w:r w:rsidRPr="00E465A1">
              <w:rPr>
                <w:color w:val="262626" w:themeColor="text1" w:themeTint="D9"/>
              </w:rPr>
              <w:t>’s technical library are expensed on acquisition.</w:t>
            </w:r>
          </w:p>
          <w:p w:rsidR="00577F0E" w:rsidRPr="00E465A1" w:rsidRDefault="00577F0E" w:rsidP="00B451CD">
            <w:pPr>
              <w:pStyle w:val="Policy1stpara"/>
              <w:rPr>
                <w:color w:val="262626" w:themeColor="text1" w:themeTint="D9"/>
              </w:rPr>
            </w:pPr>
            <w:r w:rsidRPr="00E465A1">
              <w:rPr>
                <w:b/>
                <w:i/>
                <w:color w:val="262626" w:themeColor="text1" w:themeTint="D9"/>
              </w:rPr>
              <w:t>Cost of Acquisition</w:t>
            </w:r>
            <w:r w:rsidRPr="00E465A1">
              <w:rPr>
                <w:color w:val="262626" w:themeColor="text1" w:themeTint="D9"/>
              </w:rPr>
              <w:t xml:space="preserve"> – All assets are initially recorded at their purchase price plus any costs incurred that are directly attributable to bringing the asset to the location and condition necessary for it to be able to operate as intended. </w:t>
            </w:r>
            <w:r w:rsidR="00D02764" w:rsidRPr="00E465A1">
              <w:rPr>
                <w:color w:val="262626" w:themeColor="text1" w:themeTint="D9"/>
              </w:rPr>
              <w:br/>
            </w:r>
            <w:r w:rsidRPr="00E465A1">
              <w:rPr>
                <w:color w:val="262626" w:themeColor="text1" w:themeTint="D9"/>
              </w:rPr>
              <w:t>This includes direct costs associated with the design and implementation of software.</w:t>
            </w:r>
          </w:p>
          <w:p w:rsidR="00577F0E" w:rsidRPr="00E465A1" w:rsidRDefault="00577F0E" w:rsidP="00E133D4">
            <w:pPr>
              <w:pStyle w:val="Policyfollowingparas"/>
              <w:rPr>
                <w:color w:val="262626" w:themeColor="text1" w:themeTint="D9"/>
              </w:rPr>
            </w:pPr>
            <w:r w:rsidRPr="00E465A1">
              <w:rPr>
                <w:color w:val="262626" w:themeColor="text1" w:themeTint="D9"/>
              </w:rPr>
              <w:t xml:space="preserve">Any expenditure that increases the originally assessed capacity or service potential of an asset is capitalised, and the new depreciable amount is depreciated over the remaining useful life of the asset to the </w:t>
            </w:r>
            <w:r w:rsidR="00EC2665" w:rsidRPr="00E465A1">
              <w:rPr>
                <w:color w:val="262626" w:themeColor="text1" w:themeTint="D9"/>
              </w:rPr>
              <w:t>CCC</w:t>
            </w:r>
            <w:r w:rsidRPr="00E465A1">
              <w:rPr>
                <w:color w:val="262626" w:themeColor="text1" w:themeTint="D9"/>
              </w:rPr>
              <w:t xml:space="preserve">. Routine repair and maintenance costs, minor renewal costs and costs of training staff in the use of the asset are not included in the cost of acquisition, </w:t>
            </w:r>
            <w:r w:rsidR="009A585E" w:rsidRPr="00E465A1">
              <w:rPr>
                <w:color w:val="262626" w:themeColor="text1" w:themeTint="D9"/>
              </w:rPr>
              <w:br/>
            </w:r>
            <w:r w:rsidRPr="00E465A1">
              <w:rPr>
                <w:color w:val="262626" w:themeColor="text1" w:themeTint="D9"/>
              </w:rPr>
              <w:t>but instead are expensed when incurred.</w:t>
            </w:r>
          </w:p>
          <w:p w:rsidR="00577F0E" w:rsidRPr="00E465A1" w:rsidRDefault="00577F0E" w:rsidP="00B451CD">
            <w:pPr>
              <w:pStyle w:val="Policy1stpara"/>
              <w:rPr>
                <w:color w:val="262626" w:themeColor="text1" w:themeTint="D9"/>
              </w:rPr>
            </w:pPr>
            <w:r w:rsidRPr="00E465A1">
              <w:rPr>
                <w:b/>
                <w:i/>
                <w:color w:val="262626" w:themeColor="text1" w:themeTint="D9"/>
                <w:szCs w:val="19"/>
              </w:rPr>
              <w:t>Measurement</w:t>
            </w:r>
            <w:r w:rsidRPr="00E465A1">
              <w:rPr>
                <w:color w:val="262626" w:themeColor="text1" w:themeTint="D9"/>
                <w:lang w:eastAsia="en-AU"/>
              </w:rPr>
              <w:t xml:space="preserve"> –</w:t>
            </w:r>
            <w:r w:rsidR="00E27ED1" w:rsidRPr="00E465A1">
              <w:rPr>
                <w:color w:val="262626" w:themeColor="text1" w:themeTint="D9"/>
                <w:lang w:eastAsia="en-AU"/>
              </w:rPr>
              <w:t xml:space="preserve"> The</w:t>
            </w:r>
            <w:r w:rsidRPr="00E465A1">
              <w:rPr>
                <w:color w:val="262626" w:themeColor="text1" w:themeTint="D9"/>
                <w:lang w:eastAsia="en-AU"/>
              </w:rPr>
              <w:t xml:space="preserve"> </w:t>
            </w:r>
            <w:r w:rsidR="0033369D" w:rsidRPr="00E465A1">
              <w:rPr>
                <w:color w:val="262626" w:themeColor="text1" w:themeTint="D9"/>
                <w:lang w:eastAsia="en-AU"/>
              </w:rPr>
              <w:t>CCC</w:t>
            </w:r>
            <w:r w:rsidRPr="00E465A1">
              <w:rPr>
                <w:color w:val="262626" w:themeColor="text1" w:themeTint="D9"/>
                <w:lang w:eastAsia="en-AU"/>
              </w:rPr>
              <w:t xml:space="preserve"> uses the historical cost model to measure all assets after they are recognised, which means that assets are carried at their acquisition cost less accumulated depreciation and any accumulated impairment losses. </w:t>
            </w:r>
          </w:p>
          <w:p w:rsidR="00577F0E" w:rsidRPr="00E465A1" w:rsidRDefault="00577F0E" w:rsidP="00B451CD">
            <w:pPr>
              <w:pStyle w:val="Policyfollowingparas"/>
              <w:rPr>
                <w:color w:val="262626" w:themeColor="text1" w:themeTint="D9"/>
              </w:rPr>
            </w:pPr>
            <w:r w:rsidRPr="00E465A1">
              <w:rPr>
                <w:color w:val="262626" w:themeColor="text1" w:themeTint="D9"/>
              </w:rPr>
              <w:t>The carrying amounts for plant and equipment measured at cost approximate their fair value at reporting date.</w:t>
            </w:r>
          </w:p>
          <w:p w:rsidR="00D22FFE" w:rsidRPr="00E465A1" w:rsidRDefault="00D22FFE" w:rsidP="00D22FFE">
            <w:pPr>
              <w:pStyle w:val="Policy1stpara"/>
              <w:rPr>
                <w:color w:val="262626" w:themeColor="text1" w:themeTint="D9"/>
              </w:rPr>
            </w:pPr>
            <w:r w:rsidRPr="00E465A1">
              <w:rPr>
                <w:b/>
                <w:i/>
                <w:color w:val="262626" w:themeColor="text1" w:themeTint="D9"/>
              </w:rPr>
              <w:t>Depreciation and Amortisation Expense</w:t>
            </w:r>
            <w:r w:rsidRPr="00E465A1">
              <w:rPr>
                <w:color w:val="262626" w:themeColor="text1" w:themeTint="D9"/>
              </w:rPr>
              <w:t xml:space="preserve"> – Property, plant and equipment and intangible assets have finite useful lives and are depreciated and amortised on a straight-line basis over the expected benefit to the CCC.</w:t>
            </w:r>
          </w:p>
          <w:p w:rsidR="00577F0E" w:rsidRPr="00E465A1" w:rsidRDefault="00D22FFE" w:rsidP="00D22FFE">
            <w:pPr>
              <w:pStyle w:val="Policyfollowingparas"/>
              <w:rPr>
                <w:color w:val="262626" w:themeColor="text1" w:themeTint="D9"/>
              </w:rPr>
            </w:pPr>
            <w:r w:rsidRPr="00E465A1">
              <w:rPr>
                <w:color w:val="262626" w:themeColor="text1" w:themeTint="D9"/>
              </w:rPr>
              <w:t>Straight line depreciation and amortisation is used reflecting the expected even consumption of economic benefits on a progressive basis over the useful life of property, plant and equipment and intangible assets.</w:t>
            </w:r>
          </w:p>
          <w:p w:rsidR="002F7038" w:rsidRPr="00E465A1" w:rsidRDefault="002F7038" w:rsidP="002F7038">
            <w:pPr>
              <w:pStyle w:val="Policyfollowingparas"/>
              <w:rPr>
                <w:color w:val="262626" w:themeColor="text1" w:themeTint="D9"/>
              </w:rPr>
            </w:pPr>
            <w:r w:rsidRPr="00E465A1">
              <w:rPr>
                <w:color w:val="262626" w:themeColor="text1" w:themeTint="D9"/>
              </w:rPr>
              <w:t xml:space="preserve">Assets under construction (work-in-progress) are not depreciated until they reach service delivery </w:t>
            </w:r>
            <w:proofErr w:type="gramStart"/>
            <w:r w:rsidRPr="00E465A1">
              <w:rPr>
                <w:color w:val="262626" w:themeColor="text1" w:themeTint="D9"/>
              </w:rPr>
              <w:t>capacity, that</w:t>
            </w:r>
            <w:proofErr w:type="gramEnd"/>
            <w:r w:rsidRPr="00E465A1">
              <w:rPr>
                <w:color w:val="262626" w:themeColor="text1" w:themeTint="D9"/>
              </w:rPr>
              <w:t xml:space="preserve"> is, when the asset is available for use and is operating in the manner intended by management. These assets are then reclassified to the relevant asset class.</w:t>
            </w:r>
          </w:p>
          <w:p w:rsidR="002F7038" w:rsidRPr="00E465A1" w:rsidRDefault="002F7038" w:rsidP="002F7038">
            <w:pPr>
              <w:pStyle w:val="Policyfollowingparas"/>
              <w:rPr>
                <w:color w:val="262626" w:themeColor="text1" w:themeTint="D9"/>
              </w:rPr>
            </w:pPr>
            <w:r w:rsidRPr="00E465A1">
              <w:rPr>
                <w:color w:val="262626" w:themeColor="text1" w:themeTint="D9"/>
              </w:rPr>
              <w:t>Each class of depreciable and intangible assets is depreciated or amortised based on the following useful lives.</w:t>
            </w:r>
          </w:p>
          <w:p w:rsidR="002F7038" w:rsidRPr="00E465A1" w:rsidRDefault="002F7038" w:rsidP="002F7038">
            <w:pPr>
              <w:pStyle w:val="Policyfollowingparas"/>
              <w:rPr>
                <w:i/>
                <w:color w:val="262626" w:themeColor="text1" w:themeTint="D9"/>
              </w:rPr>
            </w:pPr>
            <w:r w:rsidRPr="00E465A1">
              <w:rPr>
                <w:i/>
                <w:color w:val="262626" w:themeColor="text1" w:themeTint="D9"/>
              </w:rPr>
              <w:t>Plant and Equipment:</w:t>
            </w:r>
          </w:p>
          <w:p w:rsidR="002F7038" w:rsidRPr="00E465A1" w:rsidRDefault="002F7038" w:rsidP="002F7038">
            <w:pPr>
              <w:pStyle w:val="Policyindented"/>
              <w:tabs>
                <w:tab w:val="clear" w:pos="4536"/>
                <w:tab w:val="left" w:pos="4820"/>
              </w:tabs>
              <w:rPr>
                <w:color w:val="262626" w:themeColor="text1" w:themeTint="D9"/>
                <w:shd w:val="clear" w:color="auto" w:fill="FFFF00"/>
                <w:lang w:eastAsia="en-AU"/>
              </w:rPr>
            </w:pPr>
            <w:r w:rsidRPr="00E465A1">
              <w:rPr>
                <w:color w:val="262626" w:themeColor="text1" w:themeTint="D9"/>
                <w:lang w:eastAsia="en-AU"/>
              </w:rPr>
              <w:t>Motor Vehicles</w:t>
            </w:r>
            <w:r w:rsidRPr="00E465A1">
              <w:rPr>
                <w:color w:val="262626" w:themeColor="text1" w:themeTint="D9"/>
              </w:rPr>
              <w:tab/>
              <w:t>2–</w:t>
            </w:r>
            <w:r w:rsidR="005044E5" w:rsidRPr="00E465A1">
              <w:rPr>
                <w:color w:val="262626" w:themeColor="text1" w:themeTint="D9"/>
              </w:rPr>
              <w:t>5</w:t>
            </w:r>
            <w:r w:rsidRPr="00E465A1">
              <w:rPr>
                <w:color w:val="262626" w:themeColor="text1" w:themeTint="D9"/>
              </w:rPr>
              <w:t xml:space="preserve"> years</w:t>
            </w:r>
          </w:p>
          <w:p w:rsidR="002F7038" w:rsidRPr="00E465A1" w:rsidRDefault="002F7038" w:rsidP="002F7038">
            <w:pPr>
              <w:pStyle w:val="Policyindented"/>
              <w:tabs>
                <w:tab w:val="clear" w:pos="4536"/>
                <w:tab w:val="left" w:pos="4820"/>
              </w:tabs>
              <w:rPr>
                <w:color w:val="262626" w:themeColor="text1" w:themeTint="D9"/>
                <w:shd w:val="clear" w:color="auto" w:fill="FFFF00"/>
                <w:lang w:eastAsia="en-AU"/>
              </w:rPr>
            </w:pPr>
            <w:r w:rsidRPr="00E465A1">
              <w:rPr>
                <w:color w:val="262626" w:themeColor="text1" w:themeTint="D9"/>
                <w:lang w:eastAsia="en-AU"/>
              </w:rPr>
              <w:t>Computer Equipment</w:t>
            </w:r>
            <w:r w:rsidRPr="00E465A1">
              <w:rPr>
                <w:color w:val="262626" w:themeColor="text1" w:themeTint="D9"/>
              </w:rPr>
              <w:tab/>
            </w:r>
            <w:r w:rsidR="00117C4B" w:rsidRPr="00E465A1">
              <w:rPr>
                <w:color w:val="262626" w:themeColor="text1" w:themeTint="D9"/>
              </w:rPr>
              <w:t>3</w:t>
            </w:r>
            <w:r w:rsidRPr="00E465A1">
              <w:rPr>
                <w:color w:val="262626" w:themeColor="text1" w:themeTint="D9"/>
              </w:rPr>
              <w:t>–10 years</w:t>
            </w:r>
          </w:p>
          <w:p w:rsidR="002F7038" w:rsidRPr="00E465A1" w:rsidRDefault="002F7038" w:rsidP="002F7038">
            <w:pPr>
              <w:pStyle w:val="Policyindented"/>
              <w:tabs>
                <w:tab w:val="clear" w:pos="4536"/>
                <w:tab w:val="left" w:pos="4820"/>
              </w:tabs>
              <w:rPr>
                <w:color w:val="262626" w:themeColor="text1" w:themeTint="D9"/>
                <w:shd w:val="clear" w:color="auto" w:fill="FFFF00"/>
                <w:lang w:eastAsia="en-AU"/>
              </w:rPr>
            </w:pPr>
            <w:r w:rsidRPr="00E465A1">
              <w:rPr>
                <w:color w:val="262626" w:themeColor="text1" w:themeTint="D9"/>
                <w:lang w:eastAsia="en-AU"/>
              </w:rPr>
              <w:t>General and Technical Equipment and Furniture</w:t>
            </w:r>
            <w:r w:rsidRPr="00E465A1">
              <w:rPr>
                <w:color w:val="262626" w:themeColor="text1" w:themeTint="D9"/>
              </w:rPr>
              <w:tab/>
              <w:t>3–15 years</w:t>
            </w:r>
          </w:p>
          <w:p w:rsidR="002F7038" w:rsidRPr="00E465A1" w:rsidRDefault="002F7038" w:rsidP="002F7038">
            <w:pPr>
              <w:pStyle w:val="Policyindented"/>
              <w:tabs>
                <w:tab w:val="clear" w:pos="4536"/>
                <w:tab w:val="left" w:pos="4820"/>
              </w:tabs>
              <w:rPr>
                <w:color w:val="262626" w:themeColor="text1" w:themeTint="D9"/>
                <w:shd w:val="clear" w:color="auto" w:fill="FFFF00"/>
                <w:lang w:eastAsia="en-AU"/>
              </w:rPr>
            </w:pPr>
            <w:r w:rsidRPr="00E465A1">
              <w:rPr>
                <w:color w:val="262626" w:themeColor="text1" w:themeTint="D9"/>
                <w:lang w:eastAsia="en-AU"/>
              </w:rPr>
              <w:t>Leasehold Improvements</w:t>
            </w:r>
            <w:r w:rsidRPr="00E465A1">
              <w:rPr>
                <w:color w:val="262626" w:themeColor="text1" w:themeTint="D9"/>
              </w:rPr>
              <w:tab/>
            </w:r>
            <w:r w:rsidR="00117C4B" w:rsidRPr="00E465A1">
              <w:rPr>
                <w:color w:val="262626" w:themeColor="text1" w:themeTint="D9"/>
              </w:rPr>
              <w:t>4</w:t>
            </w:r>
            <w:r w:rsidRPr="00E465A1">
              <w:rPr>
                <w:color w:val="262626" w:themeColor="text1" w:themeTint="D9"/>
              </w:rPr>
              <w:t>–18 years</w:t>
            </w:r>
          </w:p>
          <w:p w:rsidR="002F7038" w:rsidRPr="00E465A1" w:rsidRDefault="002F7038" w:rsidP="002F7038">
            <w:pPr>
              <w:pStyle w:val="Policyfollowingparas"/>
              <w:rPr>
                <w:i/>
                <w:color w:val="262626" w:themeColor="text1" w:themeTint="D9"/>
              </w:rPr>
            </w:pPr>
            <w:r w:rsidRPr="00E465A1">
              <w:rPr>
                <w:i/>
                <w:color w:val="262626" w:themeColor="text1" w:themeTint="D9"/>
              </w:rPr>
              <w:t>Intangible Assets:</w:t>
            </w:r>
          </w:p>
          <w:p w:rsidR="002F7038" w:rsidRPr="00E465A1" w:rsidRDefault="002F7038" w:rsidP="002F7038">
            <w:pPr>
              <w:pStyle w:val="Policyindented"/>
              <w:tabs>
                <w:tab w:val="clear" w:pos="4536"/>
                <w:tab w:val="left" w:pos="4820"/>
              </w:tabs>
              <w:rPr>
                <w:color w:val="262626" w:themeColor="text1" w:themeTint="D9"/>
                <w:lang w:eastAsia="en-AU"/>
              </w:rPr>
            </w:pPr>
            <w:r w:rsidRPr="00E465A1">
              <w:rPr>
                <w:color w:val="262626" w:themeColor="text1" w:themeTint="D9"/>
                <w:lang w:eastAsia="en-AU"/>
              </w:rPr>
              <w:t>Software</w:t>
            </w:r>
            <w:r w:rsidRPr="00E465A1">
              <w:rPr>
                <w:color w:val="262626" w:themeColor="text1" w:themeTint="D9"/>
              </w:rPr>
              <w:tab/>
              <w:t>7–9 years</w:t>
            </w:r>
          </w:p>
          <w:p w:rsidR="002F7038" w:rsidRPr="00E465A1" w:rsidRDefault="002F7038" w:rsidP="002F7038">
            <w:pPr>
              <w:pStyle w:val="Policyfollowingparas"/>
              <w:rPr>
                <w:color w:val="262626" w:themeColor="text1" w:themeTint="D9"/>
              </w:rPr>
            </w:pPr>
            <w:r w:rsidRPr="00E465A1">
              <w:rPr>
                <w:color w:val="262626" w:themeColor="text1" w:themeTint="D9"/>
              </w:rPr>
              <w:t>The useful lives of plant and equipment and intangible assets were reviewed during the reporting period and adjusted where necessary.</w:t>
            </w:r>
          </w:p>
          <w:p w:rsidR="002F7038" w:rsidRPr="00E465A1" w:rsidRDefault="002F7038" w:rsidP="002F7038">
            <w:pPr>
              <w:pStyle w:val="Policy1stpara"/>
              <w:rPr>
                <w:color w:val="262626" w:themeColor="text1" w:themeTint="D9"/>
              </w:rPr>
            </w:pPr>
            <w:r w:rsidRPr="00E465A1">
              <w:rPr>
                <w:b/>
                <w:i/>
                <w:color w:val="262626" w:themeColor="text1" w:themeTint="D9"/>
              </w:rPr>
              <w:t>Impairment</w:t>
            </w:r>
            <w:r w:rsidRPr="00E465A1">
              <w:rPr>
                <w:color w:val="262626" w:themeColor="text1" w:themeTint="D9"/>
                <w:szCs w:val="19"/>
              </w:rPr>
              <w:t xml:space="preserve"> – </w:t>
            </w:r>
            <w:r w:rsidRPr="00E465A1">
              <w:rPr>
                <w:color w:val="262626" w:themeColor="text1" w:themeTint="D9"/>
              </w:rPr>
              <w:t>Impairment of non-current physical and intangible assets is the decline in the service potential of an asset over and above the use reflected through depreciation.</w:t>
            </w:r>
          </w:p>
          <w:p w:rsidR="002F7038" w:rsidRPr="00E465A1" w:rsidRDefault="002F7038" w:rsidP="002F7038">
            <w:pPr>
              <w:pStyle w:val="Policyfollowingparas"/>
              <w:rPr>
                <w:color w:val="262626" w:themeColor="text1" w:themeTint="D9"/>
              </w:rPr>
            </w:pPr>
            <w:r w:rsidRPr="00E465A1">
              <w:rPr>
                <w:color w:val="262626" w:themeColor="text1" w:themeTint="D9"/>
              </w:rPr>
              <w:t>All non-current physical assets are assessed for indicators of impairment on an annual basis. If an indicator of possible impairment exists, the CCC determines the assets recoverable amount. Any amount by which the asset’s carrying amount exceeds the recoverable amount is recorded as an impairment loss. An impairment loss is recognised immediately in the Statement of Comprehensive Income.</w:t>
            </w:r>
          </w:p>
          <w:p w:rsidR="002F7038" w:rsidRPr="00E465A1" w:rsidRDefault="002F7038" w:rsidP="00D22FFE">
            <w:pPr>
              <w:pStyle w:val="Policyfollowingparas"/>
              <w:rPr>
                <w:color w:val="262626" w:themeColor="text1" w:themeTint="D9"/>
              </w:rPr>
            </w:pPr>
          </w:p>
        </w:tc>
      </w:tr>
    </w:tbl>
    <w:p w:rsidR="00E81B7B" w:rsidRPr="00E465A1" w:rsidRDefault="00DA3914" w:rsidP="00166031">
      <w:pPr>
        <w:pStyle w:val="Normal115pttext"/>
        <w:rPr>
          <w:color w:val="262626" w:themeColor="text1" w:themeTint="D9"/>
        </w:rPr>
      </w:pPr>
      <w:r w:rsidRPr="00E465A1">
        <w:rPr>
          <w:color w:val="262626" w:themeColor="text1" w:themeTint="D9"/>
        </w:rPr>
        <w:lastRenderedPageBreak/>
        <w:t xml:space="preserve">Note </w:t>
      </w:r>
      <w:r w:rsidR="0014516F" w:rsidRPr="00E465A1">
        <w:rPr>
          <w:color w:val="262626" w:themeColor="text1" w:themeTint="D9"/>
        </w:rPr>
        <w:t>10</w:t>
      </w:r>
      <w:r w:rsidRPr="00E465A1">
        <w:rPr>
          <w:color w:val="262626" w:themeColor="text1" w:themeTint="D9"/>
        </w:rPr>
        <w:t>:  Property, plant and equipment and Intangible Assets</w:t>
      </w:r>
      <w:r w:rsidR="00565516" w:rsidRPr="00E465A1">
        <w:rPr>
          <w:color w:val="262626" w:themeColor="text1" w:themeTint="D9"/>
        </w:rPr>
        <w:t xml:space="preserve"> (c</w:t>
      </w:r>
      <w:r w:rsidR="00577F0E" w:rsidRPr="00E465A1">
        <w:rPr>
          <w:color w:val="262626" w:themeColor="text1" w:themeTint="D9"/>
        </w:rPr>
        <w:t>ont’d)</w:t>
      </w:r>
    </w:p>
    <w:p w:rsidR="00230CD9" w:rsidRPr="00E465A1" w:rsidRDefault="00230CD9" w:rsidP="008C7CEA">
      <w:pPr>
        <w:pStyle w:val="Normal1stpara"/>
        <w:rPr>
          <w:color w:val="262626" w:themeColor="text1" w:themeTint="D9"/>
        </w:rPr>
      </w:pPr>
    </w:p>
    <w:p w:rsidR="00230CD9" w:rsidRPr="00E465A1" w:rsidRDefault="00230CD9" w:rsidP="00230CD9">
      <w:pPr>
        <w:pStyle w:val="Normal115pttext"/>
        <w:rPr>
          <w:color w:val="262626" w:themeColor="text1" w:themeTint="D9"/>
        </w:rPr>
      </w:pPr>
      <w:bookmarkStart w:id="13" w:name="OLE_LINK18"/>
      <w:r w:rsidRPr="00E465A1">
        <w:rPr>
          <w:color w:val="262626" w:themeColor="text1" w:themeTint="D9"/>
        </w:rPr>
        <w:t xml:space="preserve">Note </w:t>
      </w:r>
      <w:r w:rsidR="0014516F" w:rsidRPr="00E465A1">
        <w:rPr>
          <w:color w:val="262626" w:themeColor="text1" w:themeTint="D9"/>
        </w:rPr>
        <w:t>10</w:t>
      </w:r>
      <w:r w:rsidRPr="00E465A1">
        <w:rPr>
          <w:color w:val="262626" w:themeColor="text1" w:themeTint="D9"/>
        </w:rPr>
        <w:t>A:  Intangible Assets</w:t>
      </w:r>
      <w:bookmarkEnd w:id="13"/>
    </w:p>
    <w:tbl>
      <w:tblPr>
        <w:tblW w:w="0" w:type="auto"/>
        <w:tblBorders>
          <w:top w:val="double" w:sz="4" w:space="0" w:color="auto"/>
          <w:left w:val="double" w:sz="4" w:space="0" w:color="auto"/>
          <w:bottom w:val="double" w:sz="4" w:space="0" w:color="auto"/>
          <w:right w:val="double" w:sz="4" w:space="0" w:color="auto"/>
        </w:tblBorders>
        <w:tblLayout w:type="fixed"/>
        <w:tblCellMar>
          <w:bottom w:w="11" w:type="dxa"/>
          <w:right w:w="0" w:type="dxa"/>
        </w:tblCellMar>
        <w:tblLook w:val="0000" w:firstRow="0" w:lastRow="0" w:firstColumn="0" w:lastColumn="0" w:noHBand="0" w:noVBand="0"/>
      </w:tblPr>
      <w:tblGrid>
        <w:gridCol w:w="6803"/>
        <w:gridCol w:w="850"/>
        <w:gridCol w:w="1134"/>
        <w:gridCol w:w="283"/>
        <w:gridCol w:w="1134"/>
      </w:tblGrid>
      <w:tr w:rsidR="00E465A1" w:rsidRPr="00E465A1" w:rsidTr="00AD6577">
        <w:trPr>
          <w:trHeight w:val="20"/>
        </w:trPr>
        <w:tc>
          <w:tcPr>
            <w:tcW w:w="6803" w:type="dxa"/>
            <w:tcBorders>
              <w:top w:val="nil"/>
              <w:left w:val="nil"/>
              <w:bottom w:val="nil"/>
            </w:tcBorders>
            <w:noWrap/>
            <w:tcMar>
              <w:left w:w="0" w:type="dxa"/>
              <w:right w:w="0" w:type="dxa"/>
            </w:tcMar>
            <w:vAlign w:val="bottom"/>
          </w:tcPr>
          <w:p w:rsidR="00230CD9" w:rsidRPr="00E465A1" w:rsidRDefault="00230CD9" w:rsidP="00671883">
            <w:pPr>
              <w:pStyle w:val="Normaltabletextleft"/>
              <w:tabs>
                <w:tab w:val="left" w:pos="0"/>
              </w:tabs>
              <w:rPr>
                <w:color w:val="262626" w:themeColor="text1" w:themeTint="D9"/>
                <w:lang w:eastAsia="en-AU"/>
              </w:rPr>
            </w:pPr>
          </w:p>
        </w:tc>
        <w:tc>
          <w:tcPr>
            <w:tcW w:w="850" w:type="dxa"/>
            <w:tcBorders>
              <w:top w:val="nil"/>
              <w:bottom w:val="nil"/>
            </w:tcBorders>
            <w:noWrap/>
            <w:tcMar>
              <w:left w:w="0" w:type="dxa"/>
              <w:right w:w="0" w:type="dxa"/>
            </w:tcMar>
            <w:vAlign w:val="bottom"/>
          </w:tcPr>
          <w:p w:rsidR="00230CD9" w:rsidRPr="00E465A1" w:rsidRDefault="00230CD9" w:rsidP="00671883">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230CD9" w:rsidRPr="00E465A1" w:rsidRDefault="00153E41" w:rsidP="00671883">
            <w:pPr>
              <w:pStyle w:val="Normaltabletext1stpararight"/>
              <w:rPr>
                <w:b/>
                <w:color w:val="262626" w:themeColor="text1" w:themeTint="D9"/>
                <w:lang w:eastAsia="en-AU"/>
              </w:rPr>
            </w:pPr>
            <w:r w:rsidRPr="00E465A1">
              <w:rPr>
                <w:b/>
                <w:color w:val="262626" w:themeColor="text1" w:themeTint="D9"/>
                <w:lang w:eastAsia="en-AU"/>
              </w:rPr>
              <w:t>2018</w:t>
            </w:r>
          </w:p>
        </w:tc>
        <w:tc>
          <w:tcPr>
            <w:tcW w:w="283" w:type="dxa"/>
            <w:tcBorders>
              <w:top w:val="nil"/>
              <w:bottom w:val="nil"/>
            </w:tcBorders>
            <w:noWrap/>
          </w:tcPr>
          <w:p w:rsidR="00230CD9" w:rsidRPr="00E465A1" w:rsidRDefault="00230CD9" w:rsidP="00671883">
            <w:pPr>
              <w:pStyle w:val="Normaltabletextleft"/>
              <w:rPr>
                <w:color w:val="262626" w:themeColor="text1" w:themeTint="D9"/>
              </w:rPr>
            </w:pPr>
          </w:p>
        </w:tc>
        <w:tc>
          <w:tcPr>
            <w:tcW w:w="1134" w:type="dxa"/>
            <w:tcBorders>
              <w:top w:val="nil"/>
              <w:bottom w:val="nil"/>
              <w:right w:val="nil"/>
            </w:tcBorders>
            <w:shd w:val="clear" w:color="auto" w:fill="FFFFFF" w:themeFill="background1"/>
            <w:noWrap/>
            <w:tcMar>
              <w:left w:w="0" w:type="dxa"/>
              <w:right w:w="113" w:type="dxa"/>
            </w:tcMar>
            <w:vAlign w:val="bottom"/>
          </w:tcPr>
          <w:p w:rsidR="00230CD9" w:rsidRPr="00E465A1" w:rsidRDefault="00230CD9" w:rsidP="00C0567F">
            <w:pPr>
              <w:pStyle w:val="Normaltabletext1stpararight"/>
              <w:rPr>
                <w:b/>
                <w:color w:val="262626" w:themeColor="text1" w:themeTint="D9"/>
                <w:lang w:eastAsia="en-AU"/>
              </w:rPr>
            </w:pPr>
            <w:r w:rsidRPr="00E465A1">
              <w:rPr>
                <w:b/>
                <w:color w:val="262626" w:themeColor="text1" w:themeTint="D9"/>
                <w:lang w:eastAsia="en-AU"/>
              </w:rPr>
              <w:t>201</w:t>
            </w:r>
            <w:r w:rsidR="00153E41" w:rsidRPr="00E465A1">
              <w:rPr>
                <w:b/>
                <w:color w:val="262626" w:themeColor="text1" w:themeTint="D9"/>
                <w:lang w:eastAsia="en-AU"/>
              </w:rPr>
              <w:t>7</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230CD9" w:rsidRPr="00E465A1" w:rsidRDefault="00230CD9" w:rsidP="00671883">
            <w:pPr>
              <w:pStyle w:val="Normaltabletextleft"/>
              <w:tabs>
                <w:tab w:val="left" w:pos="0"/>
              </w:tabs>
              <w:rPr>
                <w:color w:val="262626" w:themeColor="text1" w:themeTint="D9"/>
                <w:lang w:eastAsia="en-AU"/>
              </w:rPr>
            </w:pPr>
          </w:p>
        </w:tc>
        <w:tc>
          <w:tcPr>
            <w:tcW w:w="850" w:type="dxa"/>
            <w:tcBorders>
              <w:top w:val="nil"/>
              <w:bottom w:val="nil"/>
            </w:tcBorders>
            <w:noWrap/>
            <w:tcMar>
              <w:left w:w="0" w:type="dxa"/>
              <w:right w:w="0" w:type="dxa"/>
            </w:tcMar>
            <w:vAlign w:val="bottom"/>
          </w:tcPr>
          <w:p w:rsidR="00230CD9" w:rsidRPr="00E465A1" w:rsidRDefault="00230CD9" w:rsidP="00671883">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230CD9" w:rsidRPr="00E465A1" w:rsidRDefault="00230CD9" w:rsidP="00671883">
            <w:pPr>
              <w:pStyle w:val="Normaltabletext1stpararight"/>
              <w:rPr>
                <w:color w:val="262626" w:themeColor="text1" w:themeTint="D9"/>
                <w:lang w:eastAsia="en-AU"/>
              </w:rPr>
            </w:pPr>
            <w:r w:rsidRPr="00E465A1">
              <w:rPr>
                <w:b/>
                <w:color w:val="262626" w:themeColor="text1" w:themeTint="D9"/>
                <w:lang w:eastAsia="en-AU"/>
              </w:rPr>
              <w:t>$’000</w:t>
            </w:r>
          </w:p>
        </w:tc>
        <w:tc>
          <w:tcPr>
            <w:tcW w:w="283" w:type="dxa"/>
            <w:tcBorders>
              <w:top w:val="nil"/>
              <w:bottom w:val="nil"/>
            </w:tcBorders>
            <w:noWrap/>
          </w:tcPr>
          <w:p w:rsidR="00230CD9" w:rsidRPr="00E465A1" w:rsidRDefault="00230CD9" w:rsidP="00671883">
            <w:pPr>
              <w:pStyle w:val="Normaltabletextleft"/>
              <w:rPr>
                <w:color w:val="262626" w:themeColor="text1" w:themeTint="D9"/>
              </w:rPr>
            </w:pPr>
          </w:p>
        </w:tc>
        <w:tc>
          <w:tcPr>
            <w:tcW w:w="1134" w:type="dxa"/>
            <w:tcBorders>
              <w:top w:val="nil"/>
              <w:bottom w:val="nil"/>
              <w:right w:val="nil"/>
            </w:tcBorders>
            <w:shd w:val="clear" w:color="auto" w:fill="FFFFFF" w:themeFill="background1"/>
            <w:noWrap/>
            <w:tcMar>
              <w:left w:w="0" w:type="dxa"/>
              <w:right w:w="113" w:type="dxa"/>
            </w:tcMar>
            <w:vAlign w:val="bottom"/>
          </w:tcPr>
          <w:p w:rsidR="00230CD9" w:rsidRPr="00E465A1" w:rsidRDefault="00230CD9" w:rsidP="00671883">
            <w:pPr>
              <w:pStyle w:val="Normaltabletext1stpararight"/>
              <w:rPr>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230CD9" w:rsidRPr="00E465A1" w:rsidRDefault="00230CD9" w:rsidP="00671883">
            <w:pPr>
              <w:pStyle w:val="Normaltabletextleft"/>
              <w:tabs>
                <w:tab w:val="left" w:pos="0"/>
              </w:tabs>
              <w:rPr>
                <w:color w:val="262626" w:themeColor="text1" w:themeTint="D9"/>
                <w:lang w:eastAsia="en-AU"/>
              </w:rPr>
            </w:pPr>
            <w:r w:rsidRPr="00E465A1">
              <w:rPr>
                <w:color w:val="262626" w:themeColor="text1" w:themeTint="D9"/>
                <w:lang w:eastAsia="en-AU"/>
              </w:rPr>
              <w:t xml:space="preserve">Software </w:t>
            </w:r>
          </w:p>
        </w:tc>
        <w:tc>
          <w:tcPr>
            <w:tcW w:w="850" w:type="dxa"/>
            <w:tcBorders>
              <w:top w:val="nil"/>
              <w:bottom w:val="nil"/>
            </w:tcBorders>
            <w:noWrap/>
            <w:tcMar>
              <w:left w:w="0" w:type="dxa"/>
              <w:right w:w="0" w:type="dxa"/>
            </w:tcMar>
            <w:vAlign w:val="bottom"/>
          </w:tcPr>
          <w:p w:rsidR="00230CD9" w:rsidRPr="00E465A1" w:rsidRDefault="00230CD9" w:rsidP="00671883">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230CD9" w:rsidRPr="00E465A1" w:rsidRDefault="00230CD9" w:rsidP="00671883">
            <w:pPr>
              <w:pStyle w:val="Normaltabletext1stpararight"/>
              <w:rPr>
                <w:color w:val="262626" w:themeColor="text1" w:themeTint="D9"/>
                <w:lang w:eastAsia="en-AU"/>
              </w:rPr>
            </w:pPr>
          </w:p>
        </w:tc>
        <w:tc>
          <w:tcPr>
            <w:tcW w:w="283" w:type="dxa"/>
            <w:tcBorders>
              <w:top w:val="nil"/>
              <w:bottom w:val="nil"/>
            </w:tcBorders>
            <w:noWrap/>
          </w:tcPr>
          <w:p w:rsidR="00230CD9" w:rsidRPr="00E465A1" w:rsidRDefault="00230CD9" w:rsidP="00671883">
            <w:pPr>
              <w:pStyle w:val="Normaltabletextleft"/>
              <w:rPr>
                <w:color w:val="262626" w:themeColor="text1" w:themeTint="D9"/>
              </w:rPr>
            </w:pPr>
          </w:p>
        </w:tc>
        <w:tc>
          <w:tcPr>
            <w:tcW w:w="1134" w:type="dxa"/>
            <w:tcBorders>
              <w:top w:val="nil"/>
              <w:bottom w:val="nil"/>
              <w:right w:val="nil"/>
            </w:tcBorders>
            <w:shd w:val="clear" w:color="auto" w:fill="FFFFFF" w:themeFill="background1"/>
            <w:noWrap/>
            <w:tcMar>
              <w:left w:w="0" w:type="dxa"/>
              <w:right w:w="113" w:type="dxa"/>
            </w:tcMar>
            <w:vAlign w:val="bottom"/>
          </w:tcPr>
          <w:p w:rsidR="00230CD9" w:rsidRPr="00E465A1" w:rsidRDefault="00230CD9" w:rsidP="00671883">
            <w:pPr>
              <w:pStyle w:val="Normaltabletext1stpara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153E41" w:rsidRPr="00E465A1" w:rsidRDefault="00153E41" w:rsidP="00153E41">
            <w:pPr>
              <w:pStyle w:val="Normaltabletextleft"/>
              <w:tabs>
                <w:tab w:val="left" w:pos="0"/>
              </w:tabs>
              <w:ind w:left="454"/>
              <w:rPr>
                <w:color w:val="262626" w:themeColor="text1" w:themeTint="D9"/>
                <w:lang w:eastAsia="en-AU"/>
              </w:rPr>
            </w:pPr>
            <w:r w:rsidRPr="00E465A1">
              <w:rPr>
                <w:color w:val="262626" w:themeColor="text1" w:themeTint="D9"/>
                <w:lang w:eastAsia="en-AU"/>
              </w:rPr>
              <w:t>At cost</w:t>
            </w:r>
          </w:p>
        </w:tc>
        <w:tc>
          <w:tcPr>
            <w:tcW w:w="850" w:type="dxa"/>
            <w:tcBorders>
              <w:top w:val="nil"/>
              <w:bottom w:val="nil"/>
            </w:tcBorders>
            <w:noWrap/>
            <w:tcMar>
              <w:left w:w="0" w:type="dxa"/>
              <w:right w:w="0" w:type="dxa"/>
            </w:tcMar>
            <w:vAlign w:val="bottom"/>
          </w:tcPr>
          <w:p w:rsidR="00153E41" w:rsidRPr="00E465A1" w:rsidRDefault="00153E41" w:rsidP="00153E41">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153E41" w:rsidRPr="00E465A1" w:rsidRDefault="00A31637" w:rsidP="001D5B17">
            <w:pPr>
              <w:pStyle w:val="Normaltabletext1stpararight"/>
              <w:rPr>
                <w:color w:val="262626" w:themeColor="text1" w:themeTint="D9"/>
                <w:lang w:eastAsia="en-AU"/>
              </w:rPr>
            </w:pPr>
            <w:r w:rsidRPr="00E465A1">
              <w:rPr>
                <w:color w:val="262626" w:themeColor="text1" w:themeTint="D9"/>
                <w:lang w:eastAsia="en-AU"/>
              </w:rPr>
              <w:t>1,035</w:t>
            </w:r>
          </w:p>
        </w:tc>
        <w:tc>
          <w:tcPr>
            <w:tcW w:w="283" w:type="dxa"/>
            <w:tcBorders>
              <w:top w:val="nil"/>
              <w:bottom w:val="nil"/>
            </w:tcBorders>
            <w:noWrap/>
          </w:tcPr>
          <w:p w:rsidR="00153E41" w:rsidRPr="00E465A1" w:rsidRDefault="00153E41" w:rsidP="00153E41">
            <w:pPr>
              <w:pStyle w:val="Normaltabletextleft"/>
              <w:rPr>
                <w:color w:val="262626" w:themeColor="text1" w:themeTint="D9"/>
              </w:rPr>
            </w:pPr>
          </w:p>
        </w:tc>
        <w:tc>
          <w:tcPr>
            <w:tcW w:w="1134" w:type="dxa"/>
            <w:tcBorders>
              <w:top w:val="nil"/>
              <w:bottom w:val="nil"/>
              <w:right w:val="nil"/>
            </w:tcBorders>
            <w:shd w:val="clear" w:color="auto" w:fill="FFFFFF" w:themeFill="background1"/>
            <w:noWrap/>
            <w:tcMar>
              <w:left w:w="0" w:type="dxa"/>
              <w:right w:w="113" w:type="dxa"/>
            </w:tcMar>
            <w:vAlign w:val="bottom"/>
          </w:tcPr>
          <w:p w:rsidR="00153E41" w:rsidRPr="00E465A1" w:rsidRDefault="00153E41" w:rsidP="00153E41">
            <w:pPr>
              <w:pStyle w:val="Normaltabletext1stpararight"/>
              <w:rPr>
                <w:color w:val="262626" w:themeColor="text1" w:themeTint="D9"/>
                <w:lang w:eastAsia="en-AU"/>
              </w:rPr>
            </w:pPr>
            <w:r w:rsidRPr="00E465A1">
              <w:rPr>
                <w:color w:val="262626" w:themeColor="text1" w:themeTint="D9"/>
                <w:lang w:eastAsia="en-AU"/>
              </w:rPr>
              <w:t>888</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153E41" w:rsidRPr="00E465A1" w:rsidRDefault="00153E41" w:rsidP="00153E41">
            <w:pPr>
              <w:pStyle w:val="Normaltabletextleft"/>
              <w:tabs>
                <w:tab w:val="left" w:pos="0"/>
              </w:tabs>
              <w:ind w:left="454"/>
              <w:rPr>
                <w:color w:val="262626" w:themeColor="text1" w:themeTint="D9"/>
                <w:lang w:eastAsia="en-AU"/>
              </w:rPr>
            </w:pPr>
            <w:r w:rsidRPr="00E465A1">
              <w:rPr>
                <w:color w:val="262626" w:themeColor="text1" w:themeTint="D9"/>
                <w:lang w:eastAsia="en-AU"/>
              </w:rPr>
              <w:t>Less: Accumulated amortisation</w:t>
            </w:r>
          </w:p>
        </w:tc>
        <w:tc>
          <w:tcPr>
            <w:tcW w:w="850" w:type="dxa"/>
            <w:tcBorders>
              <w:top w:val="nil"/>
              <w:bottom w:val="nil"/>
            </w:tcBorders>
            <w:noWrap/>
            <w:tcMar>
              <w:left w:w="0" w:type="dxa"/>
              <w:right w:w="0" w:type="dxa"/>
            </w:tcMar>
            <w:vAlign w:val="bottom"/>
          </w:tcPr>
          <w:p w:rsidR="00153E41" w:rsidRPr="00E465A1" w:rsidRDefault="00153E41" w:rsidP="00153E41">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vAlign w:val="bottom"/>
          </w:tcPr>
          <w:p w:rsidR="00153E41" w:rsidRPr="00E465A1" w:rsidRDefault="00565516" w:rsidP="00A31637">
            <w:pPr>
              <w:pStyle w:val="Normaltabletext1stpararight"/>
              <w:rPr>
                <w:color w:val="262626" w:themeColor="text1" w:themeTint="D9"/>
                <w:lang w:eastAsia="en-AU"/>
              </w:rPr>
            </w:pPr>
            <w:r w:rsidRPr="00E465A1">
              <w:rPr>
                <w:color w:val="262626" w:themeColor="text1" w:themeTint="D9"/>
                <w:lang w:eastAsia="en-AU"/>
              </w:rPr>
              <w:t xml:space="preserve"> </w:t>
            </w:r>
            <w:r w:rsidR="00C6570A" w:rsidRPr="00E465A1">
              <w:rPr>
                <w:color w:val="262626" w:themeColor="text1" w:themeTint="D9"/>
                <w:lang w:eastAsia="en-AU"/>
              </w:rPr>
              <w:t>(</w:t>
            </w:r>
            <w:r w:rsidR="00A31637" w:rsidRPr="00E465A1">
              <w:rPr>
                <w:color w:val="262626" w:themeColor="text1" w:themeTint="D9"/>
                <w:lang w:eastAsia="en-AU"/>
              </w:rPr>
              <w:t>700</w:t>
            </w:r>
            <w:r w:rsidR="00C6570A" w:rsidRPr="00E465A1">
              <w:rPr>
                <w:color w:val="262626" w:themeColor="text1" w:themeTint="D9"/>
                <w:lang w:eastAsia="en-AU"/>
              </w:rPr>
              <w:t>)</w:t>
            </w:r>
          </w:p>
        </w:tc>
        <w:tc>
          <w:tcPr>
            <w:tcW w:w="283" w:type="dxa"/>
            <w:tcBorders>
              <w:top w:val="nil"/>
              <w:bottom w:val="nil"/>
            </w:tcBorders>
            <w:noWrap/>
          </w:tcPr>
          <w:p w:rsidR="00153E41" w:rsidRPr="00E465A1" w:rsidRDefault="00153E41" w:rsidP="00153E41">
            <w:pPr>
              <w:pStyle w:val="Normaltabletextleft"/>
              <w:rPr>
                <w:color w:val="262626" w:themeColor="text1" w:themeTint="D9"/>
              </w:rPr>
            </w:pPr>
          </w:p>
        </w:tc>
        <w:tc>
          <w:tcPr>
            <w:tcW w:w="1134" w:type="dxa"/>
            <w:tcBorders>
              <w:top w:val="nil"/>
              <w:bottom w:val="single" w:sz="4" w:space="0" w:color="auto"/>
              <w:right w:val="nil"/>
            </w:tcBorders>
            <w:shd w:val="clear" w:color="auto" w:fill="FFFFFF" w:themeFill="background1"/>
            <w:noWrap/>
            <w:tcMar>
              <w:left w:w="0" w:type="dxa"/>
              <w:right w:w="113" w:type="dxa"/>
            </w:tcMar>
            <w:vAlign w:val="bottom"/>
          </w:tcPr>
          <w:p w:rsidR="00153E41" w:rsidRPr="00E465A1" w:rsidRDefault="00A31637" w:rsidP="00153E41">
            <w:pPr>
              <w:pStyle w:val="Normaltabletext1stpararight"/>
              <w:rPr>
                <w:color w:val="262626" w:themeColor="text1" w:themeTint="D9"/>
                <w:lang w:eastAsia="en-AU"/>
              </w:rPr>
            </w:pPr>
            <w:r w:rsidRPr="00E465A1">
              <w:rPr>
                <w:color w:val="262626" w:themeColor="text1" w:themeTint="D9"/>
                <w:lang w:eastAsia="en-AU"/>
              </w:rPr>
              <w:t xml:space="preserve">   </w:t>
            </w:r>
            <w:r w:rsidR="00153E41" w:rsidRPr="00E465A1">
              <w:rPr>
                <w:color w:val="262626" w:themeColor="text1" w:themeTint="D9"/>
                <w:lang w:eastAsia="en-AU"/>
              </w:rPr>
              <w:t>(612)</w:t>
            </w:r>
          </w:p>
        </w:tc>
      </w:tr>
      <w:tr w:rsidR="00E465A1" w:rsidRPr="00E465A1" w:rsidTr="00AD6577">
        <w:trPr>
          <w:trHeight w:val="20"/>
        </w:trPr>
        <w:tc>
          <w:tcPr>
            <w:tcW w:w="6803" w:type="dxa"/>
            <w:tcBorders>
              <w:top w:val="nil"/>
              <w:left w:val="nil"/>
              <w:bottom w:val="nil"/>
            </w:tcBorders>
            <w:noWrap/>
            <w:tcMar>
              <w:left w:w="0" w:type="dxa"/>
              <w:right w:w="0" w:type="dxa"/>
            </w:tcMar>
            <w:vAlign w:val="bottom"/>
          </w:tcPr>
          <w:p w:rsidR="00153E41" w:rsidRPr="00E465A1" w:rsidRDefault="00153E41" w:rsidP="00153E41">
            <w:pPr>
              <w:pStyle w:val="Normaltabletextleft"/>
              <w:tabs>
                <w:tab w:val="left" w:pos="0"/>
              </w:tabs>
              <w:rPr>
                <w:b/>
                <w:color w:val="262626" w:themeColor="text1" w:themeTint="D9"/>
                <w:lang w:eastAsia="en-AU"/>
              </w:rPr>
            </w:pPr>
            <w:r w:rsidRPr="00E465A1">
              <w:rPr>
                <w:b/>
                <w:color w:val="262626" w:themeColor="text1" w:themeTint="D9"/>
                <w:lang w:eastAsia="en-AU"/>
              </w:rPr>
              <w:t>Total</w:t>
            </w:r>
          </w:p>
        </w:tc>
        <w:tc>
          <w:tcPr>
            <w:tcW w:w="850" w:type="dxa"/>
            <w:tcBorders>
              <w:top w:val="nil"/>
              <w:bottom w:val="nil"/>
            </w:tcBorders>
            <w:noWrap/>
            <w:tcMar>
              <w:left w:w="0" w:type="dxa"/>
              <w:right w:w="0" w:type="dxa"/>
            </w:tcMar>
            <w:vAlign w:val="bottom"/>
          </w:tcPr>
          <w:p w:rsidR="00153E41" w:rsidRPr="00E465A1" w:rsidRDefault="00153E41" w:rsidP="00153E41">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153E41" w:rsidRPr="00E465A1" w:rsidRDefault="00A31637" w:rsidP="00153E41">
            <w:pPr>
              <w:pStyle w:val="Normaltabletext1stpararight"/>
              <w:rPr>
                <w:b/>
                <w:color w:val="262626" w:themeColor="text1" w:themeTint="D9"/>
                <w:lang w:eastAsia="en-AU"/>
              </w:rPr>
            </w:pPr>
            <w:r w:rsidRPr="00E465A1">
              <w:rPr>
                <w:b/>
                <w:color w:val="262626" w:themeColor="text1" w:themeTint="D9"/>
                <w:lang w:eastAsia="en-AU"/>
              </w:rPr>
              <w:t>335</w:t>
            </w:r>
          </w:p>
        </w:tc>
        <w:tc>
          <w:tcPr>
            <w:tcW w:w="283" w:type="dxa"/>
            <w:tcBorders>
              <w:top w:val="nil"/>
              <w:bottom w:val="nil"/>
            </w:tcBorders>
            <w:noWrap/>
          </w:tcPr>
          <w:p w:rsidR="00153E41" w:rsidRPr="00E465A1" w:rsidRDefault="00153E41" w:rsidP="00153E41">
            <w:pPr>
              <w:pStyle w:val="Normaltabletextleft"/>
              <w:rPr>
                <w:b/>
                <w:color w:val="262626" w:themeColor="text1" w:themeTint="D9"/>
              </w:rPr>
            </w:pPr>
          </w:p>
        </w:tc>
        <w:tc>
          <w:tcPr>
            <w:tcW w:w="1134" w:type="dxa"/>
            <w:tcBorders>
              <w:top w:val="single" w:sz="4" w:space="0" w:color="auto"/>
              <w:bottom w:val="double" w:sz="4" w:space="0" w:color="auto"/>
              <w:right w:val="nil"/>
            </w:tcBorders>
            <w:shd w:val="clear" w:color="auto" w:fill="FFFFFF" w:themeFill="background1"/>
            <w:noWrap/>
            <w:tcMar>
              <w:left w:w="0" w:type="dxa"/>
              <w:right w:w="113" w:type="dxa"/>
            </w:tcMar>
            <w:vAlign w:val="bottom"/>
          </w:tcPr>
          <w:p w:rsidR="00153E41" w:rsidRPr="00E465A1" w:rsidRDefault="00153E41" w:rsidP="00153E41">
            <w:pPr>
              <w:pStyle w:val="Normaltabletext1stpararight"/>
              <w:rPr>
                <w:b/>
                <w:color w:val="262626" w:themeColor="text1" w:themeTint="D9"/>
                <w:lang w:eastAsia="en-AU"/>
              </w:rPr>
            </w:pPr>
            <w:r w:rsidRPr="00E465A1">
              <w:rPr>
                <w:b/>
                <w:color w:val="262626" w:themeColor="text1" w:themeTint="D9"/>
                <w:lang w:eastAsia="en-AU"/>
              </w:rPr>
              <w:t>276</w:t>
            </w:r>
          </w:p>
        </w:tc>
      </w:tr>
      <w:tr w:rsidR="00E465A1" w:rsidRPr="00E465A1" w:rsidTr="00671883">
        <w:tblPrEx>
          <w:tblCellMar>
            <w:left w:w="0" w:type="dxa"/>
          </w:tblCellMar>
        </w:tblPrEx>
        <w:trPr>
          <w:trHeight w:val="20"/>
        </w:trPr>
        <w:tc>
          <w:tcPr>
            <w:tcW w:w="6803" w:type="dxa"/>
            <w:tcBorders>
              <w:top w:val="nil"/>
              <w:left w:val="nil"/>
              <w:bottom w:val="nil"/>
            </w:tcBorders>
            <w:noWrap/>
            <w:tcMar>
              <w:left w:w="0" w:type="dxa"/>
              <w:right w:w="0" w:type="dxa"/>
            </w:tcMar>
          </w:tcPr>
          <w:p w:rsidR="00153E41" w:rsidRPr="00E465A1" w:rsidRDefault="00153E41" w:rsidP="00153E41">
            <w:pPr>
              <w:pStyle w:val="Normaltabletextleft"/>
              <w:rPr>
                <w:color w:val="262626" w:themeColor="text1" w:themeTint="D9"/>
              </w:rPr>
            </w:pPr>
          </w:p>
        </w:tc>
        <w:tc>
          <w:tcPr>
            <w:tcW w:w="850" w:type="dxa"/>
            <w:tcBorders>
              <w:top w:val="nil"/>
              <w:bottom w:val="nil"/>
            </w:tcBorders>
            <w:noWrap/>
            <w:tcMar>
              <w:left w:w="0" w:type="dxa"/>
              <w:right w:w="0" w:type="dxa"/>
            </w:tcMar>
          </w:tcPr>
          <w:p w:rsidR="00153E41" w:rsidRPr="00E465A1" w:rsidRDefault="00153E41" w:rsidP="00153E41">
            <w:pPr>
              <w:pStyle w:val="Normaltabletextleft"/>
              <w:rPr>
                <w:b/>
                <w:color w:val="262626" w:themeColor="text1" w:themeTint="D9"/>
                <w:lang w:eastAsia="en-AU"/>
              </w:rPr>
            </w:pPr>
          </w:p>
        </w:tc>
        <w:tc>
          <w:tcPr>
            <w:tcW w:w="1134" w:type="dxa"/>
            <w:tcBorders>
              <w:top w:val="nil"/>
              <w:bottom w:val="nil"/>
            </w:tcBorders>
            <w:shd w:val="clear" w:color="auto" w:fill="auto"/>
            <w:noWrap/>
            <w:tcMar>
              <w:left w:w="0" w:type="dxa"/>
              <w:right w:w="113" w:type="dxa"/>
            </w:tcMar>
          </w:tcPr>
          <w:p w:rsidR="00153E41" w:rsidRPr="00E465A1" w:rsidRDefault="00153E41" w:rsidP="00153E41">
            <w:pPr>
              <w:pStyle w:val="Normaltabletextleft"/>
              <w:rPr>
                <w:color w:val="262626" w:themeColor="text1" w:themeTint="D9"/>
                <w:lang w:eastAsia="en-AU"/>
              </w:rPr>
            </w:pPr>
          </w:p>
        </w:tc>
        <w:tc>
          <w:tcPr>
            <w:tcW w:w="283" w:type="dxa"/>
            <w:tcBorders>
              <w:top w:val="nil"/>
              <w:bottom w:val="nil"/>
              <w:right w:val="nil"/>
            </w:tcBorders>
            <w:shd w:val="clear" w:color="auto" w:fill="auto"/>
            <w:noWrap/>
            <w:tcMar>
              <w:left w:w="0" w:type="dxa"/>
              <w:right w:w="113" w:type="dxa"/>
            </w:tcMar>
          </w:tcPr>
          <w:p w:rsidR="00153E41" w:rsidRPr="00E465A1" w:rsidRDefault="00153E41" w:rsidP="00153E41">
            <w:pPr>
              <w:pStyle w:val="Normaltabletextleft"/>
              <w:rPr>
                <w:color w:val="262626" w:themeColor="text1" w:themeTint="D9"/>
                <w:lang w:eastAsia="en-AU"/>
              </w:rPr>
            </w:pPr>
          </w:p>
        </w:tc>
        <w:tc>
          <w:tcPr>
            <w:tcW w:w="1134" w:type="dxa"/>
            <w:tcBorders>
              <w:top w:val="nil"/>
              <w:bottom w:val="nil"/>
              <w:right w:val="nil"/>
            </w:tcBorders>
            <w:shd w:val="clear" w:color="auto" w:fill="auto"/>
          </w:tcPr>
          <w:p w:rsidR="00153E41" w:rsidRPr="00E465A1" w:rsidRDefault="00153E41" w:rsidP="00153E41">
            <w:pPr>
              <w:pStyle w:val="Normaltabletextleft"/>
              <w:rPr>
                <w:color w:val="262626" w:themeColor="text1" w:themeTint="D9"/>
                <w:lang w:eastAsia="en-AU"/>
              </w:rPr>
            </w:pPr>
          </w:p>
        </w:tc>
      </w:tr>
    </w:tbl>
    <w:p w:rsidR="00230CD9" w:rsidRPr="00E465A1" w:rsidRDefault="00230CD9" w:rsidP="00230CD9">
      <w:pPr>
        <w:pStyle w:val="Normal1stpara"/>
        <w:rPr>
          <w:color w:val="262626" w:themeColor="text1" w:themeTint="D9"/>
          <w:lang w:eastAsia="en-AU"/>
        </w:rPr>
      </w:pPr>
      <w:r w:rsidRPr="00E465A1">
        <w:rPr>
          <w:color w:val="262626" w:themeColor="text1" w:themeTint="D9"/>
          <w:lang w:eastAsia="en-AU"/>
        </w:rPr>
        <w:t xml:space="preserve">The </w:t>
      </w:r>
      <w:r w:rsidR="00EC2665" w:rsidRPr="00E465A1">
        <w:rPr>
          <w:color w:val="262626" w:themeColor="text1" w:themeTint="D9"/>
          <w:lang w:eastAsia="en-AU"/>
        </w:rPr>
        <w:t>CCC</w:t>
      </w:r>
      <w:r w:rsidRPr="00E465A1">
        <w:rPr>
          <w:color w:val="262626" w:themeColor="text1" w:themeTint="D9"/>
          <w:lang w:eastAsia="en-AU"/>
        </w:rPr>
        <w:t>’s software comprises of an Electronic Document and Records Management System (EDRMS)</w:t>
      </w:r>
      <w:r w:rsidR="004903FD" w:rsidRPr="00E465A1">
        <w:rPr>
          <w:color w:val="262626" w:themeColor="text1" w:themeTint="D9"/>
          <w:lang w:eastAsia="en-AU"/>
        </w:rPr>
        <w:t xml:space="preserve">, </w:t>
      </w:r>
      <w:r w:rsidR="004B2C17" w:rsidRPr="00E465A1">
        <w:rPr>
          <w:color w:val="262626" w:themeColor="text1" w:themeTint="D9"/>
          <w:lang w:eastAsia="en-AU"/>
        </w:rPr>
        <w:t xml:space="preserve">a new </w:t>
      </w:r>
      <w:proofErr w:type="spellStart"/>
      <w:r w:rsidR="00B85FCF" w:rsidRPr="00E465A1">
        <w:rPr>
          <w:color w:val="262626" w:themeColor="text1" w:themeTint="D9"/>
          <w:lang w:eastAsia="en-AU"/>
        </w:rPr>
        <w:t>ICMS</w:t>
      </w:r>
      <w:proofErr w:type="spellEnd"/>
      <w:r w:rsidR="004903FD" w:rsidRPr="00E465A1">
        <w:rPr>
          <w:color w:val="262626" w:themeColor="text1" w:themeTint="D9"/>
          <w:lang w:eastAsia="en-AU"/>
        </w:rPr>
        <w:t xml:space="preserve"> that is currently being developed,</w:t>
      </w:r>
      <w:r w:rsidRPr="00E465A1">
        <w:rPr>
          <w:color w:val="262626" w:themeColor="text1" w:themeTint="D9"/>
          <w:lang w:eastAsia="en-AU"/>
        </w:rPr>
        <w:t xml:space="preserve"> and a Web Content and Intranet Management System.  </w:t>
      </w:r>
    </w:p>
    <w:p w:rsidR="00B0233E" w:rsidRPr="00E465A1" w:rsidRDefault="00B0233E" w:rsidP="00230CD9">
      <w:pPr>
        <w:pStyle w:val="Normal1stpara"/>
        <w:rPr>
          <w:color w:val="262626" w:themeColor="text1" w:themeTint="D9"/>
          <w:lang w:eastAsia="en-AU"/>
        </w:rPr>
      </w:pPr>
    </w:p>
    <w:p w:rsidR="00166031" w:rsidRPr="00E465A1" w:rsidRDefault="00166031" w:rsidP="00230CD9">
      <w:pPr>
        <w:pStyle w:val="Normal1stpara"/>
        <w:rPr>
          <w:color w:val="262626" w:themeColor="text1" w:themeTint="D9"/>
          <w:lang w:eastAsia="en-AU"/>
        </w:rPr>
      </w:pPr>
    </w:p>
    <w:tbl>
      <w:tblPr>
        <w:tblW w:w="10065" w:type="dxa"/>
        <w:tblLayout w:type="fixed"/>
        <w:tblLook w:val="04A0" w:firstRow="1" w:lastRow="0" w:firstColumn="1" w:lastColumn="0" w:noHBand="0" w:noVBand="1"/>
      </w:tblPr>
      <w:tblGrid>
        <w:gridCol w:w="2268"/>
        <w:gridCol w:w="426"/>
        <w:gridCol w:w="1275"/>
        <w:gridCol w:w="1276"/>
        <w:gridCol w:w="1134"/>
        <w:gridCol w:w="1134"/>
        <w:gridCol w:w="1276"/>
        <w:gridCol w:w="1276"/>
      </w:tblGrid>
      <w:tr w:rsidR="00E465A1" w:rsidRPr="00E465A1" w:rsidTr="00565516">
        <w:trPr>
          <w:trHeight w:val="340"/>
        </w:trPr>
        <w:tc>
          <w:tcPr>
            <w:tcW w:w="2268" w:type="dxa"/>
          </w:tcPr>
          <w:p w:rsidR="00166031" w:rsidRPr="00E465A1" w:rsidRDefault="00166031" w:rsidP="002409C8">
            <w:pPr>
              <w:spacing w:before="0" w:line="240" w:lineRule="auto"/>
              <w:rPr>
                <w:rFonts w:ascii="Arial" w:hAnsi="Arial" w:cs="Arial"/>
                <w:color w:val="262626" w:themeColor="text1" w:themeTint="D9"/>
                <w:sz w:val="18"/>
                <w:szCs w:val="18"/>
              </w:rPr>
            </w:pPr>
          </w:p>
        </w:tc>
        <w:tc>
          <w:tcPr>
            <w:tcW w:w="2977" w:type="dxa"/>
            <w:gridSpan w:val="3"/>
          </w:tcPr>
          <w:p w:rsidR="00166031" w:rsidRPr="00E465A1" w:rsidRDefault="00166031" w:rsidP="002409C8">
            <w:pPr>
              <w:spacing w:before="0" w:line="240" w:lineRule="auto"/>
              <w:jc w:val="center"/>
              <w:rPr>
                <w:rFonts w:ascii="Arial" w:hAnsi="Arial" w:cs="Arial"/>
                <w:color w:val="262626" w:themeColor="text1" w:themeTint="D9"/>
                <w:sz w:val="18"/>
                <w:szCs w:val="18"/>
              </w:rPr>
            </w:pPr>
          </w:p>
        </w:tc>
        <w:tc>
          <w:tcPr>
            <w:tcW w:w="2268" w:type="dxa"/>
            <w:gridSpan w:val="2"/>
          </w:tcPr>
          <w:p w:rsidR="00166031" w:rsidRPr="00E465A1" w:rsidRDefault="00166031" w:rsidP="002409C8">
            <w:pPr>
              <w:spacing w:before="0" w:line="240" w:lineRule="auto"/>
              <w:jc w:val="center"/>
              <w:rPr>
                <w:rFonts w:ascii="Arial" w:hAnsi="Arial" w:cs="Arial"/>
                <w:color w:val="262626" w:themeColor="text1" w:themeTint="D9"/>
                <w:sz w:val="18"/>
                <w:szCs w:val="18"/>
              </w:rPr>
            </w:pPr>
          </w:p>
        </w:tc>
        <w:tc>
          <w:tcPr>
            <w:tcW w:w="2552" w:type="dxa"/>
            <w:gridSpan w:val="2"/>
          </w:tcPr>
          <w:p w:rsidR="00166031" w:rsidRPr="00E465A1" w:rsidRDefault="00166031" w:rsidP="002409C8">
            <w:pPr>
              <w:spacing w:before="0" w:line="240" w:lineRule="auto"/>
              <w:jc w:val="center"/>
              <w:rPr>
                <w:rFonts w:ascii="Arial" w:hAnsi="Arial" w:cs="Arial"/>
                <w:color w:val="262626" w:themeColor="text1" w:themeTint="D9"/>
                <w:sz w:val="18"/>
                <w:szCs w:val="18"/>
              </w:rPr>
            </w:pPr>
          </w:p>
        </w:tc>
      </w:tr>
      <w:tr w:rsidR="00E465A1" w:rsidRPr="00E465A1" w:rsidTr="00565516">
        <w:trPr>
          <w:trHeight w:val="340"/>
        </w:trPr>
        <w:tc>
          <w:tcPr>
            <w:tcW w:w="5245" w:type="dxa"/>
            <w:gridSpan w:val="4"/>
            <w:tcBorders>
              <w:bottom w:val="single" w:sz="4" w:space="0" w:color="auto"/>
            </w:tcBorders>
          </w:tcPr>
          <w:p w:rsidR="00166031" w:rsidRPr="00E465A1" w:rsidRDefault="00166031" w:rsidP="00166031">
            <w:pPr>
              <w:spacing w:before="0" w:line="240" w:lineRule="auto"/>
              <w:rPr>
                <w:rFonts w:cs="Arial"/>
                <w:b/>
                <w:color w:val="262626" w:themeColor="text1" w:themeTint="D9"/>
              </w:rPr>
            </w:pPr>
            <w:r w:rsidRPr="00E465A1">
              <w:rPr>
                <w:rFonts w:cs="Arial"/>
                <w:b/>
                <w:color w:val="262626" w:themeColor="text1" w:themeTint="D9"/>
              </w:rPr>
              <w:t>Intangibles Reconciliation</w:t>
            </w:r>
          </w:p>
        </w:tc>
        <w:tc>
          <w:tcPr>
            <w:tcW w:w="2268" w:type="dxa"/>
            <w:gridSpan w:val="2"/>
            <w:tcBorders>
              <w:bottom w:val="single" w:sz="4" w:space="0" w:color="auto"/>
            </w:tcBorders>
          </w:tcPr>
          <w:p w:rsidR="00166031" w:rsidRPr="00E465A1" w:rsidRDefault="00166031" w:rsidP="002409C8">
            <w:pPr>
              <w:spacing w:before="0" w:line="240" w:lineRule="auto"/>
              <w:jc w:val="center"/>
              <w:rPr>
                <w:rFonts w:cs="Arial"/>
                <w:color w:val="262626" w:themeColor="text1" w:themeTint="D9"/>
              </w:rPr>
            </w:pPr>
          </w:p>
        </w:tc>
        <w:tc>
          <w:tcPr>
            <w:tcW w:w="2552" w:type="dxa"/>
            <w:gridSpan w:val="2"/>
            <w:tcBorders>
              <w:bottom w:val="single" w:sz="4" w:space="0" w:color="auto"/>
            </w:tcBorders>
          </w:tcPr>
          <w:p w:rsidR="00166031" w:rsidRPr="00E465A1" w:rsidRDefault="00166031" w:rsidP="002409C8">
            <w:pPr>
              <w:spacing w:before="0" w:line="240" w:lineRule="auto"/>
              <w:jc w:val="center"/>
              <w:rPr>
                <w:rFonts w:cs="Arial"/>
                <w:color w:val="262626" w:themeColor="text1" w:themeTint="D9"/>
              </w:rPr>
            </w:pPr>
          </w:p>
        </w:tc>
      </w:tr>
      <w:tr w:rsidR="00E465A1" w:rsidRPr="00E465A1" w:rsidTr="00565516">
        <w:tc>
          <w:tcPr>
            <w:tcW w:w="2694" w:type="dxa"/>
            <w:gridSpan w:val="2"/>
            <w:tcBorders>
              <w:right w:val="single" w:sz="4" w:space="0" w:color="auto"/>
            </w:tcBorders>
            <w:tcMar>
              <w:top w:w="57" w:type="dxa"/>
              <w:bottom w:w="57" w:type="dxa"/>
            </w:tcMar>
            <w:vAlign w:val="center"/>
          </w:tcPr>
          <w:p w:rsidR="00B0233E" w:rsidRPr="00E465A1" w:rsidRDefault="00B0233E" w:rsidP="002409C8">
            <w:pPr>
              <w:spacing w:before="0" w:line="240" w:lineRule="auto"/>
              <w:rPr>
                <w:rFonts w:cs="Arial"/>
                <w:b/>
                <w:color w:val="262626" w:themeColor="text1" w:themeTint="D9"/>
              </w:rPr>
            </w:pPr>
          </w:p>
        </w:tc>
        <w:tc>
          <w:tcPr>
            <w:tcW w:w="2551"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0233E" w:rsidRPr="00E465A1" w:rsidRDefault="00B0233E" w:rsidP="002409C8">
            <w:pPr>
              <w:spacing w:before="0" w:line="240" w:lineRule="auto"/>
              <w:jc w:val="center"/>
              <w:rPr>
                <w:rFonts w:cs="Arial"/>
                <w:b/>
                <w:color w:val="262626" w:themeColor="text1" w:themeTint="D9"/>
              </w:rPr>
            </w:pPr>
            <w:r w:rsidRPr="00E465A1">
              <w:rPr>
                <w:rFonts w:cs="Arial"/>
                <w:b/>
                <w:color w:val="262626" w:themeColor="text1" w:themeTint="D9"/>
              </w:rPr>
              <w:t>Software Purchased</w:t>
            </w:r>
          </w:p>
        </w:tc>
        <w:tc>
          <w:tcPr>
            <w:tcW w:w="226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B0233E" w:rsidRPr="00E465A1" w:rsidRDefault="00B0233E" w:rsidP="002409C8">
            <w:pPr>
              <w:spacing w:before="0" w:line="240" w:lineRule="auto"/>
              <w:jc w:val="center"/>
              <w:rPr>
                <w:rFonts w:cs="Arial"/>
                <w:b/>
                <w:color w:val="262626" w:themeColor="text1" w:themeTint="D9"/>
              </w:rPr>
            </w:pPr>
            <w:r w:rsidRPr="00E465A1">
              <w:rPr>
                <w:rFonts w:cs="Arial"/>
                <w:b/>
                <w:color w:val="262626" w:themeColor="text1" w:themeTint="D9"/>
              </w:rPr>
              <w:t>Software Work in Progress</w:t>
            </w:r>
          </w:p>
        </w:tc>
        <w:tc>
          <w:tcPr>
            <w:tcW w:w="2552" w:type="dxa"/>
            <w:gridSpan w:val="2"/>
            <w:tcBorders>
              <w:top w:val="single" w:sz="4" w:space="0" w:color="auto"/>
              <w:left w:val="single" w:sz="4" w:space="0" w:color="auto"/>
              <w:bottom w:val="single" w:sz="4" w:space="0" w:color="auto"/>
            </w:tcBorders>
            <w:tcMar>
              <w:top w:w="57" w:type="dxa"/>
              <w:bottom w:w="57" w:type="dxa"/>
            </w:tcMar>
            <w:vAlign w:val="center"/>
          </w:tcPr>
          <w:p w:rsidR="00B0233E" w:rsidRPr="00E465A1" w:rsidRDefault="00B0233E" w:rsidP="002409C8">
            <w:pPr>
              <w:spacing w:before="0" w:line="240" w:lineRule="auto"/>
              <w:jc w:val="center"/>
              <w:rPr>
                <w:rFonts w:cs="Arial"/>
                <w:b/>
                <w:color w:val="262626" w:themeColor="text1" w:themeTint="D9"/>
              </w:rPr>
            </w:pPr>
            <w:r w:rsidRPr="00E465A1">
              <w:rPr>
                <w:rFonts w:cs="Arial"/>
                <w:b/>
                <w:color w:val="262626" w:themeColor="text1" w:themeTint="D9"/>
              </w:rPr>
              <w:t>Total</w:t>
            </w:r>
          </w:p>
        </w:tc>
      </w:tr>
      <w:tr w:rsidR="00E465A1" w:rsidRPr="00E465A1" w:rsidTr="00AD6577">
        <w:tc>
          <w:tcPr>
            <w:tcW w:w="2694" w:type="dxa"/>
            <w:gridSpan w:val="2"/>
            <w:tcBorders>
              <w:right w:val="single" w:sz="4" w:space="0" w:color="auto"/>
            </w:tcBorders>
            <w:vAlign w:val="center"/>
          </w:tcPr>
          <w:p w:rsidR="00B0233E" w:rsidRPr="00E465A1" w:rsidRDefault="00B0233E" w:rsidP="002409C8">
            <w:pPr>
              <w:spacing w:before="0" w:line="240" w:lineRule="auto"/>
              <w:rPr>
                <w:rFonts w:cs="Arial"/>
                <w:color w:val="262626" w:themeColor="text1" w:themeTint="D9"/>
              </w:rPr>
            </w:pPr>
          </w:p>
        </w:tc>
        <w:tc>
          <w:tcPr>
            <w:tcW w:w="1275" w:type="dxa"/>
            <w:tcBorders>
              <w:top w:val="single" w:sz="4" w:space="0" w:color="auto"/>
              <w:left w:val="single" w:sz="4" w:space="0" w:color="auto"/>
            </w:tcBorders>
            <w:shd w:val="clear" w:color="auto" w:fill="FEE4B0"/>
            <w:tcMar>
              <w:top w:w="57" w:type="dxa"/>
              <w:left w:w="0" w:type="dxa"/>
              <w:bottom w:w="57" w:type="dxa"/>
            </w:tcMar>
            <w:vAlign w:val="center"/>
          </w:tcPr>
          <w:p w:rsidR="00B0233E" w:rsidRPr="00E465A1" w:rsidRDefault="00B0233E" w:rsidP="00B0233E">
            <w:pPr>
              <w:spacing w:before="0" w:line="240" w:lineRule="auto"/>
              <w:jc w:val="right"/>
              <w:rPr>
                <w:rFonts w:cs="Arial"/>
                <w:b/>
                <w:color w:val="262626" w:themeColor="text1" w:themeTint="D9"/>
              </w:rPr>
            </w:pPr>
            <w:r w:rsidRPr="00E465A1">
              <w:rPr>
                <w:rFonts w:cs="Arial"/>
                <w:b/>
                <w:color w:val="262626" w:themeColor="text1" w:themeTint="D9"/>
              </w:rPr>
              <w:t>2018</w:t>
            </w:r>
          </w:p>
        </w:tc>
        <w:tc>
          <w:tcPr>
            <w:tcW w:w="1276" w:type="dxa"/>
            <w:tcBorders>
              <w:top w:val="single" w:sz="4" w:space="0" w:color="auto"/>
              <w:right w:val="single" w:sz="4" w:space="0" w:color="auto"/>
            </w:tcBorders>
            <w:tcMar>
              <w:top w:w="57" w:type="dxa"/>
              <w:left w:w="0" w:type="dxa"/>
              <w:bottom w:w="57" w:type="dxa"/>
            </w:tcMar>
            <w:vAlign w:val="center"/>
          </w:tcPr>
          <w:p w:rsidR="00B0233E" w:rsidRPr="00E465A1" w:rsidRDefault="00B0233E" w:rsidP="00B0233E">
            <w:pPr>
              <w:spacing w:before="0" w:line="240" w:lineRule="auto"/>
              <w:jc w:val="right"/>
              <w:rPr>
                <w:rFonts w:cs="Arial"/>
                <w:b/>
                <w:color w:val="262626" w:themeColor="text1" w:themeTint="D9"/>
              </w:rPr>
            </w:pPr>
            <w:r w:rsidRPr="00E465A1">
              <w:rPr>
                <w:rFonts w:cs="Arial"/>
                <w:b/>
                <w:color w:val="262626" w:themeColor="text1" w:themeTint="D9"/>
              </w:rPr>
              <w:t>2017</w:t>
            </w:r>
          </w:p>
        </w:tc>
        <w:tc>
          <w:tcPr>
            <w:tcW w:w="1134" w:type="dxa"/>
            <w:tcBorders>
              <w:top w:val="single" w:sz="4" w:space="0" w:color="auto"/>
              <w:left w:val="single" w:sz="4" w:space="0" w:color="auto"/>
            </w:tcBorders>
            <w:shd w:val="clear" w:color="auto" w:fill="FEE4B0"/>
            <w:tcMar>
              <w:top w:w="57" w:type="dxa"/>
              <w:left w:w="0" w:type="dxa"/>
              <w:bottom w:w="57" w:type="dxa"/>
            </w:tcMar>
            <w:vAlign w:val="center"/>
          </w:tcPr>
          <w:p w:rsidR="00B0233E" w:rsidRPr="00E465A1" w:rsidRDefault="00B0233E" w:rsidP="00B0233E">
            <w:pPr>
              <w:spacing w:before="0" w:line="240" w:lineRule="auto"/>
              <w:jc w:val="right"/>
              <w:rPr>
                <w:rFonts w:cs="Arial"/>
                <w:b/>
                <w:color w:val="262626" w:themeColor="text1" w:themeTint="D9"/>
              </w:rPr>
            </w:pPr>
            <w:r w:rsidRPr="00E465A1">
              <w:rPr>
                <w:rFonts w:cs="Arial"/>
                <w:b/>
                <w:color w:val="262626" w:themeColor="text1" w:themeTint="D9"/>
              </w:rPr>
              <w:t>2018</w:t>
            </w:r>
          </w:p>
        </w:tc>
        <w:tc>
          <w:tcPr>
            <w:tcW w:w="1134" w:type="dxa"/>
            <w:tcBorders>
              <w:top w:val="single" w:sz="4" w:space="0" w:color="auto"/>
              <w:right w:val="single" w:sz="4" w:space="0" w:color="auto"/>
            </w:tcBorders>
            <w:tcMar>
              <w:top w:w="57" w:type="dxa"/>
              <w:left w:w="0" w:type="dxa"/>
              <w:bottom w:w="57" w:type="dxa"/>
            </w:tcMar>
            <w:vAlign w:val="center"/>
          </w:tcPr>
          <w:p w:rsidR="00B0233E" w:rsidRPr="00E465A1" w:rsidRDefault="00B0233E" w:rsidP="00B0233E">
            <w:pPr>
              <w:spacing w:before="0" w:line="240" w:lineRule="auto"/>
              <w:jc w:val="right"/>
              <w:rPr>
                <w:rFonts w:cs="Arial"/>
                <w:b/>
                <w:color w:val="262626" w:themeColor="text1" w:themeTint="D9"/>
              </w:rPr>
            </w:pPr>
            <w:r w:rsidRPr="00E465A1">
              <w:rPr>
                <w:rFonts w:cs="Arial"/>
                <w:b/>
                <w:color w:val="262626" w:themeColor="text1" w:themeTint="D9"/>
              </w:rPr>
              <w:t>2017</w:t>
            </w:r>
          </w:p>
        </w:tc>
        <w:tc>
          <w:tcPr>
            <w:tcW w:w="1276" w:type="dxa"/>
            <w:tcBorders>
              <w:top w:val="single" w:sz="4" w:space="0" w:color="auto"/>
              <w:left w:val="single" w:sz="4" w:space="0" w:color="auto"/>
            </w:tcBorders>
            <w:shd w:val="clear" w:color="auto" w:fill="FEE4B0"/>
            <w:tcMar>
              <w:top w:w="57" w:type="dxa"/>
              <w:left w:w="0" w:type="dxa"/>
              <w:bottom w:w="57" w:type="dxa"/>
            </w:tcMar>
            <w:vAlign w:val="center"/>
          </w:tcPr>
          <w:p w:rsidR="00B0233E" w:rsidRPr="00E465A1" w:rsidRDefault="00B0233E" w:rsidP="00B0233E">
            <w:pPr>
              <w:spacing w:before="0" w:line="240" w:lineRule="auto"/>
              <w:jc w:val="right"/>
              <w:rPr>
                <w:rFonts w:cs="Arial"/>
                <w:b/>
                <w:color w:val="262626" w:themeColor="text1" w:themeTint="D9"/>
              </w:rPr>
            </w:pPr>
            <w:r w:rsidRPr="00E465A1">
              <w:rPr>
                <w:rFonts w:cs="Arial"/>
                <w:b/>
                <w:color w:val="262626" w:themeColor="text1" w:themeTint="D9"/>
              </w:rPr>
              <w:t>2018</w:t>
            </w:r>
          </w:p>
        </w:tc>
        <w:tc>
          <w:tcPr>
            <w:tcW w:w="1276" w:type="dxa"/>
            <w:tcBorders>
              <w:top w:val="single" w:sz="4" w:space="0" w:color="auto"/>
            </w:tcBorders>
            <w:tcMar>
              <w:top w:w="57" w:type="dxa"/>
              <w:left w:w="0" w:type="dxa"/>
              <w:bottom w:w="57" w:type="dxa"/>
            </w:tcMar>
            <w:vAlign w:val="center"/>
          </w:tcPr>
          <w:p w:rsidR="00B0233E" w:rsidRPr="00E465A1" w:rsidRDefault="00B0233E" w:rsidP="00B0233E">
            <w:pPr>
              <w:spacing w:before="0" w:line="240" w:lineRule="auto"/>
              <w:jc w:val="right"/>
              <w:rPr>
                <w:rFonts w:cs="Arial"/>
                <w:b/>
                <w:color w:val="262626" w:themeColor="text1" w:themeTint="D9"/>
              </w:rPr>
            </w:pPr>
            <w:r w:rsidRPr="00E465A1">
              <w:rPr>
                <w:rFonts w:cs="Arial"/>
                <w:b/>
                <w:color w:val="262626" w:themeColor="text1" w:themeTint="D9"/>
              </w:rPr>
              <w:t>2017</w:t>
            </w:r>
          </w:p>
        </w:tc>
      </w:tr>
      <w:tr w:rsidR="00E465A1" w:rsidRPr="00E465A1" w:rsidTr="00AD6577">
        <w:tc>
          <w:tcPr>
            <w:tcW w:w="2694" w:type="dxa"/>
            <w:gridSpan w:val="2"/>
            <w:tcBorders>
              <w:bottom w:val="single" w:sz="4" w:space="0" w:color="auto"/>
              <w:right w:val="single" w:sz="4" w:space="0" w:color="auto"/>
            </w:tcBorders>
            <w:vAlign w:val="center"/>
          </w:tcPr>
          <w:p w:rsidR="00B0233E" w:rsidRPr="00E465A1" w:rsidRDefault="00B0233E" w:rsidP="002409C8">
            <w:pPr>
              <w:spacing w:before="0" w:line="240" w:lineRule="auto"/>
              <w:rPr>
                <w:rFonts w:cs="Arial"/>
                <w:color w:val="262626" w:themeColor="text1" w:themeTint="D9"/>
              </w:rPr>
            </w:pPr>
          </w:p>
        </w:tc>
        <w:tc>
          <w:tcPr>
            <w:tcW w:w="1275" w:type="dxa"/>
            <w:tcBorders>
              <w:left w:val="single" w:sz="4" w:space="0" w:color="auto"/>
              <w:bottom w:val="single" w:sz="4" w:space="0" w:color="auto"/>
            </w:tcBorders>
            <w:shd w:val="clear" w:color="auto" w:fill="FEE4B0"/>
            <w:tcMar>
              <w:top w:w="57" w:type="dxa"/>
              <w:left w:w="0" w:type="dxa"/>
              <w:bottom w:w="57" w:type="dxa"/>
            </w:tcMar>
            <w:vAlign w:val="center"/>
          </w:tcPr>
          <w:p w:rsidR="00B0233E" w:rsidRPr="00E465A1" w:rsidRDefault="00B0233E" w:rsidP="002409C8">
            <w:pPr>
              <w:spacing w:before="0" w:line="240" w:lineRule="auto"/>
              <w:jc w:val="right"/>
              <w:rPr>
                <w:rFonts w:cs="Arial"/>
                <w:b/>
                <w:color w:val="262626" w:themeColor="text1" w:themeTint="D9"/>
              </w:rPr>
            </w:pPr>
            <w:r w:rsidRPr="00E465A1">
              <w:rPr>
                <w:rFonts w:cs="Arial"/>
                <w:b/>
                <w:color w:val="262626" w:themeColor="text1" w:themeTint="D9"/>
              </w:rPr>
              <w:t>$’000</w:t>
            </w:r>
          </w:p>
        </w:tc>
        <w:tc>
          <w:tcPr>
            <w:tcW w:w="1276" w:type="dxa"/>
            <w:tcBorders>
              <w:bottom w:val="single" w:sz="4" w:space="0" w:color="auto"/>
              <w:right w:val="single" w:sz="4" w:space="0" w:color="auto"/>
            </w:tcBorders>
            <w:tcMar>
              <w:top w:w="57" w:type="dxa"/>
              <w:left w:w="0" w:type="dxa"/>
              <w:bottom w:w="57" w:type="dxa"/>
            </w:tcMar>
            <w:vAlign w:val="center"/>
          </w:tcPr>
          <w:p w:rsidR="00B0233E" w:rsidRPr="00E465A1" w:rsidRDefault="00B0233E" w:rsidP="002409C8">
            <w:pPr>
              <w:spacing w:before="0" w:line="240" w:lineRule="auto"/>
              <w:jc w:val="right"/>
              <w:rPr>
                <w:rFonts w:cs="Arial"/>
                <w:b/>
                <w:color w:val="262626" w:themeColor="text1" w:themeTint="D9"/>
              </w:rPr>
            </w:pPr>
            <w:r w:rsidRPr="00E465A1">
              <w:rPr>
                <w:rFonts w:cs="Arial"/>
                <w:b/>
                <w:color w:val="262626" w:themeColor="text1" w:themeTint="D9"/>
              </w:rPr>
              <w:t>$’000</w:t>
            </w:r>
          </w:p>
        </w:tc>
        <w:tc>
          <w:tcPr>
            <w:tcW w:w="1134" w:type="dxa"/>
            <w:tcBorders>
              <w:left w:val="single" w:sz="4" w:space="0" w:color="auto"/>
              <w:bottom w:val="single" w:sz="4" w:space="0" w:color="auto"/>
            </w:tcBorders>
            <w:shd w:val="clear" w:color="auto" w:fill="FEE4B0"/>
            <w:tcMar>
              <w:top w:w="57" w:type="dxa"/>
              <w:left w:w="0" w:type="dxa"/>
              <w:bottom w:w="57" w:type="dxa"/>
            </w:tcMar>
            <w:vAlign w:val="center"/>
          </w:tcPr>
          <w:p w:rsidR="00B0233E" w:rsidRPr="00E465A1" w:rsidRDefault="00B0233E" w:rsidP="002409C8">
            <w:pPr>
              <w:spacing w:before="0" w:line="240" w:lineRule="auto"/>
              <w:jc w:val="right"/>
              <w:rPr>
                <w:rFonts w:cs="Arial"/>
                <w:b/>
                <w:color w:val="262626" w:themeColor="text1" w:themeTint="D9"/>
              </w:rPr>
            </w:pPr>
            <w:r w:rsidRPr="00E465A1">
              <w:rPr>
                <w:rFonts w:cs="Arial"/>
                <w:b/>
                <w:color w:val="262626" w:themeColor="text1" w:themeTint="D9"/>
              </w:rPr>
              <w:t>$’000</w:t>
            </w:r>
          </w:p>
        </w:tc>
        <w:tc>
          <w:tcPr>
            <w:tcW w:w="1134" w:type="dxa"/>
            <w:tcBorders>
              <w:bottom w:val="single" w:sz="4" w:space="0" w:color="auto"/>
              <w:right w:val="single" w:sz="4" w:space="0" w:color="auto"/>
            </w:tcBorders>
            <w:tcMar>
              <w:top w:w="57" w:type="dxa"/>
              <w:left w:w="0" w:type="dxa"/>
              <w:bottom w:w="57" w:type="dxa"/>
            </w:tcMar>
            <w:vAlign w:val="center"/>
          </w:tcPr>
          <w:p w:rsidR="00B0233E" w:rsidRPr="00E465A1" w:rsidRDefault="00B0233E" w:rsidP="002409C8">
            <w:pPr>
              <w:spacing w:before="0" w:line="240" w:lineRule="auto"/>
              <w:jc w:val="right"/>
              <w:rPr>
                <w:rFonts w:cs="Arial"/>
                <w:b/>
                <w:color w:val="262626" w:themeColor="text1" w:themeTint="D9"/>
              </w:rPr>
            </w:pPr>
            <w:r w:rsidRPr="00E465A1">
              <w:rPr>
                <w:rFonts w:cs="Arial"/>
                <w:b/>
                <w:color w:val="262626" w:themeColor="text1" w:themeTint="D9"/>
              </w:rPr>
              <w:t>$’000</w:t>
            </w:r>
          </w:p>
        </w:tc>
        <w:tc>
          <w:tcPr>
            <w:tcW w:w="1276" w:type="dxa"/>
            <w:tcBorders>
              <w:left w:val="single" w:sz="4" w:space="0" w:color="auto"/>
              <w:bottom w:val="single" w:sz="4" w:space="0" w:color="auto"/>
            </w:tcBorders>
            <w:shd w:val="clear" w:color="auto" w:fill="FEE4B0"/>
            <w:tcMar>
              <w:top w:w="57" w:type="dxa"/>
              <w:left w:w="0" w:type="dxa"/>
              <w:bottom w:w="57" w:type="dxa"/>
            </w:tcMar>
            <w:vAlign w:val="center"/>
          </w:tcPr>
          <w:p w:rsidR="00B0233E" w:rsidRPr="00E465A1" w:rsidRDefault="00B0233E" w:rsidP="002409C8">
            <w:pPr>
              <w:spacing w:before="0" w:line="240" w:lineRule="auto"/>
              <w:jc w:val="right"/>
              <w:rPr>
                <w:rFonts w:cs="Arial"/>
                <w:b/>
                <w:color w:val="262626" w:themeColor="text1" w:themeTint="D9"/>
              </w:rPr>
            </w:pPr>
            <w:r w:rsidRPr="00E465A1">
              <w:rPr>
                <w:rFonts w:cs="Arial"/>
                <w:b/>
                <w:color w:val="262626" w:themeColor="text1" w:themeTint="D9"/>
              </w:rPr>
              <w:t>$’000</w:t>
            </w:r>
          </w:p>
        </w:tc>
        <w:tc>
          <w:tcPr>
            <w:tcW w:w="1276" w:type="dxa"/>
            <w:tcBorders>
              <w:bottom w:val="single" w:sz="4" w:space="0" w:color="auto"/>
            </w:tcBorders>
            <w:tcMar>
              <w:top w:w="57" w:type="dxa"/>
              <w:left w:w="0" w:type="dxa"/>
              <w:bottom w:w="57" w:type="dxa"/>
            </w:tcMar>
            <w:vAlign w:val="center"/>
          </w:tcPr>
          <w:p w:rsidR="00B0233E" w:rsidRPr="00E465A1" w:rsidRDefault="00B0233E" w:rsidP="002409C8">
            <w:pPr>
              <w:spacing w:before="0" w:line="240" w:lineRule="auto"/>
              <w:jc w:val="right"/>
              <w:rPr>
                <w:rFonts w:cs="Arial"/>
                <w:b/>
                <w:color w:val="262626" w:themeColor="text1" w:themeTint="D9"/>
              </w:rPr>
            </w:pPr>
            <w:r w:rsidRPr="00E465A1">
              <w:rPr>
                <w:rFonts w:cs="Arial"/>
                <w:b/>
                <w:color w:val="262626" w:themeColor="text1" w:themeTint="D9"/>
              </w:rPr>
              <w:t>$’000</w:t>
            </w:r>
          </w:p>
        </w:tc>
      </w:tr>
      <w:tr w:rsidR="00E465A1" w:rsidRPr="00E465A1" w:rsidTr="00AD6577">
        <w:tc>
          <w:tcPr>
            <w:tcW w:w="2694" w:type="dxa"/>
            <w:gridSpan w:val="2"/>
            <w:tcBorders>
              <w:top w:val="single" w:sz="4" w:space="0" w:color="auto"/>
              <w:right w:val="single" w:sz="4" w:space="0" w:color="auto"/>
            </w:tcBorders>
            <w:vAlign w:val="center"/>
          </w:tcPr>
          <w:p w:rsidR="00B0233E" w:rsidRPr="00E465A1" w:rsidRDefault="00B0233E" w:rsidP="002409C8">
            <w:pPr>
              <w:spacing w:before="0" w:line="240" w:lineRule="auto"/>
              <w:rPr>
                <w:rFonts w:cs="Arial"/>
                <w:color w:val="262626" w:themeColor="text1" w:themeTint="D9"/>
              </w:rPr>
            </w:pPr>
          </w:p>
        </w:tc>
        <w:tc>
          <w:tcPr>
            <w:tcW w:w="1275" w:type="dxa"/>
            <w:tcBorders>
              <w:top w:val="single" w:sz="4" w:space="0" w:color="auto"/>
              <w:left w:val="single" w:sz="4" w:space="0" w:color="auto"/>
            </w:tcBorders>
            <w:shd w:val="clear" w:color="auto" w:fill="FEE4B0"/>
            <w:tcMar>
              <w:left w:w="0" w:type="dxa"/>
            </w:tcMar>
            <w:vAlign w:val="center"/>
          </w:tcPr>
          <w:p w:rsidR="00B0233E" w:rsidRPr="00E465A1" w:rsidRDefault="00B0233E" w:rsidP="002409C8">
            <w:pPr>
              <w:spacing w:before="0" w:line="240" w:lineRule="auto"/>
              <w:jc w:val="center"/>
              <w:rPr>
                <w:rFonts w:cs="Arial"/>
                <w:b/>
                <w:color w:val="262626" w:themeColor="text1" w:themeTint="D9"/>
              </w:rPr>
            </w:pPr>
          </w:p>
        </w:tc>
        <w:tc>
          <w:tcPr>
            <w:tcW w:w="1276" w:type="dxa"/>
            <w:tcBorders>
              <w:top w:val="single" w:sz="4" w:space="0" w:color="auto"/>
              <w:right w:val="single" w:sz="4" w:space="0" w:color="auto"/>
            </w:tcBorders>
            <w:tcMar>
              <w:left w:w="0" w:type="dxa"/>
            </w:tcMar>
            <w:vAlign w:val="center"/>
          </w:tcPr>
          <w:p w:rsidR="00B0233E" w:rsidRPr="00E465A1" w:rsidRDefault="00B0233E" w:rsidP="002409C8">
            <w:pPr>
              <w:spacing w:before="0" w:line="240" w:lineRule="auto"/>
              <w:rPr>
                <w:rFonts w:cs="Arial"/>
                <w:color w:val="262626" w:themeColor="text1" w:themeTint="D9"/>
              </w:rPr>
            </w:pPr>
          </w:p>
        </w:tc>
        <w:tc>
          <w:tcPr>
            <w:tcW w:w="1134" w:type="dxa"/>
            <w:tcBorders>
              <w:top w:val="single" w:sz="4" w:space="0" w:color="auto"/>
              <w:left w:val="single" w:sz="4" w:space="0" w:color="auto"/>
            </w:tcBorders>
            <w:shd w:val="clear" w:color="auto" w:fill="FEE4B0"/>
            <w:tcMar>
              <w:left w:w="0" w:type="dxa"/>
            </w:tcMar>
            <w:vAlign w:val="center"/>
          </w:tcPr>
          <w:p w:rsidR="00B0233E" w:rsidRPr="00E465A1" w:rsidRDefault="00B0233E" w:rsidP="002409C8">
            <w:pPr>
              <w:spacing w:before="0" w:line="240" w:lineRule="auto"/>
              <w:rPr>
                <w:rFonts w:cs="Arial"/>
                <w:color w:val="262626" w:themeColor="text1" w:themeTint="D9"/>
              </w:rPr>
            </w:pPr>
          </w:p>
        </w:tc>
        <w:tc>
          <w:tcPr>
            <w:tcW w:w="1134" w:type="dxa"/>
            <w:tcBorders>
              <w:top w:val="single" w:sz="4" w:space="0" w:color="auto"/>
              <w:right w:val="single" w:sz="4" w:space="0" w:color="auto"/>
            </w:tcBorders>
            <w:tcMar>
              <w:left w:w="0" w:type="dxa"/>
            </w:tcMar>
            <w:vAlign w:val="center"/>
          </w:tcPr>
          <w:p w:rsidR="00B0233E" w:rsidRPr="00E465A1" w:rsidRDefault="00B0233E" w:rsidP="002409C8">
            <w:pPr>
              <w:spacing w:before="0" w:line="240" w:lineRule="auto"/>
              <w:rPr>
                <w:rFonts w:cs="Arial"/>
                <w:color w:val="262626" w:themeColor="text1" w:themeTint="D9"/>
              </w:rPr>
            </w:pPr>
          </w:p>
        </w:tc>
        <w:tc>
          <w:tcPr>
            <w:tcW w:w="1276" w:type="dxa"/>
            <w:tcBorders>
              <w:top w:val="single" w:sz="4" w:space="0" w:color="auto"/>
              <w:left w:val="single" w:sz="4" w:space="0" w:color="auto"/>
            </w:tcBorders>
            <w:shd w:val="clear" w:color="auto" w:fill="FEE4B0"/>
            <w:tcMar>
              <w:left w:w="0" w:type="dxa"/>
            </w:tcMar>
            <w:vAlign w:val="center"/>
          </w:tcPr>
          <w:p w:rsidR="00B0233E" w:rsidRPr="00E465A1" w:rsidRDefault="00B0233E" w:rsidP="002409C8">
            <w:pPr>
              <w:spacing w:before="0" w:line="240" w:lineRule="auto"/>
              <w:jc w:val="center"/>
              <w:rPr>
                <w:rFonts w:cs="Arial"/>
                <w:b/>
                <w:color w:val="262626" w:themeColor="text1" w:themeTint="D9"/>
              </w:rPr>
            </w:pPr>
          </w:p>
        </w:tc>
        <w:tc>
          <w:tcPr>
            <w:tcW w:w="1276" w:type="dxa"/>
            <w:tcBorders>
              <w:top w:val="single" w:sz="4" w:space="0" w:color="auto"/>
            </w:tcBorders>
            <w:tcMar>
              <w:left w:w="0" w:type="dxa"/>
            </w:tcMar>
            <w:vAlign w:val="center"/>
          </w:tcPr>
          <w:p w:rsidR="00B0233E" w:rsidRPr="00E465A1" w:rsidRDefault="00B0233E" w:rsidP="002409C8">
            <w:pPr>
              <w:spacing w:before="0" w:line="240" w:lineRule="auto"/>
              <w:rPr>
                <w:rFonts w:cs="Arial"/>
                <w:color w:val="262626" w:themeColor="text1" w:themeTint="D9"/>
              </w:rPr>
            </w:pPr>
          </w:p>
        </w:tc>
      </w:tr>
      <w:tr w:rsidR="00E465A1" w:rsidRPr="00E465A1" w:rsidTr="00AD6577">
        <w:trPr>
          <w:trHeight w:val="340"/>
        </w:trPr>
        <w:tc>
          <w:tcPr>
            <w:tcW w:w="2694" w:type="dxa"/>
            <w:gridSpan w:val="2"/>
            <w:tcBorders>
              <w:right w:val="single" w:sz="4" w:space="0" w:color="auto"/>
            </w:tcBorders>
            <w:tcMar>
              <w:bottom w:w="113" w:type="dxa"/>
            </w:tcMar>
            <w:vAlign w:val="center"/>
          </w:tcPr>
          <w:p w:rsidR="00B0233E" w:rsidRPr="00E465A1" w:rsidRDefault="00B0233E" w:rsidP="00B0233E">
            <w:pPr>
              <w:spacing w:before="0" w:line="240" w:lineRule="auto"/>
              <w:rPr>
                <w:rFonts w:cs="Arial"/>
                <w:color w:val="262626" w:themeColor="text1" w:themeTint="D9"/>
              </w:rPr>
            </w:pPr>
            <w:r w:rsidRPr="00E465A1">
              <w:rPr>
                <w:rFonts w:cs="Arial"/>
                <w:color w:val="262626" w:themeColor="text1" w:themeTint="D9"/>
              </w:rPr>
              <w:t xml:space="preserve">Carrying amount at 1 July </w:t>
            </w:r>
          </w:p>
        </w:tc>
        <w:tc>
          <w:tcPr>
            <w:tcW w:w="1275" w:type="dxa"/>
            <w:tcBorders>
              <w:left w:val="single" w:sz="4" w:space="0" w:color="auto"/>
            </w:tcBorders>
            <w:shd w:val="clear" w:color="auto" w:fill="FEE4B0"/>
            <w:tcMar>
              <w:left w:w="0" w:type="dxa"/>
              <w:bottom w:w="113" w:type="dxa"/>
            </w:tcMar>
            <w:vAlign w:val="center"/>
          </w:tcPr>
          <w:p w:rsidR="00B0233E" w:rsidRPr="00E465A1" w:rsidRDefault="007A1A54" w:rsidP="00B0233E">
            <w:pPr>
              <w:spacing w:before="0" w:line="240" w:lineRule="auto"/>
              <w:jc w:val="right"/>
              <w:rPr>
                <w:rFonts w:cs="Arial"/>
                <w:color w:val="262626" w:themeColor="text1" w:themeTint="D9"/>
              </w:rPr>
            </w:pPr>
            <w:r w:rsidRPr="00E465A1">
              <w:rPr>
                <w:rFonts w:cs="Arial"/>
                <w:color w:val="262626" w:themeColor="text1" w:themeTint="D9"/>
              </w:rPr>
              <w:t>276</w:t>
            </w:r>
            <w:r w:rsidR="00B0233E" w:rsidRPr="00E465A1">
              <w:rPr>
                <w:rFonts w:cs="Arial"/>
                <w:color w:val="262626" w:themeColor="text1" w:themeTint="D9"/>
              </w:rPr>
              <w:t xml:space="preserve">                 </w:t>
            </w:r>
          </w:p>
        </w:tc>
        <w:tc>
          <w:tcPr>
            <w:tcW w:w="1276" w:type="dxa"/>
            <w:tcBorders>
              <w:right w:val="single" w:sz="4" w:space="0" w:color="auto"/>
            </w:tcBorders>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rPr>
            </w:pPr>
            <w:r w:rsidRPr="00E465A1">
              <w:rPr>
                <w:rFonts w:cs="Arial"/>
                <w:b/>
                <w:color w:val="262626" w:themeColor="text1" w:themeTint="D9"/>
              </w:rPr>
              <w:t xml:space="preserve">                </w:t>
            </w:r>
            <w:r w:rsidRPr="00E465A1">
              <w:rPr>
                <w:rFonts w:cs="Arial"/>
                <w:color w:val="262626" w:themeColor="text1" w:themeTint="D9"/>
              </w:rPr>
              <w:t>301</w:t>
            </w:r>
          </w:p>
        </w:tc>
        <w:tc>
          <w:tcPr>
            <w:tcW w:w="1134" w:type="dxa"/>
            <w:tcBorders>
              <w:left w:val="single" w:sz="4" w:space="0" w:color="auto"/>
            </w:tcBorders>
            <w:shd w:val="clear" w:color="auto" w:fill="FEE4B0"/>
            <w:tcMar>
              <w:left w:w="0" w:type="dxa"/>
              <w:bottom w:w="113" w:type="dxa"/>
            </w:tcMar>
            <w:vAlign w:val="center"/>
          </w:tcPr>
          <w:p w:rsidR="00B0233E" w:rsidRPr="00E465A1" w:rsidRDefault="00565516" w:rsidP="00565516">
            <w:pPr>
              <w:spacing w:before="0" w:line="240" w:lineRule="auto"/>
              <w:jc w:val="right"/>
              <w:rPr>
                <w:rFonts w:cs="Arial"/>
                <w:color w:val="262626" w:themeColor="text1" w:themeTint="D9"/>
              </w:rPr>
            </w:pPr>
            <w:r w:rsidRPr="00E465A1">
              <w:rPr>
                <w:rFonts w:cs="Arial"/>
                <w:color w:val="262626" w:themeColor="text1" w:themeTint="D9"/>
                <w:lang w:eastAsia="en-AU"/>
              </w:rPr>
              <w:t>–</w:t>
            </w:r>
          </w:p>
        </w:tc>
        <w:tc>
          <w:tcPr>
            <w:tcW w:w="1134" w:type="dxa"/>
            <w:tcBorders>
              <w:right w:val="single" w:sz="4" w:space="0" w:color="auto"/>
            </w:tcBorders>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rPr>
            </w:pPr>
            <w:r w:rsidRPr="00E465A1">
              <w:rPr>
                <w:rFonts w:cs="Arial"/>
                <w:color w:val="262626" w:themeColor="text1" w:themeTint="D9"/>
                <w:lang w:eastAsia="en-AU"/>
              </w:rPr>
              <w:t xml:space="preserve">                 –</w:t>
            </w:r>
          </w:p>
        </w:tc>
        <w:tc>
          <w:tcPr>
            <w:tcW w:w="1276" w:type="dxa"/>
            <w:tcBorders>
              <w:left w:val="single" w:sz="4" w:space="0" w:color="auto"/>
            </w:tcBorders>
            <w:shd w:val="clear" w:color="auto" w:fill="FEE4B0"/>
            <w:tcMar>
              <w:left w:w="0" w:type="dxa"/>
              <w:bottom w:w="113" w:type="dxa"/>
            </w:tcMar>
            <w:vAlign w:val="center"/>
          </w:tcPr>
          <w:p w:rsidR="00B0233E" w:rsidRPr="00E465A1" w:rsidRDefault="007A1A54" w:rsidP="00B0233E">
            <w:pPr>
              <w:spacing w:before="0" w:line="240" w:lineRule="auto"/>
              <w:jc w:val="right"/>
              <w:rPr>
                <w:rFonts w:cs="Arial"/>
                <w:color w:val="262626" w:themeColor="text1" w:themeTint="D9"/>
              </w:rPr>
            </w:pPr>
            <w:r w:rsidRPr="00E465A1">
              <w:rPr>
                <w:rFonts w:cs="Arial"/>
                <w:color w:val="262626" w:themeColor="text1" w:themeTint="D9"/>
              </w:rPr>
              <w:t>276</w:t>
            </w:r>
          </w:p>
        </w:tc>
        <w:tc>
          <w:tcPr>
            <w:tcW w:w="1276" w:type="dxa"/>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rPr>
            </w:pPr>
            <w:r w:rsidRPr="00E465A1">
              <w:rPr>
                <w:rFonts w:cs="Arial"/>
                <w:b/>
                <w:color w:val="262626" w:themeColor="text1" w:themeTint="D9"/>
              </w:rPr>
              <w:t xml:space="preserve">                </w:t>
            </w:r>
            <w:r w:rsidRPr="00E465A1">
              <w:rPr>
                <w:rFonts w:cs="Arial"/>
                <w:color w:val="262626" w:themeColor="text1" w:themeTint="D9"/>
              </w:rPr>
              <w:t>301</w:t>
            </w:r>
          </w:p>
        </w:tc>
      </w:tr>
      <w:tr w:rsidR="00E465A1" w:rsidRPr="00E465A1" w:rsidTr="00AD6577">
        <w:trPr>
          <w:trHeight w:val="340"/>
        </w:trPr>
        <w:tc>
          <w:tcPr>
            <w:tcW w:w="2694" w:type="dxa"/>
            <w:gridSpan w:val="2"/>
            <w:tcBorders>
              <w:right w:val="single" w:sz="4" w:space="0" w:color="auto"/>
            </w:tcBorders>
            <w:tcMar>
              <w:bottom w:w="113" w:type="dxa"/>
            </w:tcMar>
            <w:vAlign w:val="center"/>
          </w:tcPr>
          <w:p w:rsidR="00B0233E" w:rsidRPr="00E465A1" w:rsidRDefault="00B0233E" w:rsidP="00B0233E">
            <w:pPr>
              <w:spacing w:before="0" w:line="240" w:lineRule="auto"/>
              <w:rPr>
                <w:rFonts w:cs="Arial"/>
                <w:color w:val="262626" w:themeColor="text1" w:themeTint="D9"/>
              </w:rPr>
            </w:pPr>
            <w:r w:rsidRPr="00E465A1">
              <w:rPr>
                <w:rFonts w:cs="Arial"/>
                <w:color w:val="262626" w:themeColor="text1" w:themeTint="D9"/>
              </w:rPr>
              <w:t>Acquisitions</w:t>
            </w:r>
          </w:p>
        </w:tc>
        <w:tc>
          <w:tcPr>
            <w:tcW w:w="1275" w:type="dxa"/>
            <w:tcBorders>
              <w:left w:val="single" w:sz="4" w:space="0" w:color="auto"/>
            </w:tcBorders>
            <w:shd w:val="clear" w:color="auto" w:fill="FEE4B0"/>
            <w:tcMar>
              <w:left w:w="0" w:type="dxa"/>
              <w:bottom w:w="113" w:type="dxa"/>
            </w:tcMar>
            <w:vAlign w:val="center"/>
          </w:tcPr>
          <w:p w:rsidR="00B0233E" w:rsidRPr="00E465A1" w:rsidRDefault="001D5B17" w:rsidP="00B0233E">
            <w:pPr>
              <w:spacing w:before="100" w:beforeAutospacing="1" w:after="100" w:afterAutospacing="1" w:line="240" w:lineRule="auto"/>
              <w:jc w:val="right"/>
              <w:rPr>
                <w:rFonts w:cs="Arial"/>
                <w:color w:val="262626" w:themeColor="text1" w:themeTint="D9"/>
              </w:rPr>
            </w:pPr>
            <w:r w:rsidRPr="00E465A1">
              <w:rPr>
                <w:rFonts w:cs="Arial"/>
                <w:color w:val="262626" w:themeColor="text1" w:themeTint="D9"/>
              </w:rPr>
              <w:t>–</w:t>
            </w:r>
          </w:p>
        </w:tc>
        <w:tc>
          <w:tcPr>
            <w:tcW w:w="1276" w:type="dxa"/>
            <w:tcBorders>
              <w:right w:val="single" w:sz="4" w:space="0" w:color="auto"/>
            </w:tcBorders>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rPr>
            </w:pPr>
            <w:r w:rsidRPr="00E465A1">
              <w:rPr>
                <w:rFonts w:cs="Arial"/>
                <w:color w:val="262626" w:themeColor="text1" w:themeTint="D9"/>
              </w:rPr>
              <w:t>57</w:t>
            </w:r>
          </w:p>
        </w:tc>
        <w:tc>
          <w:tcPr>
            <w:tcW w:w="1134" w:type="dxa"/>
            <w:tcBorders>
              <w:left w:val="single" w:sz="4" w:space="0" w:color="auto"/>
            </w:tcBorders>
            <w:shd w:val="clear" w:color="auto" w:fill="FEE4B0"/>
            <w:tcMar>
              <w:left w:w="0" w:type="dxa"/>
              <w:bottom w:w="113" w:type="dxa"/>
            </w:tcMar>
            <w:vAlign w:val="center"/>
          </w:tcPr>
          <w:p w:rsidR="00B0233E" w:rsidRPr="00E465A1" w:rsidRDefault="00104E76" w:rsidP="00B0233E">
            <w:pPr>
              <w:spacing w:before="0" w:line="240" w:lineRule="auto"/>
              <w:jc w:val="right"/>
              <w:rPr>
                <w:rFonts w:cs="Arial"/>
                <w:color w:val="262626" w:themeColor="text1" w:themeTint="D9"/>
              </w:rPr>
            </w:pPr>
            <w:r w:rsidRPr="00E465A1">
              <w:rPr>
                <w:rFonts w:cs="Arial"/>
                <w:color w:val="262626" w:themeColor="text1" w:themeTint="D9"/>
              </w:rPr>
              <w:t>147</w:t>
            </w:r>
            <w:r w:rsidR="00B0233E" w:rsidRPr="00E465A1">
              <w:rPr>
                <w:rFonts w:cs="Arial"/>
                <w:color w:val="262626" w:themeColor="text1" w:themeTint="D9"/>
              </w:rPr>
              <w:t xml:space="preserve">                 </w:t>
            </w:r>
          </w:p>
        </w:tc>
        <w:tc>
          <w:tcPr>
            <w:tcW w:w="1134" w:type="dxa"/>
            <w:tcBorders>
              <w:right w:val="single" w:sz="4" w:space="0" w:color="auto"/>
            </w:tcBorders>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rPr>
            </w:pPr>
            <w:r w:rsidRPr="00E465A1">
              <w:rPr>
                <w:rFonts w:cs="Arial"/>
                <w:color w:val="262626" w:themeColor="text1" w:themeTint="D9"/>
                <w:lang w:eastAsia="en-AU"/>
              </w:rPr>
              <w:t>–</w:t>
            </w:r>
          </w:p>
        </w:tc>
        <w:tc>
          <w:tcPr>
            <w:tcW w:w="1276" w:type="dxa"/>
            <w:tcBorders>
              <w:left w:val="single" w:sz="4" w:space="0" w:color="auto"/>
            </w:tcBorders>
            <w:shd w:val="clear" w:color="auto" w:fill="FEE4B0"/>
            <w:tcMar>
              <w:left w:w="0" w:type="dxa"/>
              <w:bottom w:w="113" w:type="dxa"/>
            </w:tcMar>
            <w:vAlign w:val="center"/>
          </w:tcPr>
          <w:p w:rsidR="00B0233E" w:rsidRPr="00E465A1" w:rsidRDefault="00104E76" w:rsidP="00B0233E">
            <w:pPr>
              <w:spacing w:before="0" w:line="240" w:lineRule="auto"/>
              <w:jc w:val="right"/>
              <w:rPr>
                <w:rFonts w:cs="Arial"/>
                <w:color w:val="262626" w:themeColor="text1" w:themeTint="D9"/>
              </w:rPr>
            </w:pPr>
            <w:r w:rsidRPr="00E465A1">
              <w:rPr>
                <w:rFonts w:cs="Arial"/>
                <w:color w:val="262626" w:themeColor="text1" w:themeTint="D9"/>
              </w:rPr>
              <w:t>147</w:t>
            </w:r>
          </w:p>
        </w:tc>
        <w:tc>
          <w:tcPr>
            <w:tcW w:w="1276" w:type="dxa"/>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rPr>
            </w:pPr>
            <w:r w:rsidRPr="00E465A1">
              <w:rPr>
                <w:rFonts w:cs="Arial"/>
                <w:color w:val="262626" w:themeColor="text1" w:themeTint="D9"/>
              </w:rPr>
              <w:t>57</w:t>
            </w:r>
          </w:p>
        </w:tc>
      </w:tr>
      <w:tr w:rsidR="00E465A1" w:rsidRPr="00E465A1" w:rsidTr="00AD6577">
        <w:trPr>
          <w:trHeight w:val="340"/>
        </w:trPr>
        <w:tc>
          <w:tcPr>
            <w:tcW w:w="2694" w:type="dxa"/>
            <w:gridSpan w:val="2"/>
            <w:tcBorders>
              <w:bottom w:val="single" w:sz="4" w:space="0" w:color="auto"/>
              <w:right w:val="single" w:sz="4" w:space="0" w:color="auto"/>
            </w:tcBorders>
            <w:tcMar>
              <w:bottom w:w="113" w:type="dxa"/>
            </w:tcMar>
            <w:vAlign w:val="center"/>
          </w:tcPr>
          <w:p w:rsidR="00B0233E" w:rsidRPr="00E465A1" w:rsidRDefault="00B0233E" w:rsidP="00B0233E">
            <w:pPr>
              <w:spacing w:before="0" w:line="240" w:lineRule="auto"/>
              <w:rPr>
                <w:rFonts w:cs="Arial"/>
                <w:color w:val="262626" w:themeColor="text1" w:themeTint="D9"/>
              </w:rPr>
            </w:pPr>
            <w:r w:rsidRPr="00E465A1">
              <w:rPr>
                <w:rFonts w:cs="Arial"/>
                <w:color w:val="262626" w:themeColor="text1" w:themeTint="D9"/>
              </w:rPr>
              <w:t>Amortisation</w:t>
            </w:r>
            <w:r w:rsidRPr="00E465A1">
              <w:rPr>
                <w:color w:val="262626" w:themeColor="text1" w:themeTint="D9"/>
              </w:rPr>
              <w:t>¹</w:t>
            </w:r>
          </w:p>
        </w:tc>
        <w:tc>
          <w:tcPr>
            <w:tcW w:w="1275" w:type="dxa"/>
            <w:tcBorders>
              <w:left w:val="single" w:sz="4" w:space="0" w:color="auto"/>
              <w:bottom w:val="single" w:sz="4" w:space="0" w:color="auto"/>
            </w:tcBorders>
            <w:shd w:val="clear" w:color="auto" w:fill="FEE4B0"/>
            <w:tcMar>
              <w:left w:w="0" w:type="dxa"/>
              <w:bottom w:w="113" w:type="dxa"/>
            </w:tcMar>
            <w:vAlign w:val="center"/>
          </w:tcPr>
          <w:p w:rsidR="00B0233E" w:rsidRPr="00E465A1" w:rsidRDefault="001D5B17" w:rsidP="00104E76">
            <w:pPr>
              <w:spacing w:before="0" w:line="240" w:lineRule="auto"/>
              <w:jc w:val="right"/>
              <w:rPr>
                <w:rFonts w:cs="Arial"/>
                <w:color w:val="262626" w:themeColor="text1" w:themeTint="D9"/>
              </w:rPr>
            </w:pPr>
            <w:r w:rsidRPr="00E465A1">
              <w:rPr>
                <w:rFonts w:cs="Arial"/>
                <w:color w:val="262626" w:themeColor="text1" w:themeTint="D9"/>
              </w:rPr>
              <w:t>(</w:t>
            </w:r>
            <w:r w:rsidR="00104E76" w:rsidRPr="00E465A1">
              <w:rPr>
                <w:rFonts w:cs="Arial"/>
                <w:color w:val="262626" w:themeColor="text1" w:themeTint="D9"/>
              </w:rPr>
              <w:t>88</w:t>
            </w:r>
            <w:r w:rsidRPr="00E465A1">
              <w:rPr>
                <w:rFonts w:cs="Arial"/>
                <w:color w:val="262626" w:themeColor="text1" w:themeTint="D9"/>
              </w:rPr>
              <w:t>)</w:t>
            </w:r>
          </w:p>
        </w:tc>
        <w:tc>
          <w:tcPr>
            <w:tcW w:w="1276" w:type="dxa"/>
            <w:tcBorders>
              <w:bottom w:val="single" w:sz="4" w:space="0" w:color="auto"/>
              <w:right w:val="single" w:sz="4" w:space="0" w:color="auto"/>
            </w:tcBorders>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rPr>
            </w:pPr>
            <w:r w:rsidRPr="00E465A1">
              <w:rPr>
                <w:rFonts w:cs="Arial"/>
                <w:color w:val="262626" w:themeColor="text1" w:themeTint="D9"/>
              </w:rPr>
              <w:t>(82)</w:t>
            </w:r>
          </w:p>
        </w:tc>
        <w:tc>
          <w:tcPr>
            <w:tcW w:w="1134" w:type="dxa"/>
            <w:tcBorders>
              <w:left w:val="single" w:sz="4" w:space="0" w:color="auto"/>
              <w:bottom w:val="single" w:sz="4" w:space="0" w:color="auto"/>
            </w:tcBorders>
            <w:shd w:val="clear" w:color="auto" w:fill="FEE4B0"/>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lang w:eastAsia="en-AU"/>
              </w:rPr>
            </w:pPr>
            <w:r w:rsidRPr="00E465A1">
              <w:rPr>
                <w:rFonts w:cs="Arial"/>
                <w:color w:val="262626" w:themeColor="text1" w:themeTint="D9"/>
                <w:lang w:eastAsia="en-AU"/>
              </w:rPr>
              <w:t>–</w:t>
            </w:r>
          </w:p>
        </w:tc>
        <w:tc>
          <w:tcPr>
            <w:tcW w:w="1134" w:type="dxa"/>
            <w:tcBorders>
              <w:bottom w:val="single" w:sz="4" w:space="0" w:color="auto"/>
              <w:right w:val="single" w:sz="4" w:space="0" w:color="auto"/>
            </w:tcBorders>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lang w:eastAsia="en-AU"/>
              </w:rPr>
            </w:pPr>
            <w:r w:rsidRPr="00E465A1">
              <w:rPr>
                <w:rFonts w:cs="Arial"/>
                <w:color w:val="262626" w:themeColor="text1" w:themeTint="D9"/>
                <w:lang w:eastAsia="en-AU"/>
              </w:rPr>
              <w:t>–</w:t>
            </w:r>
          </w:p>
        </w:tc>
        <w:tc>
          <w:tcPr>
            <w:tcW w:w="1276" w:type="dxa"/>
            <w:tcBorders>
              <w:left w:val="single" w:sz="4" w:space="0" w:color="auto"/>
              <w:bottom w:val="single" w:sz="4" w:space="0" w:color="auto"/>
            </w:tcBorders>
            <w:shd w:val="clear" w:color="auto" w:fill="FEE4B0"/>
            <w:tcMar>
              <w:left w:w="0" w:type="dxa"/>
              <w:bottom w:w="113" w:type="dxa"/>
            </w:tcMar>
            <w:vAlign w:val="center"/>
          </w:tcPr>
          <w:p w:rsidR="00B0233E" w:rsidRPr="00E465A1" w:rsidRDefault="00104E76" w:rsidP="00B0233E">
            <w:pPr>
              <w:spacing w:before="0" w:line="240" w:lineRule="auto"/>
              <w:jc w:val="right"/>
              <w:rPr>
                <w:rFonts w:cs="Arial"/>
                <w:color w:val="262626" w:themeColor="text1" w:themeTint="D9"/>
              </w:rPr>
            </w:pPr>
            <w:r w:rsidRPr="00E465A1">
              <w:rPr>
                <w:rFonts w:cs="Arial"/>
                <w:color w:val="262626" w:themeColor="text1" w:themeTint="D9"/>
              </w:rPr>
              <w:t>(88</w:t>
            </w:r>
            <w:r w:rsidR="001D5B17" w:rsidRPr="00E465A1">
              <w:rPr>
                <w:rFonts w:cs="Arial"/>
                <w:color w:val="262626" w:themeColor="text1" w:themeTint="D9"/>
              </w:rPr>
              <w:t>)</w:t>
            </w:r>
          </w:p>
        </w:tc>
        <w:tc>
          <w:tcPr>
            <w:tcW w:w="1276" w:type="dxa"/>
            <w:tcBorders>
              <w:bottom w:val="single" w:sz="4" w:space="0" w:color="auto"/>
            </w:tcBorders>
            <w:tcMar>
              <w:left w:w="0" w:type="dxa"/>
              <w:bottom w:w="113" w:type="dxa"/>
            </w:tcMar>
            <w:vAlign w:val="center"/>
          </w:tcPr>
          <w:p w:rsidR="00B0233E" w:rsidRPr="00E465A1" w:rsidRDefault="00B0233E" w:rsidP="00B0233E">
            <w:pPr>
              <w:spacing w:before="0" w:line="240" w:lineRule="auto"/>
              <w:jc w:val="right"/>
              <w:rPr>
                <w:rFonts w:cs="Arial"/>
                <w:color w:val="262626" w:themeColor="text1" w:themeTint="D9"/>
              </w:rPr>
            </w:pPr>
            <w:r w:rsidRPr="00E465A1">
              <w:rPr>
                <w:rFonts w:cs="Arial"/>
                <w:color w:val="262626" w:themeColor="text1" w:themeTint="D9"/>
              </w:rPr>
              <w:t>(82)</w:t>
            </w:r>
          </w:p>
        </w:tc>
      </w:tr>
      <w:tr w:rsidR="00E465A1" w:rsidRPr="00E465A1" w:rsidTr="00AD6577">
        <w:trPr>
          <w:trHeight w:val="448"/>
        </w:trPr>
        <w:tc>
          <w:tcPr>
            <w:tcW w:w="2694" w:type="dxa"/>
            <w:gridSpan w:val="2"/>
            <w:tcBorders>
              <w:top w:val="single" w:sz="4" w:space="0" w:color="auto"/>
              <w:bottom w:val="double" w:sz="4" w:space="0" w:color="auto"/>
              <w:right w:val="single" w:sz="4" w:space="0" w:color="auto"/>
            </w:tcBorders>
            <w:tcMar>
              <w:top w:w="57" w:type="dxa"/>
              <w:bottom w:w="57" w:type="dxa"/>
            </w:tcMar>
            <w:vAlign w:val="center"/>
          </w:tcPr>
          <w:p w:rsidR="00B0233E" w:rsidRPr="00E465A1" w:rsidRDefault="00B0233E" w:rsidP="00055403">
            <w:pPr>
              <w:spacing w:before="0" w:line="240" w:lineRule="auto"/>
              <w:rPr>
                <w:rFonts w:cs="Arial"/>
                <w:b/>
                <w:color w:val="262626" w:themeColor="text1" w:themeTint="D9"/>
              </w:rPr>
            </w:pPr>
            <w:r w:rsidRPr="00E465A1">
              <w:rPr>
                <w:rFonts w:cs="Arial"/>
                <w:b/>
                <w:color w:val="262626" w:themeColor="text1" w:themeTint="D9"/>
              </w:rPr>
              <w:t xml:space="preserve">Carrying amount at 30 </w:t>
            </w:r>
            <w:r w:rsidR="00055403" w:rsidRPr="00E465A1">
              <w:rPr>
                <w:rFonts w:cs="Arial"/>
                <w:b/>
                <w:color w:val="262626" w:themeColor="text1" w:themeTint="D9"/>
              </w:rPr>
              <w:t>June</w:t>
            </w:r>
            <w:r w:rsidRPr="00E465A1">
              <w:rPr>
                <w:rFonts w:cs="Arial"/>
                <w:b/>
                <w:color w:val="262626" w:themeColor="text1" w:themeTint="D9"/>
              </w:rPr>
              <w:t xml:space="preserve"> </w:t>
            </w:r>
          </w:p>
        </w:tc>
        <w:tc>
          <w:tcPr>
            <w:tcW w:w="1275" w:type="dxa"/>
            <w:tcBorders>
              <w:top w:val="single" w:sz="4" w:space="0" w:color="auto"/>
              <w:left w:val="single" w:sz="4" w:space="0" w:color="auto"/>
              <w:bottom w:val="double" w:sz="4" w:space="0" w:color="auto"/>
            </w:tcBorders>
            <w:shd w:val="clear" w:color="auto" w:fill="FEE4B0"/>
            <w:tcMar>
              <w:top w:w="57" w:type="dxa"/>
              <w:left w:w="0" w:type="dxa"/>
              <w:bottom w:w="57" w:type="dxa"/>
            </w:tcMar>
            <w:vAlign w:val="center"/>
          </w:tcPr>
          <w:p w:rsidR="00B0233E" w:rsidRPr="00E465A1" w:rsidRDefault="00104E76" w:rsidP="00B0233E">
            <w:pPr>
              <w:spacing w:before="0" w:line="240" w:lineRule="auto"/>
              <w:jc w:val="right"/>
              <w:rPr>
                <w:rFonts w:cs="Arial"/>
                <w:b/>
                <w:color w:val="262626" w:themeColor="text1" w:themeTint="D9"/>
                <w:highlight w:val="lightGray"/>
              </w:rPr>
            </w:pPr>
            <w:r w:rsidRPr="00E465A1">
              <w:rPr>
                <w:rFonts w:cs="Arial"/>
                <w:b/>
                <w:color w:val="262626" w:themeColor="text1" w:themeTint="D9"/>
              </w:rPr>
              <w:t>188</w:t>
            </w:r>
          </w:p>
        </w:tc>
        <w:tc>
          <w:tcPr>
            <w:tcW w:w="1276" w:type="dxa"/>
            <w:tcBorders>
              <w:top w:val="single" w:sz="4" w:space="0" w:color="auto"/>
              <w:bottom w:val="double" w:sz="4" w:space="0" w:color="auto"/>
              <w:right w:val="single" w:sz="4" w:space="0" w:color="auto"/>
            </w:tcBorders>
            <w:tcMar>
              <w:top w:w="57" w:type="dxa"/>
              <w:left w:w="0" w:type="dxa"/>
              <w:bottom w:w="57" w:type="dxa"/>
            </w:tcMar>
            <w:vAlign w:val="center"/>
          </w:tcPr>
          <w:p w:rsidR="00B0233E" w:rsidRPr="00E465A1" w:rsidRDefault="00B0233E" w:rsidP="00B0233E">
            <w:pPr>
              <w:spacing w:before="0" w:line="240" w:lineRule="auto"/>
              <w:jc w:val="right"/>
              <w:rPr>
                <w:rFonts w:cs="Arial"/>
                <w:b/>
                <w:color w:val="262626" w:themeColor="text1" w:themeTint="D9"/>
                <w:highlight w:val="lightGray"/>
              </w:rPr>
            </w:pPr>
            <w:r w:rsidRPr="00E465A1">
              <w:rPr>
                <w:rFonts w:cs="Arial"/>
                <w:b/>
                <w:color w:val="262626" w:themeColor="text1" w:themeTint="D9"/>
              </w:rPr>
              <w:t xml:space="preserve">276 </w:t>
            </w:r>
            <w:r w:rsidRPr="00E465A1">
              <w:rPr>
                <w:rFonts w:cs="Arial"/>
                <w:b/>
                <w:color w:val="262626" w:themeColor="text1" w:themeTint="D9"/>
                <w:highlight w:val="lightGray"/>
              </w:rPr>
              <w:t xml:space="preserve">                </w:t>
            </w:r>
          </w:p>
        </w:tc>
        <w:tc>
          <w:tcPr>
            <w:tcW w:w="1134" w:type="dxa"/>
            <w:tcBorders>
              <w:top w:val="single" w:sz="4" w:space="0" w:color="auto"/>
              <w:left w:val="single" w:sz="4" w:space="0" w:color="auto"/>
              <w:bottom w:val="double" w:sz="4" w:space="0" w:color="auto"/>
            </w:tcBorders>
            <w:shd w:val="clear" w:color="auto" w:fill="FEE4B0"/>
            <w:tcMar>
              <w:top w:w="57" w:type="dxa"/>
              <w:left w:w="0" w:type="dxa"/>
              <w:bottom w:w="57" w:type="dxa"/>
            </w:tcMar>
            <w:vAlign w:val="center"/>
          </w:tcPr>
          <w:p w:rsidR="00B0233E" w:rsidRPr="00E465A1" w:rsidRDefault="00104E76" w:rsidP="00B0233E">
            <w:pPr>
              <w:spacing w:before="0" w:line="240" w:lineRule="auto"/>
              <w:jc w:val="right"/>
              <w:rPr>
                <w:rFonts w:cs="Arial"/>
                <w:b/>
                <w:color w:val="262626" w:themeColor="text1" w:themeTint="D9"/>
              </w:rPr>
            </w:pPr>
            <w:r w:rsidRPr="00E465A1">
              <w:rPr>
                <w:rFonts w:cs="Arial"/>
                <w:b/>
                <w:color w:val="262626" w:themeColor="text1" w:themeTint="D9"/>
              </w:rPr>
              <w:t>147</w:t>
            </w:r>
            <w:r w:rsidR="00B0233E" w:rsidRPr="00E465A1">
              <w:rPr>
                <w:rFonts w:cs="Arial"/>
                <w:b/>
                <w:color w:val="262626" w:themeColor="text1" w:themeTint="D9"/>
              </w:rPr>
              <w:t xml:space="preserve">                 </w:t>
            </w:r>
          </w:p>
        </w:tc>
        <w:tc>
          <w:tcPr>
            <w:tcW w:w="1134" w:type="dxa"/>
            <w:tcBorders>
              <w:top w:val="single" w:sz="4" w:space="0" w:color="auto"/>
              <w:bottom w:val="double" w:sz="4" w:space="0" w:color="auto"/>
              <w:right w:val="single" w:sz="4" w:space="0" w:color="auto"/>
            </w:tcBorders>
            <w:tcMar>
              <w:top w:w="57" w:type="dxa"/>
              <w:left w:w="0" w:type="dxa"/>
              <w:bottom w:w="57" w:type="dxa"/>
            </w:tcMar>
            <w:vAlign w:val="center"/>
          </w:tcPr>
          <w:p w:rsidR="00B0233E" w:rsidRPr="00E465A1" w:rsidRDefault="00B0233E" w:rsidP="00B0233E">
            <w:pPr>
              <w:spacing w:before="0" w:line="240" w:lineRule="auto"/>
              <w:jc w:val="right"/>
              <w:rPr>
                <w:rFonts w:cs="Arial"/>
                <w:b/>
                <w:color w:val="262626" w:themeColor="text1" w:themeTint="D9"/>
              </w:rPr>
            </w:pPr>
            <w:r w:rsidRPr="00E465A1">
              <w:rPr>
                <w:rFonts w:cs="Arial"/>
                <w:b/>
                <w:color w:val="262626" w:themeColor="text1" w:themeTint="D9"/>
                <w:lang w:eastAsia="en-AU"/>
              </w:rPr>
              <w:t xml:space="preserve">                 –</w:t>
            </w:r>
          </w:p>
        </w:tc>
        <w:tc>
          <w:tcPr>
            <w:tcW w:w="1276" w:type="dxa"/>
            <w:tcBorders>
              <w:top w:val="single" w:sz="4" w:space="0" w:color="auto"/>
              <w:left w:val="single" w:sz="4" w:space="0" w:color="auto"/>
              <w:bottom w:val="double" w:sz="4" w:space="0" w:color="auto"/>
            </w:tcBorders>
            <w:shd w:val="clear" w:color="auto" w:fill="FEE4B0"/>
            <w:tcMar>
              <w:top w:w="57" w:type="dxa"/>
              <w:left w:w="0" w:type="dxa"/>
              <w:bottom w:w="57" w:type="dxa"/>
            </w:tcMar>
            <w:vAlign w:val="center"/>
          </w:tcPr>
          <w:p w:rsidR="00B0233E" w:rsidRPr="00E465A1" w:rsidRDefault="00104E76" w:rsidP="00B0233E">
            <w:pPr>
              <w:spacing w:before="0" w:line="240" w:lineRule="auto"/>
              <w:jc w:val="right"/>
              <w:rPr>
                <w:rFonts w:cs="Arial"/>
                <w:b/>
                <w:color w:val="262626" w:themeColor="text1" w:themeTint="D9"/>
              </w:rPr>
            </w:pPr>
            <w:r w:rsidRPr="00E465A1">
              <w:rPr>
                <w:rFonts w:cs="Arial"/>
                <w:b/>
                <w:color w:val="262626" w:themeColor="text1" w:themeTint="D9"/>
              </w:rPr>
              <w:t>335</w:t>
            </w:r>
          </w:p>
        </w:tc>
        <w:tc>
          <w:tcPr>
            <w:tcW w:w="1276" w:type="dxa"/>
            <w:tcBorders>
              <w:top w:val="single" w:sz="4" w:space="0" w:color="auto"/>
              <w:bottom w:val="double" w:sz="4" w:space="0" w:color="auto"/>
            </w:tcBorders>
            <w:tcMar>
              <w:top w:w="57" w:type="dxa"/>
              <w:left w:w="0" w:type="dxa"/>
              <w:bottom w:w="57" w:type="dxa"/>
            </w:tcMar>
            <w:vAlign w:val="center"/>
          </w:tcPr>
          <w:p w:rsidR="00B0233E" w:rsidRPr="00E465A1" w:rsidRDefault="00B0233E" w:rsidP="00B0233E">
            <w:pPr>
              <w:spacing w:before="0" w:line="240" w:lineRule="auto"/>
              <w:jc w:val="right"/>
              <w:rPr>
                <w:rFonts w:cs="Arial"/>
                <w:b/>
                <w:color w:val="262626" w:themeColor="text1" w:themeTint="D9"/>
                <w:highlight w:val="lightGray"/>
              </w:rPr>
            </w:pPr>
            <w:r w:rsidRPr="00E465A1">
              <w:rPr>
                <w:rFonts w:cs="Arial"/>
                <w:b/>
                <w:color w:val="262626" w:themeColor="text1" w:themeTint="D9"/>
              </w:rPr>
              <w:t xml:space="preserve">276 </w:t>
            </w:r>
            <w:r w:rsidRPr="00E465A1">
              <w:rPr>
                <w:rFonts w:cs="Arial"/>
                <w:b/>
                <w:color w:val="262626" w:themeColor="text1" w:themeTint="D9"/>
                <w:highlight w:val="lightGray"/>
              </w:rPr>
              <w:t xml:space="preserve">                </w:t>
            </w:r>
          </w:p>
        </w:tc>
      </w:tr>
    </w:tbl>
    <w:p w:rsidR="002409C8" w:rsidRPr="00E465A1" w:rsidRDefault="002409C8" w:rsidP="00230CD9">
      <w:pPr>
        <w:pStyle w:val="Normal1stpara"/>
        <w:rPr>
          <w:color w:val="262626" w:themeColor="text1" w:themeTint="D9"/>
        </w:rPr>
      </w:pPr>
    </w:p>
    <w:p w:rsidR="00230CD9" w:rsidRPr="00E465A1" w:rsidRDefault="00ED023A" w:rsidP="00230CD9">
      <w:pPr>
        <w:pStyle w:val="Noteswithhangingindent"/>
        <w:rPr>
          <w:color w:val="262626" w:themeColor="text1" w:themeTint="D9"/>
        </w:rPr>
      </w:pPr>
      <w:r w:rsidRPr="00E465A1">
        <w:rPr>
          <w:color w:val="262626" w:themeColor="text1" w:themeTint="D9"/>
          <w:vertAlign w:val="superscript"/>
        </w:rPr>
        <w:t>1</w:t>
      </w:r>
      <w:r w:rsidR="00230CD9" w:rsidRPr="00E465A1">
        <w:rPr>
          <w:b/>
          <w:color w:val="262626" w:themeColor="text1" w:themeTint="D9"/>
        </w:rPr>
        <w:tab/>
      </w:r>
      <w:r w:rsidR="00230CD9" w:rsidRPr="00E465A1">
        <w:rPr>
          <w:color w:val="262626" w:themeColor="text1" w:themeTint="D9"/>
        </w:rPr>
        <w:t>Amortisation of intangibles is included in the line item “Depreciation and amortisation” in the Statement of Comprehensive Income.</w:t>
      </w:r>
    </w:p>
    <w:p w:rsidR="007A29EC" w:rsidRPr="00E465A1" w:rsidRDefault="007A29EC" w:rsidP="00D02764">
      <w:pPr>
        <w:pStyle w:val="Normal115pttext"/>
        <w:rPr>
          <w:color w:val="262626" w:themeColor="text1" w:themeTint="D9"/>
        </w:rPr>
      </w:pPr>
    </w:p>
    <w:p w:rsidR="00565516" w:rsidRPr="00E465A1" w:rsidRDefault="00565516" w:rsidP="00D02764">
      <w:pPr>
        <w:pStyle w:val="Normal115pttext"/>
        <w:rPr>
          <w:color w:val="262626" w:themeColor="text1" w:themeTint="D9"/>
        </w:rPr>
      </w:pPr>
    </w:p>
    <w:p w:rsidR="00565516" w:rsidRPr="00E465A1" w:rsidRDefault="00565516" w:rsidP="00D02764">
      <w:pPr>
        <w:pStyle w:val="Normal115pttext"/>
        <w:rPr>
          <w:color w:val="262626" w:themeColor="text1" w:themeTint="D9"/>
        </w:rPr>
      </w:pPr>
    </w:p>
    <w:p w:rsidR="00565516" w:rsidRPr="00E465A1" w:rsidRDefault="00565516" w:rsidP="00D02764">
      <w:pPr>
        <w:pStyle w:val="Normal115pttext"/>
        <w:rPr>
          <w:color w:val="262626" w:themeColor="text1" w:themeTint="D9"/>
        </w:rPr>
      </w:pPr>
    </w:p>
    <w:p w:rsidR="00565516" w:rsidRPr="00E465A1" w:rsidRDefault="00565516" w:rsidP="00D02764">
      <w:pPr>
        <w:pStyle w:val="Normal115pttext"/>
        <w:rPr>
          <w:color w:val="262626" w:themeColor="text1" w:themeTint="D9"/>
        </w:rPr>
      </w:pPr>
    </w:p>
    <w:p w:rsidR="00565516" w:rsidRPr="00E465A1" w:rsidRDefault="00565516" w:rsidP="00D02764">
      <w:pPr>
        <w:pStyle w:val="Normal115pttext"/>
        <w:rPr>
          <w:color w:val="262626" w:themeColor="text1" w:themeTint="D9"/>
        </w:rPr>
      </w:pPr>
    </w:p>
    <w:p w:rsidR="00565516" w:rsidRPr="00E465A1" w:rsidRDefault="00565516" w:rsidP="00D02764">
      <w:pPr>
        <w:pStyle w:val="Normal115pttext"/>
        <w:rPr>
          <w:color w:val="262626" w:themeColor="text1" w:themeTint="D9"/>
        </w:rPr>
      </w:pPr>
    </w:p>
    <w:p w:rsidR="00565516" w:rsidRPr="00E465A1" w:rsidRDefault="00565516" w:rsidP="00D02764">
      <w:pPr>
        <w:pStyle w:val="Normal115pttext"/>
        <w:rPr>
          <w:color w:val="262626" w:themeColor="text1" w:themeTint="D9"/>
        </w:rPr>
      </w:pPr>
    </w:p>
    <w:p w:rsidR="00565516" w:rsidRPr="00E465A1" w:rsidRDefault="00565516" w:rsidP="00D02764">
      <w:pPr>
        <w:pStyle w:val="Normal115pttext"/>
        <w:rPr>
          <w:color w:val="262626" w:themeColor="text1" w:themeTint="D9"/>
        </w:rPr>
      </w:pPr>
    </w:p>
    <w:p w:rsidR="00565516" w:rsidRPr="00E465A1" w:rsidRDefault="00565516" w:rsidP="00D02764">
      <w:pPr>
        <w:pStyle w:val="Normal115pttext"/>
        <w:rPr>
          <w:color w:val="262626" w:themeColor="text1" w:themeTint="D9"/>
        </w:rPr>
      </w:pPr>
    </w:p>
    <w:p w:rsidR="00577F0E" w:rsidRPr="00E465A1" w:rsidRDefault="00D02764" w:rsidP="00334B0D">
      <w:pPr>
        <w:pStyle w:val="Normal115pttext"/>
        <w:rPr>
          <w:color w:val="262626" w:themeColor="text1" w:themeTint="D9"/>
        </w:rPr>
      </w:pPr>
      <w:r w:rsidRPr="00E465A1">
        <w:rPr>
          <w:color w:val="262626" w:themeColor="text1" w:themeTint="D9"/>
        </w:rPr>
        <w:lastRenderedPageBreak/>
        <w:t xml:space="preserve">Note </w:t>
      </w:r>
      <w:r w:rsidR="0014516F" w:rsidRPr="00E465A1">
        <w:rPr>
          <w:color w:val="262626" w:themeColor="text1" w:themeTint="D9"/>
        </w:rPr>
        <w:t>10</w:t>
      </w:r>
      <w:r w:rsidR="00230CD9" w:rsidRPr="00E465A1">
        <w:rPr>
          <w:color w:val="262626" w:themeColor="text1" w:themeTint="D9"/>
        </w:rPr>
        <w:t>B</w:t>
      </w:r>
      <w:r w:rsidRPr="00E465A1">
        <w:rPr>
          <w:color w:val="262626" w:themeColor="text1" w:themeTint="D9"/>
        </w:rPr>
        <w:t>:  Property, Plant and Equipment</w:t>
      </w:r>
    </w:p>
    <w:p w:rsidR="00230CD9" w:rsidRPr="00E465A1" w:rsidRDefault="00230CD9" w:rsidP="00334B0D">
      <w:pPr>
        <w:pStyle w:val="Normal115pttext"/>
        <w:rPr>
          <w:color w:val="262626" w:themeColor="text1" w:themeTint="D9"/>
        </w:rPr>
      </w:pPr>
    </w:p>
    <w:bookmarkEnd w:id="11"/>
    <w:bookmarkEnd w:id="12"/>
    <w:tbl>
      <w:tblPr>
        <w:tblW w:w="10205" w:type="dxa"/>
        <w:tblBorders>
          <w:top w:val="double" w:sz="4" w:space="0" w:color="auto"/>
          <w:left w:val="double" w:sz="4" w:space="0" w:color="auto"/>
          <w:bottom w:val="double" w:sz="4" w:space="0" w:color="auto"/>
          <w:right w:val="double" w:sz="4" w:space="0" w:color="auto"/>
        </w:tblBorders>
        <w:tblLayout w:type="fixed"/>
        <w:tblCellMar>
          <w:bottom w:w="11" w:type="dxa"/>
          <w:right w:w="0" w:type="dxa"/>
        </w:tblCellMar>
        <w:tblLook w:val="0000" w:firstRow="0" w:lastRow="0" w:firstColumn="0" w:lastColumn="0" w:noHBand="0" w:noVBand="0"/>
      </w:tblPr>
      <w:tblGrid>
        <w:gridCol w:w="6803"/>
        <w:gridCol w:w="964"/>
        <w:gridCol w:w="1134"/>
        <w:gridCol w:w="170"/>
        <w:gridCol w:w="1134"/>
      </w:tblGrid>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4903FD" w:rsidRPr="00E465A1" w:rsidRDefault="004903FD" w:rsidP="004903FD">
            <w:pPr>
              <w:pStyle w:val="Normaltabletext1stpararight"/>
              <w:rPr>
                <w:b/>
                <w:color w:val="262626" w:themeColor="text1" w:themeTint="D9"/>
                <w:lang w:eastAsia="en-AU"/>
              </w:rPr>
            </w:pPr>
            <w:r w:rsidRPr="00E465A1">
              <w:rPr>
                <w:b/>
                <w:color w:val="262626" w:themeColor="text1" w:themeTint="D9"/>
                <w:lang w:eastAsia="en-AU"/>
              </w:rPr>
              <w:t>2018</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rPr>
            </w:pPr>
          </w:p>
        </w:tc>
        <w:tc>
          <w:tcPr>
            <w:tcW w:w="1134" w:type="dxa"/>
            <w:tcBorders>
              <w:top w:val="nil"/>
              <w:bottom w:val="nil"/>
              <w:right w:val="nil"/>
            </w:tcBorders>
            <w:shd w:val="clear" w:color="auto" w:fill="FFFFFF" w:themeFill="background1"/>
            <w:noWrap/>
            <w:tcMar>
              <w:left w:w="0" w:type="dxa"/>
              <w:right w:w="113" w:type="dxa"/>
            </w:tcMar>
            <w:vAlign w:val="bottom"/>
          </w:tcPr>
          <w:p w:rsidR="004903FD" w:rsidRPr="00E465A1" w:rsidRDefault="004903FD" w:rsidP="004903FD">
            <w:pPr>
              <w:pStyle w:val="Normaltabletext1stpararight"/>
              <w:rPr>
                <w:b/>
                <w:color w:val="262626" w:themeColor="text1" w:themeTint="D9"/>
                <w:lang w:eastAsia="en-AU"/>
              </w:rPr>
            </w:pPr>
            <w:r w:rsidRPr="00E465A1">
              <w:rPr>
                <w:b/>
                <w:color w:val="262626" w:themeColor="text1" w:themeTint="D9"/>
                <w:lang w:eastAsia="en-AU"/>
              </w:rPr>
              <w:t>2017</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4903FD" w:rsidRPr="00E465A1" w:rsidRDefault="004903FD" w:rsidP="004903FD">
            <w:pPr>
              <w:pStyle w:val="Normaltabletext1stpararight"/>
              <w:rPr>
                <w:color w:val="262626" w:themeColor="text1" w:themeTint="D9"/>
                <w:lang w:eastAsia="en-AU"/>
              </w:rPr>
            </w:pPr>
            <w:r w:rsidRPr="00E465A1">
              <w:rPr>
                <w:b/>
                <w:color w:val="262626" w:themeColor="text1" w:themeTint="D9"/>
                <w:lang w:eastAsia="en-AU"/>
              </w:rPr>
              <w:t>$’000</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rPr>
            </w:pPr>
          </w:p>
        </w:tc>
        <w:tc>
          <w:tcPr>
            <w:tcW w:w="1134" w:type="dxa"/>
            <w:tcBorders>
              <w:top w:val="nil"/>
              <w:bottom w:val="nil"/>
              <w:right w:val="nil"/>
            </w:tcBorders>
            <w:shd w:val="clear" w:color="auto" w:fill="FFFFFF" w:themeFill="background1"/>
            <w:noWrap/>
            <w:tcMar>
              <w:left w:w="0" w:type="dxa"/>
              <w:right w:w="113" w:type="dxa"/>
            </w:tcMar>
            <w:vAlign w:val="bottom"/>
          </w:tcPr>
          <w:p w:rsidR="004903FD" w:rsidRPr="00E465A1" w:rsidRDefault="004903FD" w:rsidP="004903FD">
            <w:pPr>
              <w:pStyle w:val="Normaltabletext1stpararight"/>
              <w:rPr>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r w:rsidRPr="00E465A1">
              <w:rPr>
                <w:color w:val="262626" w:themeColor="text1" w:themeTint="D9"/>
                <w:lang w:eastAsia="en-AU"/>
              </w:rPr>
              <w:t>Motor vehicles:</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4903FD" w:rsidP="004903FD">
            <w:pPr>
              <w:pStyle w:val="Normaltabletext1stpararight"/>
              <w:rPr>
                <w:color w:val="262626" w:themeColor="text1" w:themeTint="D9"/>
                <w:lang w:eastAsia="en-AU"/>
              </w:rPr>
            </w:pP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ind w:left="454"/>
              <w:rPr>
                <w:color w:val="262626" w:themeColor="text1" w:themeTint="D9"/>
                <w:lang w:eastAsia="en-AU"/>
              </w:rPr>
            </w:pPr>
            <w:r w:rsidRPr="00E465A1">
              <w:rPr>
                <w:color w:val="262626" w:themeColor="text1" w:themeTint="D9"/>
                <w:lang w:eastAsia="en-AU"/>
              </w:rPr>
              <w:t>At cost</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833EAA" w:rsidP="005B4F17">
            <w:pPr>
              <w:pStyle w:val="Normaltabletext1stpararight"/>
              <w:rPr>
                <w:color w:val="262626" w:themeColor="text1" w:themeTint="D9"/>
                <w:lang w:eastAsia="en-AU"/>
              </w:rPr>
            </w:pPr>
            <w:r w:rsidRPr="00E465A1">
              <w:rPr>
                <w:color w:val="262626" w:themeColor="text1" w:themeTint="D9"/>
                <w:lang w:eastAsia="en-AU"/>
              </w:rPr>
              <w:t>1,624</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1,530</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ind w:left="454"/>
              <w:rPr>
                <w:color w:val="262626" w:themeColor="text1" w:themeTint="D9"/>
                <w:lang w:eastAsia="en-AU"/>
              </w:rPr>
            </w:pPr>
            <w:r w:rsidRPr="00E465A1">
              <w:rPr>
                <w:color w:val="262626" w:themeColor="text1" w:themeTint="D9"/>
                <w:lang w:eastAsia="en-AU"/>
              </w:rPr>
              <w:t>Less: Accumulated depreciation</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tcPr>
          <w:p w:rsidR="004903FD" w:rsidRPr="00E465A1" w:rsidRDefault="00833EAA" w:rsidP="004903FD">
            <w:pPr>
              <w:pStyle w:val="Normaltabletext1stpararight"/>
              <w:rPr>
                <w:color w:val="262626" w:themeColor="text1" w:themeTint="D9"/>
                <w:lang w:eastAsia="en-AU"/>
              </w:rPr>
            </w:pPr>
            <w:r w:rsidRPr="00E465A1">
              <w:rPr>
                <w:color w:val="262626" w:themeColor="text1" w:themeTint="D9"/>
                <w:lang w:eastAsia="en-AU"/>
              </w:rPr>
              <w:t>(497</w:t>
            </w:r>
            <w:r w:rsidR="009F610F" w:rsidRPr="00E465A1">
              <w:rPr>
                <w:color w:val="262626" w:themeColor="text1" w:themeTint="D9"/>
                <w:lang w:eastAsia="en-AU"/>
              </w:rPr>
              <w:t>)</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(599)</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p w:rsidR="00565516" w:rsidRPr="00E465A1" w:rsidRDefault="00565516" w:rsidP="004903FD">
            <w:pPr>
              <w:pStyle w:val="Normaltabletextleft"/>
              <w:rPr>
                <w:color w:val="262626" w:themeColor="text1" w:themeTint="D9"/>
                <w:lang w:eastAsia="en-AU"/>
              </w:rPr>
            </w:pP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single" w:sz="4" w:space="0" w:color="auto"/>
              <w:bottom w:val="nil"/>
            </w:tcBorders>
            <w:shd w:val="clear" w:color="auto" w:fill="FEE4B0"/>
            <w:noWrap/>
            <w:tcMar>
              <w:left w:w="0" w:type="dxa"/>
              <w:right w:w="113" w:type="dxa"/>
            </w:tcMar>
          </w:tcPr>
          <w:p w:rsidR="004903FD" w:rsidRPr="00E465A1" w:rsidRDefault="00833EAA" w:rsidP="004903FD">
            <w:pPr>
              <w:pStyle w:val="Normaltabletext1stpararight"/>
              <w:rPr>
                <w:color w:val="262626" w:themeColor="text1" w:themeTint="D9"/>
                <w:lang w:eastAsia="en-AU"/>
              </w:rPr>
            </w:pPr>
            <w:r w:rsidRPr="00E465A1">
              <w:rPr>
                <w:color w:val="262626" w:themeColor="text1" w:themeTint="D9"/>
                <w:lang w:eastAsia="en-AU"/>
              </w:rPr>
              <w:t>1,127</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single" w:sz="4" w:space="0" w:color="auto"/>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931</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r w:rsidRPr="00E465A1">
              <w:rPr>
                <w:color w:val="262626" w:themeColor="text1" w:themeTint="D9"/>
                <w:lang w:eastAsia="en-AU"/>
              </w:rPr>
              <w:t>Computer equipment:</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4903FD" w:rsidP="004903FD">
            <w:pPr>
              <w:pStyle w:val="Normaltabletext1stpararight"/>
              <w:rPr>
                <w:color w:val="262626" w:themeColor="text1" w:themeTint="D9"/>
                <w:lang w:eastAsia="en-AU"/>
              </w:rPr>
            </w:pP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ind w:left="454"/>
              <w:rPr>
                <w:color w:val="262626" w:themeColor="text1" w:themeTint="D9"/>
                <w:lang w:eastAsia="en-AU"/>
              </w:rPr>
            </w:pPr>
            <w:r w:rsidRPr="00E465A1">
              <w:rPr>
                <w:color w:val="262626" w:themeColor="text1" w:themeTint="D9"/>
                <w:lang w:eastAsia="en-AU"/>
              </w:rPr>
              <w:t>At cost</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833EAA" w:rsidP="00833EAA">
            <w:pPr>
              <w:pStyle w:val="Normaltabletext1stpararight"/>
              <w:rPr>
                <w:color w:val="262626" w:themeColor="text1" w:themeTint="D9"/>
                <w:lang w:eastAsia="en-AU"/>
              </w:rPr>
            </w:pPr>
            <w:r w:rsidRPr="00E465A1">
              <w:rPr>
                <w:color w:val="262626" w:themeColor="text1" w:themeTint="D9"/>
                <w:lang w:eastAsia="en-AU"/>
              </w:rPr>
              <w:t>3,435</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3,620</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ind w:left="454"/>
              <w:rPr>
                <w:color w:val="262626" w:themeColor="text1" w:themeTint="D9"/>
                <w:lang w:eastAsia="en-AU"/>
              </w:rPr>
            </w:pPr>
            <w:r w:rsidRPr="00E465A1">
              <w:rPr>
                <w:color w:val="262626" w:themeColor="text1" w:themeTint="D9"/>
                <w:lang w:eastAsia="en-AU"/>
              </w:rPr>
              <w:t>Less: Accumulated depreciation</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tcPr>
          <w:p w:rsidR="004903FD" w:rsidRPr="00E465A1" w:rsidRDefault="00833EAA" w:rsidP="004903FD">
            <w:pPr>
              <w:pStyle w:val="Normaltabletext1stpararight"/>
              <w:rPr>
                <w:color w:val="262626" w:themeColor="text1" w:themeTint="D9"/>
                <w:lang w:eastAsia="en-AU"/>
              </w:rPr>
            </w:pPr>
            <w:r w:rsidRPr="00E465A1">
              <w:rPr>
                <w:color w:val="262626" w:themeColor="text1" w:themeTint="D9"/>
                <w:lang w:eastAsia="en-AU"/>
              </w:rPr>
              <w:t>(2,823</w:t>
            </w:r>
            <w:r w:rsidR="00E43955" w:rsidRPr="00E465A1">
              <w:rPr>
                <w:color w:val="262626" w:themeColor="text1" w:themeTint="D9"/>
                <w:lang w:eastAsia="en-AU"/>
              </w:rPr>
              <w:t>)</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(2,587)</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p w:rsidR="00565516" w:rsidRPr="00E465A1" w:rsidRDefault="00565516" w:rsidP="004903FD">
            <w:pPr>
              <w:pStyle w:val="Normaltabletextleft"/>
              <w:rPr>
                <w:color w:val="262626" w:themeColor="text1" w:themeTint="D9"/>
                <w:lang w:eastAsia="en-AU"/>
              </w:rPr>
            </w:pP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single" w:sz="4" w:space="0" w:color="auto"/>
              <w:bottom w:val="nil"/>
            </w:tcBorders>
            <w:shd w:val="clear" w:color="auto" w:fill="FEE4B0"/>
            <w:noWrap/>
            <w:tcMar>
              <w:left w:w="0" w:type="dxa"/>
              <w:right w:w="113" w:type="dxa"/>
            </w:tcMar>
          </w:tcPr>
          <w:p w:rsidR="004903FD" w:rsidRPr="00E465A1" w:rsidRDefault="00833EAA" w:rsidP="00833EAA">
            <w:pPr>
              <w:pStyle w:val="Normaltabletext1stpararight"/>
              <w:rPr>
                <w:color w:val="262626" w:themeColor="text1" w:themeTint="D9"/>
                <w:lang w:eastAsia="en-AU"/>
              </w:rPr>
            </w:pPr>
            <w:r w:rsidRPr="00E465A1">
              <w:rPr>
                <w:color w:val="262626" w:themeColor="text1" w:themeTint="D9"/>
                <w:lang w:eastAsia="en-AU"/>
              </w:rPr>
              <w:t>612</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single" w:sz="4" w:space="0" w:color="auto"/>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1,033</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r w:rsidRPr="00E465A1">
              <w:rPr>
                <w:color w:val="262626" w:themeColor="text1" w:themeTint="D9"/>
                <w:lang w:eastAsia="en-AU"/>
              </w:rPr>
              <w:t>General and technical equipment:</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4903FD" w:rsidP="004903FD">
            <w:pPr>
              <w:pStyle w:val="Normaltabletext1stpararight"/>
              <w:rPr>
                <w:color w:val="262626" w:themeColor="text1" w:themeTint="D9"/>
                <w:lang w:eastAsia="en-AU"/>
              </w:rPr>
            </w:pP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ind w:left="454"/>
              <w:rPr>
                <w:color w:val="262626" w:themeColor="text1" w:themeTint="D9"/>
                <w:lang w:eastAsia="en-AU"/>
              </w:rPr>
            </w:pPr>
            <w:r w:rsidRPr="00E465A1">
              <w:rPr>
                <w:color w:val="262626" w:themeColor="text1" w:themeTint="D9"/>
                <w:lang w:eastAsia="en-AU"/>
              </w:rPr>
              <w:t>At cost</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456326" w:rsidP="00A15127">
            <w:pPr>
              <w:pStyle w:val="Normaltabletext1stpararight"/>
              <w:rPr>
                <w:color w:val="262626" w:themeColor="text1" w:themeTint="D9"/>
                <w:lang w:eastAsia="en-AU"/>
              </w:rPr>
            </w:pPr>
            <w:r w:rsidRPr="00E465A1">
              <w:rPr>
                <w:color w:val="262626" w:themeColor="text1" w:themeTint="D9"/>
                <w:lang w:eastAsia="en-AU"/>
              </w:rPr>
              <w:t>1,</w:t>
            </w:r>
            <w:r w:rsidR="00A15127" w:rsidRPr="00E465A1">
              <w:rPr>
                <w:color w:val="262626" w:themeColor="text1" w:themeTint="D9"/>
                <w:lang w:eastAsia="en-AU"/>
              </w:rPr>
              <w:t>950</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1,703</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ind w:left="454"/>
              <w:rPr>
                <w:color w:val="262626" w:themeColor="text1" w:themeTint="D9"/>
                <w:lang w:eastAsia="en-AU"/>
              </w:rPr>
            </w:pPr>
            <w:r w:rsidRPr="00E465A1">
              <w:rPr>
                <w:color w:val="262626" w:themeColor="text1" w:themeTint="D9"/>
                <w:lang w:eastAsia="en-AU"/>
              </w:rPr>
              <w:t>Less: Accumulated depreciation</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tcPr>
          <w:p w:rsidR="004903FD" w:rsidRPr="00E465A1" w:rsidRDefault="00456326" w:rsidP="00811C25">
            <w:pPr>
              <w:pStyle w:val="Normaltabletext1stpararight"/>
              <w:rPr>
                <w:color w:val="262626" w:themeColor="text1" w:themeTint="D9"/>
                <w:lang w:eastAsia="en-AU"/>
              </w:rPr>
            </w:pPr>
            <w:r w:rsidRPr="00E465A1">
              <w:rPr>
                <w:color w:val="262626" w:themeColor="text1" w:themeTint="D9"/>
                <w:lang w:eastAsia="en-AU"/>
              </w:rPr>
              <w:t>(1,</w:t>
            </w:r>
            <w:r w:rsidR="00811C25" w:rsidRPr="00E465A1">
              <w:rPr>
                <w:color w:val="262626" w:themeColor="text1" w:themeTint="D9"/>
                <w:lang w:eastAsia="en-AU"/>
              </w:rPr>
              <w:t>097</w:t>
            </w:r>
            <w:r w:rsidRPr="00E465A1">
              <w:rPr>
                <w:color w:val="262626" w:themeColor="text1" w:themeTint="D9"/>
                <w:lang w:eastAsia="en-AU"/>
              </w:rPr>
              <w:t>)</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(1,107)</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p w:rsidR="00565516" w:rsidRPr="00E465A1" w:rsidRDefault="00565516" w:rsidP="004903FD">
            <w:pPr>
              <w:pStyle w:val="Normaltabletextleft"/>
              <w:rPr>
                <w:color w:val="262626" w:themeColor="text1" w:themeTint="D9"/>
                <w:lang w:eastAsia="en-AU"/>
              </w:rPr>
            </w:pP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single" w:sz="4" w:space="0" w:color="auto"/>
              <w:bottom w:val="nil"/>
            </w:tcBorders>
            <w:shd w:val="clear" w:color="auto" w:fill="FEE4B0"/>
            <w:noWrap/>
            <w:tcMar>
              <w:left w:w="0" w:type="dxa"/>
              <w:right w:w="113" w:type="dxa"/>
            </w:tcMar>
          </w:tcPr>
          <w:p w:rsidR="004903FD" w:rsidRPr="00E465A1" w:rsidRDefault="00811C25" w:rsidP="004903FD">
            <w:pPr>
              <w:pStyle w:val="Normaltabletext1stpararight"/>
              <w:rPr>
                <w:color w:val="262626" w:themeColor="text1" w:themeTint="D9"/>
                <w:lang w:eastAsia="en-AU"/>
              </w:rPr>
            </w:pPr>
            <w:r w:rsidRPr="00E465A1">
              <w:rPr>
                <w:color w:val="262626" w:themeColor="text1" w:themeTint="D9"/>
                <w:lang w:eastAsia="en-AU"/>
              </w:rPr>
              <w:t>853</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single" w:sz="4" w:space="0" w:color="auto"/>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596</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r w:rsidRPr="00E465A1">
              <w:rPr>
                <w:color w:val="262626" w:themeColor="text1" w:themeTint="D9"/>
                <w:lang w:eastAsia="en-AU"/>
              </w:rPr>
              <w:t>Leasehold improvements:</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4903FD" w:rsidP="004903FD">
            <w:pPr>
              <w:pStyle w:val="Normaltabletext1stpararight"/>
              <w:rPr>
                <w:color w:val="262626" w:themeColor="text1" w:themeTint="D9"/>
                <w:lang w:eastAsia="en-AU"/>
              </w:rPr>
            </w:pP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ind w:left="454"/>
              <w:rPr>
                <w:color w:val="262626" w:themeColor="text1" w:themeTint="D9"/>
                <w:lang w:eastAsia="en-AU"/>
              </w:rPr>
            </w:pPr>
            <w:r w:rsidRPr="00E465A1">
              <w:rPr>
                <w:color w:val="262626" w:themeColor="text1" w:themeTint="D9"/>
                <w:lang w:eastAsia="en-AU"/>
              </w:rPr>
              <w:t>At cost</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937D09" w:rsidP="00811C25">
            <w:pPr>
              <w:pStyle w:val="Normaltabletext1stpararight"/>
              <w:rPr>
                <w:color w:val="262626" w:themeColor="text1" w:themeTint="D9"/>
                <w:lang w:eastAsia="en-AU"/>
              </w:rPr>
            </w:pPr>
            <w:r w:rsidRPr="00E465A1">
              <w:rPr>
                <w:color w:val="262626" w:themeColor="text1" w:themeTint="D9"/>
                <w:lang w:eastAsia="en-AU"/>
              </w:rPr>
              <w:t>15,</w:t>
            </w:r>
            <w:r w:rsidR="00811C25" w:rsidRPr="00E465A1">
              <w:rPr>
                <w:color w:val="262626" w:themeColor="text1" w:themeTint="D9"/>
                <w:lang w:eastAsia="en-AU"/>
              </w:rPr>
              <w:t>237</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15,424</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ind w:left="454"/>
              <w:rPr>
                <w:color w:val="262626" w:themeColor="text1" w:themeTint="D9"/>
                <w:lang w:eastAsia="en-AU"/>
              </w:rPr>
            </w:pPr>
            <w:r w:rsidRPr="00E465A1">
              <w:rPr>
                <w:color w:val="262626" w:themeColor="text1" w:themeTint="D9"/>
                <w:lang w:eastAsia="en-AU"/>
              </w:rPr>
              <w:t>Less: Accumulated depreciation</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811C25" w:rsidP="004903FD">
            <w:pPr>
              <w:pStyle w:val="Normaltabletext1stpararight"/>
              <w:rPr>
                <w:color w:val="262626" w:themeColor="text1" w:themeTint="D9"/>
                <w:lang w:eastAsia="en-AU"/>
              </w:rPr>
            </w:pPr>
            <w:r w:rsidRPr="00E465A1">
              <w:rPr>
                <w:color w:val="262626" w:themeColor="text1" w:themeTint="D9"/>
                <w:lang w:eastAsia="en-AU"/>
              </w:rPr>
              <w:t>(10,371</w:t>
            </w:r>
            <w:r w:rsidR="00937D09" w:rsidRPr="00E465A1">
              <w:rPr>
                <w:color w:val="262626" w:themeColor="text1" w:themeTint="D9"/>
                <w:lang w:eastAsia="en-AU"/>
              </w:rPr>
              <w:t>)</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(10,583)</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p w:rsidR="00565516" w:rsidRPr="00E465A1" w:rsidRDefault="00565516" w:rsidP="004903FD">
            <w:pPr>
              <w:pStyle w:val="Normaltabletextleft"/>
              <w:rPr>
                <w:color w:val="262626" w:themeColor="text1" w:themeTint="D9"/>
                <w:lang w:eastAsia="en-AU"/>
              </w:rPr>
            </w:pP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single" w:sz="4" w:space="0" w:color="auto"/>
              <w:bottom w:val="nil"/>
            </w:tcBorders>
            <w:shd w:val="clear" w:color="auto" w:fill="FEE4B0"/>
            <w:noWrap/>
            <w:tcMar>
              <w:left w:w="0" w:type="dxa"/>
              <w:right w:w="113" w:type="dxa"/>
            </w:tcMar>
          </w:tcPr>
          <w:p w:rsidR="004903FD" w:rsidRPr="00E465A1" w:rsidRDefault="00811C25" w:rsidP="00811C25">
            <w:pPr>
              <w:pStyle w:val="Normaltabletext1stpararight"/>
              <w:rPr>
                <w:color w:val="262626" w:themeColor="text1" w:themeTint="D9"/>
                <w:lang w:eastAsia="en-AU"/>
              </w:rPr>
            </w:pPr>
            <w:r w:rsidRPr="00E465A1">
              <w:rPr>
                <w:color w:val="262626" w:themeColor="text1" w:themeTint="D9"/>
                <w:lang w:eastAsia="en-AU"/>
              </w:rPr>
              <w:t>4,866</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4,841</w:t>
            </w: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r w:rsidRPr="00E465A1">
              <w:rPr>
                <w:color w:val="262626" w:themeColor="text1" w:themeTint="D9"/>
                <w:lang w:eastAsia="en-AU"/>
              </w:rPr>
              <w:t>Work in Progress:</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4903FD" w:rsidP="004903FD">
            <w:pPr>
              <w:pStyle w:val="Normaltabletext1stpararight"/>
              <w:rPr>
                <w:color w:val="262626" w:themeColor="text1" w:themeTint="D9"/>
                <w:lang w:eastAsia="en-AU"/>
              </w:rPr>
            </w:pP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ind w:left="454"/>
              <w:rPr>
                <w:color w:val="262626" w:themeColor="text1" w:themeTint="D9"/>
                <w:lang w:eastAsia="en-AU"/>
              </w:rPr>
            </w:pPr>
            <w:r w:rsidRPr="00E465A1">
              <w:rPr>
                <w:color w:val="262626" w:themeColor="text1" w:themeTint="D9"/>
                <w:lang w:eastAsia="en-AU"/>
              </w:rPr>
              <w:t>At cost</w:t>
            </w: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811C25" w:rsidP="004903FD">
            <w:pPr>
              <w:pStyle w:val="Normaltabletext1stpararight"/>
              <w:rPr>
                <w:color w:val="262626" w:themeColor="text1" w:themeTint="D9"/>
                <w:lang w:eastAsia="en-AU"/>
              </w:rPr>
            </w:pPr>
            <w:r w:rsidRPr="00E465A1">
              <w:rPr>
                <w:color w:val="262626" w:themeColor="text1" w:themeTint="D9"/>
                <w:lang w:eastAsia="en-AU"/>
              </w:rPr>
              <w:t>1,604</w:t>
            </w: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r w:rsidRPr="00E465A1">
              <w:rPr>
                <w:color w:val="262626" w:themeColor="text1" w:themeTint="D9"/>
                <w:lang w:eastAsia="en-AU"/>
              </w:rPr>
              <w:t>58</w:t>
            </w:r>
          </w:p>
        </w:tc>
      </w:tr>
      <w:tr w:rsidR="00E465A1" w:rsidRPr="00E465A1" w:rsidTr="00AD6577">
        <w:trPr>
          <w:trHeight w:val="20"/>
        </w:trPr>
        <w:tc>
          <w:tcPr>
            <w:tcW w:w="6803" w:type="dxa"/>
            <w:tcBorders>
              <w:top w:val="nil"/>
              <w:left w:val="nil"/>
              <w:bottom w:val="nil"/>
            </w:tcBorders>
            <w:noWrap/>
            <w:tcMar>
              <w:left w:w="0" w:type="dxa"/>
              <w:right w:w="0" w:type="dxa"/>
            </w:tcMar>
          </w:tcPr>
          <w:p w:rsidR="00565516" w:rsidRPr="00E465A1" w:rsidRDefault="00565516" w:rsidP="004903FD">
            <w:pPr>
              <w:pStyle w:val="Normaltabletextleft"/>
              <w:ind w:left="454"/>
              <w:rPr>
                <w:color w:val="262626" w:themeColor="text1" w:themeTint="D9"/>
                <w:lang w:eastAsia="en-AU"/>
              </w:rPr>
            </w:pPr>
          </w:p>
        </w:tc>
        <w:tc>
          <w:tcPr>
            <w:tcW w:w="964" w:type="dxa"/>
            <w:tcBorders>
              <w:top w:val="nil"/>
              <w:bottom w:val="nil"/>
            </w:tcBorders>
            <w:noWrap/>
            <w:tcMar>
              <w:left w:w="0" w:type="dxa"/>
              <w:right w:w="0" w:type="dxa"/>
            </w:tcMar>
          </w:tcPr>
          <w:p w:rsidR="004903FD" w:rsidRPr="00E465A1" w:rsidRDefault="004903FD" w:rsidP="004903FD">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4903FD" w:rsidRPr="00E465A1" w:rsidRDefault="004903FD" w:rsidP="004903FD">
            <w:pPr>
              <w:pStyle w:val="Normaltabletext1stpararight"/>
              <w:rPr>
                <w:color w:val="262626" w:themeColor="text1" w:themeTint="D9"/>
                <w:lang w:eastAsia="en-AU"/>
              </w:rPr>
            </w:pPr>
          </w:p>
        </w:tc>
        <w:tc>
          <w:tcPr>
            <w:tcW w:w="170" w:type="dxa"/>
            <w:tcBorders>
              <w:top w:val="nil"/>
              <w:bottom w:val="nil"/>
            </w:tcBorders>
            <w:noWrap/>
            <w:tcMar>
              <w:left w:w="0" w:type="dxa"/>
              <w:right w:w="0" w:type="dxa"/>
            </w:tcMar>
          </w:tcPr>
          <w:p w:rsidR="004903FD" w:rsidRPr="00E465A1" w:rsidRDefault="004903FD" w:rsidP="004903FD">
            <w:pPr>
              <w:pStyle w:val="Normaltabletextleft"/>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4903FD" w:rsidRPr="00E465A1" w:rsidRDefault="004903FD" w:rsidP="004903FD">
            <w:pPr>
              <w:pStyle w:val="Normaltabletext1stpara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4903FD" w:rsidRPr="00E465A1" w:rsidRDefault="004903FD" w:rsidP="004903FD">
            <w:pPr>
              <w:pStyle w:val="Normaltabletextleft"/>
              <w:rPr>
                <w:b/>
                <w:color w:val="262626" w:themeColor="text1" w:themeTint="D9"/>
                <w:lang w:eastAsia="en-AU"/>
              </w:rPr>
            </w:pPr>
            <w:r w:rsidRPr="00E465A1">
              <w:rPr>
                <w:b/>
                <w:color w:val="262626" w:themeColor="text1" w:themeTint="D9"/>
                <w:lang w:eastAsia="en-AU"/>
              </w:rPr>
              <w:t>Total</w:t>
            </w:r>
          </w:p>
        </w:tc>
        <w:tc>
          <w:tcPr>
            <w:tcW w:w="964" w:type="dxa"/>
            <w:tcBorders>
              <w:top w:val="nil"/>
              <w:bottom w:val="nil"/>
            </w:tcBorders>
            <w:noWrap/>
            <w:tcMar>
              <w:left w:w="0" w:type="dxa"/>
              <w:right w:w="0" w:type="dxa"/>
            </w:tcMar>
          </w:tcPr>
          <w:p w:rsidR="004903FD" w:rsidRPr="00E465A1" w:rsidRDefault="004903FD" w:rsidP="004903FD">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tcPr>
          <w:p w:rsidR="004903FD" w:rsidRPr="00E465A1" w:rsidRDefault="00811C25" w:rsidP="005B4F17">
            <w:pPr>
              <w:pStyle w:val="Normaltabletext1stpararight"/>
              <w:rPr>
                <w:b/>
                <w:color w:val="262626" w:themeColor="text1" w:themeTint="D9"/>
                <w:lang w:eastAsia="en-AU"/>
              </w:rPr>
            </w:pPr>
            <w:r w:rsidRPr="00E465A1">
              <w:rPr>
                <w:b/>
                <w:color w:val="262626" w:themeColor="text1" w:themeTint="D9"/>
                <w:lang w:eastAsia="en-AU"/>
              </w:rPr>
              <w:t>9,062</w:t>
            </w:r>
          </w:p>
        </w:tc>
        <w:tc>
          <w:tcPr>
            <w:tcW w:w="170" w:type="dxa"/>
            <w:tcBorders>
              <w:top w:val="nil"/>
              <w:bottom w:val="nil"/>
            </w:tcBorders>
            <w:noWrap/>
            <w:tcMar>
              <w:left w:w="0" w:type="dxa"/>
              <w:right w:w="0" w:type="dxa"/>
            </w:tcMar>
          </w:tcPr>
          <w:p w:rsidR="004903FD" w:rsidRPr="00E465A1" w:rsidRDefault="004903FD" w:rsidP="004903FD">
            <w:pPr>
              <w:pStyle w:val="Normaltabletextleft"/>
              <w:rPr>
                <w:b/>
                <w:color w:val="262626" w:themeColor="text1" w:themeTint="D9"/>
                <w:lang w:eastAsia="en-AU"/>
              </w:rPr>
            </w:pPr>
          </w:p>
        </w:tc>
        <w:tc>
          <w:tcPr>
            <w:tcW w:w="1134" w:type="dxa"/>
            <w:tcBorders>
              <w:top w:val="single" w:sz="4" w:space="0" w:color="auto"/>
              <w:bottom w:val="double" w:sz="4" w:space="0" w:color="auto"/>
              <w:right w:val="nil"/>
            </w:tcBorders>
            <w:shd w:val="clear" w:color="auto" w:fill="FFFFFF" w:themeFill="background1"/>
            <w:noWrap/>
            <w:tcMar>
              <w:left w:w="0" w:type="dxa"/>
              <w:right w:w="113" w:type="dxa"/>
            </w:tcMar>
          </w:tcPr>
          <w:p w:rsidR="004903FD" w:rsidRPr="00E465A1" w:rsidRDefault="004903FD" w:rsidP="004903FD">
            <w:pPr>
              <w:pStyle w:val="Normaltabletext1stpararight"/>
              <w:rPr>
                <w:b/>
                <w:color w:val="262626" w:themeColor="text1" w:themeTint="D9"/>
                <w:lang w:eastAsia="en-AU"/>
              </w:rPr>
            </w:pPr>
            <w:r w:rsidRPr="00E465A1">
              <w:rPr>
                <w:b/>
                <w:color w:val="262626" w:themeColor="text1" w:themeTint="D9"/>
                <w:lang w:eastAsia="en-AU"/>
              </w:rPr>
              <w:t>7,459</w:t>
            </w:r>
          </w:p>
        </w:tc>
      </w:tr>
      <w:tr w:rsidR="00E465A1" w:rsidRPr="00E465A1" w:rsidTr="008C7CEA">
        <w:trPr>
          <w:trHeight w:val="109"/>
        </w:trPr>
        <w:tc>
          <w:tcPr>
            <w:tcW w:w="6803" w:type="dxa"/>
            <w:tcBorders>
              <w:top w:val="nil"/>
              <w:left w:val="nil"/>
              <w:bottom w:val="nil"/>
              <w:right w:val="nil"/>
            </w:tcBorders>
            <w:noWrap/>
            <w:tcMar>
              <w:left w:w="0" w:type="dxa"/>
              <w:right w:w="0" w:type="dxa"/>
            </w:tcMar>
          </w:tcPr>
          <w:p w:rsidR="004903FD" w:rsidRPr="00E465A1" w:rsidRDefault="004903FD" w:rsidP="004903FD">
            <w:pPr>
              <w:pStyle w:val="Normaltabletext1stpararight"/>
              <w:jc w:val="left"/>
              <w:rPr>
                <w:color w:val="262626" w:themeColor="text1" w:themeTint="D9"/>
              </w:rPr>
            </w:pPr>
          </w:p>
        </w:tc>
        <w:tc>
          <w:tcPr>
            <w:tcW w:w="964" w:type="dxa"/>
            <w:tcBorders>
              <w:top w:val="nil"/>
              <w:left w:val="nil"/>
              <w:bottom w:val="nil"/>
              <w:right w:val="nil"/>
            </w:tcBorders>
          </w:tcPr>
          <w:p w:rsidR="004903FD" w:rsidRPr="00E465A1" w:rsidRDefault="004903FD" w:rsidP="004903FD">
            <w:pPr>
              <w:pStyle w:val="Normaltabletext1stpararight"/>
              <w:jc w:val="left"/>
              <w:rPr>
                <w:color w:val="262626" w:themeColor="text1" w:themeTint="D9"/>
              </w:rPr>
            </w:pPr>
          </w:p>
        </w:tc>
        <w:tc>
          <w:tcPr>
            <w:tcW w:w="1134" w:type="dxa"/>
            <w:tcBorders>
              <w:top w:val="nil"/>
              <w:left w:val="nil"/>
              <w:bottom w:val="nil"/>
              <w:right w:val="nil"/>
            </w:tcBorders>
          </w:tcPr>
          <w:p w:rsidR="004903FD" w:rsidRPr="00E465A1" w:rsidRDefault="004903FD" w:rsidP="004903FD">
            <w:pPr>
              <w:pStyle w:val="Normaltabletext1stpararight"/>
              <w:jc w:val="left"/>
              <w:rPr>
                <w:color w:val="262626" w:themeColor="text1" w:themeTint="D9"/>
              </w:rPr>
            </w:pPr>
          </w:p>
        </w:tc>
        <w:tc>
          <w:tcPr>
            <w:tcW w:w="170" w:type="dxa"/>
            <w:tcBorders>
              <w:top w:val="nil"/>
              <w:left w:val="nil"/>
              <w:bottom w:val="nil"/>
              <w:right w:val="nil"/>
            </w:tcBorders>
          </w:tcPr>
          <w:p w:rsidR="004903FD" w:rsidRPr="00E465A1" w:rsidRDefault="004903FD" w:rsidP="004903FD">
            <w:pPr>
              <w:pStyle w:val="Normaltabletext1stpararight"/>
              <w:jc w:val="left"/>
              <w:rPr>
                <w:color w:val="262626" w:themeColor="text1" w:themeTint="D9"/>
              </w:rPr>
            </w:pPr>
          </w:p>
        </w:tc>
        <w:tc>
          <w:tcPr>
            <w:tcW w:w="1134" w:type="dxa"/>
            <w:tcBorders>
              <w:top w:val="nil"/>
              <w:left w:val="nil"/>
              <w:bottom w:val="nil"/>
              <w:right w:val="nil"/>
            </w:tcBorders>
          </w:tcPr>
          <w:p w:rsidR="004903FD" w:rsidRPr="00E465A1" w:rsidRDefault="004903FD" w:rsidP="004903FD">
            <w:pPr>
              <w:pStyle w:val="Normaltabletext1stpararight"/>
              <w:jc w:val="left"/>
              <w:rPr>
                <w:color w:val="262626" w:themeColor="text1" w:themeTint="D9"/>
              </w:rPr>
            </w:pPr>
          </w:p>
        </w:tc>
      </w:tr>
      <w:tr w:rsidR="00565516" w:rsidRPr="00E465A1" w:rsidTr="008C7CEA">
        <w:trPr>
          <w:trHeight w:val="109"/>
        </w:trPr>
        <w:tc>
          <w:tcPr>
            <w:tcW w:w="6803" w:type="dxa"/>
            <w:tcBorders>
              <w:top w:val="nil"/>
              <w:left w:val="nil"/>
              <w:bottom w:val="nil"/>
              <w:right w:val="nil"/>
            </w:tcBorders>
            <w:noWrap/>
            <w:tcMar>
              <w:left w:w="0" w:type="dxa"/>
              <w:right w:w="0" w:type="dxa"/>
            </w:tcMar>
          </w:tcPr>
          <w:p w:rsidR="00565516" w:rsidRPr="00E465A1" w:rsidRDefault="00565516" w:rsidP="004903FD">
            <w:pPr>
              <w:pStyle w:val="Normaltabletext1stpararight"/>
              <w:jc w:val="left"/>
              <w:rPr>
                <w:color w:val="262626" w:themeColor="text1" w:themeTint="D9"/>
              </w:rPr>
            </w:pPr>
          </w:p>
        </w:tc>
        <w:tc>
          <w:tcPr>
            <w:tcW w:w="964" w:type="dxa"/>
            <w:tcBorders>
              <w:top w:val="nil"/>
              <w:left w:val="nil"/>
              <w:bottom w:val="nil"/>
              <w:right w:val="nil"/>
            </w:tcBorders>
          </w:tcPr>
          <w:p w:rsidR="00565516" w:rsidRPr="00E465A1" w:rsidRDefault="00565516" w:rsidP="004903FD">
            <w:pPr>
              <w:pStyle w:val="Normaltabletext1stpararight"/>
              <w:jc w:val="left"/>
              <w:rPr>
                <w:color w:val="262626" w:themeColor="text1" w:themeTint="D9"/>
              </w:rPr>
            </w:pPr>
          </w:p>
        </w:tc>
        <w:tc>
          <w:tcPr>
            <w:tcW w:w="1134" w:type="dxa"/>
            <w:tcBorders>
              <w:top w:val="nil"/>
              <w:left w:val="nil"/>
              <w:bottom w:val="nil"/>
              <w:right w:val="nil"/>
            </w:tcBorders>
          </w:tcPr>
          <w:p w:rsidR="00565516" w:rsidRPr="00E465A1" w:rsidRDefault="00565516" w:rsidP="004903FD">
            <w:pPr>
              <w:pStyle w:val="Normaltabletext1stpararight"/>
              <w:jc w:val="left"/>
              <w:rPr>
                <w:color w:val="262626" w:themeColor="text1" w:themeTint="D9"/>
              </w:rPr>
            </w:pPr>
          </w:p>
        </w:tc>
        <w:tc>
          <w:tcPr>
            <w:tcW w:w="170" w:type="dxa"/>
            <w:tcBorders>
              <w:top w:val="nil"/>
              <w:left w:val="nil"/>
              <w:bottom w:val="nil"/>
              <w:right w:val="nil"/>
            </w:tcBorders>
          </w:tcPr>
          <w:p w:rsidR="00565516" w:rsidRPr="00E465A1" w:rsidRDefault="00565516" w:rsidP="004903FD">
            <w:pPr>
              <w:pStyle w:val="Normaltabletext1stpararight"/>
              <w:jc w:val="left"/>
              <w:rPr>
                <w:color w:val="262626" w:themeColor="text1" w:themeTint="D9"/>
              </w:rPr>
            </w:pPr>
          </w:p>
        </w:tc>
        <w:tc>
          <w:tcPr>
            <w:tcW w:w="1134" w:type="dxa"/>
            <w:tcBorders>
              <w:top w:val="nil"/>
              <w:left w:val="nil"/>
              <w:bottom w:val="nil"/>
              <w:right w:val="nil"/>
            </w:tcBorders>
          </w:tcPr>
          <w:p w:rsidR="00565516" w:rsidRPr="00E465A1" w:rsidRDefault="00565516" w:rsidP="004903FD">
            <w:pPr>
              <w:pStyle w:val="Normaltabletext1stpararight"/>
              <w:jc w:val="left"/>
              <w:rPr>
                <w:color w:val="262626" w:themeColor="text1" w:themeTint="D9"/>
              </w:rPr>
            </w:pPr>
          </w:p>
        </w:tc>
      </w:tr>
    </w:tbl>
    <w:p w:rsidR="00230CD9" w:rsidRPr="00E465A1" w:rsidRDefault="00230CD9" w:rsidP="008F5B2D">
      <w:pPr>
        <w:pStyle w:val="Normal1stpara"/>
        <w:rPr>
          <w:color w:val="262626" w:themeColor="text1" w:themeTint="D9"/>
        </w:rPr>
      </w:pPr>
    </w:p>
    <w:p w:rsidR="00565516" w:rsidRPr="00E465A1" w:rsidRDefault="00565516" w:rsidP="00565516">
      <w:pPr>
        <w:pStyle w:val="NormalIndent1"/>
        <w:ind w:left="0"/>
        <w:rPr>
          <w:color w:val="262626" w:themeColor="text1" w:themeTint="D9"/>
        </w:rPr>
        <w:sectPr w:rsidR="00565516" w:rsidRPr="00E465A1" w:rsidSect="0093233E">
          <w:headerReference w:type="even" r:id="rId29"/>
          <w:headerReference w:type="default" r:id="rId30"/>
          <w:headerReference w:type="first" r:id="rId31"/>
          <w:pgSz w:w="11907" w:h="16840" w:code="9"/>
          <w:pgMar w:top="2268" w:right="851" w:bottom="1418" w:left="851" w:header="567" w:footer="567" w:gutter="0"/>
          <w:cols w:space="720"/>
          <w:noEndnote/>
        </w:sectPr>
      </w:pPr>
    </w:p>
    <w:p w:rsidR="006D7F0F" w:rsidRPr="00E465A1" w:rsidRDefault="006D7F0F" w:rsidP="001838B9">
      <w:pPr>
        <w:pStyle w:val="Normal1stpara"/>
        <w:rPr>
          <w:color w:val="262626" w:themeColor="text1" w:themeTint="D9"/>
        </w:rPr>
      </w:pPr>
    </w:p>
    <w:p w:rsidR="00E16AD7" w:rsidRPr="00E465A1" w:rsidRDefault="00DA3914" w:rsidP="001838B9">
      <w:pPr>
        <w:pStyle w:val="Normal115pttext"/>
        <w:rPr>
          <w:color w:val="262626" w:themeColor="text1" w:themeTint="D9"/>
        </w:rPr>
      </w:pPr>
      <w:r w:rsidRPr="00E465A1">
        <w:rPr>
          <w:color w:val="262626" w:themeColor="text1" w:themeTint="D9"/>
        </w:rPr>
        <w:t xml:space="preserve">Note </w:t>
      </w:r>
      <w:r w:rsidR="0014516F" w:rsidRPr="00E465A1">
        <w:rPr>
          <w:color w:val="262626" w:themeColor="text1" w:themeTint="D9"/>
        </w:rPr>
        <w:t>10</w:t>
      </w:r>
      <w:r w:rsidRPr="00E465A1">
        <w:rPr>
          <w:color w:val="262626" w:themeColor="text1" w:themeTint="D9"/>
        </w:rPr>
        <w:t>:  Property, plant and equipment and Intangible Assets</w:t>
      </w:r>
      <w:r w:rsidR="00E16AD7" w:rsidRPr="00E465A1">
        <w:rPr>
          <w:color w:val="262626" w:themeColor="text1" w:themeTint="D9"/>
        </w:rPr>
        <w:t xml:space="preserve"> (</w:t>
      </w:r>
      <w:r w:rsidR="00565516" w:rsidRPr="00E465A1">
        <w:rPr>
          <w:color w:val="262626" w:themeColor="text1" w:themeTint="D9"/>
        </w:rPr>
        <w:t>c</w:t>
      </w:r>
      <w:r w:rsidR="00E16AD7" w:rsidRPr="00E465A1">
        <w:rPr>
          <w:color w:val="262626" w:themeColor="text1" w:themeTint="D9"/>
        </w:rPr>
        <w:t xml:space="preserve">ont’d) </w:t>
      </w:r>
    </w:p>
    <w:p w:rsidR="004D6BFE" w:rsidRPr="00E465A1" w:rsidRDefault="00286952" w:rsidP="001838B9">
      <w:pPr>
        <w:pStyle w:val="Normal115pttext"/>
        <w:rPr>
          <w:color w:val="262626" w:themeColor="text1" w:themeTint="D9"/>
        </w:rPr>
      </w:pPr>
      <w:r w:rsidRPr="00E465A1">
        <w:rPr>
          <w:color w:val="262626" w:themeColor="text1" w:themeTint="D9"/>
        </w:rPr>
        <w:t xml:space="preserve">Note </w:t>
      </w:r>
      <w:r w:rsidR="0014516F" w:rsidRPr="00E465A1">
        <w:rPr>
          <w:color w:val="262626" w:themeColor="text1" w:themeTint="D9"/>
        </w:rPr>
        <w:t>10</w:t>
      </w:r>
      <w:r w:rsidR="007203F7" w:rsidRPr="00E465A1">
        <w:rPr>
          <w:color w:val="262626" w:themeColor="text1" w:themeTint="D9"/>
        </w:rPr>
        <w:t>B</w:t>
      </w:r>
      <w:r w:rsidRPr="00E465A1">
        <w:rPr>
          <w:color w:val="262626" w:themeColor="text1" w:themeTint="D9"/>
        </w:rPr>
        <w:t>:  Property, Plant and Equipment (cont’d)</w:t>
      </w:r>
    </w:p>
    <w:p w:rsidR="00565516" w:rsidRPr="00E465A1" w:rsidRDefault="00565516" w:rsidP="001838B9">
      <w:pPr>
        <w:pStyle w:val="Normal115pttext"/>
        <w:rPr>
          <w:color w:val="262626" w:themeColor="text1" w:themeTint="D9"/>
        </w:rPr>
      </w:pPr>
    </w:p>
    <w:tbl>
      <w:tblPr>
        <w:tblW w:w="14317" w:type="dxa"/>
        <w:tblLayout w:type="fixed"/>
        <w:tblCellMar>
          <w:left w:w="0" w:type="dxa"/>
          <w:bottom w:w="11" w:type="dxa"/>
          <w:right w:w="0" w:type="dxa"/>
        </w:tblCellMar>
        <w:tblLook w:val="01E0" w:firstRow="1" w:lastRow="1" w:firstColumn="1" w:lastColumn="1" w:noHBand="0" w:noVBand="0"/>
      </w:tblPr>
      <w:tblGrid>
        <w:gridCol w:w="2410"/>
        <w:gridCol w:w="992"/>
        <w:gridCol w:w="993"/>
        <w:gridCol w:w="992"/>
        <w:gridCol w:w="992"/>
        <w:gridCol w:w="992"/>
        <w:gridCol w:w="993"/>
        <w:gridCol w:w="992"/>
        <w:gridCol w:w="992"/>
        <w:gridCol w:w="992"/>
        <w:gridCol w:w="993"/>
        <w:gridCol w:w="992"/>
        <w:gridCol w:w="992"/>
      </w:tblGrid>
      <w:tr w:rsidR="00E465A1" w:rsidRPr="00E465A1" w:rsidTr="00FA5AFC">
        <w:trPr>
          <w:trHeight w:val="20"/>
        </w:trPr>
        <w:tc>
          <w:tcPr>
            <w:tcW w:w="4395" w:type="dxa"/>
            <w:gridSpan w:val="3"/>
            <w:tcBorders>
              <w:bottom w:val="single" w:sz="4" w:space="0" w:color="auto"/>
            </w:tcBorders>
            <w:tcMar>
              <w:left w:w="0" w:type="dxa"/>
            </w:tcMar>
            <w:vAlign w:val="center"/>
          </w:tcPr>
          <w:p w:rsidR="00565516" w:rsidRPr="00E465A1" w:rsidRDefault="00565516" w:rsidP="002A4057">
            <w:pPr>
              <w:pStyle w:val="Normaltabletext1stpararight"/>
              <w:jc w:val="left"/>
              <w:rPr>
                <w:b/>
                <w:color w:val="262626" w:themeColor="text1" w:themeTint="D9"/>
                <w:szCs w:val="20"/>
              </w:rPr>
            </w:pPr>
            <w:r w:rsidRPr="00E465A1">
              <w:rPr>
                <w:b/>
                <w:color w:val="262626" w:themeColor="text1" w:themeTint="D9"/>
                <w:szCs w:val="20"/>
              </w:rPr>
              <w:t>Property, Plant and Equipment Reconciliation</w:t>
            </w:r>
          </w:p>
          <w:p w:rsidR="002A4057" w:rsidRPr="00E465A1" w:rsidRDefault="002A4057" w:rsidP="002A4057">
            <w:pPr>
              <w:pStyle w:val="Normaltabletext1stpararight"/>
              <w:jc w:val="left"/>
              <w:rPr>
                <w:b/>
                <w:color w:val="262626" w:themeColor="text1" w:themeTint="D9"/>
                <w:szCs w:val="20"/>
              </w:rPr>
            </w:pPr>
          </w:p>
        </w:tc>
        <w:tc>
          <w:tcPr>
            <w:tcW w:w="1984" w:type="dxa"/>
            <w:gridSpan w:val="2"/>
            <w:tcBorders>
              <w:bottom w:val="single" w:sz="4" w:space="0" w:color="auto"/>
            </w:tcBorders>
            <w:tcMar>
              <w:left w:w="0" w:type="dxa"/>
            </w:tcMar>
            <w:vAlign w:val="center"/>
          </w:tcPr>
          <w:p w:rsidR="00565516" w:rsidRPr="00E465A1" w:rsidRDefault="00565516" w:rsidP="008C087C">
            <w:pPr>
              <w:pStyle w:val="Normaltabletext1stpararight"/>
              <w:rPr>
                <w:color w:val="262626" w:themeColor="text1" w:themeTint="D9"/>
                <w:szCs w:val="20"/>
              </w:rPr>
            </w:pPr>
          </w:p>
        </w:tc>
        <w:tc>
          <w:tcPr>
            <w:tcW w:w="1985" w:type="dxa"/>
            <w:gridSpan w:val="2"/>
            <w:tcBorders>
              <w:bottom w:val="single" w:sz="4" w:space="0" w:color="auto"/>
            </w:tcBorders>
            <w:tcMar>
              <w:left w:w="0" w:type="dxa"/>
            </w:tcMar>
            <w:vAlign w:val="center"/>
          </w:tcPr>
          <w:p w:rsidR="00565516" w:rsidRPr="00E465A1" w:rsidRDefault="00565516" w:rsidP="008C087C">
            <w:pPr>
              <w:pStyle w:val="Normaltabletext1stpararight"/>
              <w:rPr>
                <w:color w:val="262626" w:themeColor="text1" w:themeTint="D9"/>
                <w:szCs w:val="20"/>
              </w:rPr>
            </w:pPr>
          </w:p>
        </w:tc>
        <w:tc>
          <w:tcPr>
            <w:tcW w:w="1984" w:type="dxa"/>
            <w:gridSpan w:val="2"/>
            <w:tcBorders>
              <w:bottom w:val="single" w:sz="4" w:space="0" w:color="auto"/>
            </w:tcBorders>
            <w:tcMar>
              <w:left w:w="0" w:type="dxa"/>
            </w:tcMar>
            <w:vAlign w:val="center"/>
          </w:tcPr>
          <w:p w:rsidR="00565516" w:rsidRPr="00E465A1" w:rsidRDefault="00565516" w:rsidP="008C087C">
            <w:pPr>
              <w:pStyle w:val="Normaltabletext1stpararight"/>
              <w:rPr>
                <w:color w:val="262626" w:themeColor="text1" w:themeTint="D9"/>
                <w:szCs w:val="20"/>
              </w:rPr>
            </w:pPr>
          </w:p>
        </w:tc>
        <w:tc>
          <w:tcPr>
            <w:tcW w:w="1985" w:type="dxa"/>
            <w:gridSpan w:val="2"/>
            <w:tcBorders>
              <w:bottom w:val="single" w:sz="4" w:space="0" w:color="auto"/>
            </w:tcBorders>
            <w:tcMar>
              <w:left w:w="0" w:type="dxa"/>
            </w:tcMar>
            <w:vAlign w:val="center"/>
          </w:tcPr>
          <w:p w:rsidR="00565516" w:rsidRPr="00E465A1" w:rsidRDefault="00565516" w:rsidP="008C087C">
            <w:pPr>
              <w:pStyle w:val="Normaltabletext1stpararight"/>
              <w:rPr>
                <w:color w:val="262626" w:themeColor="text1" w:themeTint="D9"/>
                <w:szCs w:val="20"/>
              </w:rPr>
            </w:pPr>
          </w:p>
        </w:tc>
        <w:tc>
          <w:tcPr>
            <w:tcW w:w="1984" w:type="dxa"/>
            <w:gridSpan w:val="2"/>
            <w:tcBorders>
              <w:bottom w:val="single" w:sz="4" w:space="0" w:color="auto"/>
            </w:tcBorders>
            <w:tcMar>
              <w:left w:w="0" w:type="dxa"/>
            </w:tcMar>
            <w:vAlign w:val="center"/>
          </w:tcPr>
          <w:p w:rsidR="00565516" w:rsidRPr="00E465A1" w:rsidRDefault="00565516" w:rsidP="008C087C">
            <w:pPr>
              <w:pStyle w:val="Normaltabletext1stpararight"/>
              <w:rPr>
                <w:color w:val="262626" w:themeColor="text1" w:themeTint="D9"/>
                <w:szCs w:val="20"/>
              </w:rPr>
            </w:pPr>
          </w:p>
        </w:tc>
      </w:tr>
      <w:tr w:rsidR="00E465A1" w:rsidRPr="00E465A1" w:rsidTr="00FA5AFC">
        <w:trPr>
          <w:trHeight w:val="20"/>
        </w:trPr>
        <w:tc>
          <w:tcPr>
            <w:tcW w:w="2410" w:type="dxa"/>
            <w:tcBorders>
              <w:right w:val="single" w:sz="4" w:space="0" w:color="auto"/>
            </w:tcBorders>
            <w:tcMar>
              <w:top w:w="57" w:type="dxa"/>
              <w:left w:w="0" w:type="dxa"/>
              <w:bottom w:w="85" w:type="dxa"/>
            </w:tcMar>
            <w:vAlign w:val="center"/>
          </w:tcPr>
          <w:p w:rsidR="00C0490A" w:rsidRPr="00E465A1" w:rsidRDefault="00C0490A" w:rsidP="008C087C">
            <w:pPr>
              <w:pStyle w:val="Normaltabletextleft"/>
              <w:rPr>
                <w:b/>
                <w:color w:val="262626" w:themeColor="text1" w:themeTint="D9"/>
                <w:szCs w:val="20"/>
              </w:rPr>
            </w:pPr>
          </w:p>
        </w:tc>
        <w:tc>
          <w:tcPr>
            <w:tcW w:w="1985" w:type="dxa"/>
            <w:gridSpan w:val="2"/>
            <w:tcBorders>
              <w:top w:val="single" w:sz="4" w:space="0" w:color="auto"/>
              <w:left w:val="single" w:sz="4" w:space="0" w:color="auto"/>
              <w:bottom w:val="single" w:sz="4" w:space="0" w:color="auto"/>
              <w:right w:val="single" w:sz="4" w:space="0" w:color="auto"/>
            </w:tcBorders>
            <w:tcMar>
              <w:top w:w="57" w:type="dxa"/>
              <w:left w:w="0" w:type="dxa"/>
              <w:bottom w:w="85" w:type="dxa"/>
              <w:right w:w="0" w:type="dxa"/>
            </w:tcMar>
            <w:vAlign w:val="center"/>
          </w:tcPr>
          <w:p w:rsidR="00C0490A" w:rsidRPr="00E465A1" w:rsidRDefault="00C0490A" w:rsidP="008C087C">
            <w:pPr>
              <w:pStyle w:val="Normaltabletextcentred"/>
              <w:rPr>
                <w:b/>
                <w:color w:val="262626" w:themeColor="text1" w:themeTint="D9"/>
                <w:szCs w:val="20"/>
              </w:rPr>
            </w:pPr>
            <w:r w:rsidRPr="00E465A1">
              <w:rPr>
                <w:b/>
                <w:color w:val="262626" w:themeColor="text1" w:themeTint="D9"/>
                <w:szCs w:val="20"/>
              </w:rPr>
              <w:t>Motor vehicles</w:t>
            </w:r>
          </w:p>
        </w:tc>
        <w:tc>
          <w:tcPr>
            <w:tcW w:w="1984" w:type="dxa"/>
            <w:gridSpan w:val="2"/>
            <w:tcBorders>
              <w:top w:val="single" w:sz="4" w:space="0" w:color="auto"/>
              <w:left w:val="single" w:sz="4" w:space="0" w:color="auto"/>
              <w:bottom w:val="single" w:sz="4" w:space="0" w:color="auto"/>
              <w:right w:val="single" w:sz="4" w:space="0" w:color="auto"/>
            </w:tcBorders>
            <w:tcMar>
              <w:top w:w="57" w:type="dxa"/>
              <w:left w:w="0" w:type="dxa"/>
              <w:bottom w:w="85" w:type="dxa"/>
              <w:right w:w="0" w:type="dxa"/>
            </w:tcMar>
            <w:vAlign w:val="center"/>
          </w:tcPr>
          <w:p w:rsidR="00C0490A" w:rsidRPr="00E465A1" w:rsidRDefault="00C0490A" w:rsidP="008C087C">
            <w:pPr>
              <w:pStyle w:val="Normaltabletextcentred"/>
              <w:rPr>
                <w:b/>
                <w:color w:val="262626" w:themeColor="text1" w:themeTint="D9"/>
                <w:szCs w:val="20"/>
              </w:rPr>
            </w:pPr>
            <w:r w:rsidRPr="00E465A1">
              <w:rPr>
                <w:b/>
                <w:color w:val="262626" w:themeColor="text1" w:themeTint="D9"/>
                <w:szCs w:val="20"/>
              </w:rPr>
              <w:t>Computer equipment</w:t>
            </w:r>
          </w:p>
        </w:tc>
        <w:tc>
          <w:tcPr>
            <w:tcW w:w="1985" w:type="dxa"/>
            <w:gridSpan w:val="2"/>
            <w:tcBorders>
              <w:top w:val="single" w:sz="4" w:space="0" w:color="auto"/>
              <w:left w:val="single" w:sz="4" w:space="0" w:color="auto"/>
              <w:bottom w:val="single" w:sz="4" w:space="0" w:color="auto"/>
              <w:right w:val="single" w:sz="4" w:space="0" w:color="auto"/>
            </w:tcBorders>
            <w:tcMar>
              <w:top w:w="57" w:type="dxa"/>
              <w:left w:w="0" w:type="dxa"/>
              <w:bottom w:w="85" w:type="dxa"/>
              <w:right w:w="0" w:type="dxa"/>
            </w:tcMar>
            <w:vAlign w:val="center"/>
          </w:tcPr>
          <w:p w:rsidR="00C0490A" w:rsidRPr="00E465A1" w:rsidRDefault="00C0490A" w:rsidP="008C087C">
            <w:pPr>
              <w:pStyle w:val="Normaltabletextcentred"/>
              <w:rPr>
                <w:b/>
                <w:color w:val="262626" w:themeColor="text1" w:themeTint="D9"/>
                <w:szCs w:val="20"/>
              </w:rPr>
            </w:pPr>
            <w:r w:rsidRPr="00E465A1">
              <w:rPr>
                <w:b/>
                <w:color w:val="262626" w:themeColor="text1" w:themeTint="D9"/>
                <w:szCs w:val="20"/>
              </w:rPr>
              <w:t>General and technical equipment</w:t>
            </w:r>
          </w:p>
        </w:tc>
        <w:tc>
          <w:tcPr>
            <w:tcW w:w="1984" w:type="dxa"/>
            <w:gridSpan w:val="2"/>
            <w:tcBorders>
              <w:top w:val="single" w:sz="4" w:space="0" w:color="auto"/>
              <w:left w:val="single" w:sz="4" w:space="0" w:color="auto"/>
              <w:bottom w:val="single" w:sz="4" w:space="0" w:color="auto"/>
              <w:right w:val="single" w:sz="4" w:space="0" w:color="auto"/>
            </w:tcBorders>
            <w:tcMar>
              <w:top w:w="57" w:type="dxa"/>
              <w:left w:w="0" w:type="dxa"/>
              <w:bottom w:w="85" w:type="dxa"/>
              <w:right w:w="0" w:type="dxa"/>
            </w:tcMar>
            <w:vAlign w:val="center"/>
          </w:tcPr>
          <w:p w:rsidR="00C0490A" w:rsidRPr="00E465A1" w:rsidRDefault="00C0490A" w:rsidP="008C087C">
            <w:pPr>
              <w:pStyle w:val="Normaltabletextcentred"/>
              <w:rPr>
                <w:b/>
                <w:color w:val="262626" w:themeColor="text1" w:themeTint="D9"/>
                <w:szCs w:val="20"/>
              </w:rPr>
            </w:pPr>
            <w:r w:rsidRPr="00E465A1">
              <w:rPr>
                <w:b/>
                <w:color w:val="262626" w:themeColor="text1" w:themeTint="D9"/>
                <w:szCs w:val="20"/>
              </w:rPr>
              <w:t>Leasehold improvements</w:t>
            </w:r>
            <w:r w:rsidRPr="00E465A1">
              <w:rPr>
                <w:b/>
                <w:color w:val="262626" w:themeColor="text1" w:themeTint="D9"/>
                <w:szCs w:val="20"/>
                <w:vertAlign w:val="superscript"/>
              </w:rPr>
              <w:t>1</w:t>
            </w:r>
          </w:p>
        </w:tc>
        <w:tc>
          <w:tcPr>
            <w:tcW w:w="1985" w:type="dxa"/>
            <w:gridSpan w:val="2"/>
            <w:tcBorders>
              <w:top w:val="single" w:sz="4" w:space="0" w:color="auto"/>
              <w:left w:val="single" w:sz="4" w:space="0" w:color="auto"/>
              <w:bottom w:val="single" w:sz="4" w:space="0" w:color="auto"/>
              <w:right w:val="single" w:sz="4" w:space="0" w:color="auto"/>
            </w:tcBorders>
            <w:tcMar>
              <w:top w:w="57" w:type="dxa"/>
              <w:left w:w="0" w:type="dxa"/>
              <w:bottom w:w="85" w:type="dxa"/>
              <w:right w:w="0" w:type="dxa"/>
            </w:tcMar>
            <w:vAlign w:val="center"/>
          </w:tcPr>
          <w:p w:rsidR="00C0490A" w:rsidRPr="00E465A1" w:rsidRDefault="00C0490A" w:rsidP="008C087C">
            <w:pPr>
              <w:pStyle w:val="Normaltabletextcentred"/>
              <w:rPr>
                <w:b/>
                <w:color w:val="262626" w:themeColor="text1" w:themeTint="D9"/>
                <w:szCs w:val="20"/>
              </w:rPr>
            </w:pPr>
            <w:r w:rsidRPr="00E465A1">
              <w:rPr>
                <w:b/>
                <w:color w:val="262626" w:themeColor="text1" w:themeTint="D9"/>
                <w:szCs w:val="20"/>
              </w:rPr>
              <w:t xml:space="preserve">Work </w:t>
            </w:r>
            <w:r w:rsidRPr="00E465A1">
              <w:rPr>
                <w:b/>
                <w:color w:val="262626" w:themeColor="text1" w:themeTint="D9"/>
                <w:szCs w:val="20"/>
              </w:rPr>
              <w:br/>
              <w:t>in progress</w:t>
            </w:r>
          </w:p>
        </w:tc>
        <w:tc>
          <w:tcPr>
            <w:tcW w:w="1984" w:type="dxa"/>
            <w:gridSpan w:val="2"/>
            <w:tcBorders>
              <w:top w:val="single" w:sz="4" w:space="0" w:color="auto"/>
              <w:left w:val="single" w:sz="4" w:space="0" w:color="auto"/>
              <w:bottom w:val="single" w:sz="4" w:space="0" w:color="auto"/>
            </w:tcBorders>
            <w:tcMar>
              <w:top w:w="57" w:type="dxa"/>
              <w:left w:w="0" w:type="dxa"/>
              <w:bottom w:w="85" w:type="dxa"/>
              <w:right w:w="0" w:type="dxa"/>
            </w:tcMar>
            <w:vAlign w:val="center"/>
          </w:tcPr>
          <w:p w:rsidR="00C0490A" w:rsidRPr="00E465A1" w:rsidRDefault="00C0490A" w:rsidP="008C087C">
            <w:pPr>
              <w:pStyle w:val="Normaltabletextcentred"/>
              <w:rPr>
                <w:b/>
                <w:color w:val="262626" w:themeColor="text1" w:themeTint="D9"/>
                <w:szCs w:val="20"/>
              </w:rPr>
            </w:pPr>
            <w:r w:rsidRPr="00E465A1">
              <w:rPr>
                <w:b/>
                <w:color w:val="262626" w:themeColor="text1" w:themeTint="D9"/>
                <w:szCs w:val="20"/>
              </w:rPr>
              <w:t>Total</w:t>
            </w:r>
          </w:p>
        </w:tc>
      </w:tr>
      <w:tr w:rsidR="00E465A1" w:rsidRPr="00E465A1" w:rsidTr="00AD6577">
        <w:trPr>
          <w:trHeight w:val="20"/>
        </w:trPr>
        <w:tc>
          <w:tcPr>
            <w:tcW w:w="2410" w:type="dxa"/>
            <w:tcBorders>
              <w:right w:val="single" w:sz="4" w:space="0" w:color="auto"/>
            </w:tcBorders>
            <w:tcMar>
              <w:left w:w="0" w:type="dxa"/>
            </w:tcMar>
            <w:vAlign w:val="center"/>
          </w:tcPr>
          <w:p w:rsidR="00C0490A" w:rsidRPr="00E465A1" w:rsidRDefault="00C0490A" w:rsidP="008C087C">
            <w:pPr>
              <w:pStyle w:val="Normaltabletextleft"/>
              <w:rPr>
                <w:color w:val="262626" w:themeColor="text1" w:themeTint="D9"/>
                <w:szCs w:val="20"/>
              </w:rPr>
            </w:pPr>
          </w:p>
        </w:tc>
        <w:tc>
          <w:tcPr>
            <w:tcW w:w="992" w:type="dxa"/>
            <w:tcBorders>
              <w:top w:val="single" w:sz="4" w:space="0" w:color="auto"/>
              <w:left w:val="single" w:sz="4" w:space="0" w:color="auto"/>
            </w:tcBorders>
            <w:shd w:val="clear" w:color="auto" w:fill="FEE4B0"/>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2018</w:t>
            </w:r>
          </w:p>
        </w:tc>
        <w:tc>
          <w:tcPr>
            <w:tcW w:w="993" w:type="dxa"/>
            <w:tcBorders>
              <w:top w:val="single" w:sz="4" w:space="0" w:color="auto"/>
              <w:right w:val="single" w:sz="4" w:space="0" w:color="auto"/>
            </w:tcBorders>
            <w:shd w:val="clear" w:color="auto" w:fill="FFFFFF" w:themeFill="background1"/>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2017</w:t>
            </w:r>
          </w:p>
        </w:tc>
        <w:tc>
          <w:tcPr>
            <w:tcW w:w="992" w:type="dxa"/>
            <w:tcBorders>
              <w:top w:val="single" w:sz="4" w:space="0" w:color="auto"/>
              <w:left w:val="single" w:sz="4" w:space="0" w:color="auto"/>
            </w:tcBorders>
            <w:shd w:val="clear" w:color="auto" w:fill="FEE4B0"/>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2018</w:t>
            </w:r>
          </w:p>
        </w:tc>
        <w:tc>
          <w:tcPr>
            <w:tcW w:w="992" w:type="dxa"/>
            <w:tcBorders>
              <w:top w:val="single" w:sz="4" w:space="0" w:color="auto"/>
              <w:right w:val="single" w:sz="4" w:space="0" w:color="auto"/>
            </w:tcBorders>
            <w:shd w:val="clear" w:color="auto" w:fill="FFFFFF" w:themeFill="background1"/>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2017</w:t>
            </w:r>
          </w:p>
        </w:tc>
        <w:tc>
          <w:tcPr>
            <w:tcW w:w="992" w:type="dxa"/>
            <w:tcBorders>
              <w:top w:val="single" w:sz="4" w:space="0" w:color="auto"/>
              <w:left w:val="single" w:sz="4" w:space="0" w:color="auto"/>
            </w:tcBorders>
            <w:shd w:val="clear" w:color="auto" w:fill="FEE4B0"/>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2018</w:t>
            </w:r>
          </w:p>
        </w:tc>
        <w:tc>
          <w:tcPr>
            <w:tcW w:w="993" w:type="dxa"/>
            <w:tcBorders>
              <w:top w:val="single" w:sz="4" w:space="0" w:color="auto"/>
              <w:right w:val="single" w:sz="4" w:space="0" w:color="auto"/>
            </w:tcBorders>
            <w:shd w:val="clear" w:color="auto" w:fill="FFFFFF" w:themeFill="background1"/>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2017</w:t>
            </w:r>
          </w:p>
        </w:tc>
        <w:tc>
          <w:tcPr>
            <w:tcW w:w="992" w:type="dxa"/>
            <w:tcBorders>
              <w:top w:val="single" w:sz="4" w:space="0" w:color="auto"/>
              <w:left w:val="single" w:sz="4" w:space="0" w:color="auto"/>
            </w:tcBorders>
            <w:shd w:val="clear" w:color="auto" w:fill="FEE4B0"/>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2018</w:t>
            </w:r>
          </w:p>
        </w:tc>
        <w:tc>
          <w:tcPr>
            <w:tcW w:w="992" w:type="dxa"/>
            <w:tcBorders>
              <w:top w:val="single" w:sz="4" w:space="0" w:color="auto"/>
              <w:right w:val="single" w:sz="4" w:space="0" w:color="auto"/>
            </w:tcBorders>
            <w:shd w:val="clear" w:color="auto" w:fill="FFFFFF" w:themeFill="background1"/>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2017</w:t>
            </w:r>
          </w:p>
        </w:tc>
        <w:tc>
          <w:tcPr>
            <w:tcW w:w="992" w:type="dxa"/>
            <w:tcBorders>
              <w:top w:val="single" w:sz="4" w:space="0" w:color="auto"/>
              <w:left w:val="single" w:sz="4" w:space="0" w:color="auto"/>
            </w:tcBorders>
            <w:shd w:val="clear" w:color="auto" w:fill="FEE4B0"/>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2018</w:t>
            </w:r>
          </w:p>
        </w:tc>
        <w:tc>
          <w:tcPr>
            <w:tcW w:w="993" w:type="dxa"/>
            <w:tcBorders>
              <w:top w:val="single" w:sz="4" w:space="0" w:color="auto"/>
              <w:right w:val="single" w:sz="4" w:space="0" w:color="auto"/>
            </w:tcBorders>
            <w:shd w:val="clear" w:color="auto" w:fill="FFFFFF" w:themeFill="background1"/>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2017</w:t>
            </w:r>
          </w:p>
        </w:tc>
        <w:tc>
          <w:tcPr>
            <w:tcW w:w="992" w:type="dxa"/>
            <w:tcBorders>
              <w:top w:val="single" w:sz="4" w:space="0" w:color="auto"/>
              <w:left w:val="single" w:sz="4" w:space="0" w:color="auto"/>
            </w:tcBorders>
            <w:shd w:val="clear" w:color="auto" w:fill="FEE4B0"/>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2018</w:t>
            </w:r>
          </w:p>
        </w:tc>
        <w:tc>
          <w:tcPr>
            <w:tcW w:w="992" w:type="dxa"/>
            <w:tcBorders>
              <w:top w:val="single" w:sz="4" w:space="0" w:color="auto"/>
            </w:tcBorders>
            <w:shd w:val="clear" w:color="auto" w:fill="FFFFFF" w:themeFill="background1"/>
            <w:tcMar>
              <w:top w:w="57" w:type="dxa"/>
              <w:left w:w="0" w:type="dxa"/>
              <w:bottom w:w="0"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2017</w:t>
            </w:r>
          </w:p>
        </w:tc>
      </w:tr>
      <w:tr w:rsidR="00E465A1" w:rsidRPr="00E465A1" w:rsidTr="00AD6577">
        <w:trPr>
          <w:trHeight w:val="20"/>
        </w:trPr>
        <w:tc>
          <w:tcPr>
            <w:tcW w:w="2410" w:type="dxa"/>
            <w:tcBorders>
              <w:bottom w:val="single" w:sz="4" w:space="0" w:color="auto"/>
              <w:right w:val="single" w:sz="4" w:space="0" w:color="auto"/>
            </w:tcBorders>
            <w:tcMar>
              <w:left w:w="0" w:type="dxa"/>
            </w:tcMar>
            <w:vAlign w:val="center"/>
          </w:tcPr>
          <w:p w:rsidR="00C0490A" w:rsidRPr="00E465A1" w:rsidRDefault="00C0490A" w:rsidP="008C087C">
            <w:pPr>
              <w:pStyle w:val="Normaltabletextleft"/>
              <w:rPr>
                <w:color w:val="262626" w:themeColor="text1" w:themeTint="D9"/>
                <w:szCs w:val="20"/>
              </w:rPr>
            </w:pPr>
          </w:p>
        </w:tc>
        <w:tc>
          <w:tcPr>
            <w:tcW w:w="992" w:type="dxa"/>
            <w:tcBorders>
              <w:left w:val="single" w:sz="4" w:space="0" w:color="auto"/>
              <w:bottom w:val="single" w:sz="4" w:space="0" w:color="auto"/>
            </w:tcBorders>
            <w:shd w:val="clear" w:color="auto" w:fill="FEE4B0"/>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3" w:type="dxa"/>
            <w:tcBorders>
              <w:bottom w:val="single" w:sz="4" w:space="0" w:color="auto"/>
              <w:right w:val="single" w:sz="4" w:space="0" w:color="auto"/>
            </w:tcBorders>
            <w:shd w:val="clear" w:color="auto" w:fill="FFFFFF" w:themeFill="background1"/>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2" w:type="dxa"/>
            <w:tcBorders>
              <w:left w:val="single" w:sz="4" w:space="0" w:color="auto"/>
              <w:bottom w:val="single" w:sz="4" w:space="0" w:color="auto"/>
            </w:tcBorders>
            <w:shd w:val="clear" w:color="auto" w:fill="FEE4B0"/>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2" w:type="dxa"/>
            <w:tcBorders>
              <w:bottom w:val="single" w:sz="4" w:space="0" w:color="auto"/>
              <w:right w:val="single" w:sz="4" w:space="0" w:color="auto"/>
            </w:tcBorders>
            <w:shd w:val="clear" w:color="auto" w:fill="FFFFFF" w:themeFill="background1"/>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2" w:type="dxa"/>
            <w:tcBorders>
              <w:left w:val="single" w:sz="4" w:space="0" w:color="auto"/>
              <w:bottom w:val="single" w:sz="4" w:space="0" w:color="auto"/>
            </w:tcBorders>
            <w:shd w:val="clear" w:color="auto" w:fill="FEE4B0"/>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3" w:type="dxa"/>
            <w:tcBorders>
              <w:bottom w:val="single" w:sz="4" w:space="0" w:color="auto"/>
              <w:right w:val="single" w:sz="4" w:space="0" w:color="auto"/>
            </w:tcBorders>
            <w:shd w:val="clear" w:color="auto" w:fill="FFFFFF" w:themeFill="background1"/>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2" w:type="dxa"/>
            <w:tcBorders>
              <w:left w:val="single" w:sz="4" w:space="0" w:color="auto"/>
              <w:bottom w:val="single" w:sz="4" w:space="0" w:color="auto"/>
            </w:tcBorders>
            <w:shd w:val="clear" w:color="auto" w:fill="FEE4B0"/>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2" w:type="dxa"/>
            <w:tcBorders>
              <w:bottom w:val="single" w:sz="4" w:space="0" w:color="auto"/>
              <w:right w:val="single" w:sz="4" w:space="0" w:color="auto"/>
            </w:tcBorders>
            <w:shd w:val="clear" w:color="auto" w:fill="FFFFFF" w:themeFill="background1"/>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2" w:type="dxa"/>
            <w:tcBorders>
              <w:left w:val="single" w:sz="4" w:space="0" w:color="auto"/>
              <w:bottom w:val="single" w:sz="4" w:space="0" w:color="auto"/>
            </w:tcBorders>
            <w:shd w:val="clear" w:color="auto" w:fill="FEE4B0"/>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3" w:type="dxa"/>
            <w:tcBorders>
              <w:bottom w:val="single" w:sz="4" w:space="0" w:color="auto"/>
              <w:right w:val="single" w:sz="4" w:space="0" w:color="auto"/>
            </w:tcBorders>
            <w:shd w:val="clear" w:color="auto" w:fill="FFFFFF" w:themeFill="background1"/>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2" w:type="dxa"/>
            <w:tcBorders>
              <w:left w:val="single" w:sz="4" w:space="0" w:color="auto"/>
              <w:bottom w:val="single" w:sz="4" w:space="0" w:color="auto"/>
            </w:tcBorders>
            <w:shd w:val="clear" w:color="auto" w:fill="FEE4B0"/>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c>
          <w:tcPr>
            <w:tcW w:w="992" w:type="dxa"/>
            <w:tcBorders>
              <w:bottom w:val="single" w:sz="4" w:space="0" w:color="auto"/>
            </w:tcBorders>
            <w:shd w:val="clear" w:color="auto" w:fill="FFFFFF" w:themeFill="background1"/>
            <w:tcMar>
              <w:top w:w="57" w:type="dxa"/>
              <w:left w:w="0" w:type="dxa"/>
              <w:bottom w:w="57" w:type="dxa"/>
              <w:right w:w="113" w:type="dxa"/>
            </w:tcMar>
            <w:vAlign w:val="center"/>
          </w:tcPr>
          <w:p w:rsidR="00C0490A" w:rsidRPr="00E465A1" w:rsidRDefault="00C0490A" w:rsidP="008C087C">
            <w:pPr>
              <w:pStyle w:val="Normaltabletext1stpararight"/>
              <w:rPr>
                <w:b/>
                <w:color w:val="262626" w:themeColor="text1" w:themeTint="D9"/>
                <w:szCs w:val="20"/>
              </w:rPr>
            </w:pPr>
            <w:r w:rsidRPr="00E465A1">
              <w:rPr>
                <w:b/>
                <w:color w:val="262626" w:themeColor="text1" w:themeTint="D9"/>
                <w:szCs w:val="20"/>
              </w:rPr>
              <w:t>$’000</w:t>
            </w:r>
          </w:p>
        </w:tc>
      </w:tr>
      <w:tr w:rsidR="00E465A1" w:rsidRPr="00E465A1" w:rsidTr="00AD6577">
        <w:trPr>
          <w:trHeight w:val="20"/>
        </w:trPr>
        <w:tc>
          <w:tcPr>
            <w:tcW w:w="2410" w:type="dxa"/>
            <w:tcBorders>
              <w:top w:val="single" w:sz="4" w:space="0" w:color="auto"/>
              <w:right w:val="single" w:sz="4" w:space="0" w:color="auto"/>
            </w:tcBorders>
            <w:tcMar>
              <w:left w:w="0" w:type="dxa"/>
            </w:tcMar>
            <w:vAlign w:val="center"/>
          </w:tcPr>
          <w:p w:rsidR="00C0490A" w:rsidRPr="00E465A1" w:rsidRDefault="00C0490A" w:rsidP="00C0490A">
            <w:pPr>
              <w:pStyle w:val="Normaltabletextleft"/>
              <w:rPr>
                <w:color w:val="262626" w:themeColor="text1" w:themeTint="D9"/>
                <w:szCs w:val="20"/>
              </w:rPr>
            </w:pPr>
            <w:r w:rsidRPr="00E465A1">
              <w:rPr>
                <w:color w:val="262626" w:themeColor="text1" w:themeTint="D9"/>
                <w:szCs w:val="20"/>
              </w:rPr>
              <w:t xml:space="preserve">Carrying amount at 1 July </w:t>
            </w:r>
          </w:p>
        </w:tc>
        <w:tc>
          <w:tcPr>
            <w:tcW w:w="992" w:type="dxa"/>
            <w:tcBorders>
              <w:left w:val="single" w:sz="4" w:space="0" w:color="auto"/>
            </w:tcBorders>
            <w:shd w:val="clear" w:color="auto" w:fill="FEE4B0"/>
            <w:tcMar>
              <w:left w:w="0" w:type="dxa"/>
              <w:right w:w="113" w:type="dxa"/>
            </w:tcMar>
            <w:vAlign w:val="center"/>
          </w:tcPr>
          <w:p w:rsidR="00C0490A" w:rsidRPr="00E465A1" w:rsidRDefault="007A1A54" w:rsidP="00C0490A">
            <w:pPr>
              <w:pStyle w:val="Normaltabletext1stpararight"/>
              <w:rPr>
                <w:color w:val="262626" w:themeColor="text1" w:themeTint="D9"/>
                <w:szCs w:val="20"/>
              </w:rPr>
            </w:pPr>
            <w:r w:rsidRPr="00E465A1">
              <w:rPr>
                <w:color w:val="262626" w:themeColor="text1" w:themeTint="D9"/>
                <w:szCs w:val="20"/>
              </w:rPr>
              <w:t>931</w:t>
            </w: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876</w:t>
            </w:r>
          </w:p>
        </w:tc>
        <w:tc>
          <w:tcPr>
            <w:tcW w:w="992" w:type="dxa"/>
            <w:tcBorders>
              <w:left w:val="single" w:sz="4" w:space="0" w:color="auto"/>
            </w:tcBorders>
            <w:shd w:val="clear" w:color="auto" w:fill="FEE4B0"/>
            <w:tcMar>
              <w:left w:w="0" w:type="dxa"/>
              <w:right w:w="113" w:type="dxa"/>
            </w:tcMar>
            <w:vAlign w:val="center"/>
          </w:tcPr>
          <w:p w:rsidR="00C0490A" w:rsidRPr="00E465A1" w:rsidRDefault="007A1A54" w:rsidP="00C0490A">
            <w:pPr>
              <w:pStyle w:val="Normaltabletext1stpararight"/>
              <w:rPr>
                <w:color w:val="262626" w:themeColor="text1" w:themeTint="D9"/>
                <w:szCs w:val="20"/>
              </w:rPr>
            </w:pPr>
            <w:r w:rsidRPr="00E465A1">
              <w:rPr>
                <w:color w:val="262626" w:themeColor="text1" w:themeTint="D9"/>
                <w:szCs w:val="20"/>
              </w:rPr>
              <w:t>1,033</w:t>
            </w: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1,537</w:t>
            </w:r>
          </w:p>
        </w:tc>
        <w:tc>
          <w:tcPr>
            <w:tcW w:w="992" w:type="dxa"/>
            <w:tcBorders>
              <w:left w:val="single" w:sz="4" w:space="0" w:color="auto"/>
            </w:tcBorders>
            <w:shd w:val="clear" w:color="auto" w:fill="FEE4B0"/>
            <w:tcMar>
              <w:left w:w="0" w:type="dxa"/>
              <w:right w:w="113" w:type="dxa"/>
            </w:tcMar>
            <w:vAlign w:val="center"/>
          </w:tcPr>
          <w:p w:rsidR="00C0490A" w:rsidRPr="00E465A1" w:rsidRDefault="007A1A54" w:rsidP="00C0490A">
            <w:pPr>
              <w:pStyle w:val="Normaltabletext1stpararight"/>
              <w:rPr>
                <w:color w:val="262626" w:themeColor="text1" w:themeTint="D9"/>
                <w:szCs w:val="20"/>
              </w:rPr>
            </w:pPr>
            <w:r w:rsidRPr="00E465A1">
              <w:rPr>
                <w:color w:val="262626" w:themeColor="text1" w:themeTint="D9"/>
                <w:szCs w:val="20"/>
              </w:rPr>
              <w:t>596</w:t>
            </w: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784</w:t>
            </w:r>
          </w:p>
        </w:tc>
        <w:tc>
          <w:tcPr>
            <w:tcW w:w="992" w:type="dxa"/>
            <w:tcBorders>
              <w:left w:val="single" w:sz="4" w:space="0" w:color="auto"/>
            </w:tcBorders>
            <w:shd w:val="clear" w:color="auto" w:fill="FEE4B0"/>
            <w:tcMar>
              <w:left w:w="0" w:type="dxa"/>
              <w:right w:w="113" w:type="dxa"/>
            </w:tcMar>
            <w:vAlign w:val="center"/>
          </w:tcPr>
          <w:p w:rsidR="00C0490A" w:rsidRPr="00E465A1" w:rsidRDefault="007A1A54" w:rsidP="00C0490A">
            <w:pPr>
              <w:pStyle w:val="Normaltabletext1stpararight"/>
              <w:rPr>
                <w:color w:val="262626" w:themeColor="text1" w:themeTint="D9"/>
                <w:szCs w:val="20"/>
              </w:rPr>
            </w:pPr>
            <w:r w:rsidRPr="00E465A1">
              <w:rPr>
                <w:color w:val="262626" w:themeColor="text1" w:themeTint="D9"/>
                <w:szCs w:val="20"/>
              </w:rPr>
              <w:t>4,841</w:t>
            </w: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5,525</w:t>
            </w:r>
          </w:p>
        </w:tc>
        <w:tc>
          <w:tcPr>
            <w:tcW w:w="992" w:type="dxa"/>
            <w:tcBorders>
              <w:left w:val="single" w:sz="4" w:space="0" w:color="auto"/>
            </w:tcBorders>
            <w:shd w:val="clear" w:color="auto" w:fill="FEE4B0"/>
            <w:tcMar>
              <w:left w:w="0" w:type="dxa"/>
              <w:right w:w="113" w:type="dxa"/>
            </w:tcMar>
            <w:vAlign w:val="center"/>
          </w:tcPr>
          <w:p w:rsidR="00C0490A" w:rsidRPr="00E465A1" w:rsidRDefault="007A1A54" w:rsidP="00C0490A">
            <w:pPr>
              <w:pStyle w:val="Normaltabletext1stpararight"/>
              <w:rPr>
                <w:color w:val="262626" w:themeColor="text1" w:themeTint="D9"/>
                <w:szCs w:val="20"/>
              </w:rPr>
            </w:pPr>
            <w:r w:rsidRPr="00E465A1">
              <w:rPr>
                <w:color w:val="262626" w:themeColor="text1" w:themeTint="D9"/>
                <w:szCs w:val="20"/>
              </w:rPr>
              <w:t>58</w:t>
            </w: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312C8F" w:rsidP="00C0490A">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C0490A" w:rsidRPr="00E465A1" w:rsidRDefault="007A1A54" w:rsidP="00C0490A">
            <w:pPr>
              <w:pStyle w:val="Normaltabletext1stpararight"/>
              <w:rPr>
                <w:color w:val="262626" w:themeColor="text1" w:themeTint="D9"/>
                <w:szCs w:val="20"/>
              </w:rPr>
            </w:pPr>
            <w:r w:rsidRPr="00E465A1">
              <w:rPr>
                <w:color w:val="262626" w:themeColor="text1" w:themeTint="D9"/>
                <w:szCs w:val="20"/>
              </w:rPr>
              <w:t>7,459</w:t>
            </w:r>
          </w:p>
        </w:tc>
        <w:tc>
          <w:tcPr>
            <w:tcW w:w="992" w:type="dxa"/>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8,722</w:t>
            </w:r>
          </w:p>
        </w:tc>
      </w:tr>
      <w:tr w:rsidR="00E465A1" w:rsidRPr="00E465A1" w:rsidTr="00AD6577">
        <w:trPr>
          <w:trHeight w:val="20"/>
        </w:trPr>
        <w:tc>
          <w:tcPr>
            <w:tcW w:w="2410" w:type="dxa"/>
            <w:tcBorders>
              <w:right w:val="single" w:sz="4" w:space="0" w:color="auto"/>
            </w:tcBorders>
            <w:tcMar>
              <w:left w:w="0" w:type="dxa"/>
            </w:tcMar>
            <w:vAlign w:val="center"/>
          </w:tcPr>
          <w:p w:rsidR="00C0490A" w:rsidRPr="00E465A1" w:rsidRDefault="00C0490A" w:rsidP="00C0490A">
            <w:pPr>
              <w:pStyle w:val="Normaltabletextlef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r>
      <w:tr w:rsidR="00E465A1" w:rsidRPr="00E465A1" w:rsidTr="00AD6577">
        <w:trPr>
          <w:trHeight w:val="20"/>
        </w:trPr>
        <w:tc>
          <w:tcPr>
            <w:tcW w:w="2410" w:type="dxa"/>
            <w:tcBorders>
              <w:right w:val="single" w:sz="4" w:space="0" w:color="auto"/>
            </w:tcBorders>
            <w:tcMar>
              <w:left w:w="0" w:type="dxa"/>
            </w:tcMar>
            <w:vAlign w:val="center"/>
          </w:tcPr>
          <w:p w:rsidR="00C0490A" w:rsidRPr="00E465A1" w:rsidRDefault="00C0490A" w:rsidP="00C0490A">
            <w:pPr>
              <w:pStyle w:val="Normaltabletextleft"/>
              <w:rPr>
                <w:color w:val="262626" w:themeColor="text1" w:themeTint="D9"/>
                <w:szCs w:val="20"/>
              </w:rPr>
            </w:pPr>
            <w:r w:rsidRPr="00E465A1">
              <w:rPr>
                <w:color w:val="262626" w:themeColor="text1" w:themeTint="D9"/>
                <w:szCs w:val="20"/>
              </w:rPr>
              <w:t>Acquisitions</w:t>
            </w:r>
          </w:p>
        </w:tc>
        <w:tc>
          <w:tcPr>
            <w:tcW w:w="992" w:type="dxa"/>
            <w:tcBorders>
              <w:left w:val="single" w:sz="4" w:space="0" w:color="auto"/>
            </w:tcBorders>
            <w:shd w:val="clear" w:color="auto" w:fill="FEE4B0"/>
            <w:tcMar>
              <w:left w:w="0" w:type="dxa"/>
              <w:right w:w="113" w:type="dxa"/>
            </w:tcMar>
            <w:vAlign w:val="center"/>
          </w:tcPr>
          <w:p w:rsidR="00C0490A" w:rsidRPr="00E465A1" w:rsidRDefault="006D36CC" w:rsidP="00C0490A">
            <w:pPr>
              <w:pStyle w:val="Normaltabletext1stpararight"/>
              <w:rPr>
                <w:color w:val="262626" w:themeColor="text1" w:themeTint="D9"/>
                <w:szCs w:val="20"/>
              </w:rPr>
            </w:pPr>
            <w:r w:rsidRPr="00E465A1">
              <w:rPr>
                <w:color w:val="262626" w:themeColor="text1" w:themeTint="D9"/>
                <w:szCs w:val="20"/>
              </w:rPr>
              <w:t>673</w:t>
            </w: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703</w:t>
            </w:r>
          </w:p>
        </w:tc>
        <w:tc>
          <w:tcPr>
            <w:tcW w:w="992" w:type="dxa"/>
            <w:tcBorders>
              <w:left w:val="single" w:sz="4" w:space="0" w:color="auto"/>
            </w:tcBorders>
            <w:shd w:val="clear" w:color="auto" w:fill="FEE4B0"/>
            <w:tcMar>
              <w:left w:w="0" w:type="dxa"/>
              <w:right w:w="113" w:type="dxa"/>
            </w:tcMar>
            <w:vAlign w:val="center"/>
          </w:tcPr>
          <w:p w:rsidR="00C0490A" w:rsidRPr="00E465A1" w:rsidRDefault="006D36CC" w:rsidP="00C0490A">
            <w:pPr>
              <w:pStyle w:val="Normaltabletext1stpararight"/>
              <w:rPr>
                <w:color w:val="262626" w:themeColor="text1" w:themeTint="D9"/>
                <w:szCs w:val="20"/>
              </w:rPr>
            </w:pPr>
            <w:r w:rsidRPr="00E465A1">
              <w:rPr>
                <w:color w:val="262626" w:themeColor="text1" w:themeTint="D9"/>
                <w:szCs w:val="20"/>
              </w:rPr>
              <w:t>99</w:t>
            </w: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179</w:t>
            </w:r>
          </w:p>
        </w:tc>
        <w:tc>
          <w:tcPr>
            <w:tcW w:w="992" w:type="dxa"/>
            <w:tcBorders>
              <w:left w:val="single" w:sz="4" w:space="0" w:color="auto"/>
            </w:tcBorders>
            <w:shd w:val="clear" w:color="auto" w:fill="FEE4B0"/>
            <w:tcMar>
              <w:left w:w="0" w:type="dxa"/>
              <w:right w:w="113" w:type="dxa"/>
            </w:tcMar>
            <w:vAlign w:val="center"/>
          </w:tcPr>
          <w:p w:rsidR="00C0490A" w:rsidRPr="00E465A1" w:rsidRDefault="006D36CC" w:rsidP="00C0490A">
            <w:pPr>
              <w:pStyle w:val="Normaltabletext1stpararight"/>
              <w:rPr>
                <w:color w:val="262626" w:themeColor="text1" w:themeTint="D9"/>
                <w:szCs w:val="20"/>
              </w:rPr>
            </w:pPr>
            <w:r w:rsidRPr="00E465A1">
              <w:rPr>
                <w:color w:val="262626" w:themeColor="text1" w:themeTint="D9"/>
                <w:szCs w:val="20"/>
              </w:rPr>
              <w:t>490</w:t>
            </w: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12</w:t>
            </w:r>
          </w:p>
        </w:tc>
        <w:tc>
          <w:tcPr>
            <w:tcW w:w="992" w:type="dxa"/>
            <w:tcBorders>
              <w:left w:val="single" w:sz="4" w:space="0" w:color="auto"/>
            </w:tcBorders>
            <w:shd w:val="clear" w:color="auto" w:fill="FEE4B0"/>
            <w:tcMar>
              <w:left w:w="0" w:type="dxa"/>
              <w:right w:w="113" w:type="dxa"/>
            </w:tcMar>
            <w:vAlign w:val="center"/>
          </w:tcPr>
          <w:p w:rsidR="00C0490A" w:rsidRPr="00E465A1" w:rsidRDefault="006D36CC" w:rsidP="00D05D79">
            <w:pPr>
              <w:pStyle w:val="Normaltabletext1stpararight"/>
              <w:rPr>
                <w:color w:val="262626" w:themeColor="text1" w:themeTint="D9"/>
                <w:szCs w:val="20"/>
              </w:rPr>
            </w:pPr>
            <w:r w:rsidRPr="00E465A1">
              <w:rPr>
                <w:color w:val="262626" w:themeColor="text1" w:themeTint="D9"/>
                <w:szCs w:val="20"/>
              </w:rPr>
              <w:t>589</w:t>
            </w: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37</w:t>
            </w:r>
          </w:p>
        </w:tc>
        <w:tc>
          <w:tcPr>
            <w:tcW w:w="992" w:type="dxa"/>
            <w:tcBorders>
              <w:left w:val="single" w:sz="4" w:space="0" w:color="auto"/>
            </w:tcBorders>
            <w:shd w:val="clear" w:color="auto" w:fill="FEE4B0"/>
            <w:tcMar>
              <w:left w:w="0" w:type="dxa"/>
              <w:right w:w="113" w:type="dxa"/>
            </w:tcMar>
            <w:vAlign w:val="center"/>
          </w:tcPr>
          <w:p w:rsidR="00C0490A" w:rsidRPr="00E465A1" w:rsidRDefault="006D36CC" w:rsidP="00C0490A">
            <w:pPr>
              <w:pStyle w:val="Normaltabletext1stpararight"/>
              <w:rPr>
                <w:color w:val="262626" w:themeColor="text1" w:themeTint="D9"/>
                <w:szCs w:val="20"/>
              </w:rPr>
            </w:pPr>
            <w:r w:rsidRPr="00E465A1">
              <w:rPr>
                <w:color w:val="262626" w:themeColor="text1" w:themeTint="D9"/>
                <w:szCs w:val="20"/>
                <w:lang w:eastAsia="en-AU"/>
              </w:rPr>
              <w:t>1,604</w:t>
            </w: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58</w:t>
            </w:r>
          </w:p>
        </w:tc>
        <w:tc>
          <w:tcPr>
            <w:tcW w:w="992" w:type="dxa"/>
            <w:tcBorders>
              <w:left w:val="single" w:sz="4" w:space="0" w:color="auto"/>
            </w:tcBorders>
            <w:shd w:val="clear" w:color="auto" w:fill="FEE4B0"/>
            <w:tcMar>
              <w:left w:w="0" w:type="dxa"/>
              <w:right w:w="113" w:type="dxa"/>
            </w:tcMar>
            <w:vAlign w:val="center"/>
          </w:tcPr>
          <w:p w:rsidR="00C0490A" w:rsidRPr="00E465A1" w:rsidRDefault="00407C95" w:rsidP="00D05D79">
            <w:pPr>
              <w:pStyle w:val="Normaltabletext1stpararight"/>
              <w:rPr>
                <w:color w:val="262626" w:themeColor="text1" w:themeTint="D9"/>
                <w:szCs w:val="20"/>
              </w:rPr>
            </w:pPr>
            <w:r w:rsidRPr="00E465A1">
              <w:rPr>
                <w:color w:val="262626" w:themeColor="text1" w:themeTint="D9"/>
                <w:szCs w:val="20"/>
              </w:rPr>
              <w:t>3,455</w:t>
            </w:r>
          </w:p>
        </w:tc>
        <w:tc>
          <w:tcPr>
            <w:tcW w:w="992" w:type="dxa"/>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989</w:t>
            </w:r>
          </w:p>
        </w:tc>
      </w:tr>
      <w:tr w:rsidR="00E465A1" w:rsidRPr="00E465A1" w:rsidTr="00AD6577">
        <w:trPr>
          <w:trHeight w:val="20"/>
        </w:trPr>
        <w:tc>
          <w:tcPr>
            <w:tcW w:w="2410" w:type="dxa"/>
            <w:tcBorders>
              <w:right w:val="single" w:sz="4" w:space="0" w:color="auto"/>
            </w:tcBorders>
            <w:tcMar>
              <w:left w:w="0" w:type="dxa"/>
            </w:tcMar>
            <w:vAlign w:val="center"/>
          </w:tcPr>
          <w:p w:rsidR="00C0490A" w:rsidRPr="00E465A1" w:rsidRDefault="00C0490A" w:rsidP="00C0490A">
            <w:pPr>
              <w:pStyle w:val="Normaltabletextlef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r>
      <w:tr w:rsidR="00E465A1" w:rsidRPr="00E465A1" w:rsidTr="00AD6577">
        <w:trPr>
          <w:trHeight w:val="20"/>
        </w:trPr>
        <w:tc>
          <w:tcPr>
            <w:tcW w:w="2410" w:type="dxa"/>
            <w:tcBorders>
              <w:right w:val="single" w:sz="4" w:space="0" w:color="auto"/>
            </w:tcBorders>
            <w:tcMar>
              <w:left w:w="0" w:type="dxa"/>
            </w:tcMar>
            <w:vAlign w:val="center"/>
          </w:tcPr>
          <w:p w:rsidR="00C0490A" w:rsidRPr="00E465A1" w:rsidRDefault="00C0490A" w:rsidP="00C0490A">
            <w:pPr>
              <w:pStyle w:val="Normaltabletextleft"/>
              <w:rPr>
                <w:color w:val="262626" w:themeColor="text1" w:themeTint="D9"/>
                <w:szCs w:val="20"/>
              </w:rPr>
            </w:pPr>
            <w:r w:rsidRPr="00E465A1">
              <w:rPr>
                <w:color w:val="262626" w:themeColor="text1" w:themeTint="D9"/>
                <w:szCs w:val="20"/>
              </w:rPr>
              <w:t>Disposals</w:t>
            </w:r>
            <w:r w:rsidRPr="00E465A1">
              <w:rPr>
                <w:color w:val="262626" w:themeColor="text1" w:themeTint="D9"/>
                <w:szCs w:val="20"/>
                <w:vertAlign w:val="superscript"/>
              </w:rPr>
              <w:t>3</w:t>
            </w:r>
          </w:p>
        </w:tc>
        <w:tc>
          <w:tcPr>
            <w:tcW w:w="992" w:type="dxa"/>
            <w:tcBorders>
              <w:left w:val="single" w:sz="4" w:space="0" w:color="auto"/>
            </w:tcBorders>
            <w:shd w:val="clear" w:color="auto" w:fill="FEE4B0"/>
            <w:tcMar>
              <w:left w:w="0" w:type="dxa"/>
              <w:right w:w="113" w:type="dxa"/>
            </w:tcMar>
            <w:vAlign w:val="center"/>
          </w:tcPr>
          <w:p w:rsidR="00C0490A" w:rsidRPr="00E465A1" w:rsidRDefault="006D36CC" w:rsidP="00C0490A">
            <w:pPr>
              <w:pStyle w:val="Normaltabletext1stpararight"/>
              <w:rPr>
                <w:color w:val="262626" w:themeColor="text1" w:themeTint="D9"/>
                <w:szCs w:val="20"/>
              </w:rPr>
            </w:pPr>
            <w:r w:rsidRPr="00E465A1">
              <w:rPr>
                <w:color w:val="262626" w:themeColor="text1" w:themeTint="D9"/>
                <w:szCs w:val="20"/>
              </w:rPr>
              <w:t>(141</w:t>
            </w:r>
            <w:r w:rsidR="00312C8F" w:rsidRPr="00E465A1">
              <w:rPr>
                <w:color w:val="262626" w:themeColor="text1" w:themeTint="D9"/>
                <w:szCs w:val="20"/>
              </w:rPr>
              <w:t>)</w:t>
            </w: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(177)</w:t>
            </w:r>
          </w:p>
        </w:tc>
        <w:tc>
          <w:tcPr>
            <w:tcW w:w="992" w:type="dxa"/>
            <w:tcBorders>
              <w:left w:val="single" w:sz="4" w:space="0" w:color="auto"/>
            </w:tcBorders>
            <w:shd w:val="clear" w:color="auto" w:fill="FEE4B0"/>
            <w:tcMar>
              <w:left w:w="0" w:type="dxa"/>
              <w:right w:w="113" w:type="dxa"/>
            </w:tcMar>
            <w:vAlign w:val="center"/>
          </w:tcPr>
          <w:p w:rsidR="00C0490A" w:rsidRPr="00E465A1" w:rsidRDefault="00312C8F" w:rsidP="00C0490A">
            <w:pPr>
              <w:pStyle w:val="Normaltabletext1stpararight"/>
              <w:rPr>
                <w:color w:val="262626" w:themeColor="text1" w:themeTint="D9"/>
                <w:szCs w:val="20"/>
              </w:rPr>
            </w:pPr>
            <w:r w:rsidRPr="00E465A1">
              <w:rPr>
                <w:color w:val="262626" w:themeColor="text1" w:themeTint="D9"/>
                <w:szCs w:val="20"/>
              </w:rPr>
              <w:t>(1)</w:t>
            </w: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(51)</w:t>
            </w:r>
          </w:p>
        </w:tc>
        <w:tc>
          <w:tcPr>
            <w:tcW w:w="992" w:type="dxa"/>
            <w:tcBorders>
              <w:left w:val="single" w:sz="4" w:space="0" w:color="auto"/>
            </w:tcBorders>
            <w:shd w:val="clear" w:color="auto" w:fill="FEE4B0"/>
            <w:tcMar>
              <w:left w:w="0" w:type="dxa"/>
              <w:right w:w="113" w:type="dxa"/>
            </w:tcMar>
            <w:vAlign w:val="center"/>
          </w:tcPr>
          <w:p w:rsidR="00C0490A" w:rsidRPr="00E465A1" w:rsidRDefault="00312C8F" w:rsidP="00C0490A">
            <w:pPr>
              <w:pStyle w:val="Normaltabletext1stpararight"/>
              <w:rPr>
                <w:color w:val="262626" w:themeColor="text1" w:themeTint="D9"/>
                <w:szCs w:val="20"/>
              </w:rPr>
            </w:pPr>
            <w:r w:rsidRPr="00E465A1">
              <w:rPr>
                <w:color w:val="262626" w:themeColor="text1" w:themeTint="D9"/>
                <w:szCs w:val="20"/>
              </w:rPr>
              <w:t>(20)</w:t>
            </w: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312C8F" w:rsidP="00C0490A">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C0490A" w:rsidRPr="00E465A1" w:rsidRDefault="00312C8F" w:rsidP="00C0490A">
            <w:pPr>
              <w:pStyle w:val="Normaltabletext1stpararight"/>
              <w:rPr>
                <w:color w:val="262626" w:themeColor="text1" w:themeTint="D9"/>
                <w:szCs w:val="20"/>
              </w:rPr>
            </w:pPr>
            <w:r w:rsidRPr="00E465A1">
              <w:rPr>
                <w:color w:val="262626" w:themeColor="text1" w:themeTint="D9"/>
                <w:szCs w:val="20"/>
              </w:rPr>
              <w:t>(1)</w:t>
            </w: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312C8F" w:rsidP="00C0490A">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C0490A" w:rsidRPr="00E465A1" w:rsidRDefault="00312C8F" w:rsidP="00C0490A">
            <w:pPr>
              <w:pStyle w:val="Normaltabletext1stpararight"/>
              <w:rPr>
                <w:color w:val="262626" w:themeColor="text1" w:themeTint="D9"/>
                <w:szCs w:val="20"/>
              </w:rPr>
            </w:pPr>
            <w:r w:rsidRPr="00E465A1">
              <w:rPr>
                <w:color w:val="262626" w:themeColor="text1" w:themeTint="D9"/>
                <w:szCs w:val="20"/>
                <w:lang w:eastAsia="en-AU"/>
              </w:rPr>
              <w:t>–</w:t>
            </w: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312C8F" w:rsidP="00C0490A">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C0490A" w:rsidRPr="00E465A1" w:rsidRDefault="00312C8F" w:rsidP="00407C95">
            <w:pPr>
              <w:pStyle w:val="Normaltabletext1stpararight"/>
              <w:rPr>
                <w:color w:val="262626" w:themeColor="text1" w:themeTint="D9"/>
                <w:szCs w:val="20"/>
              </w:rPr>
            </w:pPr>
            <w:r w:rsidRPr="00E465A1">
              <w:rPr>
                <w:color w:val="262626" w:themeColor="text1" w:themeTint="D9"/>
                <w:szCs w:val="20"/>
              </w:rPr>
              <w:t>(</w:t>
            </w:r>
            <w:r w:rsidR="00407C95" w:rsidRPr="00E465A1">
              <w:rPr>
                <w:color w:val="262626" w:themeColor="text1" w:themeTint="D9"/>
                <w:szCs w:val="20"/>
              </w:rPr>
              <w:t>163</w:t>
            </w:r>
            <w:r w:rsidRPr="00E465A1">
              <w:rPr>
                <w:color w:val="262626" w:themeColor="text1" w:themeTint="D9"/>
                <w:szCs w:val="20"/>
              </w:rPr>
              <w:t>)</w:t>
            </w:r>
          </w:p>
        </w:tc>
        <w:tc>
          <w:tcPr>
            <w:tcW w:w="992" w:type="dxa"/>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r w:rsidRPr="00E465A1">
              <w:rPr>
                <w:color w:val="262626" w:themeColor="text1" w:themeTint="D9"/>
                <w:szCs w:val="20"/>
              </w:rPr>
              <w:t>(228)</w:t>
            </w:r>
          </w:p>
        </w:tc>
      </w:tr>
      <w:tr w:rsidR="00E465A1" w:rsidRPr="00E465A1" w:rsidTr="00AD6577">
        <w:trPr>
          <w:trHeight w:val="20"/>
        </w:trPr>
        <w:tc>
          <w:tcPr>
            <w:tcW w:w="2410" w:type="dxa"/>
            <w:tcBorders>
              <w:right w:val="single" w:sz="4" w:space="0" w:color="auto"/>
            </w:tcBorders>
            <w:tcMar>
              <w:left w:w="0" w:type="dxa"/>
            </w:tcMar>
            <w:vAlign w:val="center"/>
          </w:tcPr>
          <w:p w:rsidR="00C0490A" w:rsidRPr="00E465A1" w:rsidRDefault="00C0490A" w:rsidP="00C0490A">
            <w:pPr>
              <w:pStyle w:val="Normaltabletextlef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c>
          <w:tcPr>
            <w:tcW w:w="992" w:type="dxa"/>
            <w:shd w:val="clear" w:color="auto" w:fill="FFFFFF" w:themeFill="background1"/>
            <w:tcMar>
              <w:left w:w="0" w:type="dxa"/>
              <w:right w:w="113" w:type="dxa"/>
            </w:tcMar>
            <w:vAlign w:val="center"/>
          </w:tcPr>
          <w:p w:rsidR="00C0490A" w:rsidRPr="00E465A1" w:rsidRDefault="00C0490A" w:rsidP="00C0490A">
            <w:pPr>
              <w:pStyle w:val="Normaltabletext1stpararight"/>
              <w:rPr>
                <w:color w:val="262626" w:themeColor="text1" w:themeTint="D9"/>
                <w:szCs w:val="20"/>
              </w:rPr>
            </w:pPr>
          </w:p>
        </w:tc>
      </w:tr>
      <w:tr w:rsidR="00E465A1" w:rsidRPr="00E465A1" w:rsidTr="00AD6577">
        <w:trPr>
          <w:trHeight w:val="20"/>
        </w:trPr>
        <w:tc>
          <w:tcPr>
            <w:tcW w:w="2410" w:type="dxa"/>
            <w:tcBorders>
              <w:right w:val="single" w:sz="4" w:space="0" w:color="auto"/>
            </w:tcBorders>
            <w:tcMar>
              <w:left w:w="0" w:type="dxa"/>
            </w:tcMar>
            <w:vAlign w:val="center"/>
          </w:tcPr>
          <w:p w:rsidR="00312C8F" w:rsidRPr="00E465A1" w:rsidRDefault="00312C8F" w:rsidP="00312C8F">
            <w:pPr>
              <w:pStyle w:val="Normaltabletextleft"/>
              <w:rPr>
                <w:color w:val="262626" w:themeColor="text1" w:themeTint="D9"/>
                <w:szCs w:val="20"/>
              </w:rPr>
            </w:pPr>
            <w:r w:rsidRPr="00E465A1">
              <w:rPr>
                <w:color w:val="262626" w:themeColor="text1" w:themeTint="D9"/>
                <w:szCs w:val="20"/>
              </w:rPr>
              <w:t>Transfers between classes</w:t>
            </w: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9F6722" w:rsidP="00312C8F">
            <w:pPr>
              <w:pStyle w:val="Normaltabletext1stpararight"/>
              <w:rPr>
                <w:color w:val="262626" w:themeColor="text1" w:themeTint="D9"/>
                <w:szCs w:val="20"/>
              </w:rPr>
            </w:pPr>
            <w:r w:rsidRPr="00E465A1">
              <w:rPr>
                <w:color w:val="262626" w:themeColor="text1" w:themeTint="D9"/>
                <w:szCs w:val="20"/>
              </w:rPr>
              <w:t>58</w:t>
            </w: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rPr>
              <w:t>(58)</w:t>
            </w: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9F6722" w:rsidP="009F6722">
            <w:pPr>
              <w:pStyle w:val="Normaltabletext1stpararight"/>
              <w:rPr>
                <w:color w:val="262626" w:themeColor="text1" w:themeTint="D9"/>
                <w:szCs w:val="20"/>
              </w:rPr>
            </w:pPr>
            <w:r w:rsidRPr="00E465A1">
              <w:rPr>
                <w:color w:val="262626" w:themeColor="text1" w:themeTint="D9"/>
                <w:szCs w:val="20"/>
                <w:lang w:eastAsia="en-AU"/>
              </w:rPr>
              <w:t>–</w:t>
            </w:r>
          </w:p>
        </w:tc>
        <w:tc>
          <w:tcPr>
            <w:tcW w:w="992" w:type="dxa"/>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r>
      <w:tr w:rsidR="00E465A1" w:rsidRPr="00E465A1" w:rsidTr="00AD6577">
        <w:trPr>
          <w:trHeight w:val="20"/>
        </w:trPr>
        <w:tc>
          <w:tcPr>
            <w:tcW w:w="2410" w:type="dxa"/>
            <w:tcBorders>
              <w:right w:val="single" w:sz="4" w:space="0" w:color="auto"/>
            </w:tcBorders>
            <w:tcMar>
              <w:left w:w="0" w:type="dxa"/>
            </w:tcMar>
            <w:vAlign w:val="center"/>
          </w:tcPr>
          <w:p w:rsidR="00312C8F" w:rsidRPr="00E465A1" w:rsidRDefault="00312C8F" w:rsidP="00312C8F">
            <w:pPr>
              <w:pStyle w:val="Normaltabletextlef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r>
      <w:tr w:rsidR="00E465A1" w:rsidRPr="00E465A1" w:rsidTr="00AD6577">
        <w:trPr>
          <w:trHeight w:val="20"/>
        </w:trPr>
        <w:tc>
          <w:tcPr>
            <w:tcW w:w="2410" w:type="dxa"/>
            <w:tcBorders>
              <w:right w:val="single" w:sz="4" w:space="0" w:color="auto"/>
            </w:tcBorders>
            <w:tcMar>
              <w:left w:w="0" w:type="dxa"/>
            </w:tcMar>
            <w:vAlign w:val="center"/>
          </w:tcPr>
          <w:p w:rsidR="00312C8F" w:rsidRPr="00E465A1" w:rsidRDefault="00312C8F" w:rsidP="00312C8F">
            <w:pPr>
              <w:pStyle w:val="Normaltabletextleft"/>
              <w:rPr>
                <w:color w:val="262626" w:themeColor="text1" w:themeTint="D9"/>
                <w:szCs w:val="20"/>
              </w:rPr>
            </w:pPr>
            <w:r w:rsidRPr="00E465A1">
              <w:rPr>
                <w:color w:val="262626" w:themeColor="text1" w:themeTint="D9"/>
                <w:szCs w:val="20"/>
              </w:rPr>
              <w:t>Restoration cost adjustment</w:t>
            </w:r>
            <w:r w:rsidRPr="00E465A1">
              <w:rPr>
                <w:color w:val="262626" w:themeColor="text1" w:themeTint="D9"/>
                <w:szCs w:val="20"/>
                <w:vertAlign w:val="superscript"/>
              </w:rPr>
              <w:t>2</w:t>
            </w: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9F6722" w:rsidP="00D05D79">
            <w:pPr>
              <w:pStyle w:val="Normaltabletext1stpararight"/>
              <w:rPr>
                <w:color w:val="262626" w:themeColor="text1" w:themeTint="D9"/>
                <w:szCs w:val="20"/>
              </w:rPr>
            </w:pPr>
            <w:r w:rsidRPr="00E465A1">
              <w:rPr>
                <w:color w:val="262626" w:themeColor="text1" w:themeTint="D9"/>
                <w:szCs w:val="20"/>
                <w:lang w:eastAsia="en-AU"/>
              </w:rPr>
              <w:t>7</w:t>
            </w:r>
            <w:r w:rsidR="00D05D79" w:rsidRPr="00E465A1">
              <w:rPr>
                <w:color w:val="262626" w:themeColor="text1" w:themeTint="D9"/>
                <w:szCs w:val="20"/>
                <w:lang w:eastAsia="en-AU"/>
              </w:rPr>
              <w:t>5</w:t>
            </w: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9F6722" w:rsidP="00D05D79">
            <w:pPr>
              <w:pStyle w:val="Normaltabletext1stpararight"/>
              <w:rPr>
                <w:color w:val="262626" w:themeColor="text1" w:themeTint="D9"/>
                <w:szCs w:val="20"/>
              </w:rPr>
            </w:pPr>
            <w:r w:rsidRPr="00E465A1">
              <w:rPr>
                <w:color w:val="262626" w:themeColor="text1" w:themeTint="D9"/>
                <w:szCs w:val="20"/>
                <w:lang w:eastAsia="en-AU"/>
              </w:rPr>
              <w:t>7</w:t>
            </w:r>
            <w:r w:rsidR="00D05D79" w:rsidRPr="00E465A1">
              <w:rPr>
                <w:color w:val="262626" w:themeColor="text1" w:themeTint="D9"/>
                <w:szCs w:val="20"/>
                <w:lang w:eastAsia="en-AU"/>
              </w:rPr>
              <w:t>5</w:t>
            </w:r>
          </w:p>
        </w:tc>
        <w:tc>
          <w:tcPr>
            <w:tcW w:w="992" w:type="dxa"/>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r>
      <w:tr w:rsidR="00E465A1" w:rsidRPr="00E465A1" w:rsidTr="00AD6577">
        <w:trPr>
          <w:trHeight w:val="20"/>
        </w:trPr>
        <w:tc>
          <w:tcPr>
            <w:tcW w:w="2410" w:type="dxa"/>
            <w:tcBorders>
              <w:right w:val="single" w:sz="4" w:space="0" w:color="auto"/>
            </w:tcBorders>
            <w:tcMar>
              <w:left w:w="0" w:type="dxa"/>
            </w:tcMar>
            <w:vAlign w:val="center"/>
          </w:tcPr>
          <w:p w:rsidR="00312C8F" w:rsidRPr="00E465A1" w:rsidRDefault="00312C8F" w:rsidP="00312C8F">
            <w:pPr>
              <w:pStyle w:val="Normaltabletextlef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jc w:val="center"/>
              <w:rPr>
                <w:color w:val="262626" w:themeColor="text1" w:themeTint="D9"/>
                <w:szCs w:val="20"/>
              </w:rPr>
            </w:pPr>
          </w:p>
        </w:tc>
        <w:tc>
          <w:tcPr>
            <w:tcW w:w="992" w:type="dxa"/>
            <w:shd w:val="clear" w:color="auto" w:fill="FFFFFF" w:themeFill="background1"/>
            <w:tcMar>
              <w:left w:w="0" w:type="dxa"/>
              <w:right w:w="113" w:type="dxa"/>
            </w:tcMar>
            <w:vAlign w:val="center"/>
          </w:tcPr>
          <w:p w:rsidR="00312C8F" w:rsidRPr="00E465A1" w:rsidRDefault="00312C8F" w:rsidP="00312C8F">
            <w:pPr>
              <w:pStyle w:val="Normaltabletext1stpararight"/>
              <w:jc w:val="center"/>
              <w:rPr>
                <w:color w:val="262626" w:themeColor="text1" w:themeTint="D9"/>
                <w:szCs w:val="20"/>
              </w:rPr>
            </w:pPr>
          </w:p>
        </w:tc>
      </w:tr>
      <w:tr w:rsidR="00E465A1" w:rsidRPr="00E465A1" w:rsidTr="00AD6577">
        <w:trPr>
          <w:trHeight w:val="20"/>
        </w:trPr>
        <w:tc>
          <w:tcPr>
            <w:tcW w:w="2410" w:type="dxa"/>
            <w:tcBorders>
              <w:right w:val="single" w:sz="4" w:space="0" w:color="auto"/>
            </w:tcBorders>
            <w:tcMar>
              <w:left w:w="0" w:type="dxa"/>
            </w:tcMar>
            <w:vAlign w:val="center"/>
          </w:tcPr>
          <w:p w:rsidR="00312C8F" w:rsidRPr="00E465A1" w:rsidRDefault="00312C8F" w:rsidP="00312C8F">
            <w:pPr>
              <w:pStyle w:val="Normaltabletextleft"/>
              <w:rPr>
                <w:color w:val="262626" w:themeColor="text1" w:themeTint="D9"/>
                <w:szCs w:val="20"/>
              </w:rPr>
            </w:pPr>
            <w:r w:rsidRPr="00E465A1">
              <w:rPr>
                <w:color w:val="262626" w:themeColor="text1" w:themeTint="D9"/>
                <w:szCs w:val="20"/>
              </w:rPr>
              <w:t>Depreciation</w:t>
            </w:r>
            <w:r w:rsidRPr="00E465A1">
              <w:rPr>
                <w:color w:val="262626" w:themeColor="text1" w:themeTint="D9"/>
                <w:szCs w:val="20"/>
                <w:vertAlign w:val="superscript"/>
              </w:rPr>
              <w:t>4</w:t>
            </w:r>
          </w:p>
        </w:tc>
        <w:tc>
          <w:tcPr>
            <w:tcW w:w="992" w:type="dxa"/>
            <w:tcBorders>
              <w:left w:val="single" w:sz="4" w:space="0" w:color="auto"/>
            </w:tcBorders>
            <w:shd w:val="clear" w:color="auto" w:fill="FEE4B0"/>
            <w:tcMar>
              <w:left w:w="0" w:type="dxa"/>
              <w:right w:w="113" w:type="dxa"/>
            </w:tcMar>
            <w:vAlign w:val="center"/>
          </w:tcPr>
          <w:p w:rsidR="00312C8F" w:rsidRPr="00E465A1" w:rsidRDefault="006D36CC" w:rsidP="00312C8F">
            <w:pPr>
              <w:pStyle w:val="Normaltabletext1stpararight"/>
              <w:rPr>
                <w:color w:val="262626" w:themeColor="text1" w:themeTint="D9"/>
                <w:szCs w:val="20"/>
              </w:rPr>
            </w:pPr>
            <w:r w:rsidRPr="00E465A1">
              <w:rPr>
                <w:color w:val="262626" w:themeColor="text1" w:themeTint="D9"/>
                <w:szCs w:val="20"/>
              </w:rPr>
              <w:t>(336</w:t>
            </w:r>
            <w:r w:rsidR="00312C8F" w:rsidRPr="00E465A1">
              <w:rPr>
                <w:color w:val="262626" w:themeColor="text1" w:themeTint="D9"/>
                <w:szCs w:val="20"/>
              </w:rPr>
              <w:t>)</w:t>
            </w: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rPr>
              <w:t>(471)</w:t>
            </w:r>
          </w:p>
        </w:tc>
        <w:tc>
          <w:tcPr>
            <w:tcW w:w="992" w:type="dxa"/>
            <w:tcBorders>
              <w:left w:val="single" w:sz="4" w:space="0" w:color="auto"/>
            </w:tcBorders>
            <w:shd w:val="clear" w:color="auto" w:fill="FEE4B0"/>
            <w:tcMar>
              <w:left w:w="0" w:type="dxa"/>
              <w:right w:w="113" w:type="dxa"/>
            </w:tcMar>
            <w:vAlign w:val="center"/>
          </w:tcPr>
          <w:p w:rsidR="00312C8F" w:rsidRPr="00E465A1" w:rsidRDefault="006D36CC" w:rsidP="00312C8F">
            <w:pPr>
              <w:pStyle w:val="Normaltabletext1stpararight"/>
              <w:rPr>
                <w:color w:val="262626" w:themeColor="text1" w:themeTint="D9"/>
                <w:szCs w:val="20"/>
              </w:rPr>
            </w:pPr>
            <w:r w:rsidRPr="00E465A1">
              <w:rPr>
                <w:color w:val="262626" w:themeColor="text1" w:themeTint="D9"/>
                <w:szCs w:val="20"/>
              </w:rPr>
              <w:t>(519</w:t>
            </w:r>
            <w:r w:rsidR="00312C8F" w:rsidRPr="00E465A1">
              <w:rPr>
                <w:color w:val="262626" w:themeColor="text1" w:themeTint="D9"/>
                <w:szCs w:val="20"/>
              </w:rPr>
              <w:t>)</w:t>
            </w: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rPr>
              <w:t>(632)</w:t>
            </w:r>
          </w:p>
        </w:tc>
        <w:tc>
          <w:tcPr>
            <w:tcW w:w="992" w:type="dxa"/>
            <w:tcBorders>
              <w:left w:val="single" w:sz="4" w:space="0" w:color="auto"/>
            </w:tcBorders>
            <w:shd w:val="clear" w:color="auto" w:fill="FEE4B0"/>
            <w:tcMar>
              <w:left w:w="0" w:type="dxa"/>
              <w:right w:w="113" w:type="dxa"/>
            </w:tcMar>
            <w:vAlign w:val="center"/>
          </w:tcPr>
          <w:p w:rsidR="00312C8F" w:rsidRPr="00E465A1" w:rsidRDefault="006D36CC" w:rsidP="00312C8F">
            <w:pPr>
              <w:pStyle w:val="Normaltabletext1stpararight"/>
              <w:rPr>
                <w:color w:val="262626" w:themeColor="text1" w:themeTint="D9"/>
                <w:szCs w:val="20"/>
              </w:rPr>
            </w:pPr>
            <w:r w:rsidRPr="00E465A1">
              <w:rPr>
                <w:color w:val="262626" w:themeColor="text1" w:themeTint="D9"/>
                <w:szCs w:val="20"/>
              </w:rPr>
              <w:t>(213</w:t>
            </w:r>
            <w:r w:rsidR="00312C8F" w:rsidRPr="00E465A1">
              <w:rPr>
                <w:color w:val="262626" w:themeColor="text1" w:themeTint="D9"/>
                <w:szCs w:val="20"/>
              </w:rPr>
              <w:t>)</w:t>
            </w: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rPr>
              <w:t>(200)</w:t>
            </w:r>
          </w:p>
        </w:tc>
        <w:tc>
          <w:tcPr>
            <w:tcW w:w="992" w:type="dxa"/>
            <w:tcBorders>
              <w:left w:val="single" w:sz="4" w:space="0" w:color="auto"/>
            </w:tcBorders>
            <w:shd w:val="clear" w:color="auto" w:fill="FEE4B0"/>
            <w:tcMar>
              <w:left w:w="0" w:type="dxa"/>
              <w:right w:w="113" w:type="dxa"/>
            </w:tcMar>
            <w:vAlign w:val="center"/>
          </w:tcPr>
          <w:p w:rsidR="00312C8F" w:rsidRPr="00E465A1" w:rsidRDefault="006D36CC" w:rsidP="00312C8F">
            <w:pPr>
              <w:pStyle w:val="Normaltabletext1stpararight"/>
              <w:rPr>
                <w:color w:val="262626" w:themeColor="text1" w:themeTint="D9"/>
                <w:szCs w:val="20"/>
              </w:rPr>
            </w:pPr>
            <w:r w:rsidRPr="00E465A1">
              <w:rPr>
                <w:color w:val="262626" w:themeColor="text1" w:themeTint="D9"/>
                <w:szCs w:val="20"/>
              </w:rPr>
              <w:t>(696</w:t>
            </w:r>
            <w:r w:rsidR="00312C8F" w:rsidRPr="00E465A1">
              <w:rPr>
                <w:color w:val="262626" w:themeColor="text1" w:themeTint="D9"/>
                <w:szCs w:val="20"/>
              </w:rPr>
              <w:t>)</w:t>
            </w: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rPr>
              <w:t>(721)</w:t>
            </w: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lang w:eastAsia="en-AU"/>
              </w:rPr>
              <w:t>–</w:t>
            </w:r>
          </w:p>
        </w:tc>
        <w:tc>
          <w:tcPr>
            <w:tcW w:w="992" w:type="dxa"/>
            <w:tcBorders>
              <w:left w:val="single" w:sz="4" w:space="0" w:color="auto"/>
            </w:tcBorders>
            <w:shd w:val="clear" w:color="auto" w:fill="FEE4B0"/>
            <w:tcMar>
              <w:left w:w="0" w:type="dxa"/>
              <w:right w:w="113" w:type="dxa"/>
            </w:tcMar>
            <w:vAlign w:val="center"/>
          </w:tcPr>
          <w:p w:rsidR="00312C8F" w:rsidRPr="00E465A1" w:rsidRDefault="00407C95" w:rsidP="00312C8F">
            <w:pPr>
              <w:pStyle w:val="Normaltabletext1stpararight"/>
              <w:rPr>
                <w:color w:val="262626" w:themeColor="text1" w:themeTint="D9"/>
                <w:szCs w:val="20"/>
              </w:rPr>
            </w:pPr>
            <w:r w:rsidRPr="00E465A1">
              <w:rPr>
                <w:color w:val="262626" w:themeColor="text1" w:themeTint="D9"/>
                <w:szCs w:val="20"/>
                <w:lang w:eastAsia="en-AU"/>
              </w:rPr>
              <w:t>(1,764</w:t>
            </w:r>
            <w:r w:rsidR="00312C8F" w:rsidRPr="00E465A1">
              <w:rPr>
                <w:color w:val="262626" w:themeColor="text1" w:themeTint="D9"/>
                <w:szCs w:val="20"/>
                <w:lang w:eastAsia="en-AU"/>
              </w:rPr>
              <w:t>)</w:t>
            </w:r>
          </w:p>
        </w:tc>
        <w:tc>
          <w:tcPr>
            <w:tcW w:w="992" w:type="dxa"/>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r w:rsidRPr="00E465A1">
              <w:rPr>
                <w:color w:val="262626" w:themeColor="text1" w:themeTint="D9"/>
                <w:szCs w:val="20"/>
              </w:rPr>
              <w:t>(2,024)</w:t>
            </w:r>
          </w:p>
        </w:tc>
      </w:tr>
      <w:tr w:rsidR="00E465A1" w:rsidRPr="00E465A1" w:rsidTr="00AD6577">
        <w:trPr>
          <w:trHeight w:val="20"/>
        </w:trPr>
        <w:tc>
          <w:tcPr>
            <w:tcW w:w="2410" w:type="dxa"/>
            <w:tcBorders>
              <w:bottom w:val="single" w:sz="4" w:space="0" w:color="auto"/>
              <w:right w:val="single" w:sz="4" w:space="0" w:color="auto"/>
            </w:tcBorders>
            <w:tcMar>
              <w:left w:w="0" w:type="dxa"/>
            </w:tcMar>
            <w:vAlign w:val="center"/>
          </w:tcPr>
          <w:p w:rsidR="00312C8F" w:rsidRPr="00E465A1" w:rsidRDefault="00312C8F" w:rsidP="00312C8F">
            <w:pPr>
              <w:pStyle w:val="Normaltabletextlef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3" w:type="dxa"/>
            <w:tcBorders>
              <w:right w:val="single" w:sz="4" w:space="0" w:color="auto"/>
            </w:tcBorders>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tcBorders>
              <w:left w:val="single" w:sz="4" w:space="0" w:color="auto"/>
            </w:tcBorders>
            <w:shd w:val="clear" w:color="auto" w:fill="FEE4B0"/>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c>
          <w:tcPr>
            <w:tcW w:w="992" w:type="dxa"/>
            <w:shd w:val="clear" w:color="auto" w:fill="FFFFFF" w:themeFill="background1"/>
            <w:tcMar>
              <w:left w:w="0" w:type="dxa"/>
              <w:right w:w="113" w:type="dxa"/>
            </w:tcMar>
            <w:vAlign w:val="center"/>
          </w:tcPr>
          <w:p w:rsidR="00312C8F" w:rsidRPr="00E465A1" w:rsidRDefault="00312C8F" w:rsidP="00312C8F">
            <w:pPr>
              <w:pStyle w:val="Normaltabletext1stpararight"/>
              <w:rPr>
                <w:color w:val="262626" w:themeColor="text1" w:themeTint="D9"/>
                <w:szCs w:val="20"/>
              </w:rPr>
            </w:pPr>
          </w:p>
        </w:tc>
      </w:tr>
      <w:tr w:rsidR="00E465A1" w:rsidRPr="00E465A1" w:rsidTr="00AD6577">
        <w:trPr>
          <w:trHeight w:val="391"/>
        </w:trPr>
        <w:tc>
          <w:tcPr>
            <w:tcW w:w="2410" w:type="dxa"/>
            <w:tcBorders>
              <w:top w:val="single" w:sz="4" w:space="0" w:color="auto"/>
              <w:bottom w:val="double" w:sz="4" w:space="0" w:color="auto"/>
              <w:right w:val="single" w:sz="4" w:space="0" w:color="auto"/>
            </w:tcBorders>
            <w:tcMar>
              <w:left w:w="0" w:type="dxa"/>
              <w:bottom w:w="57" w:type="dxa"/>
            </w:tcMar>
            <w:vAlign w:val="center"/>
          </w:tcPr>
          <w:p w:rsidR="00312C8F" w:rsidRPr="00E465A1" w:rsidRDefault="00312C8F" w:rsidP="00055403">
            <w:pPr>
              <w:pStyle w:val="Normaltabletextleft"/>
              <w:rPr>
                <w:b/>
                <w:color w:val="262626" w:themeColor="text1" w:themeTint="D9"/>
                <w:szCs w:val="20"/>
              </w:rPr>
            </w:pPr>
            <w:r w:rsidRPr="00E465A1">
              <w:rPr>
                <w:b/>
                <w:color w:val="262626" w:themeColor="text1" w:themeTint="D9"/>
                <w:szCs w:val="20"/>
              </w:rPr>
              <w:t xml:space="preserve">Carrying amount at 30 </w:t>
            </w:r>
            <w:r w:rsidR="00055403" w:rsidRPr="00E465A1">
              <w:rPr>
                <w:b/>
                <w:color w:val="262626" w:themeColor="text1" w:themeTint="D9"/>
                <w:szCs w:val="20"/>
              </w:rPr>
              <w:t>June</w:t>
            </w:r>
          </w:p>
        </w:tc>
        <w:tc>
          <w:tcPr>
            <w:tcW w:w="992" w:type="dxa"/>
            <w:tcBorders>
              <w:top w:val="single" w:sz="4" w:space="0" w:color="auto"/>
              <w:left w:val="single" w:sz="4" w:space="0" w:color="auto"/>
              <w:bottom w:val="double" w:sz="4" w:space="0" w:color="auto"/>
            </w:tcBorders>
            <w:shd w:val="clear" w:color="auto" w:fill="FEE4B0"/>
            <w:tcMar>
              <w:left w:w="0" w:type="dxa"/>
              <w:bottom w:w="57" w:type="dxa"/>
              <w:right w:w="113" w:type="dxa"/>
            </w:tcMar>
            <w:vAlign w:val="center"/>
          </w:tcPr>
          <w:p w:rsidR="00312C8F" w:rsidRPr="00E465A1" w:rsidRDefault="006D36CC" w:rsidP="006D36CC">
            <w:pPr>
              <w:pStyle w:val="Normaltabletext1stpararight"/>
              <w:rPr>
                <w:b/>
                <w:color w:val="262626" w:themeColor="text1" w:themeTint="D9"/>
                <w:szCs w:val="20"/>
              </w:rPr>
            </w:pPr>
            <w:r w:rsidRPr="00E465A1">
              <w:rPr>
                <w:b/>
                <w:color w:val="262626" w:themeColor="text1" w:themeTint="D9"/>
                <w:szCs w:val="20"/>
              </w:rPr>
              <w:t>1,127</w:t>
            </w:r>
          </w:p>
        </w:tc>
        <w:tc>
          <w:tcPr>
            <w:tcW w:w="993" w:type="dxa"/>
            <w:tcBorders>
              <w:top w:val="single" w:sz="4" w:space="0" w:color="auto"/>
              <w:bottom w:val="double" w:sz="4" w:space="0" w:color="auto"/>
              <w:right w:val="single" w:sz="4" w:space="0" w:color="auto"/>
            </w:tcBorders>
            <w:shd w:val="clear" w:color="auto" w:fill="FFFFFF" w:themeFill="background1"/>
            <w:tcMar>
              <w:left w:w="0" w:type="dxa"/>
              <w:bottom w:w="57" w:type="dxa"/>
              <w:right w:w="113" w:type="dxa"/>
            </w:tcMar>
            <w:vAlign w:val="center"/>
          </w:tcPr>
          <w:p w:rsidR="00312C8F" w:rsidRPr="00E465A1" w:rsidRDefault="00312C8F" w:rsidP="00312C8F">
            <w:pPr>
              <w:pStyle w:val="Normaltabletext1stpararight"/>
              <w:rPr>
                <w:b/>
                <w:color w:val="262626" w:themeColor="text1" w:themeTint="D9"/>
                <w:szCs w:val="20"/>
              </w:rPr>
            </w:pPr>
            <w:r w:rsidRPr="00E465A1">
              <w:rPr>
                <w:b/>
                <w:color w:val="262626" w:themeColor="text1" w:themeTint="D9"/>
                <w:szCs w:val="20"/>
              </w:rPr>
              <w:t>931</w:t>
            </w:r>
          </w:p>
        </w:tc>
        <w:tc>
          <w:tcPr>
            <w:tcW w:w="992" w:type="dxa"/>
            <w:tcBorders>
              <w:top w:val="single" w:sz="4" w:space="0" w:color="auto"/>
              <w:left w:val="single" w:sz="4" w:space="0" w:color="auto"/>
              <w:bottom w:val="double" w:sz="4" w:space="0" w:color="auto"/>
            </w:tcBorders>
            <w:shd w:val="clear" w:color="auto" w:fill="FEE4B0"/>
            <w:tcMar>
              <w:left w:w="0" w:type="dxa"/>
              <w:bottom w:w="57" w:type="dxa"/>
              <w:right w:w="113" w:type="dxa"/>
            </w:tcMar>
            <w:vAlign w:val="center"/>
          </w:tcPr>
          <w:p w:rsidR="00312C8F" w:rsidRPr="00E465A1" w:rsidRDefault="006D36CC" w:rsidP="006D36CC">
            <w:pPr>
              <w:pStyle w:val="Normaltabletext1stpararight"/>
              <w:rPr>
                <w:b/>
                <w:iCs/>
                <w:color w:val="262626" w:themeColor="text1" w:themeTint="D9"/>
                <w:szCs w:val="20"/>
              </w:rPr>
            </w:pPr>
            <w:r w:rsidRPr="00E465A1">
              <w:rPr>
                <w:b/>
                <w:iCs/>
                <w:color w:val="262626" w:themeColor="text1" w:themeTint="D9"/>
                <w:szCs w:val="20"/>
              </w:rPr>
              <w:t>612</w:t>
            </w:r>
          </w:p>
        </w:tc>
        <w:tc>
          <w:tcPr>
            <w:tcW w:w="992" w:type="dxa"/>
            <w:tcBorders>
              <w:top w:val="single" w:sz="4" w:space="0" w:color="auto"/>
              <w:bottom w:val="double" w:sz="4" w:space="0" w:color="auto"/>
              <w:right w:val="single" w:sz="4" w:space="0" w:color="auto"/>
            </w:tcBorders>
            <w:shd w:val="clear" w:color="auto" w:fill="FFFFFF" w:themeFill="background1"/>
            <w:tcMar>
              <w:left w:w="0" w:type="dxa"/>
              <w:bottom w:w="57" w:type="dxa"/>
              <w:right w:w="113" w:type="dxa"/>
            </w:tcMar>
            <w:vAlign w:val="center"/>
          </w:tcPr>
          <w:p w:rsidR="00312C8F" w:rsidRPr="00E465A1" w:rsidRDefault="00312C8F" w:rsidP="00312C8F">
            <w:pPr>
              <w:pStyle w:val="Normaltabletext1stpararight"/>
              <w:rPr>
                <w:b/>
                <w:iCs/>
                <w:color w:val="262626" w:themeColor="text1" w:themeTint="D9"/>
                <w:szCs w:val="20"/>
              </w:rPr>
            </w:pPr>
            <w:r w:rsidRPr="00E465A1">
              <w:rPr>
                <w:b/>
                <w:iCs/>
                <w:color w:val="262626" w:themeColor="text1" w:themeTint="D9"/>
                <w:szCs w:val="20"/>
              </w:rPr>
              <w:t>1,033</w:t>
            </w:r>
          </w:p>
        </w:tc>
        <w:tc>
          <w:tcPr>
            <w:tcW w:w="992" w:type="dxa"/>
            <w:tcBorders>
              <w:top w:val="single" w:sz="4" w:space="0" w:color="auto"/>
              <w:left w:val="single" w:sz="4" w:space="0" w:color="auto"/>
              <w:bottom w:val="double" w:sz="4" w:space="0" w:color="auto"/>
            </w:tcBorders>
            <w:shd w:val="clear" w:color="auto" w:fill="FEE4B0"/>
            <w:tcMar>
              <w:left w:w="0" w:type="dxa"/>
              <w:bottom w:w="57" w:type="dxa"/>
              <w:right w:w="113" w:type="dxa"/>
            </w:tcMar>
            <w:vAlign w:val="center"/>
          </w:tcPr>
          <w:p w:rsidR="00312C8F" w:rsidRPr="00E465A1" w:rsidRDefault="006D36CC" w:rsidP="00312C8F">
            <w:pPr>
              <w:pStyle w:val="Normaltabletext1stpararight"/>
              <w:rPr>
                <w:b/>
                <w:color w:val="262626" w:themeColor="text1" w:themeTint="D9"/>
                <w:szCs w:val="20"/>
              </w:rPr>
            </w:pPr>
            <w:r w:rsidRPr="00E465A1">
              <w:rPr>
                <w:b/>
                <w:color w:val="262626" w:themeColor="text1" w:themeTint="D9"/>
                <w:szCs w:val="20"/>
              </w:rPr>
              <w:t>8</w:t>
            </w:r>
            <w:r w:rsidR="00312C8F" w:rsidRPr="00E465A1">
              <w:rPr>
                <w:b/>
                <w:color w:val="262626" w:themeColor="text1" w:themeTint="D9"/>
                <w:szCs w:val="20"/>
              </w:rPr>
              <w:t>5</w:t>
            </w:r>
            <w:r w:rsidRPr="00E465A1">
              <w:rPr>
                <w:b/>
                <w:color w:val="262626" w:themeColor="text1" w:themeTint="D9"/>
                <w:szCs w:val="20"/>
              </w:rPr>
              <w:t>3</w:t>
            </w:r>
          </w:p>
        </w:tc>
        <w:tc>
          <w:tcPr>
            <w:tcW w:w="993" w:type="dxa"/>
            <w:tcBorders>
              <w:top w:val="single" w:sz="4" w:space="0" w:color="auto"/>
              <w:bottom w:val="double" w:sz="4" w:space="0" w:color="auto"/>
              <w:right w:val="single" w:sz="4" w:space="0" w:color="auto"/>
            </w:tcBorders>
            <w:shd w:val="clear" w:color="auto" w:fill="FFFFFF" w:themeFill="background1"/>
            <w:tcMar>
              <w:left w:w="0" w:type="dxa"/>
              <w:bottom w:w="57" w:type="dxa"/>
              <w:right w:w="113" w:type="dxa"/>
            </w:tcMar>
            <w:vAlign w:val="center"/>
          </w:tcPr>
          <w:p w:rsidR="00312C8F" w:rsidRPr="00E465A1" w:rsidRDefault="00312C8F" w:rsidP="00312C8F">
            <w:pPr>
              <w:pStyle w:val="Normaltabletext1stpararight"/>
              <w:rPr>
                <w:b/>
                <w:color w:val="262626" w:themeColor="text1" w:themeTint="D9"/>
                <w:szCs w:val="20"/>
              </w:rPr>
            </w:pPr>
            <w:r w:rsidRPr="00E465A1">
              <w:rPr>
                <w:b/>
                <w:color w:val="262626" w:themeColor="text1" w:themeTint="D9"/>
                <w:szCs w:val="20"/>
              </w:rPr>
              <w:t>596</w:t>
            </w:r>
          </w:p>
        </w:tc>
        <w:tc>
          <w:tcPr>
            <w:tcW w:w="992" w:type="dxa"/>
            <w:tcBorders>
              <w:top w:val="single" w:sz="4" w:space="0" w:color="auto"/>
              <w:left w:val="single" w:sz="4" w:space="0" w:color="auto"/>
              <w:bottom w:val="double" w:sz="4" w:space="0" w:color="auto"/>
            </w:tcBorders>
            <w:shd w:val="clear" w:color="auto" w:fill="FEE4B0"/>
            <w:tcMar>
              <w:left w:w="0" w:type="dxa"/>
              <w:bottom w:w="57" w:type="dxa"/>
              <w:right w:w="113" w:type="dxa"/>
            </w:tcMar>
            <w:vAlign w:val="center"/>
          </w:tcPr>
          <w:p w:rsidR="00312C8F" w:rsidRPr="00E465A1" w:rsidRDefault="006D36CC" w:rsidP="006D36CC">
            <w:pPr>
              <w:pStyle w:val="Normaltabletext1stpararight"/>
              <w:rPr>
                <w:b/>
                <w:color w:val="262626" w:themeColor="text1" w:themeTint="D9"/>
                <w:szCs w:val="20"/>
              </w:rPr>
            </w:pPr>
            <w:r w:rsidRPr="00E465A1">
              <w:rPr>
                <w:b/>
                <w:color w:val="262626" w:themeColor="text1" w:themeTint="D9"/>
                <w:szCs w:val="20"/>
              </w:rPr>
              <w:t>4,866</w:t>
            </w:r>
          </w:p>
        </w:tc>
        <w:tc>
          <w:tcPr>
            <w:tcW w:w="992" w:type="dxa"/>
            <w:tcBorders>
              <w:top w:val="single" w:sz="4" w:space="0" w:color="auto"/>
              <w:bottom w:val="double" w:sz="4" w:space="0" w:color="auto"/>
              <w:right w:val="single" w:sz="4" w:space="0" w:color="auto"/>
            </w:tcBorders>
            <w:shd w:val="clear" w:color="auto" w:fill="FFFFFF" w:themeFill="background1"/>
            <w:tcMar>
              <w:left w:w="0" w:type="dxa"/>
              <w:bottom w:w="57" w:type="dxa"/>
              <w:right w:w="113" w:type="dxa"/>
            </w:tcMar>
            <w:vAlign w:val="center"/>
          </w:tcPr>
          <w:p w:rsidR="00312C8F" w:rsidRPr="00E465A1" w:rsidRDefault="00312C8F" w:rsidP="00312C8F">
            <w:pPr>
              <w:pStyle w:val="Normaltabletext1stpararight"/>
              <w:rPr>
                <w:b/>
                <w:color w:val="262626" w:themeColor="text1" w:themeTint="D9"/>
                <w:szCs w:val="20"/>
              </w:rPr>
            </w:pPr>
            <w:r w:rsidRPr="00E465A1">
              <w:rPr>
                <w:b/>
                <w:color w:val="262626" w:themeColor="text1" w:themeTint="D9"/>
                <w:szCs w:val="20"/>
              </w:rPr>
              <w:t>4,841</w:t>
            </w:r>
          </w:p>
        </w:tc>
        <w:tc>
          <w:tcPr>
            <w:tcW w:w="992" w:type="dxa"/>
            <w:tcBorders>
              <w:top w:val="single" w:sz="4" w:space="0" w:color="auto"/>
              <w:left w:val="single" w:sz="4" w:space="0" w:color="auto"/>
              <w:bottom w:val="double" w:sz="4" w:space="0" w:color="auto"/>
            </w:tcBorders>
            <w:shd w:val="clear" w:color="auto" w:fill="FEE4B0"/>
            <w:tcMar>
              <w:left w:w="0" w:type="dxa"/>
              <w:bottom w:w="57" w:type="dxa"/>
              <w:right w:w="113" w:type="dxa"/>
            </w:tcMar>
            <w:vAlign w:val="center"/>
          </w:tcPr>
          <w:p w:rsidR="00312C8F" w:rsidRPr="00E465A1" w:rsidRDefault="006D36CC" w:rsidP="00312C8F">
            <w:pPr>
              <w:pStyle w:val="Normaltabletext1stpararight"/>
              <w:rPr>
                <w:b/>
                <w:color w:val="262626" w:themeColor="text1" w:themeTint="D9"/>
                <w:szCs w:val="20"/>
              </w:rPr>
            </w:pPr>
            <w:r w:rsidRPr="00E465A1">
              <w:rPr>
                <w:b/>
                <w:color w:val="262626" w:themeColor="text1" w:themeTint="D9"/>
                <w:szCs w:val="20"/>
                <w:lang w:eastAsia="en-AU"/>
              </w:rPr>
              <w:t>1,604</w:t>
            </w:r>
          </w:p>
        </w:tc>
        <w:tc>
          <w:tcPr>
            <w:tcW w:w="993" w:type="dxa"/>
            <w:tcBorders>
              <w:top w:val="single" w:sz="4" w:space="0" w:color="auto"/>
              <w:bottom w:val="double" w:sz="4" w:space="0" w:color="auto"/>
              <w:right w:val="single" w:sz="4" w:space="0" w:color="auto"/>
            </w:tcBorders>
            <w:shd w:val="clear" w:color="auto" w:fill="FFFFFF" w:themeFill="background1"/>
            <w:tcMar>
              <w:left w:w="0" w:type="dxa"/>
              <w:bottom w:w="57" w:type="dxa"/>
              <w:right w:w="113" w:type="dxa"/>
            </w:tcMar>
            <w:vAlign w:val="center"/>
          </w:tcPr>
          <w:p w:rsidR="00312C8F" w:rsidRPr="00E465A1" w:rsidRDefault="00312C8F" w:rsidP="00312C8F">
            <w:pPr>
              <w:pStyle w:val="Normaltabletext1stpararight"/>
              <w:rPr>
                <w:b/>
                <w:color w:val="262626" w:themeColor="text1" w:themeTint="D9"/>
                <w:szCs w:val="20"/>
              </w:rPr>
            </w:pPr>
            <w:r w:rsidRPr="00E465A1">
              <w:rPr>
                <w:b/>
                <w:color w:val="262626" w:themeColor="text1" w:themeTint="D9"/>
                <w:szCs w:val="20"/>
              </w:rPr>
              <w:t>58</w:t>
            </w:r>
          </w:p>
        </w:tc>
        <w:tc>
          <w:tcPr>
            <w:tcW w:w="992" w:type="dxa"/>
            <w:tcBorders>
              <w:top w:val="single" w:sz="4" w:space="0" w:color="auto"/>
              <w:left w:val="single" w:sz="4" w:space="0" w:color="auto"/>
              <w:bottom w:val="double" w:sz="4" w:space="0" w:color="auto"/>
            </w:tcBorders>
            <w:shd w:val="clear" w:color="auto" w:fill="FEE4B0"/>
            <w:tcMar>
              <w:left w:w="0" w:type="dxa"/>
              <w:bottom w:w="57" w:type="dxa"/>
              <w:right w:w="113" w:type="dxa"/>
            </w:tcMar>
            <w:vAlign w:val="center"/>
          </w:tcPr>
          <w:p w:rsidR="00312C8F" w:rsidRPr="00E465A1" w:rsidRDefault="00407C95" w:rsidP="00312C8F">
            <w:pPr>
              <w:pStyle w:val="Normaltabletext1stpararight"/>
              <w:rPr>
                <w:b/>
                <w:color w:val="262626" w:themeColor="text1" w:themeTint="D9"/>
                <w:szCs w:val="20"/>
              </w:rPr>
            </w:pPr>
            <w:r w:rsidRPr="00E465A1">
              <w:rPr>
                <w:b/>
                <w:color w:val="262626" w:themeColor="text1" w:themeTint="D9"/>
                <w:szCs w:val="20"/>
              </w:rPr>
              <w:t>9,062</w:t>
            </w:r>
          </w:p>
        </w:tc>
        <w:tc>
          <w:tcPr>
            <w:tcW w:w="992" w:type="dxa"/>
            <w:tcBorders>
              <w:top w:val="single" w:sz="4" w:space="0" w:color="auto"/>
              <w:bottom w:val="double" w:sz="4" w:space="0" w:color="auto"/>
            </w:tcBorders>
            <w:shd w:val="clear" w:color="auto" w:fill="FFFFFF" w:themeFill="background1"/>
            <w:tcMar>
              <w:left w:w="0" w:type="dxa"/>
              <w:bottom w:w="57" w:type="dxa"/>
              <w:right w:w="113" w:type="dxa"/>
            </w:tcMar>
            <w:vAlign w:val="center"/>
          </w:tcPr>
          <w:p w:rsidR="00312C8F" w:rsidRPr="00E465A1" w:rsidRDefault="00312C8F" w:rsidP="00312C8F">
            <w:pPr>
              <w:pStyle w:val="Normaltabletext1stpararight"/>
              <w:rPr>
                <w:b/>
                <w:color w:val="262626" w:themeColor="text1" w:themeTint="D9"/>
                <w:szCs w:val="20"/>
              </w:rPr>
            </w:pPr>
            <w:r w:rsidRPr="00E465A1">
              <w:rPr>
                <w:b/>
                <w:color w:val="262626" w:themeColor="text1" w:themeTint="D9"/>
                <w:szCs w:val="20"/>
              </w:rPr>
              <w:t>7,459</w:t>
            </w:r>
          </w:p>
        </w:tc>
      </w:tr>
      <w:tr w:rsidR="00FA5AFC" w:rsidRPr="00E465A1" w:rsidTr="00FA5AFC">
        <w:trPr>
          <w:trHeight w:val="20"/>
        </w:trPr>
        <w:tc>
          <w:tcPr>
            <w:tcW w:w="2410" w:type="dxa"/>
            <w:tcBorders>
              <w:top w:val="double" w:sz="4" w:space="0" w:color="auto"/>
            </w:tcBorders>
            <w:tcMar>
              <w:left w:w="0" w:type="dxa"/>
            </w:tcMar>
            <w:vAlign w:val="center"/>
          </w:tcPr>
          <w:p w:rsidR="00312C8F" w:rsidRPr="00E465A1" w:rsidRDefault="00312C8F" w:rsidP="00312C8F">
            <w:pPr>
              <w:pStyle w:val="Normaltabletextleft"/>
              <w:spacing w:line="100" w:lineRule="exact"/>
              <w:rPr>
                <w:color w:val="262626" w:themeColor="text1" w:themeTint="D9"/>
              </w:rPr>
            </w:pPr>
          </w:p>
        </w:tc>
        <w:tc>
          <w:tcPr>
            <w:tcW w:w="992"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3"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2"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2"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2"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3"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2"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2"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2"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3"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2"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c>
          <w:tcPr>
            <w:tcW w:w="992" w:type="dxa"/>
            <w:tcBorders>
              <w:top w:val="double" w:sz="4" w:space="0" w:color="auto"/>
            </w:tcBorders>
            <w:tcMar>
              <w:left w:w="0" w:type="dxa"/>
            </w:tcMar>
            <w:vAlign w:val="center"/>
          </w:tcPr>
          <w:p w:rsidR="00312C8F" w:rsidRPr="00E465A1" w:rsidRDefault="00312C8F" w:rsidP="00312C8F">
            <w:pPr>
              <w:pStyle w:val="Normaltabletext1stpararight"/>
              <w:spacing w:line="100" w:lineRule="exact"/>
              <w:rPr>
                <w:color w:val="262626" w:themeColor="text1" w:themeTint="D9"/>
              </w:rPr>
            </w:pPr>
          </w:p>
        </w:tc>
      </w:tr>
    </w:tbl>
    <w:p w:rsidR="000006C2" w:rsidRPr="00E465A1" w:rsidRDefault="000006C2" w:rsidP="001838B9">
      <w:pPr>
        <w:pStyle w:val="Normal115pttext"/>
        <w:rPr>
          <w:color w:val="262626" w:themeColor="text1" w:themeTint="D9"/>
        </w:rPr>
      </w:pPr>
    </w:p>
    <w:p w:rsidR="00F83656" w:rsidRPr="00E465A1" w:rsidRDefault="005444CB" w:rsidP="008F5B2D">
      <w:pPr>
        <w:pStyle w:val="Noteswithhangingindent"/>
        <w:rPr>
          <w:color w:val="262626" w:themeColor="text1" w:themeTint="D9"/>
        </w:rPr>
      </w:pPr>
      <w:r w:rsidRPr="00E465A1">
        <w:rPr>
          <w:color w:val="262626" w:themeColor="text1" w:themeTint="D9"/>
          <w:vertAlign w:val="superscript"/>
        </w:rPr>
        <w:t>1</w:t>
      </w:r>
      <w:r w:rsidR="008F5B2D" w:rsidRPr="00E465A1">
        <w:rPr>
          <w:color w:val="262626" w:themeColor="text1" w:themeTint="D9"/>
        </w:rPr>
        <w:tab/>
      </w:r>
      <w:r w:rsidR="0003329D" w:rsidRPr="00E465A1">
        <w:rPr>
          <w:color w:val="262626" w:themeColor="text1" w:themeTint="D9"/>
        </w:rPr>
        <w:t>The d</w:t>
      </w:r>
      <w:r w:rsidR="00F83656" w:rsidRPr="00E465A1">
        <w:rPr>
          <w:color w:val="262626" w:themeColor="text1" w:themeTint="D9"/>
        </w:rPr>
        <w:t>epreciable amount of leasehold improvements is allocated progressivel</w:t>
      </w:r>
      <w:r w:rsidR="00D46405" w:rsidRPr="00E465A1">
        <w:rPr>
          <w:color w:val="262626" w:themeColor="text1" w:themeTint="D9"/>
        </w:rPr>
        <w:t>y over the estimated useful life</w:t>
      </w:r>
      <w:r w:rsidR="00F83656" w:rsidRPr="00E465A1">
        <w:rPr>
          <w:color w:val="262626" w:themeColor="text1" w:themeTint="D9"/>
        </w:rPr>
        <w:t xml:space="preserve"> of the asset or the unexpired period of the lease</w:t>
      </w:r>
      <w:r w:rsidR="009A585E" w:rsidRPr="00E465A1">
        <w:rPr>
          <w:color w:val="262626" w:themeColor="text1" w:themeTint="D9"/>
        </w:rPr>
        <w:t>,</w:t>
      </w:r>
      <w:r w:rsidR="00A14E20" w:rsidRPr="00E465A1">
        <w:rPr>
          <w:color w:val="262626" w:themeColor="text1" w:themeTint="D9"/>
        </w:rPr>
        <w:t xml:space="preserve"> whichever is </w:t>
      </w:r>
      <w:r w:rsidR="008F5B2D" w:rsidRPr="00E465A1">
        <w:rPr>
          <w:color w:val="262626" w:themeColor="text1" w:themeTint="D9"/>
        </w:rPr>
        <w:br/>
      </w:r>
      <w:r w:rsidR="00A14E20" w:rsidRPr="00E465A1">
        <w:rPr>
          <w:color w:val="262626" w:themeColor="text1" w:themeTint="D9"/>
        </w:rPr>
        <w:t>the shorter</w:t>
      </w:r>
      <w:r w:rsidR="0052457F" w:rsidRPr="00E465A1">
        <w:rPr>
          <w:color w:val="262626" w:themeColor="text1" w:themeTint="D9"/>
        </w:rPr>
        <w:t>.</w:t>
      </w:r>
      <w:r w:rsidR="00D46405" w:rsidRPr="00E465A1">
        <w:rPr>
          <w:color w:val="262626" w:themeColor="text1" w:themeTint="D9"/>
        </w:rPr>
        <w:t xml:space="preserve"> </w:t>
      </w:r>
      <w:r w:rsidR="0052457F" w:rsidRPr="00E465A1">
        <w:rPr>
          <w:color w:val="262626" w:themeColor="text1" w:themeTint="D9"/>
        </w:rPr>
        <w:t xml:space="preserve">The unexpired period of a lease includes </w:t>
      </w:r>
      <w:r w:rsidR="009A585E" w:rsidRPr="00E465A1">
        <w:rPr>
          <w:color w:val="262626" w:themeColor="text1" w:themeTint="D9"/>
        </w:rPr>
        <w:t xml:space="preserve">an </w:t>
      </w:r>
      <w:r w:rsidR="00D46405" w:rsidRPr="00E465A1">
        <w:rPr>
          <w:color w:val="262626" w:themeColor="text1" w:themeTint="D9"/>
        </w:rPr>
        <w:t>option period where exercise of the option is probable</w:t>
      </w:r>
      <w:r w:rsidR="008F5B2D" w:rsidRPr="00E465A1">
        <w:rPr>
          <w:color w:val="262626" w:themeColor="text1" w:themeTint="D9"/>
        </w:rPr>
        <w:t>.</w:t>
      </w:r>
    </w:p>
    <w:p w:rsidR="00E43F40" w:rsidRPr="00E465A1" w:rsidRDefault="005444CB" w:rsidP="008F5B2D">
      <w:pPr>
        <w:pStyle w:val="Noteswithhangingindent"/>
        <w:rPr>
          <w:color w:val="262626" w:themeColor="text1" w:themeTint="D9"/>
        </w:rPr>
      </w:pPr>
      <w:r w:rsidRPr="00E465A1">
        <w:rPr>
          <w:color w:val="262626" w:themeColor="text1" w:themeTint="D9"/>
          <w:vertAlign w:val="superscript"/>
        </w:rPr>
        <w:t>2</w:t>
      </w:r>
      <w:r w:rsidR="008F5B2D" w:rsidRPr="00E465A1">
        <w:rPr>
          <w:color w:val="262626" w:themeColor="text1" w:themeTint="D9"/>
        </w:rPr>
        <w:tab/>
      </w:r>
      <w:r w:rsidR="001D1813" w:rsidRPr="00E465A1">
        <w:rPr>
          <w:color w:val="262626" w:themeColor="text1" w:themeTint="D9"/>
        </w:rPr>
        <w:t xml:space="preserve">Leasehold improvements include an amount of </w:t>
      </w:r>
      <w:r w:rsidRPr="00E465A1">
        <w:rPr>
          <w:color w:val="262626" w:themeColor="text1" w:themeTint="D9"/>
        </w:rPr>
        <w:t>$</w:t>
      </w:r>
      <w:r w:rsidR="00C066DC" w:rsidRPr="00E465A1">
        <w:rPr>
          <w:color w:val="262626" w:themeColor="text1" w:themeTint="D9"/>
        </w:rPr>
        <w:t>246,079</w:t>
      </w:r>
      <w:r w:rsidR="000A67D4" w:rsidRPr="00E465A1">
        <w:rPr>
          <w:color w:val="262626" w:themeColor="text1" w:themeTint="D9"/>
        </w:rPr>
        <w:t xml:space="preserve"> </w:t>
      </w:r>
      <w:r w:rsidR="00DA1642" w:rsidRPr="00E465A1">
        <w:rPr>
          <w:color w:val="262626" w:themeColor="text1" w:themeTint="D9"/>
        </w:rPr>
        <w:t>(2017: $0.328</w:t>
      </w:r>
      <w:r w:rsidR="001D1813" w:rsidRPr="00E465A1">
        <w:rPr>
          <w:color w:val="262626" w:themeColor="text1" w:themeTint="D9"/>
        </w:rPr>
        <w:t xml:space="preserve">M) for the estimate of restoration costs for leased premises which has been recognised as a provision. </w:t>
      </w:r>
      <w:r w:rsidR="008F5B2D" w:rsidRPr="00E465A1">
        <w:rPr>
          <w:color w:val="262626" w:themeColor="text1" w:themeTint="D9"/>
        </w:rPr>
        <w:br/>
      </w:r>
      <w:r w:rsidR="00E43F40" w:rsidRPr="00E465A1">
        <w:rPr>
          <w:color w:val="262626" w:themeColor="text1" w:themeTint="D9"/>
        </w:rPr>
        <w:t xml:space="preserve">Refer to Note </w:t>
      </w:r>
      <w:r w:rsidR="00671883" w:rsidRPr="00E465A1">
        <w:rPr>
          <w:color w:val="262626" w:themeColor="text1" w:themeTint="D9"/>
        </w:rPr>
        <w:t>1</w:t>
      </w:r>
      <w:r w:rsidR="00700E6A" w:rsidRPr="00E465A1">
        <w:rPr>
          <w:color w:val="262626" w:themeColor="text1" w:themeTint="D9"/>
        </w:rPr>
        <w:t>2</w:t>
      </w:r>
      <w:r w:rsidR="00671883" w:rsidRPr="00E465A1">
        <w:rPr>
          <w:color w:val="262626" w:themeColor="text1" w:themeTint="D9"/>
        </w:rPr>
        <w:t xml:space="preserve"> and Note 1</w:t>
      </w:r>
      <w:r w:rsidR="00700E6A" w:rsidRPr="00E465A1">
        <w:rPr>
          <w:color w:val="262626" w:themeColor="text1" w:themeTint="D9"/>
        </w:rPr>
        <w:t>5</w:t>
      </w:r>
      <w:r w:rsidR="008F5B2D" w:rsidRPr="00E465A1">
        <w:rPr>
          <w:color w:val="262626" w:themeColor="text1" w:themeTint="D9"/>
        </w:rPr>
        <w:t>.</w:t>
      </w:r>
    </w:p>
    <w:p w:rsidR="00231D65" w:rsidRPr="00E465A1" w:rsidRDefault="005444CB" w:rsidP="008F5B2D">
      <w:pPr>
        <w:pStyle w:val="Noteswithhangingindent"/>
        <w:rPr>
          <w:color w:val="262626" w:themeColor="text1" w:themeTint="D9"/>
        </w:rPr>
      </w:pPr>
      <w:r w:rsidRPr="00E465A1">
        <w:rPr>
          <w:color w:val="262626" w:themeColor="text1" w:themeTint="D9"/>
          <w:vertAlign w:val="superscript"/>
        </w:rPr>
        <w:t>3</w:t>
      </w:r>
      <w:r w:rsidR="008F5B2D" w:rsidRPr="00E465A1">
        <w:rPr>
          <w:color w:val="262626" w:themeColor="text1" w:themeTint="D9"/>
        </w:rPr>
        <w:tab/>
      </w:r>
      <w:r w:rsidR="00231D65" w:rsidRPr="00E465A1">
        <w:rPr>
          <w:color w:val="262626" w:themeColor="text1" w:themeTint="D9"/>
        </w:rPr>
        <w:t>Any gain or loss on disposal is recognised at the date of disposal and is the difference between the consideration received and the carrying/book value of the asset at the time.</w:t>
      </w:r>
    </w:p>
    <w:p w:rsidR="008F5B2D" w:rsidRPr="00E465A1" w:rsidRDefault="005444CB" w:rsidP="008F5B2D">
      <w:pPr>
        <w:pStyle w:val="Noteswithhangingindent"/>
        <w:rPr>
          <w:color w:val="262626" w:themeColor="text1" w:themeTint="D9"/>
        </w:rPr>
      </w:pPr>
      <w:r w:rsidRPr="00E465A1">
        <w:rPr>
          <w:color w:val="262626" w:themeColor="text1" w:themeTint="D9"/>
          <w:vertAlign w:val="superscript"/>
        </w:rPr>
        <w:t>4</w:t>
      </w:r>
      <w:r w:rsidR="00162301" w:rsidRPr="00E465A1">
        <w:rPr>
          <w:color w:val="262626" w:themeColor="text1" w:themeTint="D9"/>
        </w:rPr>
        <w:tab/>
        <w:t>Depreciation is included in the line item “Depreciation and amortisation” in the Statement of Comprehensive Income.</w:t>
      </w:r>
    </w:p>
    <w:p w:rsidR="00162301" w:rsidRPr="00E465A1" w:rsidRDefault="00162301" w:rsidP="009D6851">
      <w:pPr>
        <w:pStyle w:val="Noteswithhangingindent"/>
        <w:rPr>
          <w:color w:val="262626" w:themeColor="text1" w:themeTint="D9"/>
        </w:rPr>
        <w:sectPr w:rsidR="00162301" w:rsidRPr="00E465A1" w:rsidSect="0093233E">
          <w:pgSz w:w="16840" w:h="11907" w:orient="landscape" w:code="9"/>
          <w:pgMar w:top="1276" w:right="2098" w:bottom="1276" w:left="1418" w:header="567" w:footer="567" w:gutter="0"/>
          <w:cols w:space="720"/>
          <w:noEndnote/>
        </w:sectPr>
      </w:pPr>
    </w:p>
    <w:p w:rsidR="00F44E86" w:rsidRPr="00E465A1" w:rsidRDefault="00F44E86" w:rsidP="00F44E86">
      <w:pPr>
        <w:pStyle w:val="Normal115pttext"/>
        <w:rPr>
          <w:color w:val="262626" w:themeColor="text1" w:themeTint="D9"/>
        </w:rPr>
      </w:pPr>
      <w:r w:rsidRPr="00E465A1">
        <w:rPr>
          <w:color w:val="262626" w:themeColor="text1" w:themeTint="D9"/>
        </w:rPr>
        <w:lastRenderedPageBreak/>
        <w:t>Note 1</w:t>
      </w:r>
      <w:r w:rsidR="0014516F" w:rsidRPr="00E465A1">
        <w:rPr>
          <w:color w:val="262626" w:themeColor="text1" w:themeTint="D9"/>
        </w:rPr>
        <w:t>1</w:t>
      </w:r>
      <w:r w:rsidRPr="00E465A1">
        <w:rPr>
          <w:color w:val="262626" w:themeColor="text1" w:themeTint="D9"/>
        </w:rPr>
        <w:t>:  Payables</w:t>
      </w:r>
    </w:p>
    <w:p w:rsidR="00F44E86" w:rsidRPr="00E465A1" w:rsidRDefault="00F44E86" w:rsidP="00F44E86">
      <w:pPr>
        <w:pStyle w:val="Normal1stpara"/>
        <w:rPr>
          <w:color w:val="262626" w:themeColor="text1" w:themeTint="D9"/>
        </w:rPr>
      </w:pPr>
    </w:p>
    <w:tbl>
      <w:tblPr>
        <w:tblStyle w:val="TableGrid"/>
        <w:tblW w:w="0" w:type="auto"/>
        <w:tblCellMar>
          <w:top w:w="113" w:type="dxa"/>
          <w:bottom w:w="113" w:type="dxa"/>
        </w:tblCellMar>
        <w:tblLook w:val="04A0" w:firstRow="1" w:lastRow="0" w:firstColumn="1" w:lastColumn="0" w:noHBand="0" w:noVBand="1"/>
      </w:tblPr>
      <w:tblGrid>
        <w:gridCol w:w="10196"/>
      </w:tblGrid>
      <w:tr w:rsidR="00F44E86" w:rsidRPr="00E465A1" w:rsidTr="008F5B2D">
        <w:tc>
          <w:tcPr>
            <w:tcW w:w="10201" w:type="dxa"/>
          </w:tcPr>
          <w:p w:rsidR="00F44E86" w:rsidRPr="00E465A1" w:rsidRDefault="00F44E86" w:rsidP="00F618A2">
            <w:pPr>
              <w:pStyle w:val="Policyheading"/>
              <w:rPr>
                <w:color w:val="262626" w:themeColor="text1" w:themeTint="D9"/>
              </w:rPr>
            </w:pPr>
            <w:r w:rsidRPr="00E465A1">
              <w:rPr>
                <w:color w:val="262626" w:themeColor="text1" w:themeTint="D9"/>
              </w:rPr>
              <w:t>Accounting Policy:</w:t>
            </w:r>
          </w:p>
          <w:p w:rsidR="00F44E86" w:rsidRPr="00E465A1" w:rsidRDefault="00F44E86" w:rsidP="00226E94">
            <w:pPr>
              <w:pStyle w:val="Policy1stpara"/>
              <w:rPr>
                <w:color w:val="262626" w:themeColor="text1" w:themeTint="D9"/>
              </w:rPr>
            </w:pPr>
            <w:r w:rsidRPr="00E465A1">
              <w:rPr>
                <w:b/>
                <w:i/>
                <w:color w:val="262626" w:themeColor="text1" w:themeTint="D9"/>
              </w:rPr>
              <w:t>Payables</w:t>
            </w:r>
            <w:r w:rsidRPr="00E465A1">
              <w:rPr>
                <w:color w:val="262626" w:themeColor="text1" w:themeTint="D9"/>
              </w:rPr>
              <w:t xml:space="preserve"> – The </w:t>
            </w:r>
            <w:r w:rsidR="00EC2665" w:rsidRPr="00E465A1">
              <w:rPr>
                <w:color w:val="262626" w:themeColor="text1" w:themeTint="D9"/>
              </w:rPr>
              <w:t>CCC</w:t>
            </w:r>
            <w:r w:rsidRPr="00E465A1">
              <w:rPr>
                <w:color w:val="262626" w:themeColor="text1" w:themeTint="D9"/>
              </w:rPr>
              <w:t xml:space="preserve"> recognises creditors</w:t>
            </w:r>
            <w:r w:rsidR="00226E94" w:rsidRPr="00E465A1">
              <w:rPr>
                <w:color w:val="262626" w:themeColor="text1" w:themeTint="D9"/>
              </w:rPr>
              <w:t xml:space="preserve"> upon receipt of the goods or services and are measured</w:t>
            </w:r>
            <w:r w:rsidR="00912166" w:rsidRPr="00E465A1">
              <w:rPr>
                <w:color w:val="262626" w:themeColor="text1" w:themeTint="D9"/>
              </w:rPr>
              <w:t xml:space="preserve"> </w:t>
            </w:r>
            <w:r w:rsidRPr="00E465A1">
              <w:rPr>
                <w:color w:val="262626" w:themeColor="text1" w:themeTint="D9"/>
              </w:rPr>
              <w:t>at the agreed purchase price or contract price including any trade and other discounts when goods and services ordered are received.  Amounts owing are unsecured, and are generally settled on 30-day terms.</w:t>
            </w:r>
          </w:p>
        </w:tc>
      </w:tr>
    </w:tbl>
    <w:p w:rsidR="00F44E86" w:rsidRPr="00E465A1" w:rsidRDefault="00F44E86" w:rsidP="00F44E86">
      <w:pPr>
        <w:pStyle w:val="Normal1stpara"/>
        <w:rPr>
          <w:color w:val="262626" w:themeColor="text1" w:themeTint="D9"/>
        </w:rPr>
      </w:pPr>
    </w:p>
    <w:p w:rsidR="00FA60B1" w:rsidRPr="00E465A1" w:rsidRDefault="00FA60B1" w:rsidP="00F44E86">
      <w:pPr>
        <w:pStyle w:val="Normal1stpara"/>
        <w:rPr>
          <w:color w:val="262626" w:themeColor="text1" w:themeTint="D9"/>
        </w:rPr>
      </w:pPr>
    </w:p>
    <w:tbl>
      <w:tblPr>
        <w:tblW w:w="4940" w:type="pct"/>
        <w:tblBorders>
          <w:top w:val="double" w:sz="4" w:space="0" w:color="auto"/>
          <w:left w:val="double" w:sz="4" w:space="0" w:color="auto"/>
          <w:bottom w:val="double" w:sz="4" w:space="0" w:color="auto"/>
          <w:right w:val="double" w:sz="4" w:space="0" w:color="auto"/>
        </w:tblBorders>
        <w:tblLayout w:type="fixed"/>
        <w:tblCellMar>
          <w:left w:w="0" w:type="dxa"/>
          <w:bottom w:w="11" w:type="dxa"/>
          <w:right w:w="0" w:type="dxa"/>
        </w:tblCellMar>
        <w:tblLook w:val="0000" w:firstRow="0" w:lastRow="0" w:firstColumn="0" w:lastColumn="0" w:noHBand="0" w:noVBand="0"/>
      </w:tblPr>
      <w:tblGrid>
        <w:gridCol w:w="6745"/>
        <w:gridCol w:w="845"/>
        <w:gridCol w:w="1132"/>
        <w:gridCol w:w="222"/>
        <w:gridCol w:w="1140"/>
      </w:tblGrid>
      <w:tr w:rsidR="00E465A1" w:rsidRPr="00E465A1" w:rsidTr="00AD6577">
        <w:trPr>
          <w:trHeight w:val="20"/>
        </w:trPr>
        <w:tc>
          <w:tcPr>
            <w:tcW w:w="6745" w:type="dxa"/>
            <w:tcBorders>
              <w:top w:val="nil"/>
              <w:left w:val="nil"/>
              <w:bottom w:val="nil"/>
            </w:tcBorders>
            <w:noWrap/>
            <w:tcMar>
              <w:left w:w="0" w:type="dxa"/>
              <w:right w:w="0" w:type="dxa"/>
            </w:tcMar>
          </w:tcPr>
          <w:p w:rsidR="00B73CAB" w:rsidRPr="00E465A1" w:rsidRDefault="00B73CAB" w:rsidP="00F618A2">
            <w:pPr>
              <w:pStyle w:val="Normaltabletextleft"/>
              <w:rPr>
                <w:b/>
                <w:color w:val="262626" w:themeColor="text1" w:themeTint="D9"/>
                <w:lang w:eastAsia="en-AU"/>
              </w:rPr>
            </w:pPr>
          </w:p>
          <w:p w:rsidR="00B73CAB" w:rsidRPr="00E465A1" w:rsidRDefault="00B73CAB" w:rsidP="00F618A2">
            <w:pPr>
              <w:pStyle w:val="Normaltabletextleft"/>
              <w:rPr>
                <w:b/>
                <w:color w:val="262626" w:themeColor="text1" w:themeTint="D9"/>
                <w:lang w:eastAsia="en-AU"/>
              </w:rPr>
            </w:pPr>
          </w:p>
          <w:p w:rsidR="00E13787" w:rsidRPr="00E465A1" w:rsidRDefault="00E13787" w:rsidP="00F618A2">
            <w:pPr>
              <w:pStyle w:val="Normaltabletextleft"/>
              <w:rPr>
                <w:b/>
                <w:color w:val="262626" w:themeColor="text1" w:themeTint="D9"/>
                <w:lang w:eastAsia="en-AU"/>
              </w:rPr>
            </w:pPr>
            <w:r w:rsidRPr="00E465A1">
              <w:rPr>
                <w:b/>
                <w:color w:val="262626" w:themeColor="text1" w:themeTint="D9"/>
                <w:lang w:eastAsia="en-AU"/>
              </w:rPr>
              <w:t>Contractual Payables</w:t>
            </w:r>
          </w:p>
        </w:tc>
        <w:tc>
          <w:tcPr>
            <w:tcW w:w="845" w:type="dxa"/>
            <w:tcBorders>
              <w:top w:val="nil"/>
              <w:bottom w:val="nil"/>
            </w:tcBorders>
            <w:noWrap/>
            <w:tcMar>
              <w:left w:w="0" w:type="dxa"/>
              <w:right w:w="0" w:type="dxa"/>
            </w:tcMar>
          </w:tcPr>
          <w:p w:rsidR="00E13787" w:rsidRPr="00E465A1" w:rsidRDefault="00E13787" w:rsidP="00F618A2">
            <w:pPr>
              <w:pStyle w:val="Normaltabletextcentred"/>
              <w:rPr>
                <w:b/>
                <w:color w:val="262626" w:themeColor="text1" w:themeTint="D9"/>
                <w:lang w:eastAsia="en-AU"/>
              </w:rPr>
            </w:pPr>
          </w:p>
        </w:tc>
        <w:tc>
          <w:tcPr>
            <w:tcW w:w="1132" w:type="dxa"/>
            <w:tcBorders>
              <w:top w:val="nil"/>
              <w:bottom w:val="nil"/>
            </w:tcBorders>
            <w:shd w:val="clear" w:color="auto" w:fill="FEE4B0"/>
            <w:noWrap/>
            <w:tcMar>
              <w:left w:w="0" w:type="dxa"/>
              <w:right w:w="113" w:type="dxa"/>
            </w:tcMar>
          </w:tcPr>
          <w:p w:rsidR="00E13787" w:rsidRPr="00E465A1" w:rsidRDefault="00F91F0E" w:rsidP="00F618A2">
            <w:pPr>
              <w:pStyle w:val="Normaltabletext1stpararight"/>
              <w:rPr>
                <w:b/>
                <w:color w:val="262626" w:themeColor="text1" w:themeTint="D9"/>
                <w:lang w:eastAsia="en-AU"/>
              </w:rPr>
            </w:pPr>
            <w:r w:rsidRPr="00E465A1">
              <w:rPr>
                <w:b/>
                <w:color w:val="262626" w:themeColor="text1" w:themeTint="D9"/>
                <w:lang w:eastAsia="en-AU"/>
              </w:rPr>
              <w:t>2018</w:t>
            </w:r>
          </w:p>
          <w:p w:rsidR="00B73CAB" w:rsidRPr="00E465A1" w:rsidRDefault="00B73CAB" w:rsidP="00F618A2">
            <w:pPr>
              <w:pStyle w:val="Normaltabletext1stpararight"/>
              <w:rPr>
                <w:b/>
                <w:color w:val="262626" w:themeColor="text1" w:themeTint="D9"/>
                <w:lang w:eastAsia="en-AU"/>
              </w:rPr>
            </w:pPr>
            <w:r w:rsidRPr="00E465A1">
              <w:rPr>
                <w:b/>
                <w:color w:val="262626" w:themeColor="text1" w:themeTint="D9"/>
                <w:lang w:eastAsia="en-AU"/>
              </w:rPr>
              <w:t>$’000</w:t>
            </w:r>
          </w:p>
        </w:tc>
        <w:tc>
          <w:tcPr>
            <w:tcW w:w="222" w:type="dxa"/>
            <w:tcBorders>
              <w:top w:val="nil"/>
              <w:bottom w:val="nil"/>
            </w:tcBorders>
            <w:noWrap/>
            <w:tcMar>
              <w:left w:w="0" w:type="dxa"/>
              <w:right w:w="0" w:type="dxa"/>
            </w:tcMar>
          </w:tcPr>
          <w:p w:rsidR="00E13787" w:rsidRPr="00E465A1" w:rsidRDefault="00E13787" w:rsidP="00F618A2">
            <w:pPr>
              <w:pStyle w:val="Normaltabletextcentred"/>
              <w:rPr>
                <w:b/>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E13787" w:rsidRPr="00E465A1" w:rsidRDefault="00F91F0E" w:rsidP="00F618A2">
            <w:pPr>
              <w:pStyle w:val="Normaltabletext1stpararight"/>
              <w:rPr>
                <w:b/>
                <w:color w:val="262626" w:themeColor="text1" w:themeTint="D9"/>
                <w:lang w:eastAsia="en-AU"/>
              </w:rPr>
            </w:pPr>
            <w:r w:rsidRPr="00E465A1">
              <w:rPr>
                <w:b/>
                <w:color w:val="262626" w:themeColor="text1" w:themeTint="D9"/>
                <w:lang w:eastAsia="en-AU"/>
              </w:rPr>
              <w:t>2017</w:t>
            </w:r>
          </w:p>
          <w:p w:rsidR="00B73CAB" w:rsidRPr="00E465A1" w:rsidRDefault="00B73CAB" w:rsidP="00F618A2">
            <w:pPr>
              <w:pStyle w:val="Normaltabletext1stpararight"/>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r w:rsidRPr="00E465A1">
              <w:rPr>
                <w:color w:val="262626" w:themeColor="text1" w:themeTint="D9"/>
                <w:lang w:eastAsia="en-AU"/>
              </w:rPr>
              <w:t>Creditors</w:t>
            </w:r>
          </w:p>
        </w:tc>
        <w:tc>
          <w:tcPr>
            <w:tcW w:w="845"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2" w:type="dxa"/>
            <w:tcBorders>
              <w:top w:val="nil"/>
              <w:bottom w:val="nil"/>
            </w:tcBorders>
            <w:shd w:val="clear" w:color="auto" w:fill="FEE4B0"/>
            <w:noWrap/>
            <w:tcMar>
              <w:left w:w="0" w:type="dxa"/>
              <w:right w:w="113" w:type="dxa"/>
            </w:tcMar>
          </w:tcPr>
          <w:p w:rsidR="00F91F0E" w:rsidRPr="00E465A1" w:rsidRDefault="00502C3A" w:rsidP="00B8507A">
            <w:pPr>
              <w:pStyle w:val="Normaltabletext1stpararight"/>
              <w:rPr>
                <w:color w:val="262626" w:themeColor="text1" w:themeTint="D9"/>
                <w:lang w:eastAsia="en-AU"/>
              </w:rPr>
            </w:pPr>
            <w:r w:rsidRPr="00E465A1">
              <w:rPr>
                <w:color w:val="262626" w:themeColor="text1" w:themeTint="D9"/>
                <w:lang w:eastAsia="en-AU"/>
              </w:rPr>
              <w:t>3,3</w:t>
            </w:r>
            <w:r w:rsidR="00B8507A" w:rsidRPr="00E465A1">
              <w:rPr>
                <w:color w:val="262626" w:themeColor="text1" w:themeTint="D9"/>
                <w:lang w:eastAsia="en-AU"/>
              </w:rPr>
              <w:t>48</w:t>
            </w:r>
          </w:p>
        </w:tc>
        <w:tc>
          <w:tcPr>
            <w:tcW w:w="222"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F91F0E" w:rsidRPr="00E465A1" w:rsidRDefault="00F91F0E" w:rsidP="00F91F0E">
            <w:pPr>
              <w:pStyle w:val="Normaltabletext1stpararight"/>
              <w:rPr>
                <w:color w:val="262626" w:themeColor="text1" w:themeTint="D9"/>
                <w:lang w:eastAsia="en-AU"/>
              </w:rPr>
            </w:pPr>
            <w:r w:rsidRPr="00E465A1">
              <w:rPr>
                <w:color w:val="262626" w:themeColor="text1" w:themeTint="D9"/>
                <w:lang w:eastAsia="en-AU"/>
              </w:rPr>
              <w:t>1,149</w:t>
            </w:r>
          </w:p>
        </w:tc>
      </w:tr>
      <w:tr w:rsidR="00E465A1" w:rsidRPr="00E465A1" w:rsidTr="00AD6577">
        <w:tblPrEx>
          <w:tblCellMar>
            <w:left w:w="108" w:type="dxa"/>
          </w:tblCellMar>
        </w:tblPrEx>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r w:rsidRPr="00E465A1">
              <w:rPr>
                <w:color w:val="262626" w:themeColor="text1" w:themeTint="D9"/>
                <w:lang w:eastAsia="en-AU"/>
              </w:rPr>
              <w:t>Queensland Police Service</w:t>
            </w:r>
            <w:r w:rsidRPr="00E465A1">
              <w:rPr>
                <w:color w:val="262626" w:themeColor="text1" w:themeTint="D9"/>
              </w:rPr>
              <w:t>¹</w:t>
            </w:r>
          </w:p>
        </w:tc>
        <w:tc>
          <w:tcPr>
            <w:tcW w:w="845"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2" w:type="dxa"/>
            <w:tcBorders>
              <w:top w:val="nil"/>
              <w:bottom w:val="single" w:sz="4" w:space="0" w:color="auto"/>
            </w:tcBorders>
            <w:shd w:val="clear" w:color="auto" w:fill="FEE4B0"/>
            <w:noWrap/>
            <w:tcMar>
              <w:left w:w="0" w:type="dxa"/>
              <w:right w:w="113" w:type="dxa"/>
            </w:tcMar>
          </w:tcPr>
          <w:p w:rsidR="00F91F0E" w:rsidRPr="00E465A1" w:rsidRDefault="008E7A93" w:rsidP="00502C3A">
            <w:pPr>
              <w:pStyle w:val="Normaltabletext1stpararight"/>
              <w:rPr>
                <w:color w:val="262626" w:themeColor="text1" w:themeTint="D9"/>
                <w:lang w:eastAsia="en-AU"/>
              </w:rPr>
            </w:pPr>
            <w:r w:rsidRPr="00E465A1">
              <w:rPr>
                <w:color w:val="262626" w:themeColor="text1" w:themeTint="D9"/>
                <w:lang w:eastAsia="en-AU"/>
              </w:rPr>
              <w:t>1,</w:t>
            </w:r>
            <w:r w:rsidR="00502C3A" w:rsidRPr="00E465A1">
              <w:rPr>
                <w:color w:val="262626" w:themeColor="text1" w:themeTint="D9"/>
                <w:lang w:eastAsia="en-AU"/>
              </w:rPr>
              <w:t>281</w:t>
            </w:r>
          </w:p>
        </w:tc>
        <w:tc>
          <w:tcPr>
            <w:tcW w:w="222"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40" w:type="dxa"/>
            <w:tcBorders>
              <w:top w:val="nil"/>
              <w:bottom w:val="single" w:sz="4" w:space="0" w:color="auto"/>
              <w:right w:val="nil"/>
            </w:tcBorders>
            <w:shd w:val="clear" w:color="auto" w:fill="FFFFFF" w:themeFill="background1"/>
            <w:noWrap/>
            <w:tcMar>
              <w:left w:w="0" w:type="dxa"/>
              <w:right w:w="113" w:type="dxa"/>
            </w:tcMar>
          </w:tcPr>
          <w:p w:rsidR="00F91F0E" w:rsidRPr="00E465A1" w:rsidRDefault="00F91F0E" w:rsidP="00F91F0E">
            <w:pPr>
              <w:pStyle w:val="Normaltabletext1stpararight"/>
              <w:rPr>
                <w:color w:val="262626" w:themeColor="text1" w:themeTint="D9"/>
                <w:lang w:eastAsia="en-AU"/>
              </w:rPr>
            </w:pPr>
            <w:r w:rsidRPr="00E465A1">
              <w:rPr>
                <w:color w:val="262626" w:themeColor="text1" w:themeTint="D9"/>
                <w:lang w:eastAsia="en-AU"/>
              </w:rPr>
              <w:t>1,631</w:t>
            </w:r>
          </w:p>
        </w:tc>
      </w:tr>
      <w:tr w:rsidR="00E465A1" w:rsidRPr="00E465A1" w:rsidTr="00AD6577">
        <w:tblPrEx>
          <w:tblCellMar>
            <w:left w:w="108" w:type="dxa"/>
          </w:tblCellMar>
        </w:tblPrEx>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b/>
                <w:color w:val="262626" w:themeColor="text1" w:themeTint="D9"/>
                <w:lang w:eastAsia="en-AU"/>
              </w:rPr>
            </w:pPr>
          </w:p>
        </w:tc>
        <w:tc>
          <w:tcPr>
            <w:tcW w:w="845"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32" w:type="dxa"/>
            <w:tcBorders>
              <w:top w:val="single" w:sz="4" w:space="0" w:color="auto"/>
              <w:bottom w:val="nil"/>
            </w:tcBorders>
            <w:shd w:val="clear" w:color="auto" w:fill="FEE4B0"/>
            <w:noWrap/>
            <w:tcMar>
              <w:left w:w="0" w:type="dxa"/>
              <w:right w:w="113" w:type="dxa"/>
            </w:tcMar>
          </w:tcPr>
          <w:p w:rsidR="00F91F0E" w:rsidRPr="00E465A1" w:rsidRDefault="00502C3A" w:rsidP="00B8507A">
            <w:pPr>
              <w:pStyle w:val="Normaltabletext1stpararight"/>
              <w:rPr>
                <w:b/>
                <w:color w:val="262626" w:themeColor="text1" w:themeTint="D9"/>
                <w:lang w:eastAsia="en-AU"/>
              </w:rPr>
            </w:pPr>
            <w:r w:rsidRPr="00E465A1">
              <w:rPr>
                <w:b/>
                <w:color w:val="262626" w:themeColor="text1" w:themeTint="D9"/>
                <w:lang w:eastAsia="en-AU"/>
              </w:rPr>
              <w:t>4,6</w:t>
            </w:r>
            <w:r w:rsidR="00B8507A" w:rsidRPr="00E465A1">
              <w:rPr>
                <w:b/>
                <w:color w:val="262626" w:themeColor="text1" w:themeTint="D9"/>
                <w:lang w:eastAsia="en-AU"/>
              </w:rPr>
              <w:t>29</w:t>
            </w:r>
          </w:p>
        </w:tc>
        <w:tc>
          <w:tcPr>
            <w:tcW w:w="222"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40" w:type="dxa"/>
            <w:tcBorders>
              <w:top w:val="single" w:sz="4" w:space="0" w:color="auto"/>
              <w:bottom w:val="nil"/>
              <w:right w:val="nil"/>
            </w:tcBorders>
            <w:shd w:val="clear" w:color="auto" w:fill="FFFFFF" w:themeFill="background1"/>
            <w:noWrap/>
            <w:tcMar>
              <w:left w:w="0" w:type="dxa"/>
              <w:right w:w="113" w:type="dxa"/>
            </w:tcMar>
          </w:tcPr>
          <w:p w:rsidR="00F91F0E" w:rsidRPr="00E465A1" w:rsidRDefault="00F91F0E" w:rsidP="00F91F0E">
            <w:pPr>
              <w:pStyle w:val="Normaltabletext1stpararight"/>
              <w:rPr>
                <w:b/>
                <w:color w:val="262626" w:themeColor="text1" w:themeTint="D9"/>
                <w:lang w:eastAsia="en-AU"/>
              </w:rPr>
            </w:pPr>
            <w:r w:rsidRPr="00E465A1">
              <w:rPr>
                <w:b/>
                <w:color w:val="262626" w:themeColor="text1" w:themeTint="D9"/>
                <w:lang w:eastAsia="en-AU"/>
              </w:rPr>
              <w:t>2,780</w:t>
            </w:r>
          </w:p>
        </w:tc>
      </w:tr>
      <w:tr w:rsidR="00E465A1" w:rsidRPr="00E465A1" w:rsidTr="00AD6577">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b/>
                <w:color w:val="262626" w:themeColor="text1" w:themeTint="D9"/>
                <w:lang w:eastAsia="en-AU"/>
              </w:rPr>
            </w:pPr>
            <w:r w:rsidRPr="00E465A1">
              <w:rPr>
                <w:b/>
                <w:color w:val="262626" w:themeColor="text1" w:themeTint="D9"/>
                <w:lang w:eastAsia="en-AU"/>
              </w:rPr>
              <w:t>Statutory Payables</w:t>
            </w:r>
          </w:p>
        </w:tc>
        <w:tc>
          <w:tcPr>
            <w:tcW w:w="845"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32" w:type="dxa"/>
            <w:tcBorders>
              <w:top w:val="nil"/>
              <w:bottom w:val="nil"/>
            </w:tcBorders>
            <w:shd w:val="clear" w:color="auto" w:fill="FEE4B0"/>
            <w:noWrap/>
            <w:tcMar>
              <w:left w:w="0" w:type="dxa"/>
              <w:right w:w="113" w:type="dxa"/>
            </w:tcMar>
          </w:tcPr>
          <w:p w:rsidR="00F91F0E" w:rsidRPr="00E465A1" w:rsidRDefault="00F91F0E" w:rsidP="00F91F0E">
            <w:pPr>
              <w:pStyle w:val="Normaltabletext1stpararight"/>
              <w:rPr>
                <w:b/>
                <w:color w:val="262626" w:themeColor="text1" w:themeTint="D9"/>
                <w:lang w:eastAsia="en-AU"/>
              </w:rPr>
            </w:pPr>
          </w:p>
        </w:tc>
        <w:tc>
          <w:tcPr>
            <w:tcW w:w="222"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F91F0E" w:rsidRPr="00E465A1" w:rsidRDefault="00F91F0E" w:rsidP="00F91F0E">
            <w:pPr>
              <w:pStyle w:val="Normaltabletext1stpararight"/>
              <w:rPr>
                <w:b/>
                <w:color w:val="262626" w:themeColor="text1" w:themeTint="D9"/>
                <w:lang w:eastAsia="en-AU"/>
              </w:rPr>
            </w:pPr>
          </w:p>
        </w:tc>
      </w:tr>
      <w:tr w:rsidR="00E465A1" w:rsidRPr="00E465A1" w:rsidTr="00AD6577">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r w:rsidRPr="00E465A1">
              <w:rPr>
                <w:color w:val="262626" w:themeColor="text1" w:themeTint="D9"/>
                <w:lang w:eastAsia="en-AU"/>
              </w:rPr>
              <w:t>Payroll Tax</w:t>
            </w:r>
          </w:p>
        </w:tc>
        <w:tc>
          <w:tcPr>
            <w:tcW w:w="845"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2" w:type="dxa"/>
            <w:tcBorders>
              <w:top w:val="nil"/>
              <w:bottom w:val="nil"/>
            </w:tcBorders>
            <w:shd w:val="clear" w:color="auto" w:fill="FEE4B0"/>
            <w:noWrap/>
            <w:tcMar>
              <w:left w:w="0" w:type="dxa"/>
              <w:right w:w="113" w:type="dxa"/>
            </w:tcMar>
          </w:tcPr>
          <w:p w:rsidR="00F91F0E" w:rsidRPr="00E465A1" w:rsidRDefault="006C2FD2" w:rsidP="00502C3A">
            <w:pPr>
              <w:pStyle w:val="Normaltabletext1stpararight"/>
              <w:rPr>
                <w:color w:val="262626" w:themeColor="text1" w:themeTint="D9"/>
                <w:lang w:eastAsia="en-AU"/>
              </w:rPr>
            </w:pPr>
            <w:r w:rsidRPr="00E465A1">
              <w:rPr>
                <w:color w:val="262626" w:themeColor="text1" w:themeTint="D9"/>
                <w:lang w:eastAsia="en-AU"/>
              </w:rPr>
              <w:t>1</w:t>
            </w:r>
            <w:r w:rsidR="00502C3A" w:rsidRPr="00E465A1">
              <w:rPr>
                <w:color w:val="262626" w:themeColor="text1" w:themeTint="D9"/>
                <w:lang w:eastAsia="en-AU"/>
              </w:rPr>
              <w:t>41</w:t>
            </w:r>
          </w:p>
        </w:tc>
        <w:tc>
          <w:tcPr>
            <w:tcW w:w="222"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F91F0E" w:rsidRPr="00E465A1" w:rsidRDefault="00F91F0E" w:rsidP="00F91F0E">
            <w:pPr>
              <w:pStyle w:val="Normaltabletext1stpararight"/>
              <w:rPr>
                <w:color w:val="262626" w:themeColor="text1" w:themeTint="D9"/>
                <w:lang w:eastAsia="en-AU"/>
              </w:rPr>
            </w:pPr>
            <w:r w:rsidRPr="00E465A1">
              <w:rPr>
                <w:color w:val="262626" w:themeColor="text1" w:themeTint="D9"/>
                <w:lang w:eastAsia="en-AU"/>
              </w:rPr>
              <w:t>136</w:t>
            </w:r>
          </w:p>
        </w:tc>
      </w:tr>
      <w:tr w:rsidR="00E465A1" w:rsidRPr="00E465A1" w:rsidTr="00AD6577">
        <w:trPr>
          <w:trHeight w:val="20"/>
        </w:trPr>
        <w:tc>
          <w:tcPr>
            <w:tcW w:w="6745" w:type="dxa"/>
            <w:tcBorders>
              <w:top w:val="nil"/>
              <w:left w:val="nil"/>
              <w:bottom w:val="nil"/>
            </w:tcBorders>
            <w:noWrap/>
            <w:tcMar>
              <w:left w:w="0" w:type="dxa"/>
              <w:right w:w="0" w:type="dxa"/>
            </w:tcMar>
          </w:tcPr>
          <w:p w:rsidR="002E767D" w:rsidRPr="00E465A1" w:rsidRDefault="002E767D" w:rsidP="00F91F0E">
            <w:pPr>
              <w:pStyle w:val="Normaltabletextleft"/>
              <w:rPr>
                <w:color w:val="262626" w:themeColor="text1" w:themeTint="D9"/>
                <w:lang w:eastAsia="en-AU"/>
              </w:rPr>
            </w:pPr>
            <w:r w:rsidRPr="00E465A1">
              <w:rPr>
                <w:color w:val="262626" w:themeColor="text1" w:themeTint="D9"/>
                <w:lang w:eastAsia="en-AU"/>
              </w:rPr>
              <w:t>Superannuation</w:t>
            </w:r>
          </w:p>
        </w:tc>
        <w:tc>
          <w:tcPr>
            <w:tcW w:w="845" w:type="dxa"/>
            <w:tcBorders>
              <w:top w:val="nil"/>
              <w:bottom w:val="nil"/>
            </w:tcBorders>
            <w:noWrap/>
            <w:tcMar>
              <w:left w:w="0" w:type="dxa"/>
              <w:right w:w="0" w:type="dxa"/>
            </w:tcMar>
          </w:tcPr>
          <w:p w:rsidR="002E767D" w:rsidRPr="00E465A1" w:rsidRDefault="002E767D" w:rsidP="00F91F0E">
            <w:pPr>
              <w:pStyle w:val="Normaltabletextcentred"/>
              <w:rPr>
                <w:color w:val="262626" w:themeColor="text1" w:themeTint="D9"/>
                <w:lang w:eastAsia="en-AU"/>
              </w:rPr>
            </w:pPr>
          </w:p>
        </w:tc>
        <w:tc>
          <w:tcPr>
            <w:tcW w:w="1132" w:type="dxa"/>
            <w:tcBorders>
              <w:top w:val="nil"/>
              <w:bottom w:val="nil"/>
            </w:tcBorders>
            <w:shd w:val="clear" w:color="auto" w:fill="FEE4B0"/>
            <w:noWrap/>
            <w:tcMar>
              <w:left w:w="0" w:type="dxa"/>
              <w:right w:w="113" w:type="dxa"/>
            </w:tcMar>
          </w:tcPr>
          <w:p w:rsidR="002E767D" w:rsidRPr="00E465A1" w:rsidRDefault="00502C3A" w:rsidP="00F91F0E">
            <w:pPr>
              <w:pStyle w:val="Normaltabletext1stpararight"/>
              <w:rPr>
                <w:color w:val="262626" w:themeColor="text1" w:themeTint="D9"/>
                <w:lang w:eastAsia="en-AU"/>
              </w:rPr>
            </w:pPr>
            <w:r w:rsidRPr="00E465A1">
              <w:rPr>
                <w:color w:val="262626" w:themeColor="text1" w:themeTint="D9"/>
                <w:lang w:eastAsia="en-AU"/>
              </w:rPr>
              <w:t>54</w:t>
            </w:r>
          </w:p>
        </w:tc>
        <w:tc>
          <w:tcPr>
            <w:tcW w:w="222" w:type="dxa"/>
            <w:tcBorders>
              <w:top w:val="nil"/>
              <w:bottom w:val="nil"/>
            </w:tcBorders>
            <w:noWrap/>
            <w:tcMar>
              <w:left w:w="0" w:type="dxa"/>
              <w:right w:w="0" w:type="dxa"/>
            </w:tcMar>
          </w:tcPr>
          <w:p w:rsidR="002E767D" w:rsidRPr="00E465A1" w:rsidRDefault="002E767D" w:rsidP="00F91F0E">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2E767D" w:rsidRPr="00E465A1" w:rsidRDefault="002E767D" w:rsidP="00F91F0E">
            <w:pPr>
              <w:pStyle w:val="Normaltabletext1stpararight"/>
              <w:rPr>
                <w:color w:val="262626" w:themeColor="text1" w:themeTint="D9"/>
                <w:lang w:eastAsia="en-AU"/>
              </w:rPr>
            </w:pPr>
            <w:r w:rsidRPr="00E465A1">
              <w:rPr>
                <w:rFonts w:ascii="Arial" w:hAnsi="Arial"/>
                <w:color w:val="262626" w:themeColor="text1" w:themeTint="D9"/>
                <w:sz w:val="18"/>
                <w:lang w:eastAsia="en-AU"/>
              </w:rPr>
              <w:t>–</w:t>
            </w:r>
          </w:p>
        </w:tc>
      </w:tr>
      <w:tr w:rsidR="00E465A1" w:rsidRPr="00E465A1" w:rsidTr="00AD6577">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proofErr w:type="spellStart"/>
            <w:r w:rsidRPr="00E465A1">
              <w:rPr>
                <w:color w:val="262626" w:themeColor="text1" w:themeTint="D9"/>
                <w:lang w:eastAsia="en-AU"/>
              </w:rPr>
              <w:t>FBT</w:t>
            </w:r>
            <w:proofErr w:type="spellEnd"/>
            <w:r w:rsidRPr="00E465A1">
              <w:rPr>
                <w:color w:val="262626" w:themeColor="text1" w:themeTint="D9"/>
                <w:lang w:eastAsia="en-AU"/>
              </w:rPr>
              <w:t xml:space="preserve"> and Pay-as-you-go </w:t>
            </w:r>
          </w:p>
        </w:tc>
        <w:tc>
          <w:tcPr>
            <w:tcW w:w="845"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2" w:type="dxa"/>
            <w:tcBorders>
              <w:top w:val="nil"/>
              <w:bottom w:val="nil"/>
            </w:tcBorders>
            <w:shd w:val="clear" w:color="auto" w:fill="FEE4B0"/>
            <w:noWrap/>
            <w:tcMar>
              <w:left w:w="0" w:type="dxa"/>
              <w:right w:w="113" w:type="dxa"/>
            </w:tcMar>
          </w:tcPr>
          <w:p w:rsidR="00F91F0E" w:rsidRPr="00E465A1" w:rsidRDefault="00502C3A" w:rsidP="00F91F0E">
            <w:pPr>
              <w:pStyle w:val="Normaltabletext1stpararight"/>
              <w:rPr>
                <w:color w:val="262626" w:themeColor="text1" w:themeTint="D9"/>
                <w:lang w:eastAsia="en-AU"/>
              </w:rPr>
            </w:pPr>
            <w:r w:rsidRPr="00E465A1">
              <w:rPr>
                <w:color w:val="262626" w:themeColor="text1" w:themeTint="D9"/>
                <w:lang w:eastAsia="en-AU"/>
              </w:rPr>
              <w:t>45</w:t>
            </w:r>
          </w:p>
        </w:tc>
        <w:tc>
          <w:tcPr>
            <w:tcW w:w="222"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F91F0E" w:rsidRPr="00E465A1" w:rsidRDefault="00F91F0E" w:rsidP="00F91F0E">
            <w:pPr>
              <w:pStyle w:val="Normaltabletext1stpararight"/>
              <w:rPr>
                <w:color w:val="262626" w:themeColor="text1" w:themeTint="D9"/>
                <w:lang w:eastAsia="en-AU"/>
              </w:rPr>
            </w:pPr>
            <w:r w:rsidRPr="00E465A1">
              <w:rPr>
                <w:color w:val="262626" w:themeColor="text1" w:themeTint="D9"/>
                <w:lang w:eastAsia="en-AU"/>
              </w:rPr>
              <w:t>55</w:t>
            </w:r>
          </w:p>
        </w:tc>
      </w:tr>
      <w:tr w:rsidR="00E465A1" w:rsidRPr="00E465A1" w:rsidTr="00AD6577">
        <w:tblPrEx>
          <w:tblCellMar>
            <w:left w:w="108" w:type="dxa"/>
          </w:tblCellMar>
        </w:tblPrEx>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b/>
                <w:color w:val="262626" w:themeColor="text1" w:themeTint="D9"/>
                <w:lang w:eastAsia="en-AU"/>
              </w:rPr>
            </w:pPr>
          </w:p>
        </w:tc>
        <w:tc>
          <w:tcPr>
            <w:tcW w:w="845"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32" w:type="dxa"/>
            <w:tcBorders>
              <w:top w:val="single" w:sz="4" w:space="0" w:color="auto"/>
              <w:bottom w:val="nil"/>
            </w:tcBorders>
            <w:shd w:val="clear" w:color="auto" w:fill="FEE4B0"/>
            <w:noWrap/>
            <w:tcMar>
              <w:left w:w="0" w:type="dxa"/>
              <w:right w:w="113" w:type="dxa"/>
            </w:tcMar>
          </w:tcPr>
          <w:p w:rsidR="00F91F0E" w:rsidRPr="00E465A1" w:rsidRDefault="00502C3A" w:rsidP="002E767D">
            <w:pPr>
              <w:pStyle w:val="Normaltabletext1stpararight"/>
              <w:rPr>
                <w:b/>
                <w:color w:val="262626" w:themeColor="text1" w:themeTint="D9"/>
                <w:lang w:eastAsia="en-AU"/>
              </w:rPr>
            </w:pPr>
            <w:r w:rsidRPr="00E465A1">
              <w:rPr>
                <w:b/>
                <w:color w:val="262626" w:themeColor="text1" w:themeTint="D9"/>
                <w:lang w:eastAsia="en-AU"/>
              </w:rPr>
              <w:t>240</w:t>
            </w:r>
          </w:p>
        </w:tc>
        <w:tc>
          <w:tcPr>
            <w:tcW w:w="222"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40" w:type="dxa"/>
            <w:tcBorders>
              <w:top w:val="single" w:sz="4" w:space="0" w:color="auto"/>
              <w:bottom w:val="nil"/>
              <w:right w:val="nil"/>
            </w:tcBorders>
            <w:shd w:val="clear" w:color="auto" w:fill="FFFFFF" w:themeFill="background1"/>
            <w:noWrap/>
            <w:tcMar>
              <w:left w:w="0" w:type="dxa"/>
              <w:right w:w="113" w:type="dxa"/>
            </w:tcMar>
          </w:tcPr>
          <w:p w:rsidR="00F91F0E" w:rsidRPr="00E465A1" w:rsidRDefault="00F91F0E" w:rsidP="00F91F0E">
            <w:pPr>
              <w:pStyle w:val="Normaltabletext1stpararight"/>
              <w:rPr>
                <w:b/>
                <w:color w:val="262626" w:themeColor="text1" w:themeTint="D9"/>
                <w:lang w:eastAsia="en-AU"/>
              </w:rPr>
            </w:pPr>
            <w:r w:rsidRPr="00E465A1">
              <w:rPr>
                <w:b/>
                <w:color w:val="262626" w:themeColor="text1" w:themeTint="D9"/>
                <w:lang w:eastAsia="en-AU"/>
              </w:rPr>
              <w:t>191</w:t>
            </w:r>
          </w:p>
        </w:tc>
      </w:tr>
      <w:tr w:rsidR="00E465A1" w:rsidRPr="00E465A1" w:rsidTr="00AD6577">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p>
        </w:tc>
        <w:tc>
          <w:tcPr>
            <w:tcW w:w="845"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2" w:type="dxa"/>
            <w:tcBorders>
              <w:top w:val="nil"/>
              <w:bottom w:val="single" w:sz="4" w:space="0" w:color="auto"/>
            </w:tcBorders>
            <w:shd w:val="clear" w:color="auto" w:fill="FEE4B0"/>
            <w:noWrap/>
            <w:tcMar>
              <w:left w:w="0" w:type="dxa"/>
              <w:right w:w="113" w:type="dxa"/>
            </w:tcMar>
          </w:tcPr>
          <w:p w:rsidR="00F91F0E" w:rsidRPr="00E465A1" w:rsidRDefault="00F91F0E" w:rsidP="00F91F0E">
            <w:pPr>
              <w:pStyle w:val="Normaltabletext1stpararight"/>
              <w:rPr>
                <w:color w:val="262626" w:themeColor="text1" w:themeTint="D9"/>
                <w:lang w:eastAsia="en-AU"/>
              </w:rPr>
            </w:pPr>
          </w:p>
        </w:tc>
        <w:tc>
          <w:tcPr>
            <w:tcW w:w="222"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40" w:type="dxa"/>
            <w:tcBorders>
              <w:top w:val="nil"/>
              <w:bottom w:val="single" w:sz="4" w:space="0" w:color="auto"/>
              <w:right w:val="nil"/>
            </w:tcBorders>
            <w:shd w:val="clear" w:color="auto" w:fill="FFFFFF" w:themeFill="background1"/>
            <w:noWrap/>
            <w:tcMar>
              <w:left w:w="0" w:type="dxa"/>
              <w:right w:w="113" w:type="dxa"/>
            </w:tcMar>
          </w:tcPr>
          <w:p w:rsidR="00F91F0E" w:rsidRPr="00E465A1" w:rsidRDefault="00F91F0E" w:rsidP="00F91F0E">
            <w:pPr>
              <w:pStyle w:val="Normaltabletext1stpararight"/>
              <w:rPr>
                <w:color w:val="262626" w:themeColor="text1" w:themeTint="D9"/>
                <w:lang w:eastAsia="en-AU"/>
              </w:rPr>
            </w:pPr>
          </w:p>
        </w:tc>
      </w:tr>
      <w:tr w:rsidR="00E465A1" w:rsidRPr="00E465A1" w:rsidTr="00AD6577">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b/>
                <w:color w:val="262626" w:themeColor="text1" w:themeTint="D9"/>
                <w:lang w:eastAsia="en-AU"/>
              </w:rPr>
            </w:pPr>
            <w:r w:rsidRPr="00E465A1">
              <w:rPr>
                <w:b/>
                <w:color w:val="262626" w:themeColor="text1" w:themeTint="D9"/>
                <w:lang w:eastAsia="en-AU"/>
              </w:rPr>
              <w:t>Total</w:t>
            </w:r>
          </w:p>
        </w:tc>
        <w:tc>
          <w:tcPr>
            <w:tcW w:w="845"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32" w:type="dxa"/>
            <w:tcBorders>
              <w:top w:val="single" w:sz="4" w:space="0" w:color="auto"/>
              <w:bottom w:val="double" w:sz="4" w:space="0" w:color="auto"/>
            </w:tcBorders>
            <w:shd w:val="clear" w:color="auto" w:fill="FEE4B0"/>
            <w:noWrap/>
            <w:tcMar>
              <w:left w:w="0" w:type="dxa"/>
              <w:right w:w="113" w:type="dxa"/>
            </w:tcMar>
          </w:tcPr>
          <w:p w:rsidR="00F91F0E" w:rsidRPr="00E465A1" w:rsidRDefault="00502C3A" w:rsidP="00B8507A">
            <w:pPr>
              <w:pStyle w:val="Normaltabletext1stpararight"/>
              <w:rPr>
                <w:b/>
                <w:color w:val="262626" w:themeColor="text1" w:themeTint="D9"/>
                <w:lang w:eastAsia="en-AU"/>
              </w:rPr>
            </w:pPr>
            <w:r w:rsidRPr="00E465A1">
              <w:rPr>
                <w:b/>
                <w:color w:val="262626" w:themeColor="text1" w:themeTint="D9"/>
                <w:lang w:eastAsia="en-AU"/>
              </w:rPr>
              <w:t>4,8</w:t>
            </w:r>
            <w:r w:rsidR="00B8507A" w:rsidRPr="00E465A1">
              <w:rPr>
                <w:b/>
                <w:color w:val="262626" w:themeColor="text1" w:themeTint="D9"/>
                <w:lang w:eastAsia="en-AU"/>
              </w:rPr>
              <w:t>69</w:t>
            </w:r>
          </w:p>
        </w:tc>
        <w:tc>
          <w:tcPr>
            <w:tcW w:w="222"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40" w:type="dxa"/>
            <w:tcBorders>
              <w:top w:val="single" w:sz="4" w:space="0" w:color="auto"/>
              <w:bottom w:val="double" w:sz="4" w:space="0" w:color="auto"/>
              <w:right w:val="nil"/>
            </w:tcBorders>
            <w:shd w:val="clear" w:color="auto" w:fill="FFFFFF" w:themeFill="background1"/>
            <w:noWrap/>
            <w:tcMar>
              <w:left w:w="0" w:type="dxa"/>
              <w:right w:w="113" w:type="dxa"/>
            </w:tcMar>
          </w:tcPr>
          <w:p w:rsidR="00F91F0E" w:rsidRPr="00E465A1" w:rsidRDefault="00F91F0E" w:rsidP="00F91F0E">
            <w:pPr>
              <w:pStyle w:val="Normaltabletext1stpararight"/>
              <w:rPr>
                <w:b/>
                <w:color w:val="262626" w:themeColor="text1" w:themeTint="D9"/>
                <w:lang w:eastAsia="en-AU"/>
              </w:rPr>
            </w:pPr>
            <w:r w:rsidRPr="00E465A1">
              <w:rPr>
                <w:b/>
                <w:color w:val="262626" w:themeColor="text1" w:themeTint="D9"/>
                <w:lang w:eastAsia="en-AU"/>
              </w:rPr>
              <w:t>2,971</w:t>
            </w:r>
          </w:p>
        </w:tc>
      </w:tr>
      <w:tr w:rsidR="00E465A1" w:rsidRPr="00E465A1" w:rsidTr="00F91F0E">
        <w:trPr>
          <w:trHeight w:val="20"/>
        </w:trPr>
        <w:tc>
          <w:tcPr>
            <w:tcW w:w="6745"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p>
        </w:tc>
        <w:tc>
          <w:tcPr>
            <w:tcW w:w="845" w:type="dxa"/>
            <w:tcBorders>
              <w:top w:val="nil"/>
              <w:bottom w:val="nil"/>
            </w:tcBorders>
            <w:noWrap/>
            <w:tcMar>
              <w:left w:w="0" w:type="dxa"/>
              <w:right w:w="0" w:type="dxa"/>
            </w:tcMar>
          </w:tcPr>
          <w:p w:rsidR="00F91F0E" w:rsidRPr="00E465A1" w:rsidRDefault="00F91F0E" w:rsidP="00F91F0E">
            <w:pPr>
              <w:pStyle w:val="Normaltabletextleft"/>
              <w:rPr>
                <w:b/>
                <w:color w:val="262626" w:themeColor="text1" w:themeTint="D9"/>
                <w:lang w:eastAsia="en-AU"/>
              </w:rPr>
            </w:pPr>
          </w:p>
        </w:tc>
        <w:tc>
          <w:tcPr>
            <w:tcW w:w="1132" w:type="dxa"/>
            <w:tcBorders>
              <w:top w:val="nil"/>
              <w:bottom w:val="nil"/>
            </w:tcBorders>
            <w:shd w:val="clear" w:color="auto" w:fill="auto"/>
            <w:noWrap/>
            <w:tcMar>
              <w:left w:w="0" w:type="dxa"/>
              <w:right w:w="113" w:type="dxa"/>
            </w:tcMar>
          </w:tcPr>
          <w:p w:rsidR="00F91F0E" w:rsidRPr="00E465A1" w:rsidRDefault="00F91F0E" w:rsidP="00F91F0E">
            <w:pPr>
              <w:pStyle w:val="Normaltabletextleft"/>
              <w:rPr>
                <w:color w:val="262626" w:themeColor="text1" w:themeTint="D9"/>
                <w:lang w:eastAsia="en-AU"/>
              </w:rPr>
            </w:pPr>
          </w:p>
        </w:tc>
        <w:tc>
          <w:tcPr>
            <w:tcW w:w="222" w:type="dxa"/>
            <w:tcBorders>
              <w:top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p>
        </w:tc>
        <w:tc>
          <w:tcPr>
            <w:tcW w:w="1140" w:type="dxa"/>
            <w:tcBorders>
              <w:top w:val="nil"/>
              <w:bottom w:val="nil"/>
              <w:right w:val="nil"/>
            </w:tcBorders>
            <w:noWrap/>
            <w:tcMar>
              <w:left w:w="0" w:type="dxa"/>
              <w:right w:w="113" w:type="dxa"/>
            </w:tcMar>
          </w:tcPr>
          <w:p w:rsidR="00F91F0E" w:rsidRPr="00E465A1" w:rsidRDefault="00F91F0E" w:rsidP="00F91F0E">
            <w:pPr>
              <w:pStyle w:val="Normaltabletextleft"/>
              <w:rPr>
                <w:color w:val="262626" w:themeColor="text1" w:themeTint="D9"/>
                <w:lang w:eastAsia="en-AU"/>
              </w:rPr>
            </w:pPr>
          </w:p>
        </w:tc>
      </w:tr>
    </w:tbl>
    <w:p w:rsidR="00E13787" w:rsidRPr="00E465A1" w:rsidRDefault="008F5B2D" w:rsidP="008F5B2D">
      <w:pPr>
        <w:pStyle w:val="Noteswithhangingindent"/>
        <w:rPr>
          <w:color w:val="262626" w:themeColor="text1" w:themeTint="D9"/>
        </w:rPr>
      </w:pPr>
      <w:r w:rsidRPr="00E465A1">
        <w:rPr>
          <w:color w:val="262626" w:themeColor="text1" w:themeTint="D9"/>
          <w:vertAlign w:val="superscript"/>
        </w:rPr>
        <w:t>1</w:t>
      </w:r>
      <w:r w:rsidRPr="00E465A1">
        <w:rPr>
          <w:color w:val="262626" w:themeColor="text1" w:themeTint="D9"/>
        </w:rPr>
        <w:tab/>
      </w:r>
      <w:r w:rsidR="00DC5E7E" w:rsidRPr="00E465A1">
        <w:rPr>
          <w:color w:val="262626" w:themeColor="text1" w:themeTint="D9"/>
        </w:rPr>
        <w:t>R</w:t>
      </w:r>
      <w:r w:rsidR="00E13787" w:rsidRPr="00E465A1">
        <w:rPr>
          <w:color w:val="262626" w:themeColor="text1" w:themeTint="D9"/>
        </w:rPr>
        <w:t xml:space="preserve">eimbursement of staff salaries and related on-costs for police seconded to the </w:t>
      </w:r>
      <w:r w:rsidR="00EC2665" w:rsidRPr="00E465A1">
        <w:rPr>
          <w:color w:val="262626" w:themeColor="text1" w:themeTint="D9"/>
        </w:rPr>
        <w:t>CCC</w:t>
      </w:r>
      <w:r w:rsidR="00E13787" w:rsidRPr="00E465A1">
        <w:rPr>
          <w:color w:val="262626" w:themeColor="text1" w:themeTint="D9"/>
        </w:rPr>
        <w:t>.</w:t>
      </w:r>
    </w:p>
    <w:p w:rsidR="00136693" w:rsidRPr="00E465A1" w:rsidRDefault="00136693" w:rsidP="00E13787">
      <w:pPr>
        <w:pStyle w:val="Noteswithhangingindent"/>
        <w:rPr>
          <w:color w:val="262626" w:themeColor="text1" w:themeTint="D9"/>
        </w:rPr>
      </w:pPr>
    </w:p>
    <w:p w:rsidR="00FA60B1" w:rsidRPr="00E465A1" w:rsidRDefault="00FA60B1" w:rsidP="00E13787">
      <w:pPr>
        <w:pStyle w:val="Noteswithhangingindent"/>
        <w:rPr>
          <w:color w:val="262626" w:themeColor="text1" w:themeTint="D9"/>
        </w:rPr>
      </w:pPr>
    </w:p>
    <w:p w:rsidR="00E13787" w:rsidRPr="00E465A1" w:rsidRDefault="00E13787" w:rsidP="00E13787">
      <w:pPr>
        <w:pStyle w:val="Normal115pttext"/>
        <w:rPr>
          <w:color w:val="262626" w:themeColor="text1" w:themeTint="D9"/>
        </w:rPr>
      </w:pPr>
      <w:r w:rsidRPr="00E465A1">
        <w:rPr>
          <w:color w:val="262626" w:themeColor="text1" w:themeTint="D9"/>
        </w:rPr>
        <w:t>Note 1</w:t>
      </w:r>
      <w:r w:rsidR="0014516F" w:rsidRPr="00E465A1">
        <w:rPr>
          <w:color w:val="262626" w:themeColor="text1" w:themeTint="D9"/>
        </w:rPr>
        <w:t>2</w:t>
      </w:r>
      <w:r w:rsidRPr="00E465A1">
        <w:rPr>
          <w:color w:val="262626" w:themeColor="text1" w:themeTint="D9"/>
        </w:rPr>
        <w:t>:  Lease Liabilities</w:t>
      </w:r>
    </w:p>
    <w:p w:rsidR="00E13787" w:rsidRPr="00E465A1" w:rsidRDefault="00E13787" w:rsidP="008F5B2D">
      <w:pPr>
        <w:pStyle w:val="Normal1stpara"/>
        <w:rPr>
          <w:color w:val="262626" w:themeColor="text1" w:themeTint="D9"/>
        </w:rPr>
      </w:pPr>
    </w:p>
    <w:tbl>
      <w:tblPr>
        <w:tblStyle w:val="TableGrid"/>
        <w:tblW w:w="0" w:type="auto"/>
        <w:tblCellMar>
          <w:top w:w="113" w:type="dxa"/>
          <w:bottom w:w="113" w:type="dxa"/>
        </w:tblCellMar>
        <w:tblLook w:val="04A0" w:firstRow="1" w:lastRow="0" w:firstColumn="1" w:lastColumn="0" w:noHBand="0" w:noVBand="1"/>
      </w:tblPr>
      <w:tblGrid>
        <w:gridCol w:w="10196"/>
      </w:tblGrid>
      <w:tr w:rsidR="00E13787" w:rsidRPr="00E465A1" w:rsidTr="008F5B2D">
        <w:tc>
          <w:tcPr>
            <w:tcW w:w="10201" w:type="dxa"/>
          </w:tcPr>
          <w:p w:rsidR="00E13787" w:rsidRPr="00E465A1" w:rsidRDefault="00E13787" w:rsidP="00F618A2">
            <w:pPr>
              <w:pStyle w:val="Policyheading"/>
              <w:rPr>
                <w:color w:val="262626" w:themeColor="text1" w:themeTint="D9"/>
              </w:rPr>
            </w:pPr>
            <w:r w:rsidRPr="00E465A1">
              <w:rPr>
                <w:color w:val="262626" w:themeColor="text1" w:themeTint="D9"/>
              </w:rPr>
              <w:t>Accounting Policy:</w:t>
            </w:r>
          </w:p>
          <w:p w:rsidR="00FA60B1" w:rsidRPr="00E465A1" w:rsidRDefault="00FA60B1" w:rsidP="00F618A2">
            <w:pPr>
              <w:pStyle w:val="Policyheading"/>
              <w:rPr>
                <w:color w:val="262626" w:themeColor="text1" w:themeTint="D9"/>
              </w:rPr>
            </w:pPr>
          </w:p>
          <w:p w:rsidR="00E13787" w:rsidRPr="00E465A1" w:rsidRDefault="00E13787" w:rsidP="00E13787">
            <w:pPr>
              <w:pStyle w:val="Policy1stpara"/>
              <w:rPr>
                <w:color w:val="262626" w:themeColor="text1" w:themeTint="D9"/>
              </w:rPr>
            </w:pPr>
            <w:r w:rsidRPr="00E465A1">
              <w:rPr>
                <w:b/>
                <w:i/>
                <w:color w:val="262626" w:themeColor="text1" w:themeTint="D9"/>
              </w:rPr>
              <w:t xml:space="preserve">Lease recognition </w:t>
            </w:r>
            <w:r w:rsidRPr="00E465A1">
              <w:rPr>
                <w:color w:val="262626" w:themeColor="text1" w:themeTint="D9"/>
                <w:lang w:eastAsia="en-AU"/>
              </w:rPr>
              <w:t xml:space="preserve">– A distinction is made between finance </w:t>
            </w:r>
            <w:r w:rsidRPr="00E465A1">
              <w:rPr>
                <w:color w:val="262626" w:themeColor="text1" w:themeTint="D9"/>
              </w:rPr>
              <w:t>and</w:t>
            </w:r>
            <w:r w:rsidRPr="00E465A1">
              <w:rPr>
                <w:color w:val="262626" w:themeColor="text1" w:themeTint="D9"/>
                <w:lang w:eastAsia="en-AU"/>
              </w:rPr>
              <w:t xml:space="preserve"> operating leases. </w:t>
            </w:r>
            <w:r w:rsidRPr="00E465A1">
              <w:rPr>
                <w:color w:val="262626" w:themeColor="text1" w:themeTint="D9"/>
              </w:rPr>
              <w:t xml:space="preserve">Finance leases effectively transfer all risks and benefits of ownership to the lessee. Under an operating lease, the lessor retains substantially all the risks and benefits. The </w:t>
            </w:r>
            <w:r w:rsidR="00EC2665" w:rsidRPr="00E465A1">
              <w:rPr>
                <w:color w:val="262626" w:themeColor="text1" w:themeTint="D9"/>
              </w:rPr>
              <w:t>CCC</w:t>
            </w:r>
            <w:r w:rsidRPr="00E465A1">
              <w:rPr>
                <w:color w:val="262626" w:themeColor="text1" w:themeTint="D9"/>
              </w:rPr>
              <w:t xml:space="preserve"> has operating leases for office accommodation and no finance leases.</w:t>
            </w:r>
          </w:p>
          <w:p w:rsidR="00FA60B1" w:rsidRPr="00E465A1" w:rsidRDefault="00FA60B1" w:rsidP="00E13787">
            <w:pPr>
              <w:pStyle w:val="Policy1stpara"/>
              <w:rPr>
                <w:color w:val="262626" w:themeColor="text1" w:themeTint="D9"/>
              </w:rPr>
            </w:pPr>
          </w:p>
          <w:p w:rsidR="00E13787" w:rsidRPr="00E465A1" w:rsidRDefault="00E13787" w:rsidP="00E13787">
            <w:pPr>
              <w:pStyle w:val="Policy1stpara"/>
              <w:rPr>
                <w:color w:val="262626" w:themeColor="text1" w:themeTint="D9"/>
              </w:rPr>
            </w:pPr>
            <w:r w:rsidRPr="00E465A1">
              <w:rPr>
                <w:b/>
                <w:i/>
                <w:color w:val="262626" w:themeColor="text1" w:themeTint="D9"/>
                <w:lang w:eastAsia="en-AU"/>
              </w:rPr>
              <w:t>Lease measurement</w:t>
            </w:r>
            <w:r w:rsidRPr="00E465A1">
              <w:rPr>
                <w:color w:val="262626" w:themeColor="text1" w:themeTint="D9"/>
                <w:lang w:eastAsia="en-AU"/>
              </w:rPr>
              <w:t xml:space="preserve"> – Operating lease payments are representative of the pattern of benefits derived from the leased assets and are expensed in the periods in which they are incurred using a straight line basis over the period of the lease even if the payments are not on that basis. Differences between lease expense and payments made are recorded as a deferred lease liability</w:t>
            </w:r>
            <w:r w:rsidR="009A585E" w:rsidRPr="00E465A1">
              <w:rPr>
                <w:color w:val="262626" w:themeColor="text1" w:themeTint="D9"/>
                <w:lang w:eastAsia="en-AU"/>
              </w:rPr>
              <w:t>,</w:t>
            </w:r>
            <w:r w:rsidRPr="00E465A1">
              <w:rPr>
                <w:color w:val="262626" w:themeColor="text1" w:themeTint="D9"/>
                <w:lang w:eastAsia="en-AU"/>
              </w:rPr>
              <w:t xml:space="preserve"> which is</w:t>
            </w:r>
            <w:r w:rsidRPr="00E465A1">
              <w:rPr>
                <w:color w:val="262626" w:themeColor="text1" w:themeTint="D9"/>
              </w:rPr>
              <w:t xml:space="preserve"> extinguished upon expiration of the lease. </w:t>
            </w:r>
          </w:p>
          <w:p w:rsidR="00E13787" w:rsidRPr="00E465A1" w:rsidRDefault="00E13787" w:rsidP="00E4277C">
            <w:pPr>
              <w:pStyle w:val="Policyfollowingparas"/>
              <w:rPr>
                <w:color w:val="262626" w:themeColor="text1" w:themeTint="D9"/>
              </w:rPr>
            </w:pPr>
            <w:r w:rsidRPr="00E465A1">
              <w:rPr>
                <w:color w:val="262626" w:themeColor="text1" w:themeTint="D9"/>
              </w:rPr>
              <w:t>Incentives received on entering into operating leases</w:t>
            </w:r>
            <w:r w:rsidR="00A62998" w:rsidRPr="00E465A1">
              <w:rPr>
                <w:color w:val="262626" w:themeColor="text1" w:themeTint="D9"/>
              </w:rPr>
              <w:t xml:space="preserve"> </w:t>
            </w:r>
            <w:r w:rsidRPr="00E465A1">
              <w:rPr>
                <w:color w:val="262626" w:themeColor="text1" w:themeTint="D9"/>
              </w:rPr>
              <w:t>are recognised as a liability. The liability is progressively extinguished through a reduction in rental expense over the lease term on a straight line basis</w:t>
            </w:r>
          </w:p>
          <w:p w:rsidR="00FA60B1" w:rsidRPr="00E465A1" w:rsidRDefault="00FA60B1" w:rsidP="00E4277C">
            <w:pPr>
              <w:pStyle w:val="Policyfollowingparas"/>
              <w:rPr>
                <w:color w:val="262626" w:themeColor="text1" w:themeTint="D9"/>
              </w:rPr>
            </w:pPr>
          </w:p>
        </w:tc>
      </w:tr>
    </w:tbl>
    <w:p w:rsidR="00E13787" w:rsidRPr="00E465A1" w:rsidRDefault="00E13787" w:rsidP="00E13787">
      <w:pPr>
        <w:pStyle w:val="Normal1stpara"/>
        <w:rPr>
          <w:color w:val="262626" w:themeColor="text1" w:themeTint="D9"/>
        </w:rPr>
      </w:pPr>
    </w:p>
    <w:p w:rsidR="00FA60B1" w:rsidRPr="00E465A1" w:rsidRDefault="00FA60B1" w:rsidP="00E13787">
      <w:pPr>
        <w:pStyle w:val="Normal1stpara"/>
        <w:rPr>
          <w:color w:val="262626" w:themeColor="text1" w:themeTint="D9"/>
        </w:rPr>
      </w:pPr>
    </w:p>
    <w:p w:rsidR="00FA60B1" w:rsidRPr="00E465A1" w:rsidRDefault="00FA60B1" w:rsidP="00E13787">
      <w:pPr>
        <w:pStyle w:val="Normal1stpara"/>
        <w:rPr>
          <w:color w:val="262626" w:themeColor="text1" w:themeTint="D9"/>
        </w:rPr>
      </w:pPr>
    </w:p>
    <w:p w:rsidR="00FA60B1" w:rsidRPr="00E465A1" w:rsidRDefault="00FA60B1" w:rsidP="00ED256A">
      <w:pPr>
        <w:pStyle w:val="Normal115pttext"/>
        <w:rPr>
          <w:color w:val="262626" w:themeColor="text1" w:themeTint="D9"/>
        </w:rPr>
      </w:pPr>
      <w:r w:rsidRPr="00E465A1">
        <w:rPr>
          <w:color w:val="262626" w:themeColor="text1" w:themeTint="D9"/>
        </w:rPr>
        <w:lastRenderedPageBreak/>
        <w:t>Note 1</w:t>
      </w:r>
      <w:r w:rsidR="0014516F" w:rsidRPr="00E465A1">
        <w:rPr>
          <w:color w:val="262626" w:themeColor="text1" w:themeTint="D9"/>
        </w:rPr>
        <w:t>2</w:t>
      </w:r>
      <w:r w:rsidRPr="00E465A1">
        <w:rPr>
          <w:color w:val="262626" w:themeColor="text1" w:themeTint="D9"/>
        </w:rPr>
        <w:t>:  Lease Liabilities (cont’d)</w:t>
      </w:r>
    </w:p>
    <w:tbl>
      <w:tblPr>
        <w:tblW w:w="10091" w:type="dxa"/>
        <w:tblBorders>
          <w:top w:val="double" w:sz="4" w:space="0" w:color="auto"/>
          <w:left w:val="double" w:sz="4" w:space="0" w:color="auto"/>
          <w:bottom w:val="double" w:sz="4" w:space="0" w:color="auto"/>
          <w:right w:val="double" w:sz="4" w:space="0" w:color="auto"/>
        </w:tblBorders>
        <w:tblLayout w:type="fixed"/>
        <w:tblCellMar>
          <w:left w:w="0" w:type="dxa"/>
          <w:bottom w:w="11" w:type="dxa"/>
          <w:right w:w="0" w:type="dxa"/>
        </w:tblCellMar>
        <w:tblLook w:val="0000" w:firstRow="0" w:lastRow="0" w:firstColumn="0" w:lastColumn="0" w:noHBand="0" w:noVBand="0"/>
      </w:tblPr>
      <w:tblGrid>
        <w:gridCol w:w="6803"/>
        <w:gridCol w:w="850"/>
        <w:gridCol w:w="1134"/>
        <w:gridCol w:w="170"/>
        <w:gridCol w:w="1134"/>
      </w:tblGrid>
      <w:tr w:rsidR="00E465A1" w:rsidRPr="00E465A1" w:rsidTr="00AD6577">
        <w:trPr>
          <w:trHeight w:val="20"/>
        </w:trPr>
        <w:tc>
          <w:tcPr>
            <w:tcW w:w="6803" w:type="dxa"/>
            <w:tcBorders>
              <w:top w:val="nil"/>
              <w:left w:val="nil"/>
              <w:bottom w:val="nil"/>
            </w:tcBorders>
            <w:noWrap/>
            <w:tcMar>
              <w:left w:w="0" w:type="dxa"/>
              <w:right w:w="0" w:type="dxa"/>
            </w:tcMar>
          </w:tcPr>
          <w:p w:rsidR="00FA60B1" w:rsidRPr="00E465A1" w:rsidRDefault="00FA60B1" w:rsidP="004C2027">
            <w:pPr>
              <w:pStyle w:val="Normaltabletextleft"/>
              <w:rPr>
                <w:b/>
                <w:color w:val="262626" w:themeColor="text1" w:themeTint="D9"/>
                <w:lang w:eastAsia="en-AU"/>
              </w:rPr>
            </w:pPr>
          </w:p>
        </w:tc>
        <w:tc>
          <w:tcPr>
            <w:tcW w:w="850" w:type="dxa"/>
            <w:tcBorders>
              <w:top w:val="nil"/>
              <w:bottom w:val="nil"/>
            </w:tcBorders>
            <w:noWrap/>
            <w:tcMar>
              <w:left w:w="0" w:type="dxa"/>
              <w:right w:w="0" w:type="dxa"/>
            </w:tcMar>
          </w:tcPr>
          <w:p w:rsidR="00FA60B1" w:rsidRPr="00E465A1" w:rsidRDefault="00FA60B1" w:rsidP="004C2027">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FA60B1" w:rsidRPr="00E465A1" w:rsidRDefault="00FA60B1" w:rsidP="00FA60B1">
            <w:pPr>
              <w:pStyle w:val="Normaltabletext1stpararight"/>
              <w:rPr>
                <w:b/>
                <w:color w:val="262626" w:themeColor="text1" w:themeTint="D9"/>
                <w:lang w:eastAsia="en-AU"/>
              </w:rPr>
            </w:pPr>
            <w:r w:rsidRPr="00E465A1">
              <w:rPr>
                <w:b/>
                <w:color w:val="262626" w:themeColor="text1" w:themeTint="D9"/>
                <w:lang w:eastAsia="en-AU"/>
              </w:rPr>
              <w:t>2018</w:t>
            </w:r>
          </w:p>
          <w:p w:rsidR="00FA60B1" w:rsidRPr="00E465A1" w:rsidRDefault="00FA60B1" w:rsidP="00FA60B1">
            <w:pPr>
              <w:pStyle w:val="Normaltabletext1stpararight"/>
              <w:rPr>
                <w:b/>
                <w:color w:val="262626" w:themeColor="text1" w:themeTint="D9"/>
                <w:lang w:eastAsia="en-AU"/>
              </w:rPr>
            </w:pPr>
            <w:r w:rsidRPr="00E465A1">
              <w:rPr>
                <w:b/>
                <w:color w:val="262626" w:themeColor="text1" w:themeTint="D9"/>
                <w:lang w:eastAsia="en-AU"/>
              </w:rPr>
              <w:t>$’000</w:t>
            </w:r>
          </w:p>
        </w:tc>
        <w:tc>
          <w:tcPr>
            <w:tcW w:w="170" w:type="dxa"/>
            <w:tcBorders>
              <w:top w:val="nil"/>
              <w:bottom w:val="nil"/>
            </w:tcBorders>
            <w:noWrap/>
            <w:tcMar>
              <w:left w:w="0" w:type="dxa"/>
              <w:right w:w="0" w:type="dxa"/>
            </w:tcMar>
          </w:tcPr>
          <w:p w:rsidR="00FA60B1" w:rsidRPr="00E465A1" w:rsidRDefault="00FA60B1" w:rsidP="004C2027">
            <w:pPr>
              <w:pStyle w:val="Normaltabletextcentred"/>
              <w:rPr>
                <w:b/>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FA60B1" w:rsidRPr="00E465A1" w:rsidRDefault="00FA60B1" w:rsidP="00FA60B1">
            <w:pPr>
              <w:pStyle w:val="Normaltabletext1stpararight"/>
              <w:ind w:left="122" w:firstLine="122"/>
              <w:rPr>
                <w:b/>
                <w:color w:val="262626" w:themeColor="text1" w:themeTint="D9"/>
                <w:lang w:eastAsia="en-AU"/>
              </w:rPr>
            </w:pPr>
            <w:r w:rsidRPr="00E465A1">
              <w:rPr>
                <w:b/>
                <w:color w:val="262626" w:themeColor="text1" w:themeTint="D9"/>
                <w:lang w:eastAsia="en-AU"/>
              </w:rPr>
              <w:t>2017</w:t>
            </w:r>
          </w:p>
          <w:p w:rsidR="00FA60B1" w:rsidRPr="00E465A1" w:rsidRDefault="00FA60B1" w:rsidP="00FA60B1">
            <w:pPr>
              <w:pStyle w:val="Normaltabletext1stpararight"/>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803" w:type="dxa"/>
            <w:tcBorders>
              <w:top w:val="nil"/>
              <w:left w:val="nil"/>
              <w:bottom w:val="nil"/>
            </w:tcBorders>
            <w:noWrap/>
            <w:tcMar>
              <w:left w:w="0" w:type="dxa"/>
              <w:right w:w="0" w:type="dxa"/>
            </w:tcMar>
          </w:tcPr>
          <w:p w:rsidR="00FA60B1" w:rsidRPr="00E465A1" w:rsidRDefault="00FA60B1" w:rsidP="004C2027">
            <w:pPr>
              <w:pStyle w:val="Normaltabletextleft"/>
              <w:rPr>
                <w:b/>
                <w:color w:val="262626" w:themeColor="text1" w:themeTint="D9"/>
                <w:lang w:eastAsia="en-AU"/>
              </w:rPr>
            </w:pPr>
          </w:p>
          <w:p w:rsidR="00FA60B1" w:rsidRPr="00E465A1" w:rsidRDefault="00B73CAB" w:rsidP="004C2027">
            <w:pPr>
              <w:pStyle w:val="Normaltabletextleft"/>
              <w:rPr>
                <w:b/>
                <w:color w:val="262626" w:themeColor="text1" w:themeTint="D9"/>
                <w:lang w:eastAsia="en-AU"/>
              </w:rPr>
            </w:pPr>
            <w:r w:rsidRPr="00E465A1">
              <w:rPr>
                <w:b/>
                <w:color w:val="262626" w:themeColor="text1" w:themeTint="D9"/>
                <w:lang w:eastAsia="en-AU"/>
              </w:rPr>
              <w:t>Current</w:t>
            </w:r>
          </w:p>
        </w:tc>
        <w:tc>
          <w:tcPr>
            <w:tcW w:w="850" w:type="dxa"/>
            <w:tcBorders>
              <w:top w:val="nil"/>
              <w:bottom w:val="nil"/>
            </w:tcBorders>
            <w:noWrap/>
            <w:tcMar>
              <w:left w:w="0" w:type="dxa"/>
              <w:right w:w="0" w:type="dxa"/>
            </w:tcMar>
          </w:tcPr>
          <w:p w:rsidR="00B73CAB" w:rsidRPr="00E465A1" w:rsidRDefault="00B73CAB" w:rsidP="004C2027">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B73CAB" w:rsidRPr="00E465A1" w:rsidRDefault="00B73CAB" w:rsidP="004C2027">
            <w:pPr>
              <w:pStyle w:val="Normaltabletext1stpararight"/>
              <w:rPr>
                <w:b/>
                <w:color w:val="262626" w:themeColor="text1" w:themeTint="D9"/>
                <w:lang w:eastAsia="en-AU"/>
              </w:rPr>
            </w:pPr>
          </w:p>
        </w:tc>
        <w:tc>
          <w:tcPr>
            <w:tcW w:w="170" w:type="dxa"/>
            <w:tcBorders>
              <w:top w:val="nil"/>
              <w:bottom w:val="nil"/>
            </w:tcBorders>
            <w:noWrap/>
            <w:tcMar>
              <w:left w:w="0" w:type="dxa"/>
              <w:right w:w="0" w:type="dxa"/>
            </w:tcMar>
          </w:tcPr>
          <w:p w:rsidR="00B73CAB" w:rsidRPr="00E465A1" w:rsidRDefault="00B73CAB" w:rsidP="004C2027">
            <w:pPr>
              <w:pStyle w:val="Normaltabletextcentred"/>
              <w:rPr>
                <w:b/>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B73CAB" w:rsidRPr="00E465A1" w:rsidRDefault="00B73CAB" w:rsidP="004C2027">
            <w:pPr>
              <w:pStyle w:val="Normaltabletext1stpararight"/>
              <w:rPr>
                <w:b/>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r w:rsidRPr="00E465A1">
              <w:rPr>
                <w:color w:val="262626" w:themeColor="text1" w:themeTint="D9"/>
                <w:lang w:eastAsia="en-AU"/>
              </w:rPr>
              <w:t xml:space="preserve">Lease incentive </w:t>
            </w:r>
            <w:r w:rsidRPr="00E465A1">
              <w:rPr>
                <w:color w:val="262626" w:themeColor="text1" w:themeTint="D9"/>
              </w:rPr>
              <w:t>liability</w:t>
            </w:r>
          </w:p>
        </w:tc>
        <w:tc>
          <w:tcPr>
            <w:tcW w:w="85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tcPr>
          <w:p w:rsidR="00F91F0E" w:rsidRPr="00E465A1" w:rsidRDefault="002122B4" w:rsidP="00F91F0E">
            <w:pPr>
              <w:pStyle w:val="Normaltabletext1stpararight"/>
              <w:rPr>
                <w:color w:val="262626" w:themeColor="text1" w:themeTint="D9"/>
                <w:lang w:eastAsia="en-AU"/>
              </w:rPr>
            </w:pPr>
            <w:r w:rsidRPr="00E465A1">
              <w:rPr>
                <w:color w:val="262626" w:themeColor="text1" w:themeTint="D9"/>
                <w:lang w:eastAsia="en-AU"/>
              </w:rPr>
              <w:t>26</w:t>
            </w:r>
          </w:p>
        </w:tc>
        <w:tc>
          <w:tcPr>
            <w:tcW w:w="17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tcPr>
          <w:p w:rsidR="00F91F0E" w:rsidRPr="00E465A1" w:rsidRDefault="00F91F0E" w:rsidP="00F91F0E">
            <w:pPr>
              <w:pStyle w:val="Normaltabletext1stpararight"/>
              <w:rPr>
                <w:color w:val="262626" w:themeColor="text1" w:themeTint="D9"/>
                <w:lang w:eastAsia="en-AU"/>
              </w:rPr>
            </w:pPr>
            <w:r w:rsidRPr="00E465A1">
              <w:rPr>
                <w:color w:val="262626" w:themeColor="text1" w:themeTint="D9"/>
                <w:lang w:eastAsia="en-AU"/>
              </w:rPr>
              <w:t>26</w:t>
            </w:r>
          </w:p>
        </w:tc>
      </w:tr>
      <w:tr w:rsidR="00E465A1" w:rsidRPr="00E465A1" w:rsidTr="00AD6577">
        <w:trPr>
          <w:trHeight w:val="20"/>
        </w:trPr>
        <w:tc>
          <w:tcPr>
            <w:tcW w:w="6803" w:type="dxa"/>
            <w:tcBorders>
              <w:top w:val="nil"/>
              <w:left w:val="nil"/>
              <w:bottom w:val="nil"/>
            </w:tcBorders>
            <w:noWrap/>
            <w:tcMar>
              <w:left w:w="0" w:type="dxa"/>
              <w:right w:w="0" w:type="dxa"/>
            </w:tcMar>
          </w:tcPr>
          <w:p w:rsidR="00F91F0E" w:rsidRPr="00E465A1" w:rsidRDefault="00F91F0E" w:rsidP="00F91F0E">
            <w:pPr>
              <w:pStyle w:val="Normaltabletextleft"/>
              <w:rPr>
                <w:b/>
                <w:color w:val="262626" w:themeColor="text1" w:themeTint="D9"/>
              </w:rPr>
            </w:pPr>
            <w:r w:rsidRPr="00E465A1">
              <w:rPr>
                <w:b/>
                <w:color w:val="262626" w:themeColor="text1" w:themeTint="D9"/>
              </w:rPr>
              <w:t>Total</w:t>
            </w:r>
          </w:p>
        </w:tc>
        <w:tc>
          <w:tcPr>
            <w:tcW w:w="85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tcPr>
          <w:p w:rsidR="00F91F0E" w:rsidRPr="00E465A1" w:rsidRDefault="002122B4" w:rsidP="00F91F0E">
            <w:pPr>
              <w:pStyle w:val="Normaltabletext1stpararight"/>
              <w:rPr>
                <w:b/>
                <w:color w:val="262626" w:themeColor="text1" w:themeTint="D9"/>
                <w:lang w:eastAsia="en-AU"/>
              </w:rPr>
            </w:pPr>
            <w:r w:rsidRPr="00E465A1">
              <w:rPr>
                <w:b/>
                <w:color w:val="262626" w:themeColor="text1" w:themeTint="D9"/>
                <w:lang w:eastAsia="en-AU"/>
              </w:rPr>
              <w:t>26</w:t>
            </w:r>
          </w:p>
        </w:tc>
        <w:tc>
          <w:tcPr>
            <w:tcW w:w="17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single" w:sz="4" w:space="0" w:color="auto"/>
              <w:bottom w:val="double" w:sz="4" w:space="0" w:color="auto"/>
              <w:right w:val="nil"/>
            </w:tcBorders>
            <w:shd w:val="clear" w:color="auto" w:fill="FFFFFF" w:themeFill="background1"/>
            <w:noWrap/>
            <w:tcMar>
              <w:left w:w="0" w:type="dxa"/>
              <w:right w:w="113" w:type="dxa"/>
            </w:tcMar>
          </w:tcPr>
          <w:p w:rsidR="00F91F0E" w:rsidRPr="00E465A1" w:rsidRDefault="00F91F0E" w:rsidP="00F91F0E">
            <w:pPr>
              <w:pStyle w:val="Normaltabletext1stpararight"/>
              <w:rPr>
                <w:b/>
                <w:color w:val="262626" w:themeColor="text1" w:themeTint="D9"/>
                <w:lang w:eastAsia="en-AU"/>
              </w:rPr>
            </w:pPr>
            <w:r w:rsidRPr="00E465A1">
              <w:rPr>
                <w:b/>
                <w:color w:val="262626" w:themeColor="text1" w:themeTint="D9"/>
                <w:lang w:eastAsia="en-AU"/>
              </w:rPr>
              <w:t>26</w:t>
            </w:r>
          </w:p>
        </w:tc>
      </w:tr>
      <w:tr w:rsidR="00E465A1" w:rsidRPr="00E465A1" w:rsidTr="00AD6577">
        <w:trPr>
          <w:trHeight w:val="20"/>
        </w:trPr>
        <w:tc>
          <w:tcPr>
            <w:tcW w:w="6803"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rPr>
            </w:pPr>
          </w:p>
        </w:tc>
        <w:tc>
          <w:tcPr>
            <w:tcW w:w="85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double" w:sz="4" w:space="0" w:color="auto"/>
              <w:bottom w:val="nil"/>
            </w:tcBorders>
            <w:shd w:val="clear" w:color="auto" w:fill="FEE4B0"/>
            <w:noWrap/>
            <w:tcMar>
              <w:left w:w="0" w:type="dxa"/>
              <w:right w:w="113" w:type="dxa"/>
            </w:tcMar>
          </w:tcPr>
          <w:p w:rsidR="00F91F0E" w:rsidRPr="00E465A1" w:rsidRDefault="00F91F0E" w:rsidP="00F91F0E">
            <w:pPr>
              <w:pStyle w:val="Normaltabletext1stpararight"/>
              <w:rPr>
                <w:color w:val="262626" w:themeColor="text1" w:themeTint="D9"/>
                <w:lang w:eastAsia="en-AU"/>
              </w:rPr>
            </w:pPr>
          </w:p>
        </w:tc>
        <w:tc>
          <w:tcPr>
            <w:tcW w:w="17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double" w:sz="4" w:space="0" w:color="auto"/>
              <w:bottom w:val="nil"/>
              <w:right w:val="nil"/>
            </w:tcBorders>
            <w:shd w:val="clear" w:color="auto" w:fill="FFFFFF" w:themeFill="background1"/>
            <w:noWrap/>
            <w:tcMar>
              <w:left w:w="0" w:type="dxa"/>
              <w:right w:w="113" w:type="dxa"/>
            </w:tcMar>
          </w:tcPr>
          <w:p w:rsidR="00F91F0E" w:rsidRPr="00E465A1" w:rsidRDefault="00F91F0E" w:rsidP="00F91F0E">
            <w:pPr>
              <w:pStyle w:val="Normaltabletext1stpara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FA60B1" w:rsidRPr="00E465A1" w:rsidRDefault="00F91F0E" w:rsidP="00F91F0E">
            <w:pPr>
              <w:pStyle w:val="Normaltabletextleft"/>
              <w:rPr>
                <w:b/>
                <w:color w:val="262626" w:themeColor="text1" w:themeTint="D9"/>
                <w:lang w:eastAsia="en-AU"/>
              </w:rPr>
            </w:pPr>
            <w:r w:rsidRPr="00E465A1">
              <w:rPr>
                <w:b/>
                <w:color w:val="262626" w:themeColor="text1" w:themeTint="D9"/>
                <w:lang w:eastAsia="en-AU"/>
              </w:rPr>
              <w:t>Non-Current</w:t>
            </w:r>
          </w:p>
        </w:tc>
        <w:tc>
          <w:tcPr>
            <w:tcW w:w="850"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F91F0E" w:rsidRPr="00E465A1" w:rsidRDefault="00F91F0E" w:rsidP="00F91F0E">
            <w:pPr>
              <w:pStyle w:val="Normaltabletext1stpararight"/>
              <w:rPr>
                <w:b/>
                <w:color w:val="262626" w:themeColor="text1" w:themeTint="D9"/>
                <w:lang w:eastAsia="en-AU"/>
              </w:rPr>
            </w:pPr>
          </w:p>
        </w:tc>
        <w:tc>
          <w:tcPr>
            <w:tcW w:w="170"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F91F0E" w:rsidRPr="00E465A1" w:rsidRDefault="00F91F0E" w:rsidP="00F91F0E">
            <w:pPr>
              <w:pStyle w:val="Normaltabletext1stpararight"/>
              <w:rPr>
                <w:b/>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r w:rsidRPr="00E465A1">
              <w:rPr>
                <w:color w:val="262626" w:themeColor="text1" w:themeTint="D9"/>
                <w:lang w:eastAsia="en-AU"/>
              </w:rPr>
              <w:t>Lease incentive liability</w:t>
            </w:r>
          </w:p>
        </w:tc>
        <w:tc>
          <w:tcPr>
            <w:tcW w:w="85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F91F0E" w:rsidRPr="00E465A1" w:rsidRDefault="002122B4" w:rsidP="00F91F0E">
            <w:pPr>
              <w:pStyle w:val="Normaltabletext1stpararight"/>
              <w:rPr>
                <w:color w:val="262626" w:themeColor="text1" w:themeTint="D9"/>
                <w:lang w:eastAsia="en-AU"/>
              </w:rPr>
            </w:pPr>
            <w:r w:rsidRPr="00E465A1">
              <w:rPr>
                <w:color w:val="262626" w:themeColor="text1" w:themeTint="D9"/>
                <w:lang w:eastAsia="en-AU"/>
              </w:rPr>
              <w:t>24</w:t>
            </w:r>
          </w:p>
        </w:tc>
        <w:tc>
          <w:tcPr>
            <w:tcW w:w="17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F91F0E" w:rsidRPr="00E465A1" w:rsidRDefault="00F91F0E" w:rsidP="00F91F0E">
            <w:pPr>
              <w:pStyle w:val="Normaltabletext1stpararight"/>
              <w:rPr>
                <w:color w:val="262626" w:themeColor="text1" w:themeTint="D9"/>
                <w:lang w:eastAsia="en-AU"/>
              </w:rPr>
            </w:pPr>
            <w:r w:rsidRPr="00E465A1">
              <w:rPr>
                <w:color w:val="262626" w:themeColor="text1" w:themeTint="D9"/>
                <w:lang w:eastAsia="en-AU"/>
              </w:rPr>
              <w:t>50</w:t>
            </w:r>
          </w:p>
        </w:tc>
      </w:tr>
      <w:tr w:rsidR="00E465A1" w:rsidRPr="00E465A1" w:rsidTr="00AD6577">
        <w:trPr>
          <w:trHeight w:val="20"/>
        </w:trPr>
        <w:tc>
          <w:tcPr>
            <w:tcW w:w="6803" w:type="dxa"/>
            <w:tcBorders>
              <w:top w:val="nil"/>
              <w:left w:val="nil"/>
              <w:bottom w:val="nil"/>
            </w:tcBorders>
            <w:noWrap/>
            <w:tcMar>
              <w:left w:w="0" w:type="dxa"/>
              <w:right w:w="0" w:type="dxa"/>
            </w:tcMar>
          </w:tcPr>
          <w:p w:rsidR="00F91F0E" w:rsidRPr="00E465A1" w:rsidRDefault="00F91F0E" w:rsidP="00F91F0E">
            <w:pPr>
              <w:pStyle w:val="Normaltabletextleft"/>
              <w:rPr>
                <w:color w:val="262626" w:themeColor="text1" w:themeTint="D9"/>
                <w:lang w:eastAsia="en-AU"/>
              </w:rPr>
            </w:pPr>
            <w:r w:rsidRPr="00E465A1">
              <w:rPr>
                <w:color w:val="262626" w:themeColor="text1" w:themeTint="D9"/>
                <w:lang w:eastAsia="en-AU"/>
              </w:rPr>
              <w:t xml:space="preserve">Deferred lease liability </w:t>
            </w:r>
          </w:p>
        </w:tc>
        <w:tc>
          <w:tcPr>
            <w:tcW w:w="85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tcPr>
          <w:p w:rsidR="00F91F0E" w:rsidRPr="00E465A1" w:rsidRDefault="002122B4" w:rsidP="00884ADD">
            <w:pPr>
              <w:pStyle w:val="Normaltabletext1stpararight"/>
              <w:rPr>
                <w:color w:val="262626" w:themeColor="text1" w:themeTint="D9"/>
                <w:lang w:eastAsia="en-AU"/>
              </w:rPr>
            </w:pPr>
            <w:r w:rsidRPr="00E465A1">
              <w:rPr>
                <w:color w:val="262626" w:themeColor="text1" w:themeTint="D9"/>
                <w:lang w:eastAsia="en-AU"/>
              </w:rPr>
              <w:t>458</w:t>
            </w:r>
          </w:p>
        </w:tc>
        <w:tc>
          <w:tcPr>
            <w:tcW w:w="170" w:type="dxa"/>
            <w:tcBorders>
              <w:top w:val="nil"/>
              <w:bottom w:val="nil"/>
            </w:tcBorders>
            <w:noWrap/>
            <w:tcMar>
              <w:left w:w="0" w:type="dxa"/>
              <w:right w:w="0" w:type="dxa"/>
            </w:tcMar>
          </w:tcPr>
          <w:p w:rsidR="00F91F0E" w:rsidRPr="00E465A1" w:rsidRDefault="00F91F0E" w:rsidP="00F91F0E">
            <w:pPr>
              <w:pStyle w:val="Normaltabletextcentred"/>
              <w:rPr>
                <w:color w:val="262626" w:themeColor="text1" w:themeTint="D9"/>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tcPr>
          <w:p w:rsidR="00F91F0E" w:rsidRPr="00E465A1" w:rsidRDefault="00F91F0E" w:rsidP="00F91F0E">
            <w:pPr>
              <w:pStyle w:val="Normaltabletext1stpararight"/>
              <w:rPr>
                <w:color w:val="262626" w:themeColor="text1" w:themeTint="D9"/>
                <w:lang w:eastAsia="en-AU"/>
              </w:rPr>
            </w:pPr>
            <w:r w:rsidRPr="00E465A1">
              <w:rPr>
                <w:color w:val="262626" w:themeColor="text1" w:themeTint="D9"/>
                <w:lang w:eastAsia="en-AU"/>
              </w:rPr>
              <w:t>302</w:t>
            </w:r>
          </w:p>
        </w:tc>
      </w:tr>
      <w:tr w:rsidR="00E465A1" w:rsidRPr="00E465A1" w:rsidTr="00AD6577">
        <w:trPr>
          <w:trHeight w:val="20"/>
        </w:trPr>
        <w:tc>
          <w:tcPr>
            <w:tcW w:w="6803" w:type="dxa"/>
            <w:tcBorders>
              <w:top w:val="nil"/>
              <w:left w:val="nil"/>
              <w:bottom w:val="nil"/>
            </w:tcBorders>
            <w:noWrap/>
            <w:tcMar>
              <w:left w:w="0" w:type="dxa"/>
              <w:right w:w="0" w:type="dxa"/>
            </w:tcMar>
          </w:tcPr>
          <w:p w:rsidR="00F91F0E" w:rsidRPr="00E465A1" w:rsidRDefault="00F91F0E" w:rsidP="00F91F0E">
            <w:pPr>
              <w:pStyle w:val="Normaltabletextleft"/>
              <w:rPr>
                <w:b/>
                <w:color w:val="262626" w:themeColor="text1" w:themeTint="D9"/>
                <w:lang w:eastAsia="en-AU"/>
              </w:rPr>
            </w:pPr>
            <w:r w:rsidRPr="00E465A1">
              <w:rPr>
                <w:b/>
                <w:color w:val="262626" w:themeColor="text1" w:themeTint="D9"/>
                <w:lang w:eastAsia="en-AU"/>
              </w:rPr>
              <w:t>Total</w:t>
            </w:r>
          </w:p>
        </w:tc>
        <w:tc>
          <w:tcPr>
            <w:tcW w:w="850"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tcPr>
          <w:p w:rsidR="00F91F0E" w:rsidRPr="00E465A1" w:rsidRDefault="002122B4" w:rsidP="00F91F0E">
            <w:pPr>
              <w:pStyle w:val="Normaltabletext1stpararight"/>
              <w:rPr>
                <w:b/>
                <w:color w:val="262626" w:themeColor="text1" w:themeTint="D9"/>
                <w:lang w:eastAsia="en-AU"/>
              </w:rPr>
            </w:pPr>
            <w:r w:rsidRPr="00E465A1">
              <w:rPr>
                <w:b/>
                <w:color w:val="262626" w:themeColor="text1" w:themeTint="D9"/>
                <w:lang w:eastAsia="en-AU"/>
              </w:rPr>
              <w:t>482</w:t>
            </w:r>
          </w:p>
        </w:tc>
        <w:tc>
          <w:tcPr>
            <w:tcW w:w="170" w:type="dxa"/>
            <w:tcBorders>
              <w:top w:val="nil"/>
              <w:bottom w:val="nil"/>
            </w:tcBorders>
            <w:noWrap/>
            <w:tcMar>
              <w:left w:w="0" w:type="dxa"/>
              <w:right w:w="0" w:type="dxa"/>
            </w:tcMar>
          </w:tcPr>
          <w:p w:rsidR="00F91F0E" w:rsidRPr="00E465A1" w:rsidRDefault="00F91F0E" w:rsidP="00F91F0E">
            <w:pPr>
              <w:pStyle w:val="Normaltabletextcentred"/>
              <w:rPr>
                <w:b/>
                <w:color w:val="262626" w:themeColor="text1" w:themeTint="D9"/>
                <w:lang w:eastAsia="en-AU"/>
              </w:rPr>
            </w:pPr>
          </w:p>
        </w:tc>
        <w:tc>
          <w:tcPr>
            <w:tcW w:w="1134" w:type="dxa"/>
            <w:tcBorders>
              <w:top w:val="single" w:sz="4" w:space="0" w:color="auto"/>
              <w:bottom w:val="double" w:sz="4" w:space="0" w:color="auto"/>
              <w:right w:val="nil"/>
            </w:tcBorders>
            <w:shd w:val="clear" w:color="auto" w:fill="FFFFFF" w:themeFill="background1"/>
            <w:noWrap/>
            <w:tcMar>
              <w:left w:w="0" w:type="dxa"/>
              <w:right w:w="113" w:type="dxa"/>
            </w:tcMar>
          </w:tcPr>
          <w:p w:rsidR="00F91F0E" w:rsidRPr="00E465A1" w:rsidRDefault="00F91F0E" w:rsidP="00F91F0E">
            <w:pPr>
              <w:pStyle w:val="Normaltabletext1stpararight"/>
              <w:rPr>
                <w:b/>
                <w:color w:val="262626" w:themeColor="text1" w:themeTint="D9"/>
                <w:lang w:eastAsia="en-AU"/>
              </w:rPr>
            </w:pPr>
            <w:r w:rsidRPr="00E465A1">
              <w:rPr>
                <w:b/>
                <w:color w:val="262626" w:themeColor="text1" w:themeTint="D9"/>
                <w:lang w:eastAsia="en-AU"/>
              </w:rPr>
              <w:t>352</w:t>
            </w:r>
          </w:p>
        </w:tc>
      </w:tr>
    </w:tbl>
    <w:p w:rsidR="006956B1" w:rsidRPr="00E465A1" w:rsidRDefault="006956B1" w:rsidP="008F5B2D">
      <w:pPr>
        <w:pStyle w:val="Normal1stpara"/>
        <w:rPr>
          <w:color w:val="262626" w:themeColor="text1" w:themeTint="D9"/>
        </w:rPr>
      </w:pPr>
    </w:p>
    <w:p w:rsidR="0035206A" w:rsidRPr="00E465A1" w:rsidRDefault="0035206A" w:rsidP="0035206A">
      <w:pPr>
        <w:pStyle w:val="Normal1stpara"/>
        <w:rPr>
          <w:color w:val="262626" w:themeColor="text1" w:themeTint="D9"/>
        </w:rPr>
      </w:pPr>
    </w:p>
    <w:p w:rsidR="00ED256A" w:rsidRPr="00E465A1" w:rsidRDefault="00ED256A" w:rsidP="0035206A">
      <w:pPr>
        <w:pStyle w:val="Normal1stpara"/>
        <w:rPr>
          <w:color w:val="262626" w:themeColor="text1" w:themeTint="D9"/>
        </w:rPr>
      </w:pPr>
    </w:p>
    <w:p w:rsidR="00FA60B1" w:rsidRPr="00E465A1" w:rsidRDefault="00FA60B1" w:rsidP="00ED256A">
      <w:pPr>
        <w:pStyle w:val="Normal115pttext"/>
        <w:rPr>
          <w:color w:val="262626" w:themeColor="text1" w:themeTint="D9"/>
        </w:rPr>
      </w:pPr>
      <w:r w:rsidRPr="00E465A1">
        <w:rPr>
          <w:color w:val="262626" w:themeColor="text1" w:themeTint="D9"/>
        </w:rPr>
        <w:t>Note 1</w:t>
      </w:r>
      <w:r w:rsidR="0014516F" w:rsidRPr="00E465A1">
        <w:rPr>
          <w:color w:val="262626" w:themeColor="text1" w:themeTint="D9"/>
        </w:rPr>
        <w:t>3</w:t>
      </w:r>
      <w:r w:rsidRPr="00E465A1">
        <w:rPr>
          <w:color w:val="262626" w:themeColor="text1" w:themeTint="D9"/>
        </w:rPr>
        <w:t>:  Unearned Revenue</w:t>
      </w:r>
    </w:p>
    <w:p w:rsidR="00ED256A" w:rsidRPr="00E465A1" w:rsidRDefault="00ED256A" w:rsidP="00ED256A">
      <w:pPr>
        <w:pStyle w:val="Normal115pttext"/>
        <w:rPr>
          <w:color w:val="262626" w:themeColor="text1" w:themeTint="D9"/>
        </w:rPr>
      </w:pPr>
    </w:p>
    <w:tbl>
      <w:tblPr>
        <w:tblW w:w="10091" w:type="dxa"/>
        <w:tblBorders>
          <w:top w:val="double" w:sz="4" w:space="0" w:color="auto"/>
          <w:left w:val="double" w:sz="4" w:space="0" w:color="auto"/>
          <w:bottom w:val="double" w:sz="4" w:space="0" w:color="auto"/>
          <w:right w:val="double" w:sz="4" w:space="0" w:color="auto"/>
        </w:tblBorders>
        <w:tblLayout w:type="fixed"/>
        <w:tblCellMar>
          <w:left w:w="0" w:type="dxa"/>
          <w:bottom w:w="11" w:type="dxa"/>
          <w:right w:w="0" w:type="dxa"/>
        </w:tblCellMar>
        <w:tblLook w:val="0000" w:firstRow="0" w:lastRow="0" w:firstColumn="0" w:lastColumn="0" w:noHBand="0" w:noVBand="0"/>
      </w:tblPr>
      <w:tblGrid>
        <w:gridCol w:w="6803"/>
        <w:gridCol w:w="850"/>
        <w:gridCol w:w="1134"/>
        <w:gridCol w:w="170"/>
        <w:gridCol w:w="1134"/>
      </w:tblGrid>
      <w:tr w:rsidR="00E465A1" w:rsidRPr="00E465A1" w:rsidTr="00AD6577">
        <w:trPr>
          <w:trHeight w:val="20"/>
        </w:trPr>
        <w:tc>
          <w:tcPr>
            <w:tcW w:w="6803" w:type="dxa"/>
            <w:tcBorders>
              <w:top w:val="nil"/>
              <w:left w:val="nil"/>
              <w:bottom w:val="nil"/>
            </w:tcBorders>
            <w:noWrap/>
            <w:tcMar>
              <w:left w:w="0" w:type="dxa"/>
              <w:right w:w="0" w:type="dxa"/>
            </w:tcMar>
          </w:tcPr>
          <w:p w:rsidR="00FA60B1" w:rsidRPr="00E465A1" w:rsidRDefault="00FA60B1" w:rsidP="00FA60B1">
            <w:pPr>
              <w:pStyle w:val="Normaltabletextleft"/>
              <w:rPr>
                <w:b/>
                <w:color w:val="262626" w:themeColor="text1" w:themeTint="D9"/>
                <w:lang w:eastAsia="en-AU"/>
              </w:rPr>
            </w:pPr>
          </w:p>
          <w:p w:rsidR="00FA60B1" w:rsidRPr="00E465A1" w:rsidRDefault="00FA60B1" w:rsidP="00FA60B1">
            <w:pPr>
              <w:pStyle w:val="Normaltabletextleft"/>
              <w:rPr>
                <w:b/>
                <w:color w:val="262626" w:themeColor="text1" w:themeTint="D9"/>
                <w:lang w:eastAsia="en-AU"/>
              </w:rPr>
            </w:pPr>
          </w:p>
        </w:tc>
        <w:tc>
          <w:tcPr>
            <w:tcW w:w="850" w:type="dxa"/>
            <w:tcBorders>
              <w:top w:val="nil"/>
              <w:bottom w:val="nil"/>
            </w:tcBorders>
            <w:noWrap/>
            <w:tcMar>
              <w:left w:w="0" w:type="dxa"/>
              <w:right w:w="0" w:type="dxa"/>
            </w:tcMar>
          </w:tcPr>
          <w:p w:rsidR="00FA60B1" w:rsidRPr="00E465A1" w:rsidRDefault="00FA60B1" w:rsidP="00FA60B1">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FA60B1" w:rsidRPr="00E465A1" w:rsidRDefault="00FA60B1" w:rsidP="00FA60B1">
            <w:pPr>
              <w:pStyle w:val="Normaltabletext1stpararight"/>
              <w:rPr>
                <w:b/>
                <w:color w:val="262626" w:themeColor="text1" w:themeTint="D9"/>
                <w:lang w:eastAsia="en-AU"/>
              </w:rPr>
            </w:pPr>
            <w:r w:rsidRPr="00E465A1">
              <w:rPr>
                <w:b/>
                <w:color w:val="262626" w:themeColor="text1" w:themeTint="D9"/>
                <w:lang w:eastAsia="en-AU"/>
              </w:rPr>
              <w:t>2018</w:t>
            </w:r>
          </w:p>
          <w:p w:rsidR="00FA60B1" w:rsidRPr="00E465A1" w:rsidRDefault="00FA60B1" w:rsidP="00FA60B1">
            <w:pPr>
              <w:pStyle w:val="Normaltabletext1stpararight"/>
              <w:rPr>
                <w:b/>
                <w:color w:val="262626" w:themeColor="text1" w:themeTint="D9"/>
                <w:lang w:eastAsia="en-AU"/>
              </w:rPr>
            </w:pPr>
            <w:r w:rsidRPr="00E465A1">
              <w:rPr>
                <w:b/>
                <w:color w:val="262626" w:themeColor="text1" w:themeTint="D9"/>
                <w:lang w:eastAsia="en-AU"/>
              </w:rPr>
              <w:t>$’000</w:t>
            </w:r>
          </w:p>
        </w:tc>
        <w:tc>
          <w:tcPr>
            <w:tcW w:w="170" w:type="dxa"/>
            <w:tcBorders>
              <w:top w:val="nil"/>
              <w:bottom w:val="nil"/>
            </w:tcBorders>
            <w:noWrap/>
            <w:tcMar>
              <w:left w:w="0" w:type="dxa"/>
              <w:right w:w="0" w:type="dxa"/>
            </w:tcMar>
          </w:tcPr>
          <w:p w:rsidR="00FA60B1" w:rsidRPr="00E465A1" w:rsidRDefault="00FA60B1" w:rsidP="00FA60B1">
            <w:pPr>
              <w:pStyle w:val="Normaltabletextcentred"/>
              <w:rPr>
                <w:b/>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FA60B1" w:rsidRPr="00E465A1" w:rsidRDefault="00FA60B1" w:rsidP="00FA60B1">
            <w:pPr>
              <w:pStyle w:val="Normaltabletext1stpararight"/>
              <w:ind w:left="122" w:firstLine="122"/>
              <w:rPr>
                <w:b/>
                <w:color w:val="262626" w:themeColor="text1" w:themeTint="D9"/>
                <w:lang w:eastAsia="en-AU"/>
              </w:rPr>
            </w:pPr>
            <w:r w:rsidRPr="00E465A1">
              <w:rPr>
                <w:b/>
                <w:color w:val="262626" w:themeColor="text1" w:themeTint="D9"/>
                <w:lang w:eastAsia="en-AU"/>
              </w:rPr>
              <w:t>2017</w:t>
            </w:r>
          </w:p>
          <w:p w:rsidR="00FA60B1" w:rsidRPr="00E465A1" w:rsidRDefault="00FA60B1" w:rsidP="00FA60B1">
            <w:pPr>
              <w:pStyle w:val="Normaltabletext1stpararight"/>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803" w:type="dxa"/>
            <w:tcBorders>
              <w:top w:val="nil"/>
              <w:left w:val="nil"/>
              <w:bottom w:val="nil"/>
            </w:tcBorders>
            <w:noWrap/>
            <w:tcMar>
              <w:left w:w="0" w:type="dxa"/>
              <w:right w:w="0" w:type="dxa"/>
            </w:tcMar>
          </w:tcPr>
          <w:p w:rsidR="00FA60B1" w:rsidRPr="00E465A1" w:rsidRDefault="00FA60B1" w:rsidP="00C14BBF">
            <w:pPr>
              <w:pStyle w:val="Normaltabletextleft"/>
              <w:rPr>
                <w:color w:val="262626" w:themeColor="text1" w:themeTint="D9"/>
                <w:lang w:eastAsia="en-AU"/>
              </w:rPr>
            </w:pPr>
          </w:p>
        </w:tc>
        <w:tc>
          <w:tcPr>
            <w:tcW w:w="850" w:type="dxa"/>
            <w:tcBorders>
              <w:top w:val="nil"/>
              <w:bottom w:val="nil"/>
            </w:tcBorders>
            <w:noWrap/>
            <w:tcMar>
              <w:left w:w="0" w:type="dxa"/>
              <w:right w:w="0" w:type="dxa"/>
            </w:tcMar>
          </w:tcPr>
          <w:p w:rsidR="00FA60B1" w:rsidRPr="00E465A1" w:rsidRDefault="00FA60B1" w:rsidP="00C14BBF">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FA60B1" w:rsidRPr="00E465A1" w:rsidRDefault="00FA60B1" w:rsidP="00C14BBF">
            <w:pPr>
              <w:pStyle w:val="Normaltabletext1stpararight"/>
              <w:rPr>
                <w:color w:val="262626" w:themeColor="text1" w:themeTint="D9"/>
                <w:lang w:eastAsia="en-AU"/>
              </w:rPr>
            </w:pPr>
          </w:p>
        </w:tc>
        <w:tc>
          <w:tcPr>
            <w:tcW w:w="170" w:type="dxa"/>
            <w:tcBorders>
              <w:top w:val="nil"/>
              <w:bottom w:val="nil"/>
            </w:tcBorders>
            <w:noWrap/>
            <w:tcMar>
              <w:left w:w="0" w:type="dxa"/>
              <w:right w:w="0" w:type="dxa"/>
            </w:tcMar>
          </w:tcPr>
          <w:p w:rsidR="00FA60B1" w:rsidRPr="00E465A1" w:rsidRDefault="00FA60B1" w:rsidP="00C14BBF">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FA60B1" w:rsidRPr="00E465A1" w:rsidRDefault="00FA60B1" w:rsidP="00C14BBF">
            <w:pPr>
              <w:pStyle w:val="Normaltabletext1stpararight"/>
              <w:rPr>
                <w:color w:val="262626" w:themeColor="text1" w:themeTint="D9"/>
                <w:lang w:eastAsia="en-AU"/>
              </w:rPr>
            </w:pPr>
          </w:p>
        </w:tc>
      </w:tr>
      <w:tr w:rsidR="00E465A1" w:rsidRPr="00E465A1" w:rsidTr="00AD6577">
        <w:trPr>
          <w:trHeight w:val="20"/>
        </w:trPr>
        <w:tc>
          <w:tcPr>
            <w:tcW w:w="6803" w:type="dxa"/>
            <w:tcBorders>
              <w:top w:val="nil"/>
              <w:left w:val="nil"/>
              <w:bottom w:val="nil"/>
            </w:tcBorders>
            <w:noWrap/>
            <w:tcMar>
              <w:left w:w="0" w:type="dxa"/>
              <w:right w:w="0" w:type="dxa"/>
            </w:tcMar>
          </w:tcPr>
          <w:p w:rsidR="00D47FF9" w:rsidRPr="00E465A1" w:rsidRDefault="00D47FF9" w:rsidP="00C14BBF">
            <w:pPr>
              <w:pStyle w:val="Normaltabletextleft"/>
              <w:rPr>
                <w:color w:val="262626" w:themeColor="text1" w:themeTint="D9"/>
                <w:lang w:eastAsia="en-AU"/>
              </w:rPr>
            </w:pPr>
            <w:r w:rsidRPr="00E465A1">
              <w:rPr>
                <w:color w:val="262626" w:themeColor="text1" w:themeTint="D9"/>
                <w:lang w:eastAsia="en-AU"/>
              </w:rPr>
              <w:t>Grant revenue</w:t>
            </w:r>
            <w:r w:rsidRPr="00E465A1">
              <w:rPr>
                <w:color w:val="262626" w:themeColor="text1" w:themeTint="D9"/>
              </w:rPr>
              <w:t>¹</w:t>
            </w:r>
          </w:p>
        </w:tc>
        <w:tc>
          <w:tcPr>
            <w:tcW w:w="850" w:type="dxa"/>
            <w:tcBorders>
              <w:top w:val="nil"/>
              <w:bottom w:val="nil"/>
            </w:tcBorders>
            <w:noWrap/>
            <w:tcMar>
              <w:left w:w="0" w:type="dxa"/>
              <w:right w:w="0" w:type="dxa"/>
            </w:tcMar>
          </w:tcPr>
          <w:p w:rsidR="00D47FF9" w:rsidRPr="00E465A1" w:rsidRDefault="00D47FF9" w:rsidP="00C14BBF">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tcPr>
          <w:p w:rsidR="00D47FF9" w:rsidRPr="00E465A1" w:rsidRDefault="00D47FF9" w:rsidP="00C14BBF">
            <w:pPr>
              <w:pStyle w:val="Normaltabletext1stpararight"/>
              <w:rPr>
                <w:color w:val="262626" w:themeColor="text1" w:themeTint="D9"/>
                <w:lang w:eastAsia="en-AU"/>
              </w:rPr>
            </w:pPr>
            <w:r w:rsidRPr="00E465A1">
              <w:rPr>
                <w:color w:val="262626" w:themeColor="text1" w:themeTint="D9"/>
                <w:lang w:eastAsia="en-AU"/>
              </w:rPr>
              <w:t>700</w:t>
            </w:r>
          </w:p>
        </w:tc>
        <w:tc>
          <w:tcPr>
            <w:tcW w:w="170" w:type="dxa"/>
            <w:tcBorders>
              <w:top w:val="nil"/>
              <w:bottom w:val="nil"/>
            </w:tcBorders>
            <w:noWrap/>
            <w:tcMar>
              <w:left w:w="0" w:type="dxa"/>
              <w:right w:w="0" w:type="dxa"/>
            </w:tcMar>
          </w:tcPr>
          <w:p w:rsidR="00D47FF9" w:rsidRPr="00E465A1" w:rsidRDefault="00D47FF9" w:rsidP="00C14BBF">
            <w:pPr>
              <w:pStyle w:val="Normaltabletextcentred"/>
              <w:rPr>
                <w:color w:val="262626" w:themeColor="text1" w:themeTint="D9"/>
                <w:lang w:eastAsia="en-AU"/>
              </w:rPr>
            </w:pPr>
          </w:p>
        </w:tc>
        <w:tc>
          <w:tcPr>
            <w:tcW w:w="1134" w:type="dxa"/>
            <w:tcBorders>
              <w:top w:val="nil"/>
              <w:bottom w:val="nil"/>
              <w:right w:val="nil"/>
            </w:tcBorders>
            <w:shd w:val="clear" w:color="auto" w:fill="FFFFFF" w:themeFill="background1"/>
            <w:noWrap/>
            <w:tcMar>
              <w:left w:w="0" w:type="dxa"/>
              <w:right w:w="113" w:type="dxa"/>
            </w:tcMar>
          </w:tcPr>
          <w:p w:rsidR="00D47FF9" w:rsidRPr="00E465A1" w:rsidRDefault="00D47FF9" w:rsidP="00C14BBF">
            <w:pPr>
              <w:pStyle w:val="Normaltabletext1stpararight"/>
              <w:rPr>
                <w:color w:val="262626" w:themeColor="text1" w:themeTint="D9"/>
                <w:lang w:eastAsia="en-AU"/>
              </w:rPr>
            </w:pPr>
            <w:r w:rsidRPr="00E465A1">
              <w:rPr>
                <w:rFonts w:ascii="Arial" w:hAnsi="Arial"/>
                <w:color w:val="262626" w:themeColor="text1" w:themeTint="D9"/>
                <w:sz w:val="18"/>
                <w:lang w:eastAsia="en-AU"/>
              </w:rPr>
              <w:t>–</w:t>
            </w:r>
          </w:p>
        </w:tc>
      </w:tr>
      <w:tr w:rsidR="00E465A1" w:rsidRPr="00E465A1" w:rsidTr="00AD6577">
        <w:trPr>
          <w:trHeight w:val="20"/>
        </w:trPr>
        <w:tc>
          <w:tcPr>
            <w:tcW w:w="6803" w:type="dxa"/>
            <w:tcBorders>
              <w:top w:val="nil"/>
              <w:left w:val="nil"/>
              <w:bottom w:val="nil"/>
            </w:tcBorders>
            <w:noWrap/>
            <w:tcMar>
              <w:left w:w="0" w:type="dxa"/>
              <w:right w:w="0" w:type="dxa"/>
            </w:tcMar>
          </w:tcPr>
          <w:p w:rsidR="00D47FF9" w:rsidRPr="00E465A1" w:rsidRDefault="00D47FF9" w:rsidP="00D47FF9">
            <w:pPr>
              <w:pStyle w:val="Normaltabletextleft"/>
              <w:rPr>
                <w:color w:val="262626" w:themeColor="text1" w:themeTint="D9"/>
              </w:rPr>
            </w:pPr>
            <w:r w:rsidRPr="00E465A1">
              <w:rPr>
                <w:color w:val="262626" w:themeColor="text1" w:themeTint="D9"/>
                <w:lang w:eastAsia="en-AU"/>
              </w:rPr>
              <w:t>Car parking</w:t>
            </w:r>
            <w:r w:rsidR="00E30658" w:rsidRPr="00E465A1">
              <w:rPr>
                <w:color w:val="262626" w:themeColor="text1" w:themeTint="D9"/>
                <w:lang w:eastAsia="en-AU"/>
              </w:rPr>
              <w:t xml:space="preserve"> revenue</w:t>
            </w:r>
          </w:p>
        </w:tc>
        <w:tc>
          <w:tcPr>
            <w:tcW w:w="850" w:type="dxa"/>
            <w:tcBorders>
              <w:top w:val="nil"/>
              <w:bottom w:val="nil"/>
            </w:tcBorders>
            <w:noWrap/>
            <w:tcMar>
              <w:left w:w="0" w:type="dxa"/>
              <w:right w:w="0" w:type="dxa"/>
            </w:tcMar>
          </w:tcPr>
          <w:p w:rsidR="00FA60B1" w:rsidRPr="00E465A1" w:rsidRDefault="00FA60B1" w:rsidP="00C14BBF">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tcPr>
          <w:p w:rsidR="00FA60B1" w:rsidRPr="00E465A1" w:rsidRDefault="00ED256A" w:rsidP="00C14BBF">
            <w:pPr>
              <w:pStyle w:val="Normaltabletext1stpararight"/>
              <w:rPr>
                <w:color w:val="262626" w:themeColor="text1" w:themeTint="D9"/>
                <w:lang w:eastAsia="en-AU"/>
              </w:rPr>
            </w:pPr>
            <w:r w:rsidRPr="00E465A1">
              <w:rPr>
                <w:color w:val="262626" w:themeColor="text1" w:themeTint="D9"/>
                <w:lang w:eastAsia="en-AU"/>
              </w:rPr>
              <w:t>13</w:t>
            </w:r>
          </w:p>
        </w:tc>
        <w:tc>
          <w:tcPr>
            <w:tcW w:w="170" w:type="dxa"/>
            <w:tcBorders>
              <w:top w:val="nil"/>
              <w:bottom w:val="nil"/>
            </w:tcBorders>
            <w:noWrap/>
            <w:tcMar>
              <w:left w:w="0" w:type="dxa"/>
              <w:right w:w="0" w:type="dxa"/>
            </w:tcMar>
          </w:tcPr>
          <w:p w:rsidR="00FA60B1" w:rsidRPr="00E465A1" w:rsidRDefault="00FA60B1" w:rsidP="00C14BBF">
            <w:pPr>
              <w:pStyle w:val="Normaltabletextcentred"/>
              <w:rPr>
                <w:color w:val="262626" w:themeColor="text1" w:themeTint="D9"/>
                <w:lang w:eastAsia="en-AU"/>
              </w:rPr>
            </w:pPr>
          </w:p>
        </w:tc>
        <w:tc>
          <w:tcPr>
            <w:tcW w:w="1134" w:type="dxa"/>
            <w:tcBorders>
              <w:top w:val="nil"/>
              <w:bottom w:val="single" w:sz="4" w:space="0" w:color="auto"/>
              <w:right w:val="nil"/>
            </w:tcBorders>
            <w:shd w:val="clear" w:color="auto" w:fill="FFFFFF" w:themeFill="background1"/>
            <w:noWrap/>
            <w:tcMar>
              <w:left w:w="0" w:type="dxa"/>
              <w:right w:w="113" w:type="dxa"/>
            </w:tcMar>
          </w:tcPr>
          <w:p w:rsidR="00FA60B1" w:rsidRPr="00E465A1" w:rsidRDefault="00FA60B1" w:rsidP="00C14BBF">
            <w:pPr>
              <w:pStyle w:val="Normaltabletext1stpararight"/>
              <w:rPr>
                <w:color w:val="262626" w:themeColor="text1" w:themeTint="D9"/>
                <w:lang w:eastAsia="en-AU"/>
              </w:rPr>
            </w:pPr>
            <w:r w:rsidRPr="00E465A1">
              <w:rPr>
                <w:color w:val="262626" w:themeColor="text1" w:themeTint="D9"/>
                <w:lang w:eastAsia="en-AU"/>
              </w:rPr>
              <w:t>13</w:t>
            </w:r>
          </w:p>
        </w:tc>
      </w:tr>
      <w:tr w:rsidR="00E465A1" w:rsidRPr="00E465A1" w:rsidTr="00AD6577">
        <w:trPr>
          <w:trHeight w:val="20"/>
        </w:trPr>
        <w:tc>
          <w:tcPr>
            <w:tcW w:w="6803" w:type="dxa"/>
            <w:tcBorders>
              <w:top w:val="nil"/>
              <w:left w:val="nil"/>
              <w:bottom w:val="nil"/>
            </w:tcBorders>
            <w:noWrap/>
            <w:tcMar>
              <w:left w:w="0" w:type="dxa"/>
              <w:right w:w="0" w:type="dxa"/>
            </w:tcMar>
          </w:tcPr>
          <w:p w:rsidR="00FA60B1" w:rsidRPr="00E465A1" w:rsidRDefault="00FA60B1" w:rsidP="00C14BBF">
            <w:pPr>
              <w:pStyle w:val="Normaltabletextleft"/>
              <w:rPr>
                <w:b/>
                <w:color w:val="262626" w:themeColor="text1" w:themeTint="D9"/>
              </w:rPr>
            </w:pPr>
            <w:r w:rsidRPr="00E465A1">
              <w:rPr>
                <w:b/>
                <w:color w:val="262626" w:themeColor="text1" w:themeTint="D9"/>
              </w:rPr>
              <w:t>Total</w:t>
            </w:r>
          </w:p>
        </w:tc>
        <w:tc>
          <w:tcPr>
            <w:tcW w:w="850" w:type="dxa"/>
            <w:tcBorders>
              <w:top w:val="nil"/>
              <w:bottom w:val="nil"/>
            </w:tcBorders>
            <w:noWrap/>
            <w:tcMar>
              <w:left w:w="0" w:type="dxa"/>
              <w:right w:w="0" w:type="dxa"/>
            </w:tcMar>
          </w:tcPr>
          <w:p w:rsidR="00FA60B1" w:rsidRPr="00E465A1" w:rsidRDefault="00FA60B1" w:rsidP="00C14BBF">
            <w:pPr>
              <w:pStyle w:val="Normaltabletextcentred"/>
              <w:rPr>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tcPr>
          <w:p w:rsidR="00FA60B1" w:rsidRPr="00E465A1" w:rsidRDefault="00ED256A" w:rsidP="00C14BBF">
            <w:pPr>
              <w:pStyle w:val="Normaltabletext1stpararight"/>
              <w:rPr>
                <w:b/>
                <w:color w:val="262626" w:themeColor="text1" w:themeTint="D9"/>
                <w:lang w:eastAsia="en-AU"/>
              </w:rPr>
            </w:pPr>
            <w:r w:rsidRPr="00E465A1">
              <w:rPr>
                <w:b/>
                <w:color w:val="262626" w:themeColor="text1" w:themeTint="D9"/>
                <w:lang w:eastAsia="en-AU"/>
              </w:rPr>
              <w:t>713</w:t>
            </w:r>
          </w:p>
        </w:tc>
        <w:tc>
          <w:tcPr>
            <w:tcW w:w="170" w:type="dxa"/>
            <w:tcBorders>
              <w:top w:val="nil"/>
              <w:bottom w:val="nil"/>
            </w:tcBorders>
            <w:noWrap/>
            <w:tcMar>
              <w:left w:w="0" w:type="dxa"/>
              <w:right w:w="0" w:type="dxa"/>
            </w:tcMar>
          </w:tcPr>
          <w:p w:rsidR="00FA60B1" w:rsidRPr="00E465A1" w:rsidRDefault="00FA60B1" w:rsidP="00C14BBF">
            <w:pPr>
              <w:pStyle w:val="Normaltabletextcentred"/>
              <w:rPr>
                <w:color w:val="262626" w:themeColor="text1" w:themeTint="D9"/>
                <w:lang w:eastAsia="en-AU"/>
              </w:rPr>
            </w:pPr>
          </w:p>
        </w:tc>
        <w:tc>
          <w:tcPr>
            <w:tcW w:w="1134" w:type="dxa"/>
            <w:tcBorders>
              <w:top w:val="single" w:sz="4" w:space="0" w:color="auto"/>
              <w:bottom w:val="double" w:sz="4" w:space="0" w:color="auto"/>
              <w:right w:val="nil"/>
            </w:tcBorders>
            <w:shd w:val="clear" w:color="auto" w:fill="FFFFFF" w:themeFill="background1"/>
            <w:noWrap/>
            <w:tcMar>
              <w:left w:w="0" w:type="dxa"/>
              <w:right w:w="113" w:type="dxa"/>
            </w:tcMar>
          </w:tcPr>
          <w:p w:rsidR="00FA60B1" w:rsidRPr="00E465A1" w:rsidRDefault="00FA60B1" w:rsidP="00C14BBF">
            <w:pPr>
              <w:pStyle w:val="Normaltabletext1stpararight"/>
              <w:rPr>
                <w:b/>
                <w:color w:val="262626" w:themeColor="text1" w:themeTint="D9"/>
                <w:lang w:eastAsia="en-AU"/>
              </w:rPr>
            </w:pPr>
            <w:r w:rsidRPr="00E465A1">
              <w:rPr>
                <w:b/>
                <w:color w:val="262626" w:themeColor="text1" w:themeTint="D9"/>
                <w:lang w:eastAsia="en-AU"/>
              </w:rPr>
              <w:t>13</w:t>
            </w:r>
          </w:p>
        </w:tc>
      </w:tr>
    </w:tbl>
    <w:p w:rsidR="00FA60B1" w:rsidRPr="00E465A1" w:rsidRDefault="00FA60B1" w:rsidP="0035206A">
      <w:pPr>
        <w:pStyle w:val="Normal1stpara"/>
        <w:rPr>
          <w:color w:val="262626" w:themeColor="text1" w:themeTint="D9"/>
        </w:rPr>
      </w:pPr>
    </w:p>
    <w:p w:rsidR="00871FBE" w:rsidRPr="00E465A1" w:rsidRDefault="00871FBE" w:rsidP="00871FBE">
      <w:pPr>
        <w:pStyle w:val="Noteswithhangingindent"/>
        <w:rPr>
          <w:color w:val="262626" w:themeColor="text1" w:themeTint="D9"/>
        </w:rPr>
      </w:pPr>
      <w:r w:rsidRPr="00E465A1">
        <w:rPr>
          <w:color w:val="262626" w:themeColor="text1" w:themeTint="D9"/>
          <w:vertAlign w:val="superscript"/>
        </w:rPr>
        <w:t>1</w:t>
      </w:r>
      <w:r w:rsidRPr="00E465A1">
        <w:rPr>
          <w:color w:val="262626" w:themeColor="text1" w:themeTint="D9"/>
        </w:rPr>
        <w:tab/>
        <w:t>Due to</w:t>
      </w:r>
      <w:r w:rsidR="00643B41" w:rsidRPr="00E465A1">
        <w:rPr>
          <w:color w:val="262626" w:themeColor="text1" w:themeTint="D9"/>
        </w:rPr>
        <w:t xml:space="preserve"> a</w:t>
      </w:r>
      <w:r w:rsidRPr="00E465A1">
        <w:rPr>
          <w:color w:val="262626" w:themeColor="text1" w:themeTint="D9"/>
        </w:rPr>
        <w:t xml:space="preserve"> </w:t>
      </w:r>
      <w:r w:rsidR="00643B41" w:rsidRPr="00E465A1">
        <w:rPr>
          <w:color w:val="262626" w:themeColor="text1" w:themeTint="D9"/>
        </w:rPr>
        <w:t xml:space="preserve">longer than expected tender evaluation process for the new </w:t>
      </w:r>
      <w:proofErr w:type="spellStart"/>
      <w:r w:rsidR="00B85FCF" w:rsidRPr="00E465A1">
        <w:rPr>
          <w:color w:val="262626" w:themeColor="text1" w:themeTint="D9"/>
        </w:rPr>
        <w:t>ICMS</w:t>
      </w:r>
      <w:proofErr w:type="spellEnd"/>
      <w:r w:rsidR="00643B41" w:rsidRPr="00E465A1">
        <w:rPr>
          <w:color w:val="262626" w:themeColor="text1" w:themeTint="D9"/>
        </w:rPr>
        <w:t>, a proportion of current year operational funding associated with the</w:t>
      </w:r>
      <w:r w:rsidRPr="00E465A1">
        <w:rPr>
          <w:color w:val="262626" w:themeColor="text1" w:themeTint="D9"/>
        </w:rPr>
        <w:t xml:space="preserve"> project</w:t>
      </w:r>
      <w:r w:rsidR="00643B41" w:rsidRPr="00E465A1">
        <w:rPr>
          <w:color w:val="262626" w:themeColor="text1" w:themeTint="D9"/>
        </w:rPr>
        <w:t xml:space="preserve"> has been deferred to the </w:t>
      </w:r>
      <w:r w:rsidR="00F561D1" w:rsidRPr="00E465A1">
        <w:rPr>
          <w:color w:val="262626" w:themeColor="text1" w:themeTint="D9"/>
        </w:rPr>
        <w:t>2018-19 financial year.  This transaction has been similarly reflected in the CCC’s published 2018-19 Service Delivery Statement.</w:t>
      </w:r>
    </w:p>
    <w:p w:rsidR="00ED256A" w:rsidRPr="00E465A1" w:rsidRDefault="00ED256A" w:rsidP="0035206A">
      <w:pPr>
        <w:pStyle w:val="Normal1stpara"/>
        <w:rPr>
          <w:color w:val="262626" w:themeColor="text1" w:themeTint="D9"/>
        </w:rPr>
      </w:pPr>
    </w:p>
    <w:p w:rsidR="00ED256A" w:rsidRPr="00E465A1" w:rsidRDefault="00ED256A" w:rsidP="0035206A">
      <w:pPr>
        <w:pStyle w:val="Normal1stpara"/>
        <w:rPr>
          <w:color w:val="262626" w:themeColor="text1" w:themeTint="D9"/>
        </w:rPr>
      </w:pPr>
    </w:p>
    <w:p w:rsidR="00ED256A" w:rsidRPr="00E465A1" w:rsidRDefault="0035206A" w:rsidP="00ED256A">
      <w:pPr>
        <w:pStyle w:val="Normal115pttext"/>
        <w:rPr>
          <w:color w:val="262626" w:themeColor="text1" w:themeTint="D9"/>
        </w:rPr>
      </w:pPr>
      <w:r w:rsidRPr="00E465A1">
        <w:rPr>
          <w:color w:val="262626" w:themeColor="text1" w:themeTint="D9"/>
        </w:rPr>
        <w:t>Note 1</w:t>
      </w:r>
      <w:r w:rsidR="0014516F" w:rsidRPr="00E465A1">
        <w:rPr>
          <w:color w:val="262626" w:themeColor="text1" w:themeTint="D9"/>
        </w:rPr>
        <w:t>4</w:t>
      </w:r>
      <w:r w:rsidRPr="00E465A1">
        <w:rPr>
          <w:color w:val="262626" w:themeColor="text1" w:themeTint="D9"/>
        </w:rPr>
        <w:t>:  Accrued Employee Benefits</w:t>
      </w:r>
    </w:p>
    <w:p w:rsidR="00ED256A" w:rsidRPr="00E465A1" w:rsidRDefault="00ED256A" w:rsidP="00ED256A">
      <w:pPr>
        <w:pStyle w:val="Normal115pttext"/>
        <w:rPr>
          <w:color w:val="262626" w:themeColor="text1" w:themeTint="D9"/>
        </w:rPr>
      </w:pPr>
    </w:p>
    <w:tbl>
      <w:tblPr>
        <w:tblW w:w="4940" w:type="pct"/>
        <w:tblBorders>
          <w:top w:val="double" w:sz="4" w:space="0" w:color="auto"/>
          <w:left w:val="double" w:sz="4" w:space="0" w:color="auto"/>
          <w:bottom w:val="double" w:sz="4" w:space="0" w:color="auto"/>
          <w:right w:val="double" w:sz="4" w:space="0" w:color="auto"/>
        </w:tblBorders>
        <w:tblLayout w:type="fixed"/>
        <w:tblCellMar>
          <w:left w:w="0" w:type="dxa"/>
          <w:bottom w:w="11" w:type="dxa"/>
          <w:right w:w="0" w:type="dxa"/>
        </w:tblCellMar>
        <w:tblLook w:val="0000" w:firstRow="0" w:lastRow="0" w:firstColumn="0" w:lastColumn="0" w:noHBand="0" w:noVBand="0"/>
      </w:tblPr>
      <w:tblGrid>
        <w:gridCol w:w="6805"/>
        <w:gridCol w:w="852"/>
        <w:gridCol w:w="1127"/>
        <w:gridCol w:w="159"/>
        <w:gridCol w:w="1141"/>
      </w:tblGrid>
      <w:tr w:rsidR="00E465A1" w:rsidRPr="00E465A1" w:rsidTr="00AD6577">
        <w:trPr>
          <w:trHeight w:val="20"/>
        </w:trPr>
        <w:tc>
          <w:tcPr>
            <w:tcW w:w="6805" w:type="dxa"/>
            <w:tcBorders>
              <w:top w:val="nil"/>
              <w:left w:val="nil"/>
              <w:bottom w:val="nil"/>
            </w:tcBorders>
            <w:noWrap/>
            <w:tcMar>
              <w:left w:w="0" w:type="dxa"/>
              <w:right w:w="0" w:type="dxa"/>
            </w:tcMar>
          </w:tcPr>
          <w:p w:rsidR="00C0490A" w:rsidRPr="00E465A1" w:rsidRDefault="00C0490A" w:rsidP="00C0490A">
            <w:pPr>
              <w:pStyle w:val="Normaltabletextleft"/>
              <w:rPr>
                <w:color w:val="262626" w:themeColor="text1" w:themeTint="D9"/>
                <w:lang w:eastAsia="en-AU"/>
              </w:rPr>
            </w:pPr>
          </w:p>
        </w:tc>
        <w:tc>
          <w:tcPr>
            <w:tcW w:w="852" w:type="dxa"/>
            <w:tcBorders>
              <w:top w:val="nil"/>
              <w:bottom w:val="nil"/>
            </w:tcBorders>
            <w:noWrap/>
            <w:tcMar>
              <w:left w:w="0" w:type="dxa"/>
              <w:right w:w="0" w:type="dxa"/>
            </w:tcMar>
          </w:tcPr>
          <w:p w:rsidR="00C0490A" w:rsidRPr="00E465A1" w:rsidRDefault="00C0490A" w:rsidP="00C0490A">
            <w:pPr>
              <w:pStyle w:val="Normaltabletextcentred"/>
              <w:rPr>
                <w:color w:val="262626" w:themeColor="text1" w:themeTint="D9"/>
                <w:lang w:eastAsia="en-AU"/>
              </w:rPr>
            </w:pPr>
          </w:p>
        </w:tc>
        <w:tc>
          <w:tcPr>
            <w:tcW w:w="1127" w:type="dxa"/>
            <w:tcBorders>
              <w:top w:val="nil"/>
              <w:bottom w:val="nil"/>
            </w:tcBorders>
            <w:shd w:val="clear" w:color="auto" w:fill="FEE4B0"/>
            <w:noWrap/>
            <w:tcMar>
              <w:left w:w="0" w:type="dxa"/>
              <w:right w:w="113" w:type="dxa"/>
            </w:tcMar>
          </w:tcPr>
          <w:p w:rsidR="00C0490A" w:rsidRPr="00E465A1" w:rsidRDefault="00C0490A" w:rsidP="00C0490A">
            <w:pPr>
              <w:pStyle w:val="Normaltabletext1stpararight"/>
              <w:rPr>
                <w:color w:val="262626" w:themeColor="text1" w:themeTint="D9"/>
                <w:lang w:eastAsia="en-AU"/>
              </w:rPr>
            </w:pPr>
            <w:r w:rsidRPr="00E465A1">
              <w:rPr>
                <w:b/>
                <w:color w:val="262626" w:themeColor="text1" w:themeTint="D9"/>
                <w:lang w:eastAsia="en-AU"/>
              </w:rPr>
              <w:t>2018</w:t>
            </w:r>
          </w:p>
        </w:tc>
        <w:tc>
          <w:tcPr>
            <w:tcW w:w="159" w:type="dxa"/>
            <w:tcBorders>
              <w:top w:val="nil"/>
              <w:bottom w:val="nil"/>
            </w:tcBorders>
            <w:noWrap/>
            <w:tcMar>
              <w:left w:w="0" w:type="dxa"/>
              <w:right w:w="0" w:type="dxa"/>
            </w:tcMar>
          </w:tcPr>
          <w:p w:rsidR="00C0490A" w:rsidRPr="00E465A1" w:rsidRDefault="00C0490A" w:rsidP="00C0490A">
            <w:pPr>
              <w:pStyle w:val="Normaltabletextcentred"/>
              <w:rPr>
                <w:color w:val="262626" w:themeColor="text1" w:themeTint="D9"/>
                <w:lang w:eastAsia="en-AU"/>
              </w:rPr>
            </w:pPr>
          </w:p>
        </w:tc>
        <w:tc>
          <w:tcPr>
            <w:tcW w:w="1141" w:type="dxa"/>
            <w:tcBorders>
              <w:top w:val="nil"/>
              <w:bottom w:val="nil"/>
              <w:right w:val="nil"/>
            </w:tcBorders>
            <w:shd w:val="clear" w:color="auto" w:fill="FFFFFF" w:themeFill="background1"/>
            <w:noWrap/>
            <w:tcMar>
              <w:left w:w="0" w:type="dxa"/>
              <w:right w:w="113" w:type="dxa"/>
            </w:tcMar>
          </w:tcPr>
          <w:p w:rsidR="00C0490A" w:rsidRPr="00E465A1" w:rsidRDefault="00C0490A" w:rsidP="00C0490A">
            <w:pPr>
              <w:pStyle w:val="Normaltabletext1stpararight"/>
              <w:rPr>
                <w:color w:val="262626" w:themeColor="text1" w:themeTint="D9"/>
                <w:lang w:eastAsia="en-AU"/>
              </w:rPr>
            </w:pPr>
            <w:r w:rsidRPr="00E465A1">
              <w:rPr>
                <w:b/>
                <w:color w:val="262626" w:themeColor="text1" w:themeTint="D9"/>
                <w:lang w:eastAsia="en-AU"/>
              </w:rPr>
              <w:t>2017</w:t>
            </w:r>
          </w:p>
        </w:tc>
      </w:tr>
      <w:tr w:rsidR="00E465A1" w:rsidRPr="00E465A1" w:rsidTr="00AD6577">
        <w:trPr>
          <w:trHeight w:val="20"/>
        </w:trPr>
        <w:tc>
          <w:tcPr>
            <w:tcW w:w="6805" w:type="dxa"/>
            <w:tcBorders>
              <w:top w:val="nil"/>
              <w:left w:val="nil"/>
              <w:bottom w:val="nil"/>
            </w:tcBorders>
            <w:noWrap/>
            <w:tcMar>
              <w:left w:w="0" w:type="dxa"/>
              <w:right w:w="0" w:type="dxa"/>
            </w:tcMar>
          </w:tcPr>
          <w:p w:rsidR="00C0490A" w:rsidRPr="00E465A1" w:rsidRDefault="00C0490A" w:rsidP="00C0490A">
            <w:pPr>
              <w:pStyle w:val="Normaltabletextleft"/>
              <w:rPr>
                <w:color w:val="262626" w:themeColor="text1" w:themeTint="D9"/>
                <w:lang w:eastAsia="en-AU"/>
              </w:rPr>
            </w:pPr>
          </w:p>
        </w:tc>
        <w:tc>
          <w:tcPr>
            <w:tcW w:w="852" w:type="dxa"/>
            <w:tcBorders>
              <w:top w:val="nil"/>
              <w:bottom w:val="nil"/>
            </w:tcBorders>
            <w:noWrap/>
            <w:tcMar>
              <w:left w:w="0" w:type="dxa"/>
              <w:right w:w="0" w:type="dxa"/>
            </w:tcMar>
          </w:tcPr>
          <w:p w:rsidR="00C0490A" w:rsidRPr="00E465A1" w:rsidRDefault="00C0490A" w:rsidP="00C0490A">
            <w:pPr>
              <w:pStyle w:val="Normaltabletextcentred"/>
              <w:rPr>
                <w:color w:val="262626" w:themeColor="text1" w:themeTint="D9"/>
                <w:lang w:eastAsia="en-AU"/>
              </w:rPr>
            </w:pPr>
          </w:p>
        </w:tc>
        <w:tc>
          <w:tcPr>
            <w:tcW w:w="1127" w:type="dxa"/>
            <w:tcBorders>
              <w:top w:val="nil"/>
              <w:bottom w:val="nil"/>
            </w:tcBorders>
            <w:shd w:val="clear" w:color="auto" w:fill="FEE4B0"/>
            <w:noWrap/>
            <w:tcMar>
              <w:left w:w="0" w:type="dxa"/>
              <w:right w:w="113" w:type="dxa"/>
            </w:tcMar>
          </w:tcPr>
          <w:p w:rsidR="00C0490A" w:rsidRPr="00E465A1" w:rsidRDefault="00C0490A" w:rsidP="00C0490A">
            <w:pPr>
              <w:pStyle w:val="Normaltabletext1stpararight"/>
              <w:rPr>
                <w:color w:val="262626" w:themeColor="text1" w:themeTint="D9"/>
                <w:lang w:eastAsia="en-AU"/>
              </w:rPr>
            </w:pPr>
            <w:r w:rsidRPr="00E465A1">
              <w:rPr>
                <w:b/>
                <w:color w:val="262626" w:themeColor="text1" w:themeTint="D9"/>
                <w:lang w:eastAsia="en-AU"/>
              </w:rPr>
              <w:t>$’000</w:t>
            </w:r>
          </w:p>
        </w:tc>
        <w:tc>
          <w:tcPr>
            <w:tcW w:w="159" w:type="dxa"/>
            <w:tcBorders>
              <w:top w:val="nil"/>
              <w:bottom w:val="nil"/>
            </w:tcBorders>
            <w:noWrap/>
            <w:tcMar>
              <w:left w:w="0" w:type="dxa"/>
              <w:right w:w="0" w:type="dxa"/>
            </w:tcMar>
          </w:tcPr>
          <w:p w:rsidR="00C0490A" w:rsidRPr="00E465A1" w:rsidRDefault="00C0490A" w:rsidP="00C0490A">
            <w:pPr>
              <w:pStyle w:val="Normaltabletextcentred"/>
              <w:rPr>
                <w:color w:val="262626" w:themeColor="text1" w:themeTint="D9"/>
                <w:lang w:eastAsia="en-AU"/>
              </w:rPr>
            </w:pPr>
          </w:p>
        </w:tc>
        <w:tc>
          <w:tcPr>
            <w:tcW w:w="1141" w:type="dxa"/>
            <w:tcBorders>
              <w:top w:val="nil"/>
              <w:bottom w:val="nil"/>
              <w:right w:val="nil"/>
            </w:tcBorders>
            <w:shd w:val="clear" w:color="auto" w:fill="FFFFFF" w:themeFill="background1"/>
            <w:noWrap/>
            <w:tcMar>
              <w:left w:w="0" w:type="dxa"/>
              <w:right w:w="113" w:type="dxa"/>
            </w:tcMar>
          </w:tcPr>
          <w:p w:rsidR="00C0490A" w:rsidRPr="00E465A1" w:rsidRDefault="00C0490A" w:rsidP="00C0490A">
            <w:pPr>
              <w:pStyle w:val="Normaltabletext1stpararight"/>
              <w:rPr>
                <w:b/>
                <w:color w:val="262626" w:themeColor="text1" w:themeTint="D9"/>
                <w:lang w:eastAsia="en-AU"/>
              </w:rPr>
            </w:pPr>
            <w:r w:rsidRPr="00E465A1">
              <w:rPr>
                <w:b/>
                <w:color w:val="262626" w:themeColor="text1" w:themeTint="D9"/>
                <w:lang w:eastAsia="en-AU"/>
              </w:rPr>
              <w:t>$’000</w:t>
            </w:r>
          </w:p>
          <w:p w:rsidR="00C0490A" w:rsidRPr="00E465A1" w:rsidRDefault="00C0490A" w:rsidP="00C0490A">
            <w:pPr>
              <w:pStyle w:val="Normaltabletext1stpararight"/>
              <w:rPr>
                <w:color w:val="262626" w:themeColor="text1" w:themeTint="D9"/>
                <w:lang w:eastAsia="en-AU"/>
              </w:rPr>
            </w:pPr>
          </w:p>
        </w:tc>
      </w:tr>
      <w:tr w:rsidR="00E465A1" w:rsidRPr="00E465A1" w:rsidTr="00AD6577">
        <w:trPr>
          <w:trHeight w:val="20"/>
        </w:trPr>
        <w:tc>
          <w:tcPr>
            <w:tcW w:w="6805" w:type="dxa"/>
            <w:tcBorders>
              <w:top w:val="nil"/>
              <w:left w:val="nil"/>
              <w:bottom w:val="nil"/>
            </w:tcBorders>
            <w:noWrap/>
            <w:tcMar>
              <w:left w:w="0" w:type="dxa"/>
              <w:right w:w="0" w:type="dxa"/>
            </w:tcMar>
          </w:tcPr>
          <w:p w:rsidR="00C0490A" w:rsidRPr="00E465A1" w:rsidRDefault="00C0490A" w:rsidP="00C0490A">
            <w:pPr>
              <w:pStyle w:val="Normaltabletextleft"/>
              <w:rPr>
                <w:color w:val="262626" w:themeColor="text1" w:themeTint="D9"/>
                <w:lang w:eastAsia="en-AU"/>
              </w:rPr>
            </w:pPr>
            <w:r w:rsidRPr="00E465A1">
              <w:rPr>
                <w:color w:val="262626" w:themeColor="text1" w:themeTint="D9"/>
                <w:lang w:eastAsia="en-AU"/>
              </w:rPr>
              <w:t>Wages outstanding</w:t>
            </w:r>
          </w:p>
        </w:tc>
        <w:tc>
          <w:tcPr>
            <w:tcW w:w="852" w:type="dxa"/>
            <w:tcBorders>
              <w:top w:val="nil"/>
              <w:bottom w:val="nil"/>
            </w:tcBorders>
            <w:noWrap/>
            <w:tcMar>
              <w:left w:w="0" w:type="dxa"/>
              <w:right w:w="0" w:type="dxa"/>
            </w:tcMar>
          </w:tcPr>
          <w:p w:rsidR="00C0490A" w:rsidRPr="00E465A1" w:rsidRDefault="00C0490A" w:rsidP="00C0490A">
            <w:pPr>
              <w:pStyle w:val="Normaltabletextcentred"/>
              <w:rPr>
                <w:b/>
                <w:color w:val="262626" w:themeColor="text1" w:themeTint="D9"/>
                <w:lang w:eastAsia="en-AU"/>
              </w:rPr>
            </w:pPr>
          </w:p>
        </w:tc>
        <w:tc>
          <w:tcPr>
            <w:tcW w:w="1127" w:type="dxa"/>
            <w:tcBorders>
              <w:top w:val="nil"/>
              <w:bottom w:val="nil"/>
            </w:tcBorders>
            <w:shd w:val="clear" w:color="auto" w:fill="FEE4B0"/>
            <w:noWrap/>
            <w:tcMar>
              <w:left w:w="0" w:type="dxa"/>
              <w:right w:w="113" w:type="dxa"/>
            </w:tcMar>
          </w:tcPr>
          <w:p w:rsidR="00C0490A" w:rsidRPr="00E465A1" w:rsidRDefault="00ED256A" w:rsidP="00C762B3">
            <w:pPr>
              <w:pStyle w:val="Normaltabletext1stpararight"/>
              <w:rPr>
                <w:color w:val="262626" w:themeColor="text1" w:themeTint="D9"/>
                <w:lang w:eastAsia="en-AU"/>
              </w:rPr>
            </w:pPr>
            <w:r w:rsidRPr="00E465A1">
              <w:rPr>
                <w:color w:val="262626" w:themeColor="text1" w:themeTint="D9"/>
                <w:lang w:eastAsia="en-AU"/>
              </w:rPr>
              <w:t>7</w:t>
            </w:r>
            <w:r w:rsidR="00C762B3" w:rsidRPr="00E465A1">
              <w:rPr>
                <w:color w:val="262626" w:themeColor="text1" w:themeTint="D9"/>
                <w:lang w:eastAsia="en-AU"/>
              </w:rPr>
              <w:t>92</w:t>
            </w:r>
          </w:p>
        </w:tc>
        <w:tc>
          <w:tcPr>
            <w:tcW w:w="159" w:type="dxa"/>
            <w:tcBorders>
              <w:top w:val="nil"/>
              <w:bottom w:val="nil"/>
            </w:tcBorders>
            <w:noWrap/>
            <w:tcMar>
              <w:left w:w="0" w:type="dxa"/>
              <w:right w:w="0" w:type="dxa"/>
            </w:tcMar>
          </w:tcPr>
          <w:p w:rsidR="00C0490A" w:rsidRPr="00E465A1" w:rsidRDefault="00C0490A" w:rsidP="00C0490A">
            <w:pPr>
              <w:pStyle w:val="Normaltabletextcentred"/>
              <w:rPr>
                <w:color w:val="262626" w:themeColor="text1" w:themeTint="D9"/>
                <w:lang w:eastAsia="en-AU"/>
              </w:rPr>
            </w:pPr>
          </w:p>
        </w:tc>
        <w:tc>
          <w:tcPr>
            <w:tcW w:w="1141" w:type="dxa"/>
            <w:tcBorders>
              <w:top w:val="nil"/>
              <w:bottom w:val="nil"/>
              <w:right w:val="nil"/>
            </w:tcBorders>
            <w:shd w:val="clear" w:color="auto" w:fill="FFFFFF" w:themeFill="background1"/>
            <w:noWrap/>
            <w:tcMar>
              <w:left w:w="0" w:type="dxa"/>
              <w:right w:w="113" w:type="dxa"/>
            </w:tcMar>
          </w:tcPr>
          <w:p w:rsidR="00C0490A" w:rsidRPr="00E465A1" w:rsidRDefault="00C0490A" w:rsidP="00C0490A">
            <w:pPr>
              <w:pStyle w:val="Normaltabletext1stpararight"/>
              <w:rPr>
                <w:color w:val="262626" w:themeColor="text1" w:themeTint="D9"/>
                <w:lang w:eastAsia="en-AU"/>
              </w:rPr>
            </w:pPr>
            <w:r w:rsidRPr="00E465A1">
              <w:rPr>
                <w:color w:val="262626" w:themeColor="text1" w:themeTint="D9"/>
                <w:lang w:eastAsia="en-AU"/>
              </w:rPr>
              <w:t>945</w:t>
            </w:r>
          </w:p>
        </w:tc>
      </w:tr>
      <w:tr w:rsidR="00E465A1" w:rsidRPr="00E465A1" w:rsidTr="00AD6577">
        <w:trPr>
          <w:trHeight w:val="20"/>
        </w:trPr>
        <w:tc>
          <w:tcPr>
            <w:tcW w:w="6805" w:type="dxa"/>
            <w:tcBorders>
              <w:top w:val="nil"/>
              <w:left w:val="nil"/>
              <w:bottom w:val="nil"/>
            </w:tcBorders>
            <w:noWrap/>
            <w:tcMar>
              <w:left w:w="0" w:type="dxa"/>
              <w:right w:w="0" w:type="dxa"/>
            </w:tcMar>
          </w:tcPr>
          <w:p w:rsidR="00C0490A" w:rsidRPr="00E465A1" w:rsidRDefault="00C0490A" w:rsidP="00C0490A">
            <w:pPr>
              <w:pStyle w:val="Normaltabletextleft"/>
              <w:rPr>
                <w:color w:val="262626" w:themeColor="text1" w:themeTint="D9"/>
                <w:lang w:eastAsia="en-AU"/>
              </w:rPr>
            </w:pPr>
            <w:r w:rsidRPr="00E465A1">
              <w:rPr>
                <w:color w:val="262626" w:themeColor="text1" w:themeTint="D9"/>
                <w:lang w:eastAsia="en-AU"/>
              </w:rPr>
              <w:t>Annual leave entitlements</w:t>
            </w:r>
          </w:p>
        </w:tc>
        <w:tc>
          <w:tcPr>
            <w:tcW w:w="852" w:type="dxa"/>
            <w:tcBorders>
              <w:top w:val="nil"/>
              <w:bottom w:val="nil"/>
            </w:tcBorders>
            <w:noWrap/>
            <w:tcMar>
              <w:left w:w="0" w:type="dxa"/>
              <w:right w:w="0" w:type="dxa"/>
            </w:tcMar>
          </w:tcPr>
          <w:p w:rsidR="00C0490A" w:rsidRPr="00E465A1" w:rsidRDefault="00C0490A" w:rsidP="00C0490A">
            <w:pPr>
              <w:pStyle w:val="Normaltabletextcentred"/>
              <w:rPr>
                <w:color w:val="262626" w:themeColor="text1" w:themeTint="D9"/>
                <w:lang w:eastAsia="en-AU"/>
              </w:rPr>
            </w:pPr>
          </w:p>
        </w:tc>
        <w:tc>
          <w:tcPr>
            <w:tcW w:w="1127" w:type="dxa"/>
            <w:tcBorders>
              <w:top w:val="nil"/>
              <w:bottom w:val="nil"/>
            </w:tcBorders>
            <w:shd w:val="clear" w:color="auto" w:fill="FEE4B0"/>
            <w:noWrap/>
            <w:tcMar>
              <w:left w:w="0" w:type="dxa"/>
              <w:right w:w="113" w:type="dxa"/>
            </w:tcMar>
          </w:tcPr>
          <w:p w:rsidR="00C0490A" w:rsidRPr="00E465A1" w:rsidRDefault="00ED256A" w:rsidP="00C0490A">
            <w:pPr>
              <w:pStyle w:val="Normaltabletext1stpararight"/>
              <w:rPr>
                <w:color w:val="262626" w:themeColor="text1" w:themeTint="D9"/>
                <w:lang w:eastAsia="en-AU"/>
              </w:rPr>
            </w:pPr>
            <w:r w:rsidRPr="00E465A1">
              <w:rPr>
                <w:color w:val="262626" w:themeColor="text1" w:themeTint="D9"/>
                <w:lang w:eastAsia="en-AU"/>
              </w:rPr>
              <w:t>2,252</w:t>
            </w:r>
          </w:p>
        </w:tc>
        <w:tc>
          <w:tcPr>
            <w:tcW w:w="159" w:type="dxa"/>
            <w:tcBorders>
              <w:top w:val="nil"/>
              <w:bottom w:val="nil"/>
            </w:tcBorders>
            <w:noWrap/>
            <w:tcMar>
              <w:left w:w="0" w:type="dxa"/>
              <w:right w:w="0" w:type="dxa"/>
            </w:tcMar>
          </w:tcPr>
          <w:p w:rsidR="00C0490A" w:rsidRPr="00E465A1" w:rsidRDefault="00C0490A" w:rsidP="00C0490A">
            <w:pPr>
              <w:pStyle w:val="Normaltabletextcentred"/>
              <w:rPr>
                <w:color w:val="262626" w:themeColor="text1" w:themeTint="D9"/>
                <w:lang w:eastAsia="en-AU"/>
              </w:rPr>
            </w:pPr>
          </w:p>
        </w:tc>
        <w:tc>
          <w:tcPr>
            <w:tcW w:w="1141" w:type="dxa"/>
            <w:tcBorders>
              <w:top w:val="nil"/>
              <w:bottom w:val="nil"/>
              <w:right w:val="nil"/>
            </w:tcBorders>
            <w:shd w:val="clear" w:color="auto" w:fill="FFFFFF" w:themeFill="background1"/>
            <w:noWrap/>
            <w:tcMar>
              <w:left w:w="0" w:type="dxa"/>
              <w:right w:w="113" w:type="dxa"/>
            </w:tcMar>
          </w:tcPr>
          <w:p w:rsidR="00C0490A" w:rsidRPr="00E465A1" w:rsidRDefault="00C0490A" w:rsidP="00C0490A">
            <w:pPr>
              <w:pStyle w:val="Normaltabletext1stpararight"/>
              <w:rPr>
                <w:color w:val="262626" w:themeColor="text1" w:themeTint="D9"/>
                <w:lang w:eastAsia="en-AU"/>
              </w:rPr>
            </w:pPr>
            <w:r w:rsidRPr="00E465A1">
              <w:rPr>
                <w:color w:val="262626" w:themeColor="text1" w:themeTint="D9"/>
                <w:lang w:eastAsia="en-AU"/>
              </w:rPr>
              <w:t>2,258</w:t>
            </w:r>
          </w:p>
        </w:tc>
      </w:tr>
      <w:tr w:rsidR="00E465A1" w:rsidRPr="00E465A1" w:rsidTr="00AD6577">
        <w:trPr>
          <w:trHeight w:val="20"/>
        </w:trPr>
        <w:tc>
          <w:tcPr>
            <w:tcW w:w="6805" w:type="dxa"/>
            <w:tcBorders>
              <w:top w:val="nil"/>
              <w:left w:val="nil"/>
              <w:bottom w:val="nil"/>
            </w:tcBorders>
            <w:noWrap/>
            <w:tcMar>
              <w:left w:w="0" w:type="dxa"/>
              <w:right w:w="0" w:type="dxa"/>
            </w:tcMar>
          </w:tcPr>
          <w:p w:rsidR="00C0490A" w:rsidRPr="00E465A1" w:rsidRDefault="00C0490A" w:rsidP="00C0490A">
            <w:pPr>
              <w:pStyle w:val="Normaltabletextleft"/>
              <w:rPr>
                <w:color w:val="262626" w:themeColor="text1" w:themeTint="D9"/>
                <w:lang w:eastAsia="en-AU"/>
              </w:rPr>
            </w:pPr>
            <w:r w:rsidRPr="00E465A1">
              <w:rPr>
                <w:color w:val="262626" w:themeColor="text1" w:themeTint="D9"/>
                <w:lang w:eastAsia="en-AU"/>
              </w:rPr>
              <w:t>Long service leave levy payable</w:t>
            </w:r>
          </w:p>
        </w:tc>
        <w:tc>
          <w:tcPr>
            <w:tcW w:w="852" w:type="dxa"/>
            <w:tcBorders>
              <w:top w:val="nil"/>
              <w:bottom w:val="nil"/>
            </w:tcBorders>
            <w:noWrap/>
            <w:tcMar>
              <w:left w:w="0" w:type="dxa"/>
              <w:right w:w="0" w:type="dxa"/>
            </w:tcMar>
          </w:tcPr>
          <w:p w:rsidR="00C0490A" w:rsidRPr="00E465A1" w:rsidRDefault="00C0490A" w:rsidP="00C0490A">
            <w:pPr>
              <w:pStyle w:val="Normaltabletextcentred"/>
              <w:rPr>
                <w:color w:val="262626" w:themeColor="text1" w:themeTint="D9"/>
                <w:lang w:eastAsia="en-AU"/>
              </w:rPr>
            </w:pPr>
          </w:p>
        </w:tc>
        <w:tc>
          <w:tcPr>
            <w:tcW w:w="1127" w:type="dxa"/>
            <w:tcBorders>
              <w:top w:val="nil"/>
              <w:bottom w:val="nil"/>
            </w:tcBorders>
            <w:shd w:val="clear" w:color="auto" w:fill="FEE4B0"/>
            <w:noWrap/>
            <w:tcMar>
              <w:left w:w="0" w:type="dxa"/>
              <w:right w:w="113" w:type="dxa"/>
            </w:tcMar>
          </w:tcPr>
          <w:p w:rsidR="00C0490A" w:rsidRPr="00E465A1" w:rsidRDefault="00C762B3" w:rsidP="00C0490A">
            <w:pPr>
              <w:pStyle w:val="Normaltabletext1stpararight"/>
              <w:rPr>
                <w:color w:val="262626" w:themeColor="text1" w:themeTint="D9"/>
                <w:lang w:eastAsia="en-AU"/>
              </w:rPr>
            </w:pPr>
            <w:r w:rsidRPr="00E465A1">
              <w:rPr>
                <w:color w:val="262626" w:themeColor="text1" w:themeTint="D9"/>
                <w:lang w:eastAsia="en-AU"/>
              </w:rPr>
              <w:t>171</w:t>
            </w:r>
          </w:p>
        </w:tc>
        <w:tc>
          <w:tcPr>
            <w:tcW w:w="159" w:type="dxa"/>
            <w:tcBorders>
              <w:top w:val="nil"/>
              <w:bottom w:val="nil"/>
            </w:tcBorders>
            <w:noWrap/>
            <w:tcMar>
              <w:left w:w="0" w:type="dxa"/>
              <w:right w:w="0" w:type="dxa"/>
            </w:tcMar>
          </w:tcPr>
          <w:p w:rsidR="00C0490A" w:rsidRPr="00E465A1" w:rsidRDefault="00C0490A" w:rsidP="00C0490A">
            <w:pPr>
              <w:pStyle w:val="Normaltabletextcentred"/>
              <w:rPr>
                <w:color w:val="262626" w:themeColor="text1" w:themeTint="D9"/>
                <w:lang w:eastAsia="en-AU"/>
              </w:rPr>
            </w:pPr>
          </w:p>
        </w:tc>
        <w:tc>
          <w:tcPr>
            <w:tcW w:w="1141" w:type="dxa"/>
            <w:tcBorders>
              <w:top w:val="nil"/>
              <w:bottom w:val="nil"/>
              <w:right w:val="nil"/>
            </w:tcBorders>
            <w:shd w:val="clear" w:color="auto" w:fill="FFFFFF" w:themeFill="background1"/>
            <w:noWrap/>
            <w:tcMar>
              <w:left w:w="0" w:type="dxa"/>
              <w:right w:w="113" w:type="dxa"/>
            </w:tcMar>
          </w:tcPr>
          <w:p w:rsidR="00C0490A" w:rsidRPr="00E465A1" w:rsidRDefault="00C0490A" w:rsidP="00C0490A">
            <w:pPr>
              <w:pStyle w:val="Normaltabletext1stpararight"/>
              <w:rPr>
                <w:color w:val="262626" w:themeColor="text1" w:themeTint="D9"/>
                <w:lang w:eastAsia="en-AU"/>
              </w:rPr>
            </w:pPr>
            <w:r w:rsidRPr="00E465A1">
              <w:rPr>
                <w:color w:val="262626" w:themeColor="text1" w:themeTint="D9"/>
                <w:lang w:eastAsia="en-AU"/>
              </w:rPr>
              <w:t>125</w:t>
            </w:r>
          </w:p>
        </w:tc>
      </w:tr>
      <w:tr w:rsidR="00E465A1" w:rsidRPr="00E465A1" w:rsidTr="00AD6577">
        <w:trPr>
          <w:trHeight w:val="20"/>
        </w:trPr>
        <w:tc>
          <w:tcPr>
            <w:tcW w:w="6805" w:type="dxa"/>
            <w:tcBorders>
              <w:top w:val="nil"/>
              <w:left w:val="nil"/>
              <w:bottom w:val="nil"/>
            </w:tcBorders>
            <w:noWrap/>
            <w:tcMar>
              <w:left w:w="0" w:type="dxa"/>
              <w:right w:w="0" w:type="dxa"/>
            </w:tcMar>
          </w:tcPr>
          <w:p w:rsidR="00C0490A" w:rsidRPr="00E465A1" w:rsidRDefault="00C0490A" w:rsidP="00C0490A">
            <w:pPr>
              <w:pStyle w:val="Normaltabletextleft"/>
              <w:rPr>
                <w:b/>
                <w:color w:val="262626" w:themeColor="text1" w:themeTint="D9"/>
                <w:lang w:eastAsia="en-AU"/>
              </w:rPr>
            </w:pPr>
            <w:r w:rsidRPr="00E465A1">
              <w:rPr>
                <w:b/>
                <w:color w:val="262626" w:themeColor="text1" w:themeTint="D9"/>
                <w:lang w:eastAsia="en-AU"/>
              </w:rPr>
              <w:t>Total</w:t>
            </w:r>
          </w:p>
        </w:tc>
        <w:tc>
          <w:tcPr>
            <w:tcW w:w="852" w:type="dxa"/>
            <w:tcBorders>
              <w:top w:val="nil"/>
              <w:bottom w:val="nil"/>
            </w:tcBorders>
            <w:noWrap/>
            <w:tcMar>
              <w:left w:w="0" w:type="dxa"/>
              <w:right w:w="0" w:type="dxa"/>
            </w:tcMar>
          </w:tcPr>
          <w:p w:rsidR="00C0490A" w:rsidRPr="00E465A1" w:rsidRDefault="00C0490A" w:rsidP="00C0490A">
            <w:pPr>
              <w:pStyle w:val="Normaltabletextcentred"/>
              <w:rPr>
                <w:b/>
                <w:color w:val="262626" w:themeColor="text1" w:themeTint="D9"/>
                <w:lang w:eastAsia="en-AU"/>
              </w:rPr>
            </w:pPr>
          </w:p>
        </w:tc>
        <w:tc>
          <w:tcPr>
            <w:tcW w:w="1127" w:type="dxa"/>
            <w:tcBorders>
              <w:top w:val="single" w:sz="4" w:space="0" w:color="auto"/>
              <w:bottom w:val="double" w:sz="4" w:space="0" w:color="auto"/>
            </w:tcBorders>
            <w:shd w:val="clear" w:color="auto" w:fill="FEE4B0"/>
            <w:noWrap/>
            <w:tcMar>
              <w:left w:w="0" w:type="dxa"/>
              <w:right w:w="113" w:type="dxa"/>
            </w:tcMar>
          </w:tcPr>
          <w:p w:rsidR="00C0490A" w:rsidRPr="00E465A1" w:rsidRDefault="00C762B3" w:rsidP="00C0490A">
            <w:pPr>
              <w:pStyle w:val="Normaltabletext1stpararight"/>
              <w:rPr>
                <w:b/>
                <w:color w:val="262626" w:themeColor="text1" w:themeTint="D9"/>
                <w:lang w:eastAsia="en-AU"/>
              </w:rPr>
            </w:pPr>
            <w:r w:rsidRPr="00E465A1">
              <w:rPr>
                <w:b/>
                <w:color w:val="262626" w:themeColor="text1" w:themeTint="D9"/>
                <w:lang w:eastAsia="en-AU"/>
              </w:rPr>
              <w:t>3,215</w:t>
            </w:r>
          </w:p>
        </w:tc>
        <w:tc>
          <w:tcPr>
            <w:tcW w:w="159" w:type="dxa"/>
            <w:tcBorders>
              <w:top w:val="nil"/>
              <w:bottom w:val="nil"/>
            </w:tcBorders>
            <w:noWrap/>
            <w:tcMar>
              <w:left w:w="0" w:type="dxa"/>
              <w:right w:w="0" w:type="dxa"/>
            </w:tcMar>
          </w:tcPr>
          <w:p w:rsidR="00C0490A" w:rsidRPr="00E465A1" w:rsidRDefault="00C0490A" w:rsidP="00C0490A">
            <w:pPr>
              <w:pStyle w:val="Normaltabletextcentred"/>
              <w:rPr>
                <w:b/>
                <w:color w:val="262626" w:themeColor="text1" w:themeTint="D9"/>
                <w:lang w:eastAsia="en-AU"/>
              </w:rPr>
            </w:pPr>
          </w:p>
        </w:tc>
        <w:tc>
          <w:tcPr>
            <w:tcW w:w="1141" w:type="dxa"/>
            <w:tcBorders>
              <w:top w:val="single" w:sz="4" w:space="0" w:color="auto"/>
              <w:bottom w:val="double" w:sz="4" w:space="0" w:color="auto"/>
              <w:right w:val="nil"/>
            </w:tcBorders>
            <w:shd w:val="clear" w:color="auto" w:fill="FFFFFF" w:themeFill="background1"/>
            <w:noWrap/>
            <w:tcMar>
              <w:left w:w="0" w:type="dxa"/>
              <w:right w:w="113" w:type="dxa"/>
            </w:tcMar>
          </w:tcPr>
          <w:p w:rsidR="00C0490A" w:rsidRPr="00E465A1" w:rsidRDefault="00C0490A" w:rsidP="00C0490A">
            <w:pPr>
              <w:pStyle w:val="Normaltabletext1stpararight"/>
              <w:rPr>
                <w:b/>
                <w:color w:val="262626" w:themeColor="text1" w:themeTint="D9"/>
                <w:lang w:eastAsia="en-AU"/>
              </w:rPr>
            </w:pPr>
            <w:r w:rsidRPr="00E465A1">
              <w:rPr>
                <w:b/>
                <w:color w:val="262626" w:themeColor="text1" w:themeTint="D9"/>
                <w:lang w:eastAsia="en-AU"/>
              </w:rPr>
              <w:t>3,328</w:t>
            </w:r>
          </w:p>
        </w:tc>
      </w:tr>
      <w:tr w:rsidR="00E465A1" w:rsidRPr="00E465A1" w:rsidTr="006153A8">
        <w:trPr>
          <w:trHeight w:val="20"/>
        </w:trPr>
        <w:tc>
          <w:tcPr>
            <w:tcW w:w="6805" w:type="dxa"/>
            <w:tcBorders>
              <w:top w:val="nil"/>
              <w:left w:val="nil"/>
              <w:bottom w:val="nil"/>
            </w:tcBorders>
            <w:noWrap/>
            <w:tcMar>
              <w:left w:w="0" w:type="dxa"/>
              <w:right w:w="0" w:type="dxa"/>
            </w:tcMar>
          </w:tcPr>
          <w:p w:rsidR="00C0490A" w:rsidRPr="00E465A1" w:rsidRDefault="00C0490A" w:rsidP="00C0490A">
            <w:pPr>
              <w:pStyle w:val="Normaltabletextleft"/>
              <w:rPr>
                <w:color w:val="262626" w:themeColor="text1" w:themeTint="D9"/>
                <w:lang w:eastAsia="en-AU"/>
              </w:rPr>
            </w:pPr>
          </w:p>
        </w:tc>
        <w:tc>
          <w:tcPr>
            <w:tcW w:w="852" w:type="dxa"/>
            <w:tcBorders>
              <w:top w:val="nil"/>
              <w:bottom w:val="nil"/>
            </w:tcBorders>
            <w:noWrap/>
            <w:tcMar>
              <w:left w:w="0" w:type="dxa"/>
              <w:right w:w="0" w:type="dxa"/>
            </w:tcMar>
          </w:tcPr>
          <w:p w:rsidR="00C0490A" w:rsidRPr="00E465A1" w:rsidRDefault="00C0490A" w:rsidP="00C0490A">
            <w:pPr>
              <w:pStyle w:val="Normaltabletextleft"/>
              <w:rPr>
                <w:b/>
                <w:color w:val="262626" w:themeColor="text1" w:themeTint="D9"/>
                <w:lang w:eastAsia="en-AU"/>
              </w:rPr>
            </w:pPr>
          </w:p>
        </w:tc>
        <w:tc>
          <w:tcPr>
            <w:tcW w:w="1127" w:type="dxa"/>
            <w:tcBorders>
              <w:top w:val="nil"/>
              <w:bottom w:val="nil"/>
            </w:tcBorders>
            <w:shd w:val="clear" w:color="auto" w:fill="FFFFFF" w:themeFill="background1"/>
            <w:noWrap/>
            <w:tcMar>
              <w:left w:w="0" w:type="dxa"/>
              <w:right w:w="113" w:type="dxa"/>
            </w:tcMar>
          </w:tcPr>
          <w:p w:rsidR="00C0490A" w:rsidRPr="00E465A1" w:rsidRDefault="00C0490A" w:rsidP="00C0490A">
            <w:pPr>
              <w:pStyle w:val="Normaltabletextleft"/>
              <w:rPr>
                <w:color w:val="262626" w:themeColor="text1" w:themeTint="D9"/>
                <w:lang w:eastAsia="en-AU"/>
              </w:rPr>
            </w:pPr>
          </w:p>
        </w:tc>
        <w:tc>
          <w:tcPr>
            <w:tcW w:w="159" w:type="dxa"/>
            <w:tcBorders>
              <w:top w:val="nil"/>
              <w:bottom w:val="nil"/>
            </w:tcBorders>
            <w:noWrap/>
            <w:tcMar>
              <w:left w:w="0" w:type="dxa"/>
              <w:right w:w="0" w:type="dxa"/>
            </w:tcMar>
          </w:tcPr>
          <w:p w:rsidR="00C0490A" w:rsidRPr="00E465A1" w:rsidRDefault="00C0490A" w:rsidP="00C0490A">
            <w:pPr>
              <w:pStyle w:val="Normaltabletextleft"/>
              <w:rPr>
                <w:color w:val="262626" w:themeColor="text1" w:themeTint="D9"/>
                <w:lang w:eastAsia="en-AU"/>
              </w:rPr>
            </w:pPr>
          </w:p>
        </w:tc>
        <w:tc>
          <w:tcPr>
            <w:tcW w:w="1141" w:type="dxa"/>
            <w:tcBorders>
              <w:top w:val="nil"/>
              <w:bottom w:val="nil"/>
              <w:right w:val="nil"/>
            </w:tcBorders>
            <w:noWrap/>
            <w:tcMar>
              <w:left w:w="0" w:type="dxa"/>
              <w:right w:w="113" w:type="dxa"/>
            </w:tcMar>
          </w:tcPr>
          <w:p w:rsidR="00C0490A" w:rsidRPr="00E465A1" w:rsidRDefault="00C0490A" w:rsidP="00C0490A">
            <w:pPr>
              <w:pStyle w:val="Normaltabletextleft"/>
              <w:rPr>
                <w:color w:val="262626" w:themeColor="text1" w:themeTint="D9"/>
                <w:lang w:eastAsia="en-AU"/>
              </w:rPr>
            </w:pPr>
          </w:p>
        </w:tc>
      </w:tr>
    </w:tbl>
    <w:p w:rsidR="001B4F6E" w:rsidRPr="00E465A1" w:rsidRDefault="001B4F6E" w:rsidP="0035206A">
      <w:pPr>
        <w:pStyle w:val="Normal1stpara"/>
        <w:rPr>
          <w:color w:val="262626" w:themeColor="text1" w:themeTint="D9"/>
        </w:rPr>
      </w:pPr>
    </w:p>
    <w:p w:rsidR="009C5E1A" w:rsidRPr="00E465A1" w:rsidRDefault="009C5E1A" w:rsidP="0035206A">
      <w:pPr>
        <w:pStyle w:val="Normal1stpara"/>
        <w:rPr>
          <w:color w:val="262626" w:themeColor="text1" w:themeTint="D9"/>
        </w:rPr>
      </w:pPr>
    </w:p>
    <w:p w:rsidR="009C5E1A" w:rsidRPr="00E465A1" w:rsidRDefault="009C5E1A" w:rsidP="0035206A">
      <w:pPr>
        <w:pStyle w:val="Normal1stpara"/>
        <w:rPr>
          <w:color w:val="262626" w:themeColor="text1" w:themeTint="D9"/>
        </w:rPr>
      </w:pPr>
    </w:p>
    <w:p w:rsidR="009C5E1A" w:rsidRPr="00E465A1" w:rsidRDefault="009C5E1A" w:rsidP="0035206A">
      <w:pPr>
        <w:pStyle w:val="Normal1stpara"/>
        <w:rPr>
          <w:color w:val="262626" w:themeColor="text1" w:themeTint="D9"/>
        </w:rPr>
      </w:pPr>
    </w:p>
    <w:p w:rsidR="00ED256A" w:rsidRPr="00E465A1" w:rsidRDefault="00ED256A" w:rsidP="0035206A">
      <w:pPr>
        <w:pStyle w:val="Normal1stpara"/>
        <w:rPr>
          <w:color w:val="262626" w:themeColor="text1" w:themeTint="D9"/>
        </w:rPr>
      </w:pPr>
    </w:p>
    <w:p w:rsidR="00ED256A" w:rsidRPr="00E465A1" w:rsidRDefault="00ED256A" w:rsidP="0035206A">
      <w:pPr>
        <w:pStyle w:val="Normal1stpara"/>
        <w:rPr>
          <w:color w:val="262626" w:themeColor="text1" w:themeTint="D9"/>
        </w:rPr>
      </w:pPr>
    </w:p>
    <w:p w:rsidR="0035206A" w:rsidRPr="00E465A1" w:rsidRDefault="0035206A" w:rsidP="0035206A">
      <w:pPr>
        <w:pStyle w:val="Normal115pttextnospacebefore"/>
        <w:rPr>
          <w:color w:val="262626" w:themeColor="text1" w:themeTint="D9"/>
        </w:rPr>
      </w:pPr>
      <w:r w:rsidRPr="00E465A1">
        <w:rPr>
          <w:color w:val="262626" w:themeColor="text1" w:themeTint="D9"/>
        </w:rPr>
        <w:lastRenderedPageBreak/>
        <w:t>Note 1</w:t>
      </w:r>
      <w:r w:rsidR="0014516F" w:rsidRPr="00E465A1">
        <w:rPr>
          <w:color w:val="262626" w:themeColor="text1" w:themeTint="D9"/>
        </w:rPr>
        <w:t>5</w:t>
      </w:r>
      <w:r w:rsidRPr="00E465A1">
        <w:rPr>
          <w:color w:val="262626" w:themeColor="text1" w:themeTint="D9"/>
        </w:rPr>
        <w:t>:  Provisions</w:t>
      </w:r>
    </w:p>
    <w:p w:rsidR="0035206A" w:rsidRPr="00E465A1" w:rsidRDefault="0035206A" w:rsidP="00A24D12">
      <w:pPr>
        <w:pStyle w:val="Normal1stpara"/>
        <w:rPr>
          <w:color w:val="262626" w:themeColor="text1" w:themeTint="D9"/>
        </w:rPr>
      </w:pPr>
    </w:p>
    <w:tbl>
      <w:tblPr>
        <w:tblStyle w:val="TableGrid"/>
        <w:tblW w:w="0" w:type="auto"/>
        <w:tblCellMar>
          <w:top w:w="113" w:type="dxa"/>
          <w:bottom w:w="113" w:type="dxa"/>
        </w:tblCellMar>
        <w:tblLook w:val="04A0" w:firstRow="1" w:lastRow="0" w:firstColumn="1" w:lastColumn="0" w:noHBand="0" w:noVBand="1"/>
      </w:tblPr>
      <w:tblGrid>
        <w:gridCol w:w="10196"/>
      </w:tblGrid>
      <w:tr w:rsidR="0035206A" w:rsidRPr="00E465A1" w:rsidTr="008F5B2D">
        <w:tc>
          <w:tcPr>
            <w:tcW w:w="10201" w:type="dxa"/>
          </w:tcPr>
          <w:p w:rsidR="0035206A" w:rsidRPr="00E465A1" w:rsidRDefault="0035206A" w:rsidP="00F618A2">
            <w:pPr>
              <w:pStyle w:val="Policyheading"/>
              <w:rPr>
                <w:color w:val="262626" w:themeColor="text1" w:themeTint="D9"/>
              </w:rPr>
            </w:pPr>
            <w:r w:rsidRPr="00E465A1">
              <w:rPr>
                <w:color w:val="262626" w:themeColor="text1" w:themeTint="D9"/>
              </w:rPr>
              <w:t>Accounting Policy:</w:t>
            </w:r>
          </w:p>
          <w:p w:rsidR="009C5E1A" w:rsidRPr="00E465A1" w:rsidRDefault="009C5E1A" w:rsidP="00F618A2">
            <w:pPr>
              <w:pStyle w:val="Policyheading"/>
              <w:rPr>
                <w:color w:val="262626" w:themeColor="text1" w:themeTint="D9"/>
              </w:rPr>
            </w:pPr>
          </w:p>
          <w:p w:rsidR="0035206A" w:rsidRPr="00E465A1" w:rsidRDefault="0035206A" w:rsidP="0035206A">
            <w:pPr>
              <w:pStyle w:val="Policy1stpara"/>
              <w:rPr>
                <w:color w:val="262626" w:themeColor="text1" w:themeTint="D9"/>
              </w:rPr>
            </w:pPr>
            <w:r w:rsidRPr="00E465A1">
              <w:rPr>
                <w:b/>
                <w:i/>
                <w:color w:val="262626" w:themeColor="text1" w:themeTint="D9"/>
                <w:lang w:eastAsia="en-AU"/>
              </w:rPr>
              <w:t>Recognition and Measurement</w:t>
            </w:r>
            <w:r w:rsidRPr="00E465A1">
              <w:rPr>
                <w:color w:val="262626" w:themeColor="text1" w:themeTint="D9"/>
                <w:lang w:eastAsia="en-AU"/>
              </w:rPr>
              <w:t xml:space="preserve"> – Provisions are recorded when the </w:t>
            </w:r>
            <w:r w:rsidR="00EC2665" w:rsidRPr="00E465A1">
              <w:rPr>
                <w:color w:val="262626" w:themeColor="text1" w:themeTint="D9"/>
                <w:lang w:eastAsia="en-AU"/>
              </w:rPr>
              <w:t>CCC</w:t>
            </w:r>
            <w:r w:rsidRPr="00E465A1">
              <w:rPr>
                <w:color w:val="262626" w:themeColor="text1" w:themeTint="D9"/>
                <w:lang w:eastAsia="en-AU"/>
              </w:rPr>
              <w:t xml:space="preserve"> has a present obligation, either legal or constructive, as a result of a past event</w:t>
            </w:r>
            <w:r w:rsidR="009A585E" w:rsidRPr="00E465A1">
              <w:rPr>
                <w:color w:val="262626" w:themeColor="text1" w:themeTint="D9"/>
                <w:lang w:eastAsia="en-AU"/>
              </w:rPr>
              <w:t>,</w:t>
            </w:r>
            <w:r w:rsidRPr="00E465A1">
              <w:rPr>
                <w:color w:val="262626" w:themeColor="text1" w:themeTint="D9"/>
                <w:lang w:eastAsia="en-AU"/>
              </w:rPr>
              <w:t xml:space="preserve"> and the amount of the provision can be reliably measured. </w:t>
            </w:r>
            <w:r w:rsidRPr="00E465A1">
              <w:rPr>
                <w:color w:val="262626" w:themeColor="text1" w:themeTint="D9"/>
              </w:rPr>
              <w:t>They are recognised at the amount expected at reporting date for which the obligation will be settled in a future period.</w:t>
            </w:r>
          </w:p>
          <w:p w:rsidR="0035206A" w:rsidRPr="00E465A1" w:rsidRDefault="0035206A" w:rsidP="0035206A">
            <w:pPr>
              <w:pStyle w:val="Policyfollowingparas"/>
              <w:rPr>
                <w:color w:val="262626" w:themeColor="text1" w:themeTint="D9"/>
                <w:szCs w:val="19"/>
              </w:rPr>
            </w:pPr>
            <w:r w:rsidRPr="00E465A1">
              <w:rPr>
                <w:color w:val="262626" w:themeColor="text1" w:themeTint="D9"/>
              </w:rPr>
              <w:t xml:space="preserve">The provision for restoration costs relate to clauses in lease agreements for office accommodation which require the </w:t>
            </w:r>
            <w:r w:rsidRPr="00E465A1">
              <w:rPr>
                <w:color w:val="262626" w:themeColor="text1" w:themeTint="D9"/>
              </w:rPr>
              <w:br/>
            </w:r>
            <w:r w:rsidR="00EC2665" w:rsidRPr="00E465A1">
              <w:rPr>
                <w:color w:val="262626" w:themeColor="text1" w:themeTint="D9"/>
              </w:rPr>
              <w:t>CCC</w:t>
            </w:r>
            <w:r w:rsidRPr="00E465A1">
              <w:rPr>
                <w:color w:val="262626" w:themeColor="text1" w:themeTint="D9"/>
              </w:rPr>
              <w:t xml:space="preserve"> to restore the leased premises to their original condition. As the settlement of the obligation is expected </w:t>
            </w:r>
            <w:r w:rsidRPr="00E465A1">
              <w:rPr>
                <w:color w:val="262626" w:themeColor="text1" w:themeTint="D9"/>
              </w:rPr>
              <w:br/>
              <w:t xml:space="preserve">after 12 or more months, the provision has been discounted to reflect the present value of these obligations using a </w:t>
            </w:r>
            <w:r w:rsidRPr="00E465A1">
              <w:rPr>
                <w:color w:val="262626" w:themeColor="text1" w:themeTint="D9"/>
              </w:rPr>
              <w:br/>
              <w:t>rate that reflects current market assessments and risks specific to the liability.</w:t>
            </w:r>
            <w:r w:rsidRPr="00E465A1">
              <w:rPr>
                <w:color w:val="262626" w:themeColor="text1" w:themeTint="D9"/>
                <w:sz w:val="16"/>
                <w:szCs w:val="16"/>
              </w:rPr>
              <w:t xml:space="preserve">  </w:t>
            </w:r>
            <w:r w:rsidRPr="00E465A1">
              <w:rPr>
                <w:color w:val="262626" w:themeColor="text1" w:themeTint="D9"/>
                <w:szCs w:val="19"/>
              </w:rPr>
              <w:t xml:space="preserve">The finance costs relate to unwinding </w:t>
            </w:r>
            <w:r w:rsidRPr="00E465A1">
              <w:rPr>
                <w:color w:val="262626" w:themeColor="text1" w:themeTint="D9"/>
                <w:szCs w:val="19"/>
              </w:rPr>
              <w:br/>
              <w:t>of the discount on the provision.</w:t>
            </w:r>
          </w:p>
          <w:p w:rsidR="009C5E1A" w:rsidRPr="00E465A1" w:rsidRDefault="009C5E1A" w:rsidP="0035206A">
            <w:pPr>
              <w:pStyle w:val="Policyfollowingparas"/>
              <w:rPr>
                <w:color w:val="262626" w:themeColor="text1" w:themeTint="D9"/>
              </w:rPr>
            </w:pPr>
          </w:p>
        </w:tc>
      </w:tr>
    </w:tbl>
    <w:p w:rsidR="0035206A" w:rsidRPr="00E465A1" w:rsidRDefault="0035206A" w:rsidP="0035206A">
      <w:pPr>
        <w:pStyle w:val="Normal1stpara"/>
        <w:rPr>
          <w:color w:val="262626" w:themeColor="text1" w:themeTint="D9"/>
        </w:rPr>
      </w:pPr>
    </w:p>
    <w:p w:rsidR="009C5E1A" w:rsidRPr="00E465A1" w:rsidRDefault="009C5E1A" w:rsidP="0035206A">
      <w:pPr>
        <w:pStyle w:val="Normal1stpara"/>
        <w:rPr>
          <w:color w:val="262626" w:themeColor="text1" w:themeTint="D9"/>
        </w:rPr>
      </w:pPr>
    </w:p>
    <w:tbl>
      <w:tblPr>
        <w:tblW w:w="4940" w:type="pct"/>
        <w:tblBorders>
          <w:top w:val="double" w:sz="4" w:space="0" w:color="auto"/>
          <w:left w:val="double" w:sz="4" w:space="0" w:color="auto"/>
          <w:bottom w:val="double" w:sz="4" w:space="0" w:color="auto"/>
          <w:right w:val="double" w:sz="4" w:space="0" w:color="auto"/>
        </w:tblBorders>
        <w:tblLayout w:type="fixed"/>
        <w:tblCellMar>
          <w:left w:w="0" w:type="dxa"/>
          <w:bottom w:w="11" w:type="dxa"/>
          <w:right w:w="0" w:type="dxa"/>
        </w:tblCellMar>
        <w:tblLook w:val="0000" w:firstRow="0" w:lastRow="0" w:firstColumn="0" w:lastColumn="0" w:noHBand="0" w:noVBand="0"/>
      </w:tblPr>
      <w:tblGrid>
        <w:gridCol w:w="6817"/>
        <w:gridCol w:w="842"/>
        <w:gridCol w:w="1126"/>
        <w:gridCol w:w="159"/>
        <w:gridCol w:w="1140"/>
      </w:tblGrid>
      <w:tr w:rsidR="00E465A1" w:rsidRPr="00E465A1" w:rsidTr="00AD6577">
        <w:trPr>
          <w:trHeight w:val="20"/>
        </w:trPr>
        <w:tc>
          <w:tcPr>
            <w:tcW w:w="6817" w:type="dxa"/>
            <w:tcBorders>
              <w:top w:val="nil"/>
              <w:left w:val="nil"/>
              <w:bottom w:val="nil"/>
            </w:tcBorders>
            <w:noWrap/>
            <w:tcMar>
              <w:left w:w="0" w:type="dxa"/>
              <w:right w:w="0" w:type="dxa"/>
            </w:tcMar>
          </w:tcPr>
          <w:p w:rsidR="0035206A" w:rsidRPr="00E465A1" w:rsidRDefault="0035206A" w:rsidP="00F618A2">
            <w:pPr>
              <w:pStyle w:val="Normaltabletextleft"/>
              <w:rPr>
                <w:color w:val="262626" w:themeColor="text1" w:themeTint="D9"/>
                <w:lang w:eastAsia="en-AU"/>
              </w:rPr>
            </w:pPr>
          </w:p>
        </w:tc>
        <w:tc>
          <w:tcPr>
            <w:tcW w:w="842" w:type="dxa"/>
            <w:tcBorders>
              <w:top w:val="nil"/>
              <w:bottom w:val="nil"/>
            </w:tcBorders>
            <w:noWrap/>
            <w:tcMar>
              <w:left w:w="0" w:type="dxa"/>
              <w:right w:w="0" w:type="dxa"/>
            </w:tcMar>
          </w:tcPr>
          <w:p w:rsidR="0035206A" w:rsidRPr="00E465A1" w:rsidRDefault="0035206A" w:rsidP="00F618A2">
            <w:pPr>
              <w:pStyle w:val="Normaltabletextcentred"/>
              <w:rPr>
                <w:color w:val="262626" w:themeColor="text1" w:themeTint="D9"/>
                <w:lang w:eastAsia="en-AU"/>
              </w:rPr>
            </w:pPr>
          </w:p>
        </w:tc>
        <w:tc>
          <w:tcPr>
            <w:tcW w:w="1126" w:type="dxa"/>
            <w:tcBorders>
              <w:top w:val="nil"/>
              <w:bottom w:val="nil"/>
            </w:tcBorders>
            <w:shd w:val="clear" w:color="auto" w:fill="FEE4B0"/>
            <w:noWrap/>
            <w:tcMar>
              <w:left w:w="0" w:type="dxa"/>
              <w:right w:w="113" w:type="dxa"/>
            </w:tcMar>
          </w:tcPr>
          <w:p w:rsidR="0035206A" w:rsidRPr="00E465A1" w:rsidRDefault="0035206A" w:rsidP="00303B64">
            <w:pPr>
              <w:pStyle w:val="Normaltabletext1stpararight"/>
              <w:rPr>
                <w:color w:val="262626" w:themeColor="text1" w:themeTint="D9"/>
                <w:lang w:eastAsia="en-AU"/>
              </w:rPr>
            </w:pPr>
            <w:r w:rsidRPr="00E465A1">
              <w:rPr>
                <w:b/>
                <w:color w:val="262626" w:themeColor="text1" w:themeTint="D9"/>
                <w:lang w:eastAsia="en-AU"/>
              </w:rPr>
              <w:t>201</w:t>
            </w:r>
            <w:r w:rsidR="006153A8" w:rsidRPr="00E465A1">
              <w:rPr>
                <w:b/>
                <w:color w:val="262626" w:themeColor="text1" w:themeTint="D9"/>
                <w:lang w:eastAsia="en-AU"/>
              </w:rPr>
              <w:t>8</w:t>
            </w:r>
          </w:p>
        </w:tc>
        <w:tc>
          <w:tcPr>
            <w:tcW w:w="159" w:type="dxa"/>
            <w:tcBorders>
              <w:top w:val="nil"/>
              <w:bottom w:val="nil"/>
            </w:tcBorders>
            <w:noWrap/>
            <w:tcMar>
              <w:left w:w="0" w:type="dxa"/>
              <w:right w:w="0" w:type="dxa"/>
            </w:tcMar>
          </w:tcPr>
          <w:p w:rsidR="0035206A" w:rsidRPr="00E465A1" w:rsidRDefault="0035206A" w:rsidP="00F618A2">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35206A" w:rsidRPr="00E465A1" w:rsidRDefault="0035206A" w:rsidP="00303B64">
            <w:pPr>
              <w:pStyle w:val="Normaltabletext1stpararight"/>
              <w:rPr>
                <w:color w:val="262626" w:themeColor="text1" w:themeTint="D9"/>
                <w:lang w:eastAsia="en-AU"/>
              </w:rPr>
            </w:pPr>
            <w:r w:rsidRPr="00E465A1">
              <w:rPr>
                <w:b/>
                <w:color w:val="262626" w:themeColor="text1" w:themeTint="D9"/>
                <w:lang w:eastAsia="en-AU"/>
              </w:rPr>
              <w:t>201</w:t>
            </w:r>
            <w:r w:rsidR="006153A8" w:rsidRPr="00E465A1">
              <w:rPr>
                <w:b/>
                <w:color w:val="262626" w:themeColor="text1" w:themeTint="D9"/>
                <w:lang w:eastAsia="en-AU"/>
              </w:rPr>
              <w:t>7</w:t>
            </w:r>
          </w:p>
        </w:tc>
      </w:tr>
      <w:tr w:rsidR="00E465A1" w:rsidRPr="00E465A1" w:rsidTr="00AD6577">
        <w:trPr>
          <w:trHeight w:val="20"/>
        </w:trPr>
        <w:tc>
          <w:tcPr>
            <w:tcW w:w="6817" w:type="dxa"/>
            <w:tcBorders>
              <w:top w:val="nil"/>
              <w:left w:val="nil"/>
              <w:bottom w:val="nil"/>
            </w:tcBorders>
            <w:noWrap/>
            <w:tcMar>
              <w:left w:w="0" w:type="dxa"/>
              <w:right w:w="0" w:type="dxa"/>
            </w:tcMar>
          </w:tcPr>
          <w:p w:rsidR="0035206A" w:rsidRPr="00E465A1" w:rsidRDefault="0035206A" w:rsidP="00F618A2">
            <w:pPr>
              <w:pStyle w:val="Normaltabletextleft"/>
              <w:rPr>
                <w:color w:val="262626" w:themeColor="text1" w:themeTint="D9"/>
                <w:lang w:eastAsia="en-AU"/>
              </w:rPr>
            </w:pPr>
          </w:p>
        </w:tc>
        <w:tc>
          <w:tcPr>
            <w:tcW w:w="842" w:type="dxa"/>
            <w:tcBorders>
              <w:top w:val="nil"/>
              <w:bottom w:val="nil"/>
            </w:tcBorders>
            <w:noWrap/>
            <w:tcMar>
              <w:left w:w="0" w:type="dxa"/>
              <w:right w:w="0" w:type="dxa"/>
            </w:tcMar>
          </w:tcPr>
          <w:p w:rsidR="0035206A" w:rsidRPr="00E465A1" w:rsidRDefault="0035206A" w:rsidP="00F618A2">
            <w:pPr>
              <w:pStyle w:val="Normaltabletextcentred"/>
              <w:rPr>
                <w:color w:val="262626" w:themeColor="text1" w:themeTint="D9"/>
                <w:lang w:eastAsia="en-AU"/>
              </w:rPr>
            </w:pPr>
          </w:p>
        </w:tc>
        <w:tc>
          <w:tcPr>
            <w:tcW w:w="1126" w:type="dxa"/>
            <w:tcBorders>
              <w:top w:val="nil"/>
              <w:bottom w:val="nil"/>
            </w:tcBorders>
            <w:shd w:val="clear" w:color="auto" w:fill="FEE4B0"/>
            <w:noWrap/>
            <w:tcMar>
              <w:left w:w="0" w:type="dxa"/>
              <w:right w:w="113" w:type="dxa"/>
            </w:tcMar>
          </w:tcPr>
          <w:p w:rsidR="0035206A" w:rsidRPr="00E465A1" w:rsidRDefault="0035206A" w:rsidP="00F618A2">
            <w:pPr>
              <w:pStyle w:val="Normaltabletext1stpararight"/>
              <w:rPr>
                <w:color w:val="262626" w:themeColor="text1" w:themeTint="D9"/>
                <w:lang w:eastAsia="en-AU"/>
              </w:rPr>
            </w:pPr>
            <w:r w:rsidRPr="00E465A1">
              <w:rPr>
                <w:b/>
                <w:color w:val="262626" w:themeColor="text1" w:themeTint="D9"/>
                <w:lang w:eastAsia="en-AU"/>
              </w:rPr>
              <w:t>$’000</w:t>
            </w:r>
          </w:p>
        </w:tc>
        <w:tc>
          <w:tcPr>
            <w:tcW w:w="159" w:type="dxa"/>
            <w:tcBorders>
              <w:top w:val="nil"/>
              <w:bottom w:val="nil"/>
            </w:tcBorders>
            <w:noWrap/>
            <w:tcMar>
              <w:left w:w="0" w:type="dxa"/>
              <w:right w:w="0" w:type="dxa"/>
            </w:tcMar>
          </w:tcPr>
          <w:p w:rsidR="0035206A" w:rsidRPr="00E465A1" w:rsidRDefault="0035206A" w:rsidP="00F618A2">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35206A" w:rsidRPr="00E465A1" w:rsidRDefault="0035206A" w:rsidP="00F618A2">
            <w:pPr>
              <w:pStyle w:val="Normaltabletext1stpararight"/>
              <w:rPr>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817" w:type="dxa"/>
            <w:tcBorders>
              <w:top w:val="nil"/>
              <w:left w:val="nil"/>
              <w:bottom w:val="nil"/>
            </w:tcBorders>
            <w:noWrap/>
            <w:tcMar>
              <w:left w:w="0" w:type="dxa"/>
              <w:right w:w="0" w:type="dxa"/>
            </w:tcMar>
          </w:tcPr>
          <w:p w:rsidR="006153A8" w:rsidRPr="00E465A1" w:rsidRDefault="006153A8" w:rsidP="006153A8">
            <w:pPr>
              <w:pStyle w:val="Normaltabletextleft"/>
              <w:rPr>
                <w:color w:val="262626" w:themeColor="text1" w:themeTint="D9"/>
                <w:lang w:eastAsia="en-AU"/>
              </w:rPr>
            </w:pPr>
          </w:p>
        </w:tc>
        <w:tc>
          <w:tcPr>
            <w:tcW w:w="842" w:type="dxa"/>
            <w:tcBorders>
              <w:top w:val="nil"/>
              <w:bottom w:val="nil"/>
            </w:tcBorders>
            <w:noWrap/>
            <w:tcMar>
              <w:left w:w="0" w:type="dxa"/>
              <w:right w:w="0" w:type="dxa"/>
            </w:tcMar>
          </w:tcPr>
          <w:p w:rsidR="006153A8" w:rsidRPr="00E465A1" w:rsidRDefault="006153A8" w:rsidP="006153A8">
            <w:pPr>
              <w:pStyle w:val="Normaltabletextcentred"/>
              <w:rPr>
                <w:color w:val="262626" w:themeColor="text1" w:themeTint="D9"/>
                <w:lang w:eastAsia="en-AU"/>
              </w:rPr>
            </w:pPr>
          </w:p>
        </w:tc>
        <w:tc>
          <w:tcPr>
            <w:tcW w:w="1126" w:type="dxa"/>
            <w:tcBorders>
              <w:top w:val="nil"/>
              <w:bottom w:val="nil"/>
            </w:tcBorders>
            <w:shd w:val="clear" w:color="auto" w:fill="FEE4B0"/>
            <w:noWrap/>
            <w:tcMar>
              <w:left w:w="0" w:type="dxa"/>
              <w:right w:w="113" w:type="dxa"/>
            </w:tcMar>
          </w:tcPr>
          <w:p w:rsidR="006153A8" w:rsidRPr="00E465A1" w:rsidRDefault="006153A8" w:rsidP="006153A8">
            <w:pPr>
              <w:pStyle w:val="Normaltabletext1stpararight"/>
              <w:rPr>
                <w:color w:val="262626" w:themeColor="text1" w:themeTint="D9"/>
                <w:lang w:eastAsia="en-AU"/>
              </w:rPr>
            </w:pPr>
          </w:p>
        </w:tc>
        <w:tc>
          <w:tcPr>
            <w:tcW w:w="159" w:type="dxa"/>
            <w:tcBorders>
              <w:top w:val="nil"/>
              <w:bottom w:val="nil"/>
            </w:tcBorders>
            <w:noWrap/>
            <w:tcMar>
              <w:left w:w="0" w:type="dxa"/>
              <w:right w:w="0" w:type="dxa"/>
            </w:tcMar>
          </w:tcPr>
          <w:p w:rsidR="006153A8" w:rsidRPr="00E465A1" w:rsidRDefault="006153A8" w:rsidP="006153A8">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6153A8" w:rsidRPr="00E465A1" w:rsidRDefault="006153A8" w:rsidP="006153A8">
            <w:pPr>
              <w:pStyle w:val="Normaltabletext1stpararight"/>
              <w:rPr>
                <w:color w:val="262626" w:themeColor="text1" w:themeTint="D9"/>
                <w:lang w:eastAsia="en-AU"/>
              </w:rPr>
            </w:pPr>
          </w:p>
        </w:tc>
      </w:tr>
      <w:tr w:rsidR="00E465A1" w:rsidRPr="00E465A1" w:rsidTr="00AD6577">
        <w:trPr>
          <w:trHeight w:val="20"/>
        </w:trPr>
        <w:tc>
          <w:tcPr>
            <w:tcW w:w="6817" w:type="dxa"/>
            <w:tcBorders>
              <w:top w:val="nil"/>
              <w:left w:val="nil"/>
              <w:bottom w:val="nil"/>
            </w:tcBorders>
            <w:noWrap/>
            <w:tcMar>
              <w:left w:w="0" w:type="dxa"/>
              <w:right w:w="0" w:type="dxa"/>
            </w:tcMar>
          </w:tcPr>
          <w:p w:rsidR="006153A8" w:rsidRPr="00E465A1" w:rsidRDefault="006153A8" w:rsidP="006153A8">
            <w:pPr>
              <w:pStyle w:val="Normaltabletextleft"/>
              <w:rPr>
                <w:color w:val="262626" w:themeColor="text1" w:themeTint="D9"/>
                <w:lang w:eastAsia="en-AU"/>
              </w:rPr>
            </w:pPr>
            <w:r w:rsidRPr="00E465A1">
              <w:rPr>
                <w:color w:val="262626" w:themeColor="text1" w:themeTint="D9"/>
                <w:lang w:eastAsia="en-AU"/>
              </w:rPr>
              <w:t>Restoration costs</w:t>
            </w:r>
          </w:p>
        </w:tc>
        <w:tc>
          <w:tcPr>
            <w:tcW w:w="842" w:type="dxa"/>
            <w:tcBorders>
              <w:top w:val="nil"/>
              <w:bottom w:val="nil"/>
            </w:tcBorders>
            <w:noWrap/>
            <w:tcMar>
              <w:left w:w="0" w:type="dxa"/>
              <w:right w:w="0" w:type="dxa"/>
            </w:tcMar>
          </w:tcPr>
          <w:p w:rsidR="006153A8" w:rsidRPr="00E465A1" w:rsidRDefault="006153A8" w:rsidP="006153A8">
            <w:pPr>
              <w:pStyle w:val="Normaltabletextcentred"/>
              <w:rPr>
                <w:color w:val="262626" w:themeColor="text1" w:themeTint="D9"/>
                <w:lang w:eastAsia="en-AU"/>
              </w:rPr>
            </w:pPr>
          </w:p>
        </w:tc>
        <w:tc>
          <w:tcPr>
            <w:tcW w:w="1126" w:type="dxa"/>
            <w:tcBorders>
              <w:top w:val="nil"/>
              <w:bottom w:val="nil"/>
            </w:tcBorders>
            <w:shd w:val="clear" w:color="auto" w:fill="FEE4B0"/>
            <w:noWrap/>
            <w:tcMar>
              <w:left w:w="0" w:type="dxa"/>
              <w:right w:w="113" w:type="dxa"/>
            </w:tcMar>
          </w:tcPr>
          <w:p w:rsidR="006153A8" w:rsidRPr="00E465A1" w:rsidRDefault="00580C16" w:rsidP="00E1151D">
            <w:pPr>
              <w:pStyle w:val="Normaltabletext1stpararight"/>
              <w:rPr>
                <w:color w:val="262626" w:themeColor="text1" w:themeTint="D9"/>
                <w:lang w:eastAsia="en-AU"/>
              </w:rPr>
            </w:pPr>
            <w:r w:rsidRPr="00E465A1">
              <w:rPr>
                <w:color w:val="262626" w:themeColor="text1" w:themeTint="D9"/>
                <w:lang w:eastAsia="en-AU"/>
              </w:rPr>
              <w:t>24</w:t>
            </w:r>
            <w:r w:rsidR="00E1151D" w:rsidRPr="00E465A1">
              <w:rPr>
                <w:color w:val="262626" w:themeColor="text1" w:themeTint="D9"/>
                <w:lang w:eastAsia="en-AU"/>
              </w:rPr>
              <w:t>6</w:t>
            </w:r>
          </w:p>
        </w:tc>
        <w:tc>
          <w:tcPr>
            <w:tcW w:w="159" w:type="dxa"/>
            <w:tcBorders>
              <w:top w:val="nil"/>
              <w:bottom w:val="nil"/>
            </w:tcBorders>
            <w:noWrap/>
            <w:tcMar>
              <w:left w:w="0" w:type="dxa"/>
              <w:right w:w="0" w:type="dxa"/>
            </w:tcMar>
          </w:tcPr>
          <w:p w:rsidR="006153A8" w:rsidRPr="00E465A1" w:rsidRDefault="006153A8" w:rsidP="006153A8">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6153A8" w:rsidRPr="00E465A1" w:rsidRDefault="006153A8" w:rsidP="006153A8">
            <w:pPr>
              <w:pStyle w:val="Normaltabletext1stpararight"/>
              <w:rPr>
                <w:color w:val="262626" w:themeColor="text1" w:themeTint="D9"/>
                <w:lang w:eastAsia="en-AU"/>
              </w:rPr>
            </w:pPr>
            <w:r w:rsidRPr="00E465A1">
              <w:rPr>
                <w:color w:val="262626" w:themeColor="text1" w:themeTint="D9"/>
                <w:lang w:eastAsia="en-AU"/>
              </w:rPr>
              <w:t>328</w:t>
            </w:r>
          </w:p>
        </w:tc>
      </w:tr>
      <w:tr w:rsidR="00E465A1" w:rsidRPr="00E465A1" w:rsidTr="00AD6577">
        <w:trPr>
          <w:trHeight w:val="20"/>
        </w:trPr>
        <w:tc>
          <w:tcPr>
            <w:tcW w:w="6817" w:type="dxa"/>
            <w:tcBorders>
              <w:top w:val="nil"/>
              <w:left w:val="nil"/>
              <w:bottom w:val="nil"/>
            </w:tcBorders>
            <w:noWrap/>
            <w:tcMar>
              <w:left w:w="0" w:type="dxa"/>
              <w:right w:w="0" w:type="dxa"/>
            </w:tcMar>
          </w:tcPr>
          <w:p w:rsidR="006153A8" w:rsidRPr="00E465A1" w:rsidRDefault="006153A8" w:rsidP="006153A8">
            <w:pPr>
              <w:pStyle w:val="Normaltabletextleft"/>
              <w:rPr>
                <w:b/>
                <w:color w:val="262626" w:themeColor="text1" w:themeTint="D9"/>
                <w:lang w:eastAsia="en-AU"/>
              </w:rPr>
            </w:pPr>
            <w:r w:rsidRPr="00E465A1">
              <w:rPr>
                <w:b/>
                <w:color w:val="262626" w:themeColor="text1" w:themeTint="D9"/>
                <w:lang w:eastAsia="en-AU"/>
              </w:rPr>
              <w:t>Total</w:t>
            </w:r>
          </w:p>
        </w:tc>
        <w:tc>
          <w:tcPr>
            <w:tcW w:w="842" w:type="dxa"/>
            <w:tcBorders>
              <w:top w:val="nil"/>
              <w:bottom w:val="nil"/>
            </w:tcBorders>
            <w:noWrap/>
            <w:tcMar>
              <w:left w:w="0" w:type="dxa"/>
              <w:right w:w="0" w:type="dxa"/>
            </w:tcMar>
          </w:tcPr>
          <w:p w:rsidR="006153A8" w:rsidRPr="00E465A1" w:rsidRDefault="006153A8" w:rsidP="006153A8">
            <w:pPr>
              <w:pStyle w:val="Normaltabletextcentred"/>
              <w:rPr>
                <w:b/>
                <w:color w:val="262626" w:themeColor="text1" w:themeTint="D9"/>
                <w:lang w:eastAsia="en-AU"/>
              </w:rPr>
            </w:pPr>
          </w:p>
        </w:tc>
        <w:tc>
          <w:tcPr>
            <w:tcW w:w="1126" w:type="dxa"/>
            <w:tcBorders>
              <w:top w:val="single" w:sz="6" w:space="0" w:color="auto"/>
              <w:bottom w:val="double" w:sz="4" w:space="0" w:color="auto"/>
            </w:tcBorders>
            <w:shd w:val="clear" w:color="auto" w:fill="FEE4B0"/>
            <w:noWrap/>
            <w:tcMar>
              <w:left w:w="0" w:type="dxa"/>
              <w:right w:w="113" w:type="dxa"/>
            </w:tcMar>
          </w:tcPr>
          <w:p w:rsidR="006153A8" w:rsidRPr="00E465A1" w:rsidRDefault="00E1151D" w:rsidP="006153A8">
            <w:pPr>
              <w:pStyle w:val="Normaltabletext1stpararight"/>
              <w:rPr>
                <w:b/>
                <w:color w:val="262626" w:themeColor="text1" w:themeTint="D9"/>
                <w:lang w:eastAsia="en-AU"/>
              </w:rPr>
            </w:pPr>
            <w:r w:rsidRPr="00E465A1">
              <w:rPr>
                <w:b/>
                <w:color w:val="262626" w:themeColor="text1" w:themeTint="D9"/>
                <w:lang w:eastAsia="en-AU"/>
              </w:rPr>
              <w:t>246</w:t>
            </w:r>
          </w:p>
        </w:tc>
        <w:tc>
          <w:tcPr>
            <w:tcW w:w="159" w:type="dxa"/>
            <w:tcBorders>
              <w:top w:val="nil"/>
              <w:bottom w:val="nil"/>
            </w:tcBorders>
            <w:noWrap/>
            <w:tcMar>
              <w:left w:w="0" w:type="dxa"/>
              <w:right w:w="0" w:type="dxa"/>
            </w:tcMar>
          </w:tcPr>
          <w:p w:rsidR="006153A8" w:rsidRPr="00E465A1" w:rsidRDefault="006153A8" w:rsidP="006153A8">
            <w:pPr>
              <w:pStyle w:val="Normaltabletextcentred"/>
              <w:rPr>
                <w:b/>
                <w:color w:val="262626" w:themeColor="text1" w:themeTint="D9"/>
                <w:lang w:eastAsia="en-AU"/>
              </w:rPr>
            </w:pPr>
          </w:p>
        </w:tc>
        <w:tc>
          <w:tcPr>
            <w:tcW w:w="1140" w:type="dxa"/>
            <w:tcBorders>
              <w:top w:val="single" w:sz="6" w:space="0" w:color="auto"/>
              <w:bottom w:val="double" w:sz="4" w:space="0" w:color="auto"/>
              <w:right w:val="nil"/>
            </w:tcBorders>
            <w:shd w:val="clear" w:color="auto" w:fill="FFFFFF" w:themeFill="background1"/>
            <w:noWrap/>
            <w:tcMar>
              <w:left w:w="0" w:type="dxa"/>
              <w:right w:w="113" w:type="dxa"/>
            </w:tcMar>
          </w:tcPr>
          <w:p w:rsidR="006153A8" w:rsidRPr="00E465A1" w:rsidRDefault="006153A8" w:rsidP="006153A8">
            <w:pPr>
              <w:pStyle w:val="Normaltabletext1stpararight"/>
              <w:rPr>
                <w:b/>
                <w:color w:val="262626" w:themeColor="text1" w:themeTint="D9"/>
                <w:lang w:eastAsia="en-AU"/>
              </w:rPr>
            </w:pPr>
            <w:r w:rsidRPr="00E465A1">
              <w:rPr>
                <w:b/>
                <w:color w:val="262626" w:themeColor="text1" w:themeTint="D9"/>
                <w:lang w:eastAsia="en-AU"/>
              </w:rPr>
              <w:t>328</w:t>
            </w:r>
          </w:p>
        </w:tc>
      </w:tr>
    </w:tbl>
    <w:p w:rsidR="00A24D12" w:rsidRPr="00E465A1" w:rsidRDefault="00A24D12" w:rsidP="005E30F1">
      <w:pPr>
        <w:pStyle w:val="Normal1stpara"/>
        <w:rPr>
          <w:color w:val="262626" w:themeColor="text1" w:themeTint="D9"/>
        </w:rPr>
      </w:pPr>
    </w:p>
    <w:p w:rsidR="009C5E1A" w:rsidRPr="00E465A1" w:rsidRDefault="009C5E1A" w:rsidP="005E30F1">
      <w:pPr>
        <w:pStyle w:val="Normal1stpara"/>
        <w:rPr>
          <w:color w:val="262626" w:themeColor="text1" w:themeTint="D9"/>
        </w:rPr>
      </w:pPr>
    </w:p>
    <w:p w:rsidR="009C5E1A" w:rsidRPr="00E465A1" w:rsidRDefault="009C5E1A" w:rsidP="005E30F1">
      <w:pPr>
        <w:pStyle w:val="Normal1stpara"/>
        <w:rPr>
          <w:color w:val="262626" w:themeColor="text1" w:themeTint="D9"/>
        </w:rPr>
      </w:pPr>
    </w:p>
    <w:tbl>
      <w:tblPr>
        <w:tblW w:w="4940" w:type="pct"/>
        <w:tblBorders>
          <w:top w:val="double" w:sz="4" w:space="0" w:color="auto"/>
          <w:left w:val="double" w:sz="4" w:space="0" w:color="auto"/>
          <w:bottom w:val="double" w:sz="4" w:space="0" w:color="auto"/>
          <w:right w:val="double" w:sz="4" w:space="0" w:color="auto"/>
        </w:tblBorders>
        <w:tblLayout w:type="fixed"/>
        <w:tblCellMar>
          <w:left w:w="0" w:type="dxa"/>
          <w:bottom w:w="11" w:type="dxa"/>
          <w:right w:w="0" w:type="dxa"/>
        </w:tblCellMar>
        <w:tblLook w:val="0000" w:firstRow="0" w:lastRow="0" w:firstColumn="0" w:lastColumn="0" w:noHBand="0" w:noVBand="0"/>
      </w:tblPr>
      <w:tblGrid>
        <w:gridCol w:w="6817"/>
        <w:gridCol w:w="842"/>
        <w:gridCol w:w="1126"/>
        <w:gridCol w:w="159"/>
        <w:gridCol w:w="1140"/>
      </w:tblGrid>
      <w:tr w:rsidR="00E465A1" w:rsidRPr="00E465A1" w:rsidTr="00AD6577">
        <w:trPr>
          <w:trHeight w:val="20"/>
        </w:trPr>
        <w:tc>
          <w:tcPr>
            <w:tcW w:w="6817" w:type="dxa"/>
            <w:tcBorders>
              <w:top w:val="nil"/>
              <w:left w:val="nil"/>
              <w:bottom w:val="nil"/>
              <w:right w:val="nil"/>
            </w:tcBorders>
            <w:noWrap/>
            <w:tcMar>
              <w:left w:w="0" w:type="dxa"/>
              <w:right w:w="0" w:type="dxa"/>
            </w:tcMar>
          </w:tcPr>
          <w:p w:rsidR="00F972E2" w:rsidRPr="00E465A1" w:rsidRDefault="00F972E2" w:rsidP="00F972E2">
            <w:pPr>
              <w:pStyle w:val="Normaltabletextleft"/>
              <w:rPr>
                <w:b/>
                <w:color w:val="262626" w:themeColor="text1" w:themeTint="D9"/>
                <w:lang w:eastAsia="en-AU"/>
              </w:rPr>
            </w:pPr>
          </w:p>
        </w:tc>
        <w:tc>
          <w:tcPr>
            <w:tcW w:w="842" w:type="dxa"/>
            <w:tcBorders>
              <w:top w:val="nil"/>
              <w:left w:val="nil"/>
              <w:bottom w:val="nil"/>
              <w:right w:val="nil"/>
            </w:tcBorders>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6" w:type="dxa"/>
            <w:tcBorders>
              <w:top w:val="nil"/>
              <w:left w:val="nil"/>
              <w:bottom w:val="nil"/>
              <w:right w:val="nil"/>
            </w:tcBorders>
            <w:shd w:val="clear" w:color="auto" w:fill="FEE4B0"/>
            <w:tcMar>
              <w:left w:w="0" w:type="dxa"/>
              <w:right w:w="113" w:type="dxa"/>
            </w:tcMar>
          </w:tcPr>
          <w:p w:rsidR="00F972E2" w:rsidRPr="00E465A1" w:rsidRDefault="00F972E2" w:rsidP="00F972E2">
            <w:pPr>
              <w:pStyle w:val="Normaltabletext1stpararight"/>
              <w:rPr>
                <w:b/>
                <w:color w:val="262626" w:themeColor="text1" w:themeTint="D9"/>
                <w:lang w:eastAsia="en-AU"/>
              </w:rPr>
            </w:pPr>
            <w:r w:rsidRPr="00E465A1">
              <w:rPr>
                <w:b/>
                <w:color w:val="262626" w:themeColor="text1" w:themeTint="D9"/>
                <w:lang w:eastAsia="en-AU"/>
              </w:rPr>
              <w:t>2018</w:t>
            </w:r>
          </w:p>
          <w:p w:rsidR="00F972E2" w:rsidRPr="00E465A1" w:rsidRDefault="00F972E2" w:rsidP="00F972E2">
            <w:pPr>
              <w:pStyle w:val="Normaltabletext1stpararight"/>
              <w:rPr>
                <w:b/>
                <w:color w:val="262626" w:themeColor="text1" w:themeTint="D9"/>
                <w:lang w:eastAsia="en-AU"/>
              </w:rPr>
            </w:pPr>
            <w:r w:rsidRPr="00E465A1">
              <w:rPr>
                <w:b/>
                <w:color w:val="262626" w:themeColor="text1" w:themeTint="D9"/>
                <w:lang w:eastAsia="en-AU"/>
              </w:rPr>
              <w:t>$’000</w:t>
            </w:r>
          </w:p>
        </w:tc>
        <w:tc>
          <w:tcPr>
            <w:tcW w:w="159" w:type="dxa"/>
            <w:tcBorders>
              <w:top w:val="nil"/>
              <w:left w:val="nil"/>
              <w:bottom w:val="nil"/>
              <w:right w:val="nil"/>
            </w:tcBorders>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40" w:type="dxa"/>
            <w:tcBorders>
              <w:top w:val="nil"/>
              <w:left w:val="nil"/>
              <w:bottom w:val="nil"/>
              <w:right w:val="nil"/>
            </w:tcBorders>
            <w:shd w:val="clear" w:color="auto" w:fill="FFFFFF" w:themeFill="background1"/>
            <w:tcMar>
              <w:left w:w="0" w:type="dxa"/>
              <w:right w:w="113" w:type="dxa"/>
            </w:tcMar>
          </w:tcPr>
          <w:p w:rsidR="00F972E2" w:rsidRPr="00E465A1" w:rsidRDefault="00F972E2" w:rsidP="00F972E2">
            <w:pPr>
              <w:pStyle w:val="Normaltabletext1stpararight"/>
              <w:rPr>
                <w:b/>
                <w:color w:val="262626" w:themeColor="text1" w:themeTint="D9"/>
                <w:lang w:eastAsia="en-AU"/>
              </w:rPr>
            </w:pPr>
            <w:r w:rsidRPr="00E465A1">
              <w:rPr>
                <w:b/>
                <w:color w:val="262626" w:themeColor="text1" w:themeTint="D9"/>
                <w:lang w:eastAsia="en-AU"/>
              </w:rPr>
              <w:t>2017</w:t>
            </w:r>
          </w:p>
          <w:p w:rsidR="00F972E2" w:rsidRPr="00E465A1" w:rsidRDefault="00F972E2" w:rsidP="00F972E2">
            <w:pPr>
              <w:pStyle w:val="Normaltabletext1stpararight"/>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817" w:type="dxa"/>
            <w:tcBorders>
              <w:top w:val="nil"/>
              <w:left w:val="nil"/>
              <w:bottom w:val="nil"/>
              <w:right w:val="nil"/>
            </w:tcBorders>
            <w:noWrap/>
            <w:tcMar>
              <w:left w:w="0" w:type="dxa"/>
              <w:right w:w="0" w:type="dxa"/>
            </w:tcMar>
          </w:tcPr>
          <w:p w:rsidR="00F972E2" w:rsidRPr="00E465A1" w:rsidRDefault="00F972E2" w:rsidP="00F972E2">
            <w:pPr>
              <w:pStyle w:val="Normaltabletextleft"/>
              <w:rPr>
                <w:b/>
                <w:color w:val="262626" w:themeColor="text1" w:themeTint="D9"/>
                <w:lang w:eastAsia="en-AU"/>
              </w:rPr>
            </w:pPr>
          </w:p>
        </w:tc>
        <w:tc>
          <w:tcPr>
            <w:tcW w:w="842" w:type="dxa"/>
            <w:tcBorders>
              <w:top w:val="nil"/>
              <w:left w:val="nil"/>
              <w:bottom w:val="nil"/>
              <w:right w:val="nil"/>
            </w:tcBorders>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6" w:type="dxa"/>
            <w:tcBorders>
              <w:top w:val="nil"/>
              <w:left w:val="nil"/>
              <w:bottom w:val="nil"/>
              <w:right w:val="nil"/>
            </w:tcBorders>
            <w:shd w:val="clear" w:color="auto" w:fill="FEE4B0"/>
            <w:tcMar>
              <w:left w:w="0" w:type="dxa"/>
              <w:right w:w="113" w:type="dxa"/>
            </w:tcMar>
          </w:tcPr>
          <w:p w:rsidR="00F972E2" w:rsidRPr="00E465A1" w:rsidRDefault="00F972E2" w:rsidP="00F972E2">
            <w:pPr>
              <w:pStyle w:val="Normaltabletext1stpararight"/>
              <w:rPr>
                <w:b/>
                <w:color w:val="262626" w:themeColor="text1" w:themeTint="D9"/>
                <w:lang w:eastAsia="en-AU"/>
              </w:rPr>
            </w:pPr>
          </w:p>
        </w:tc>
        <w:tc>
          <w:tcPr>
            <w:tcW w:w="159" w:type="dxa"/>
            <w:tcBorders>
              <w:top w:val="nil"/>
              <w:left w:val="nil"/>
              <w:bottom w:val="nil"/>
              <w:right w:val="nil"/>
            </w:tcBorders>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40" w:type="dxa"/>
            <w:tcBorders>
              <w:top w:val="nil"/>
              <w:left w:val="nil"/>
              <w:bottom w:val="nil"/>
              <w:right w:val="nil"/>
            </w:tcBorders>
            <w:shd w:val="clear" w:color="auto" w:fill="FFFFFF" w:themeFill="background1"/>
            <w:tcMar>
              <w:left w:w="0" w:type="dxa"/>
              <w:right w:w="113" w:type="dxa"/>
            </w:tcMar>
          </w:tcPr>
          <w:p w:rsidR="00F972E2" w:rsidRPr="00E465A1" w:rsidRDefault="00F972E2" w:rsidP="00F972E2">
            <w:pPr>
              <w:pStyle w:val="Normaltabletext1stpararight"/>
              <w:rPr>
                <w:b/>
                <w:color w:val="262626" w:themeColor="text1" w:themeTint="D9"/>
                <w:lang w:eastAsia="en-AU"/>
              </w:rPr>
            </w:pPr>
          </w:p>
        </w:tc>
      </w:tr>
      <w:tr w:rsidR="00E465A1" w:rsidRPr="00E465A1" w:rsidTr="00AD6577">
        <w:trPr>
          <w:trHeight w:val="20"/>
        </w:trPr>
        <w:tc>
          <w:tcPr>
            <w:tcW w:w="6817" w:type="dxa"/>
            <w:tcBorders>
              <w:top w:val="nil"/>
              <w:left w:val="nil"/>
              <w:bottom w:val="nil"/>
              <w:right w:val="nil"/>
            </w:tcBorders>
            <w:noWrap/>
            <w:tcMar>
              <w:left w:w="0" w:type="dxa"/>
              <w:right w:w="0" w:type="dxa"/>
            </w:tcMar>
          </w:tcPr>
          <w:p w:rsidR="00F972E2" w:rsidRPr="00E465A1" w:rsidRDefault="00F972E2" w:rsidP="00F972E2">
            <w:pPr>
              <w:pStyle w:val="Normaltabletextleft"/>
              <w:rPr>
                <w:b/>
                <w:color w:val="262626" w:themeColor="text1" w:themeTint="D9"/>
                <w:lang w:eastAsia="en-AU"/>
              </w:rPr>
            </w:pPr>
            <w:r w:rsidRPr="00E465A1">
              <w:rPr>
                <w:b/>
                <w:color w:val="262626" w:themeColor="text1" w:themeTint="D9"/>
                <w:lang w:eastAsia="en-AU"/>
              </w:rPr>
              <w:t>Movements in provisions</w:t>
            </w:r>
          </w:p>
        </w:tc>
        <w:tc>
          <w:tcPr>
            <w:tcW w:w="842" w:type="dxa"/>
            <w:tcBorders>
              <w:top w:val="nil"/>
              <w:left w:val="nil"/>
              <w:bottom w:val="nil"/>
              <w:right w:val="nil"/>
            </w:tcBorders>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6" w:type="dxa"/>
            <w:tcBorders>
              <w:top w:val="nil"/>
              <w:left w:val="nil"/>
              <w:bottom w:val="nil"/>
              <w:right w:val="nil"/>
            </w:tcBorders>
            <w:shd w:val="clear" w:color="auto" w:fill="FEE4B0"/>
            <w:tcMar>
              <w:left w:w="0" w:type="dxa"/>
              <w:right w:w="113" w:type="dxa"/>
            </w:tcMar>
          </w:tcPr>
          <w:p w:rsidR="00F972E2" w:rsidRPr="00E465A1" w:rsidRDefault="00F972E2" w:rsidP="00F972E2">
            <w:pPr>
              <w:pStyle w:val="Normaltabletext1stpararight"/>
              <w:rPr>
                <w:b/>
                <w:color w:val="262626" w:themeColor="text1" w:themeTint="D9"/>
                <w:lang w:eastAsia="en-AU"/>
              </w:rPr>
            </w:pPr>
          </w:p>
        </w:tc>
        <w:tc>
          <w:tcPr>
            <w:tcW w:w="159" w:type="dxa"/>
            <w:tcBorders>
              <w:top w:val="nil"/>
              <w:left w:val="nil"/>
              <w:bottom w:val="nil"/>
              <w:right w:val="nil"/>
            </w:tcBorders>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40" w:type="dxa"/>
            <w:tcBorders>
              <w:top w:val="nil"/>
              <w:left w:val="nil"/>
              <w:bottom w:val="nil"/>
              <w:right w:val="nil"/>
            </w:tcBorders>
            <w:shd w:val="clear" w:color="auto" w:fill="FFFFFF" w:themeFill="background1"/>
            <w:tcMar>
              <w:left w:w="0" w:type="dxa"/>
              <w:right w:w="113" w:type="dxa"/>
            </w:tcMar>
          </w:tcPr>
          <w:p w:rsidR="00F972E2" w:rsidRPr="00E465A1" w:rsidRDefault="00F972E2" w:rsidP="00F972E2">
            <w:pPr>
              <w:pStyle w:val="Normaltabletext1stpararight"/>
              <w:rPr>
                <w:b/>
                <w:color w:val="262626" w:themeColor="text1" w:themeTint="D9"/>
                <w:lang w:eastAsia="en-AU"/>
              </w:rPr>
            </w:pPr>
          </w:p>
        </w:tc>
      </w:tr>
      <w:tr w:rsidR="00E465A1" w:rsidRPr="00E465A1" w:rsidTr="00AD6577">
        <w:trPr>
          <w:trHeight w:val="20"/>
        </w:trPr>
        <w:tc>
          <w:tcPr>
            <w:tcW w:w="6817" w:type="dxa"/>
            <w:tcBorders>
              <w:top w:val="nil"/>
              <w:left w:val="nil"/>
              <w:bottom w:val="nil"/>
              <w:right w:val="nil"/>
            </w:tcBorders>
            <w:noWrap/>
            <w:tcMar>
              <w:left w:w="0" w:type="dxa"/>
              <w:right w:w="0" w:type="dxa"/>
            </w:tcMar>
          </w:tcPr>
          <w:p w:rsidR="00F972E2" w:rsidRPr="00E465A1" w:rsidRDefault="00F972E2" w:rsidP="00F972E2">
            <w:pPr>
              <w:pStyle w:val="Normaltabletextleft"/>
              <w:rPr>
                <w:b/>
                <w:color w:val="262626" w:themeColor="text1" w:themeTint="D9"/>
                <w:lang w:eastAsia="en-AU"/>
              </w:rPr>
            </w:pPr>
            <w:r w:rsidRPr="00E465A1">
              <w:rPr>
                <w:b/>
                <w:color w:val="262626" w:themeColor="text1" w:themeTint="D9"/>
                <w:lang w:eastAsia="en-AU"/>
              </w:rPr>
              <w:t>Restoration Costs</w:t>
            </w:r>
          </w:p>
        </w:tc>
        <w:tc>
          <w:tcPr>
            <w:tcW w:w="842" w:type="dxa"/>
            <w:tcBorders>
              <w:top w:val="nil"/>
              <w:left w:val="nil"/>
              <w:bottom w:val="nil"/>
              <w:right w:val="nil"/>
            </w:tcBorders>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6" w:type="dxa"/>
            <w:tcBorders>
              <w:top w:val="nil"/>
              <w:left w:val="nil"/>
              <w:bottom w:val="nil"/>
              <w:right w:val="nil"/>
            </w:tcBorders>
            <w:shd w:val="clear" w:color="auto" w:fill="FEE4B0"/>
            <w:tcMar>
              <w:left w:w="0" w:type="dxa"/>
              <w:right w:w="113" w:type="dxa"/>
            </w:tcMar>
          </w:tcPr>
          <w:p w:rsidR="00F972E2" w:rsidRPr="00E465A1" w:rsidRDefault="00F972E2" w:rsidP="00F972E2">
            <w:pPr>
              <w:pStyle w:val="Normaltabletext1stpararight"/>
              <w:rPr>
                <w:b/>
                <w:color w:val="262626" w:themeColor="text1" w:themeTint="D9"/>
                <w:lang w:eastAsia="en-AU"/>
              </w:rPr>
            </w:pPr>
          </w:p>
        </w:tc>
        <w:tc>
          <w:tcPr>
            <w:tcW w:w="159" w:type="dxa"/>
            <w:tcBorders>
              <w:top w:val="nil"/>
              <w:left w:val="nil"/>
              <w:bottom w:val="nil"/>
              <w:right w:val="nil"/>
            </w:tcBorders>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40" w:type="dxa"/>
            <w:tcBorders>
              <w:top w:val="nil"/>
              <w:left w:val="nil"/>
              <w:bottom w:val="nil"/>
              <w:right w:val="nil"/>
            </w:tcBorders>
            <w:shd w:val="clear" w:color="auto" w:fill="FFFFFF" w:themeFill="background1"/>
            <w:tcMar>
              <w:left w:w="0" w:type="dxa"/>
              <w:right w:w="113" w:type="dxa"/>
            </w:tcMar>
          </w:tcPr>
          <w:p w:rsidR="00F972E2" w:rsidRPr="00E465A1" w:rsidRDefault="00F972E2" w:rsidP="00F972E2">
            <w:pPr>
              <w:pStyle w:val="Normaltabletext1stpararight"/>
              <w:rPr>
                <w:b/>
                <w:color w:val="262626" w:themeColor="text1" w:themeTint="D9"/>
                <w:lang w:eastAsia="en-AU"/>
              </w:rPr>
            </w:pPr>
          </w:p>
        </w:tc>
      </w:tr>
      <w:tr w:rsidR="00E465A1" w:rsidRPr="00E465A1" w:rsidTr="00AD6577">
        <w:trPr>
          <w:trHeight w:val="20"/>
        </w:trPr>
        <w:tc>
          <w:tcPr>
            <w:tcW w:w="6817"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Balance at 1 July</w:t>
            </w:r>
          </w:p>
        </w:tc>
        <w:tc>
          <w:tcPr>
            <w:tcW w:w="842"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6" w:type="dxa"/>
            <w:tcBorders>
              <w:top w:val="nil"/>
              <w:bottom w:val="nil"/>
            </w:tcBorders>
            <w:shd w:val="clear" w:color="auto" w:fill="FEE4B0"/>
            <w:noWrap/>
            <w:tcMar>
              <w:left w:w="0" w:type="dxa"/>
              <w:right w:w="113" w:type="dxa"/>
            </w:tcMar>
          </w:tcPr>
          <w:p w:rsidR="00F972E2" w:rsidRPr="00E465A1" w:rsidRDefault="00C0490A" w:rsidP="00F972E2">
            <w:pPr>
              <w:pStyle w:val="Normaltabletext1stpararight"/>
              <w:rPr>
                <w:color w:val="262626" w:themeColor="text1" w:themeTint="D9"/>
                <w:lang w:eastAsia="en-AU"/>
              </w:rPr>
            </w:pPr>
            <w:r w:rsidRPr="00E465A1">
              <w:rPr>
                <w:color w:val="262626" w:themeColor="text1" w:themeTint="D9"/>
                <w:lang w:eastAsia="en-AU"/>
              </w:rPr>
              <w:t>328</w:t>
            </w:r>
          </w:p>
        </w:tc>
        <w:tc>
          <w:tcPr>
            <w:tcW w:w="159"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322</w:t>
            </w:r>
          </w:p>
        </w:tc>
      </w:tr>
      <w:tr w:rsidR="00E465A1" w:rsidRPr="00E465A1" w:rsidTr="00AD6577">
        <w:trPr>
          <w:trHeight w:val="20"/>
        </w:trPr>
        <w:tc>
          <w:tcPr>
            <w:tcW w:w="6817" w:type="dxa"/>
            <w:tcBorders>
              <w:top w:val="nil"/>
              <w:left w:val="nil"/>
              <w:bottom w:val="nil"/>
            </w:tcBorders>
            <w:noWrap/>
            <w:tcMar>
              <w:left w:w="0" w:type="dxa"/>
              <w:right w:w="0" w:type="dxa"/>
            </w:tcMar>
          </w:tcPr>
          <w:p w:rsidR="00F972E2" w:rsidRPr="00E465A1" w:rsidRDefault="004412BF" w:rsidP="00F972E2">
            <w:pPr>
              <w:pStyle w:val="Normaltabletextleft"/>
              <w:rPr>
                <w:color w:val="262626" w:themeColor="text1" w:themeTint="D9"/>
                <w:lang w:eastAsia="en-AU"/>
              </w:rPr>
            </w:pPr>
            <w:r w:rsidRPr="00E465A1">
              <w:rPr>
                <w:color w:val="262626" w:themeColor="text1" w:themeTint="D9"/>
                <w:lang w:eastAsia="en-AU"/>
              </w:rPr>
              <w:t>Additional provision made</w:t>
            </w:r>
          </w:p>
        </w:tc>
        <w:tc>
          <w:tcPr>
            <w:tcW w:w="842"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6" w:type="dxa"/>
            <w:tcBorders>
              <w:top w:val="nil"/>
              <w:bottom w:val="nil"/>
            </w:tcBorders>
            <w:shd w:val="clear" w:color="auto" w:fill="FEE4B0"/>
            <w:noWrap/>
            <w:tcMar>
              <w:left w:w="0" w:type="dxa"/>
              <w:right w:w="113" w:type="dxa"/>
            </w:tcMar>
          </w:tcPr>
          <w:p w:rsidR="00F972E2" w:rsidRPr="00E465A1" w:rsidRDefault="00064DB9" w:rsidP="00064DB9">
            <w:pPr>
              <w:pStyle w:val="Normaltabletext1stpararight"/>
              <w:rPr>
                <w:color w:val="262626" w:themeColor="text1" w:themeTint="D9"/>
                <w:lang w:eastAsia="en-AU"/>
              </w:rPr>
            </w:pPr>
            <w:r w:rsidRPr="00E465A1">
              <w:rPr>
                <w:color w:val="262626" w:themeColor="text1" w:themeTint="D9"/>
                <w:lang w:eastAsia="en-AU"/>
              </w:rPr>
              <w:t>75</w:t>
            </w:r>
          </w:p>
        </w:tc>
        <w:tc>
          <w:tcPr>
            <w:tcW w:w="159"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w:t>
            </w:r>
          </w:p>
        </w:tc>
      </w:tr>
      <w:tr w:rsidR="00E465A1" w:rsidRPr="00E465A1" w:rsidTr="00AD6577">
        <w:trPr>
          <w:trHeight w:val="20"/>
        </w:trPr>
        <w:tc>
          <w:tcPr>
            <w:tcW w:w="6817" w:type="dxa"/>
            <w:tcBorders>
              <w:top w:val="nil"/>
              <w:left w:val="nil"/>
              <w:bottom w:val="nil"/>
            </w:tcBorders>
            <w:noWrap/>
            <w:tcMar>
              <w:left w:w="0" w:type="dxa"/>
              <w:right w:w="0" w:type="dxa"/>
            </w:tcMar>
          </w:tcPr>
          <w:p w:rsidR="00064DB9" w:rsidRPr="00E465A1" w:rsidRDefault="004412BF" w:rsidP="00F972E2">
            <w:pPr>
              <w:pStyle w:val="Normaltabletextleft"/>
              <w:rPr>
                <w:color w:val="262626" w:themeColor="text1" w:themeTint="D9"/>
                <w:lang w:eastAsia="en-AU"/>
              </w:rPr>
            </w:pPr>
            <w:r w:rsidRPr="00E465A1">
              <w:rPr>
                <w:color w:val="262626" w:themeColor="text1" w:themeTint="D9"/>
                <w:lang w:eastAsia="en-AU"/>
              </w:rPr>
              <w:t>Provision utilised through payments</w:t>
            </w:r>
            <w:r w:rsidR="002D7F51" w:rsidRPr="00E465A1">
              <w:rPr>
                <w:color w:val="262626" w:themeColor="text1" w:themeTint="D9"/>
                <w:lang w:eastAsia="en-AU"/>
              </w:rPr>
              <w:t xml:space="preserve"> </w:t>
            </w:r>
            <w:r w:rsidRPr="00E465A1">
              <w:rPr>
                <w:color w:val="262626" w:themeColor="text1" w:themeTint="D9"/>
                <w:lang w:eastAsia="en-AU"/>
              </w:rPr>
              <w:t>/</w:t>
            </w:r>
            <w:r w:rsidR="002D7F51" w:rsidRPr="00E465A1">
              <w:rPr>
                <w:color w:val="262626" w:themeColor="text1" w:themeTint="D9"/>
                <w:lang w:eastAsia="en-AU"/>
              </w:rPr>
              <w:t xml:space="preserve"> </w:t>
            </w:r>
            <w:proofErr w:type="spellStart"/>
            <w:r w:rsidRPr="00E465A1">
              <w:rPr>
                <w:color w:val="262626" w:themeColor="text1" w:themeTint="D9"/>
                <w:lang w:eastAsia="en-AU"/>
              </w:rPr>
              <w:t>derecognition</w:t>
            </w:r>
            <w:proofErr w:type="spellEnd"/>
          </w:p>
        </w:tc>
        <w:tc>
          <w:tcPr>
            <w:tcW w:w="842" w:type="dxa"/>
            <w:tcBorders>
              <w:top w:val="nil"/>
              <w:bottom w:val="nil"/>
            </w:tcBorders>
            <w:noWrap/>
            <w:tcMar>
              <w:left w:w="0" w:type="dxa"/>
              <w:right w:w="0" w:type="dxa"/>
            </w:tcMar>
          </w:tcPr>
          <w:p w:rsidR="00064DB9" w:rsidRPr="00E465A1" w:rsidRDefault="00064DB9" w:rsidP="00F972E2">
            <w:pPr>
              <w:pStyle w:val="Normaltabletextcentred"/>
              <w:rPr>
                <w:color w:val="262626" w:themeColor="text1" w:themeTint="D9"/>
                <w:lang w:eastAsia="en-AU"/>
              </w:rPr>
            </w:pPr>
          </w:p>
        </w:tc>
        <w:tc>
          <w:tcPr>
            <w:tcW w:w="1126" w:type="dxa"/>
            <w:tcBorders>
              <w:top w:val="nil"/>
              <w:bottom w:val="nil"/>
            </w:tcBorders>
            <w:shd w:val="clear" w:color="auto" w:fill="FEE4B0"/>
            <w:noWrap/>
            <w:tcMar>
              <w:left w:w="0" w:type="dxa"/>
              <w:right w:w="113" w:type="dxa"/>
            </w:tcMar>
          </w:tcPr>
          <w:p w:rsidR="00064DB9" w:rsidRPr="00E465A1" w:rsidRDefault="00064DB9" w:rsidP="00E1151D">
            <w:pPr>
              <w:pStyle w:val="Normaltabletext1stpararight"/>
              <w:rPr>
                <w:color w:val="262626" w:themeColor="text1" w:themeTint="D9"/>
                <w:lang w:eastAsia="en-AU"/>
              </w:rPr>
            </w:pPr>
            <w:r w:rsidRPr="00E465A1">
              <w:rPr>
                <w:color w:val="262626" w:themeColor="text1" w:themeTint="D9"/>
                <w:lang w:eastAsia="en-AU"/>
              </w:rPr>
              <w:t>(16</w:t>
            </w:r>
            <w:r w:rsidR="00E1151D" w:rsidRPr="00E465A1">
              <w:rPr>
                <w:color w:val="262626" w:themeColor="text1" w:themeTint="D9"/>
                <w:lang w:eastAsia="en-AU"/>
              </w:rPr>
              <w:t>2</w:t>
            </w:r>
            <w:r w:rsidRPr="00E465A1">
              <w:rPr>
                <w:color w:val="262626" w:themeColor="text1" w:themeTint="D9"/>
                <w:lang w:eastAsia="en-AU"/>
              </w:rPr>
              <w:t>)</w:t>
            </w:r>
          </w:p>
        </w:tc>
        <w:tc>
          <w:tcPr>
            <w:tcW w:w="159" w:type="dxa"/>
            <w:tcBorders>
              <w:top w:val="nil"/>
              <w:bottom w:val="nil"/>
            </w:tcBorders>
            <w:noWrap/>
            <w:tcMar>
              <w:left w:w="0" w:type="dxa"/>
              <w:right w:w="0" w:type="dxa"/>
            </w:tcMar>
          </w:tcPr>
          <w:p w:rsidR="00064DB9" w:rsidRPr="00E465A1" w:rsidRDefault="00064DB9" w:rsidP="00F972E2">
            <w:pPr>
              <w:pStyle w:val="Normaltabletextcentred"/>
              <w:rPr>
                <w:color w:val="262626" w:themeColor="text1" w:themeTint="D9"/>
                <w:lang w:eastAsia="en-AU"/>
              </w:rPr>
            </w:pPr>
          </w:p>
        </w:tc>
        <w:tc>
          <w:tcPr>
            <w:tcW w:w="1140" w:type="dxa"/>
            <w:tcBorders>
              <w:top w:val="nil"/>
              <w:bottom w:val="nil"/>
              <w:right w:val="nil"/>
            </w:tcBorders>
            <w:shd w:val="clear" w:color="auto" w:fill="FFFFFF" w:themeFill="background1"/>
            <w:noWrap/>
            <w:tcMar>
              <w:left w:w="0" w:type="dxa"/>
              <w:right w:w="113" w:type="dxa"/>
            </w:tcMar>
          </w:tcPr>
          <w:p w:rsidR="00064DB9" w:rsidRPr="00E465A1" w:rsidRDefault="00064DB9" w:rsidP="00F972E2">
            <w:pPr>
              <w:pStyle w:val="Normaltabletext1stpararight"/>
              <w:rPr>
                <w:color w:val="262626" w:themeColor="text1" w:themeTint="D9"/>
                <w:lang w:eastAsia="en-AU"/>
              </w:rPr>
            </w:pPr>
          </w:p>
        </w:tc>
      </w:tr>
      <w:tr w:rsidR="00E465A1" w:rsidRPr="00E465A1" w:rsidTr="00AD6577">
        <w:trPr>
          <w:trHeight w:val="20"/>
        </w:trPr>
        <w:tc>
          <w:tcPr>
            <w:tcW w:w="6817"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 xml:space="preserve">Finance Costs  </w:t>
            </w:r>
          </w:p>
        </w:tc>
        <w:tc>
          <w:tcPr>
            <w:tcW w:w="842" w:type="dxa"/>
            <w:tcBorders>
              <w:top w:val="nil"/>
              <w:bottom w:val="nil"/>
            </w:tcBorders>
            <w:noWrap/>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6" w:type="dxa"/>
            <w:tcBorders>
              <w:top w:val="nil"/>
              <w:bottom w:val="single" w:sz="4" w:space="0" w:color="auto"/>
            </w:tcBorders>
            <w:shd w:val="clear" w:color="auto" w:fill="FEE4B0"/>
            <w:noWrap/>
            <w:tcMar>
              <w:left w:w="0" w:type="dxa"/>
              <w:right w:w="113" w:type="dxa"/>
            </w:tcMar>
          </w:tcPr>
          <w:p w:rsidR="00F972E2" w:rsidRPr="00E465A1" w:rsidRDefault="00E1151D" w:rsidP="00F972E2">
            <w:pPr>
              <w:pStyle w:val="Normaltabletext1stpararight"/>
              <w:rPr>
                <w:color w:val="262626" w:themeColor="text1" w:themeTint="D9"/>
                <w:lang w:eastAsia="en-AU"/>
              </w:rPr>
            </w:pPr>
            <w:r w:rsidRPr="00E465A1">
              <w:rPr>
                <w:color w:val="262626" w:themeColor="text1" w:themeTint="D9"/>
                <w:lang w:eastAsia="en-AU"/>
              </w:rPr>
              <w:t>5</w:t>
            </w:r>
          </w:p>
        </w:tc>
        <w:tc>
          <w:tcPr>
            <w:tcW w:w="159"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40" w:type="dxa"/>
            <w:tcBorders>
              <w:top w:val="nil"/>
              <w:bottom w:val="single" w:sz="4" w:space="0" w:color="auto"/>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6</w:t>
            </w:r>
          </w:p>
        </w:tc>
      </w:tr>
      <w:tr w:rsidR="00E465A1" w:rsidRPr="00E465A1" w:rsidTr="00AD6577">
        <w:trPr>
          <w:trHeight w:val="20"/>
        </w:trPr>
        <w:tc>
          <w:tcPr>
            <w:tcW w:w="6817" w:type="dxa"/>
            <w:tcBorders>
              <w:top w:val="nil"/>
              <w:left w:val="nil"/>
              <w:bottom w:val="nil"/>
            </w:tcBorders>
            <w:noWrap/>
            <w:tcMar>
              <w:left w:w="0" w:type="dxa"/>
              <w:right w:w="0" w:type="dxa"/>
            </w:tcMar>
          </w:tcPr>
          <w:p w:rsidR="00F972E2" w:rsidRPr="00E465A1" w:rsidRDefault="00055403" w:rsidP="00055403">
            <w:pPr>
              <w:pStyle w:val="Normaltabletextleft"/>
              <w:rPr>
                <w:b/>
                <w:color w:val="262626" w:themeColor="text1" w:themeTint="D9"/>
                <w:lang w:eastAsia="en-AU"/>
              </w:rPr>
            </w:pPr>
            <w:r w:rsidRPr="00E465A1">
              <w:rPr>
                <w:b/>
                <w:color w:val="262626" w:themeColor="text1" w:themeTint="D9"/>
                <w:lang w:eastAsia="en-AU"/>
              </w:rPr>
              <w:t>Balance at 30 June</w:t>
            </w:r>
          </w:p>
        </w:tc>
        <w:tc>
          <w:tcPr>
            <w:tcW w:w="842" w:type="dxa"/>
            <w:tcBorders>
              <w:top w:val="nil"/>
              <w:bottom w:val="nil"/>
            </w:tcBorders>
            <w:noWrap/>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6" w:type="dxa"/>
            <w:tcBorders>
              <w:top w:val="single" w:sz="4" w:space="0" w:color="auto"/>
              <w:bottom w:val="double" w:sz="4" w:space="0" w:color="auto"/>
            </w:tcBorders>
            <w:shd w:val="clear" w:color="auto" w:fill="FEE4B0"/>
            <w:noWrap/>
            <w:tcMar>
              <w:left w:w="0" w:type="dxa"/>
              <w:right w:w="113" w:type="dxa"/>
            </w:tcMar>
          </w:tcPr>
          <w:p w:rsidR="00F972E2" w:rsidRPr="00E465A1" w:rsidRDefault="00AF7B40" w:rsidP="00E1151D">
            <w:pPr>
              <w:pStyle w:val="Normaltabletext1stpararight"/>
              <w:rPr>
                <w:b/>
                <w:color w:val="262626" w:themeColor="text1" w:themeTint="D9"/>
                <w:lang w:eastAsia="en-AU"/>
              </w:rPr>
            </w:pPr>
            <w:r w:rsidRPr="00E465A1">
              <w:rPr>
                <w:b/>
                <w:color w:val="262626" w:themeColor="text1" w:themeTint="D9"/>
                <w:lang w:eastAsia="en-AU"/>
              </w:rPr>
              <w:t>24</w:t>
            </w:r>
            <w:r w:rsidR="00E1151D" w:rsidRPr="00E465A1">
              <w:rPr>
                <w:b/>
                <w:color w:val="262626" w:themeColor="text1" w:themeTint="D9"/>
                <w:lang w:eastAsia="en-AU"/>
              </w:rPr>
              <w:t>6</w:t>
            </w:r>
          </w:p>
        </w:tc>
        <w:tc>
          <w:tcPr>
            <w:tcW w:w="159" w:type="dxa"/>
            <w:tcBorders>
              <w:top w:val="nil"/>
              <w:bottom w:val="nil"/>
            </w:tcBorders>
            <w:noWrap/>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40" w:type="dxa"/>
            <w:tcBorders>
              <w:top w:val="single" w:sz="4" w:space="0" w:color="auto"/>
              <w:bottom w:val="double" w:sz="4" w:space="0" w:color="auto"/>
              <w:right w:val="nil"/>
            </w:tcBorders>
            <w:shd w:val="clear" w:color="auto" w:fill="FFFFFF" w:themeFill="background1"/>
            <w:noWrap/>
            <w:tcMar>
              <w:left w:w="0" w:type="dxa"/>
              <w:right w:w="113" w:type="dxa"/>
            </w:tcMar>
          </w:tcPr>
          <w:p w:rsidR="00F972E2" w:rsidRPr="00E465A1" w:rsidRDefault="00F972E2" w:rsidP="00F972E2">
            <w:pPr>
              <w:pStyle w:val="Normaltabletext1stpararight"/>
              <w:rPr>
                <w:b/>
                <w:color w:val="262626" w:themeColor="text1" w:themeTint="D9"/>
                <w:lang w:eastAsia="en-AU"/>
              </w:rPr>
            </w:pPr>
            <w:r w:rsidRPr="00E465A1">
              <w:rPr>
                <w:b/>
                <w:color w:val="262626" w:themeColor="text1" w:themeTint="D9"/>
                <w:lang w:eastAsia="en-AU"/>
              </w:rPr>
              <w:t>328</w:t>
            </w:r>
          </w:p>
        </w:tc>
      </w:tr>
      <w:tr w:rsidR="00F972E2" w:rsidRPr="00E465A1" w:rsidTr="00B8243C">
        <w:trPr>
          <w:trHeight w:val="20"/>
        </w:trPr>
        <w:tc>
          <w:tcPr>
            <w:tcW w:w="6817"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sz w:val="16"/>
                <w:szCs w:val="16"/>
                <w:lang w:eastAsia="en-AU"/>
              </w:rPr>
            </w:pPr>
          </w:p>
        </w:tc>
        <w:tc>
          <w:tcPr>
            <w:tcW w:w="842"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6" w:type="dxa"/>
            <w:tcBorders>
              <w:top w:val="double" w:sz="4" w:space="0" w:color="auto"/>
              <w:bottom w:val="nil"/>
            </w:tcBorders>
            <w:shd w:val="clear" w:color="auto" w:fill="auto"/>
            <w:noWrap/>
            <w:tcMar>
              <w:left w:w="0" w:type="dxa"/>
              <w:right w:w="113" w:type="dxa"/>
            </w:tcMar>
          </w:tcPr>
          <w:p w:rsidR="00F972E2" w:rsidRPr="00E465A1" w:rsidRDefault="00F972E2" w:rsidP="00F972E2">
            <w:pPr>
              <w:pStyle w:val="Normaltabletext1stpararight"/>
              <w:rPr>
                <w:color w:val="262626" w:themeColor="text1" w:themeTint="D9"/>
                <w:lang w:eastAsia="en-AU"/>
              </w:rPr>
            </w:pPr>
          </w:p>
        </w:tc>
        <w:tc>
          <w:tcPr>
            <w:tcW w:w="159"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40" w:type="dxa"/>
            <w:tcBorders>
              <w:top w:val="nil"/>
              <w:bottom w:val="nil"/>
              <w:right w:val="nil"/>
            </w:tcBorders>
            <w:noWrap/>
            <w:tcMar>
              <w:left w:w="0" w:type="dxa"/>
              <w:right w:w="113" w:type="dxa"/>
            </w:tcMar>
          </w:tcPr>
          <w:p w:rsidR="00F972E2" w:rsidRPr="00E465A1" w:rsidRDefault="00F972E2" w:rsidP="00F972E2">
            <w:pPr>
              <w:pStyle w:val="Normaltabletext1stpararight"/>
              <w:rPr>
                <w:color w:val="262626" w:themeColor="text1" w:themeTint="D9"/>
                <w:lang w:eastAsia="en-AU"/>
              </w:rPr>
            </w:pPr>
          </w:p>
        </w:tc>
      </w:tr>
    </w:tbl>
    <w:p w:rsidR="007203F7" w:rsidRPr="00E465A1" w:rsidRDefault="007203F7" w:rsidP="005E30F1">
      <w:pPr>
        <w:pStyle w:val="Normal1stpara"/>
        <w:rPr>
          <w:color w:val="262626" w:themeColor="text1" w:themeTint="D9"/>
        </w:rPr>
      </w:pPr>
    </w:p>
    <w:p w:rsidR="009C5E1A" w:rsidRPr="00E465A1" w:rsidRDefault="009C5E1A" w:rsidP="005E30F1">
      <w:pPr>
        <w:pStyle w:val="Normal1stpara"/>
        <w:rPr>
          <w:color w:val="262626" w:themeColor="text1" w:themeTint="D9"/>
        </w:rPr>
      </w:pPr>
    </w:p>
    <w:p w:rsidR="009C5E1A" w:rsidRPr="00E465A1" w:rsidRDefault="009C5E1A" w:rsidP="005E30F1">
      <w:pPr>
        <w:pStyle w:val="Normal1stpara"/>
        <w:rPr>
          <w:color w:val="262626" w:themeColor="text1" w:themeTint="D9"/>
        </w:rPr>
      </w:pPr>
    </w:p>
    <w:p w:rsidR="009C5E1A" w:rsidRPr="00E465A1" w:rsidRDefault="009C5E1A" w:rsidP="005E30F1">
      <w:pPr>
        <w:pStyle w:val="Normal1stpara"/>
        <w:rPr>
          <w:color w:val="262626" w:themeColor="text1" w:themeTint="D9"/>
        </w:rPr>
      </w:pPr>
    </w:p>
    <w:p w:rsidR="009C5E1A" w:rsidRPr="00E465A1" w:rsidRDefault="009C5E1A" w:rsidP="005E30F1">
      <w:pPr>
        <w:pStyle w:val="Normal1stpara"/>
        <w:rPr>
          <w:color w:val="262626" w:themeColor="text1" w:themeTint="D9"/>
        </w:rPr>
      </w:pPr>
    </w:p>
    <w:p w:rsidR="009C5E1A" w:rsidRPr="00E465A1" w:rsidRDefault="009C5E1A" w:rsidP="00F44E86">
      <w:pPr>
        <w:pStyle w:val="Normal1stpara"/>
        <w:rPr>
          <w:b/>
          <w:color w:val="262626" w:themeColor="text1" w:themeTint="D9"/>
          <w:sz w:val="22"/>
          <w:szCs w:val="22"/>
        </w:rPr>
      </w:pPr>
    </w:p>
    <w:p w:rsidR="009C5E1A" w:rsidRPr="00E465A1" w:rsidRDefault="009C5E1A" w:rsidP="00F44E86">
      <w:pPr>
        <w:pStyle w:val="Normal1stpara"/>
        <w:rPr>
          <w:b/>
          <w:color w:val="262626" w:themeColor="text1" w:themeTint="D9"/>
          <w:sz w:val="22"/>
          <w:szCs w:val="22"/>
        </w:rPr>
      </w:pPr>
    </w:p>
    <w:p w:rsidR="009C5E1A" w:rsidRPr="00E465A1" w:rsidRDefault="009C5E1A" w:rsidP="00F44E86">
      <w:pPr>
        <w:pStyle w:val="Normal1stpara"/>
        <w:rPr>
          <w:b/>
          <w:color w:val="262626" w:themeColor="text1" w:themeTint="D9"/>
          <w:sz w:val="22"/>
          <w:szCs w:val="22"/>
        </w:rPr>
      </w:pPr>
    </w:p>
    <w:p w:rsidR="009C5E1A" w:rsidRPr="00E465A1" w:rsidRDefault="009C5E1A" w:rsidP="00F44E86">
      <w:pPr>
        <w:pStyle w:val="Normal1stpara"/>
        <w:rPr>
          <w:b/>
          <w:color w:val="262626" w:themeColor="text1" w:themeTint="D9"/>
          <w:sz w:val="22"/>
          <w:szCs w:val="22"/>
        </w:rPr>
      </w:pPr>
    </w:p>
    <w:p w:rsidR="009C5E1A" w:rsidRPr="00E465A1" w:rsidRDefault="009C5E1A" w:rsidP="00F44E86">
      <w:pPr>
        <w:pStyle w:val="Normal1stpara"/>
        <w:rPr>
          <w:b/>
          <w:color w:val="262626" w:themeColor="text1" w:themeTint="D9"/>
          <w:sz w:val="22"/>
          <w:szCs w:val="22"/>
        </w:rPr>
      </w:pPr>
    </w:p>
    <w:p w:rsidR="009C5E1A" w:rsidRPr="00E465A1" w:rsidRDefault="009C5E1A" w:rsidP="00F44E86">
      <w:pPr>
        <w:pStyle w:val="Normal1stpara"/>
        <w:rPr>
          <w:b/>
          <w:color w:val="262626" w:themeColor="text1" w:themeTint="D9"/>
          <w:sz w:val="22"/>
          <w:szCs w:val="22"/>
        </w:rPr>
      </w:pPr>
    </w:p>
    <w:p w:rsidR="0035206A" w:rsidRPr="00E465A1" w:rsidRDefault="00B27A88" w:rsidP="00F44E86">
      <w:pPr>
        <w:pStyle w:val="Normal1stpara"/>
        <w:rPr>
          <w:color w:val="262626" w:themeColor="text1" w:themeTint="D9"/>
        </w:rPr>
      </w:pPr>
      <w:r w:rsidRPr="00E465A1">
        <w:rPr>
          <w:b/>
          <w:color w:val="262626" w:themeColor="text1" w:themeTint="D9"/>
          <w:sz w:val="22"/>
          <w:szCs w:val="22"/>
        </w:rPr>
        <w:lastRenderedPageBreak/>
        <w:t>Note 1</w:t>
      </w:r>
      <w:r w:rsidR="0014516F" w:rsidRPr="00E465A1">
        <w:rPr>
          <w:b/>
          <w:color w:val="262626" w:themeColor="text1" w:themeTint="D9"/>
          <w:sz w:val="22"/>
          <w:szCs w:val="22"/>
        </w:rPr>
        <w:t>6</w:t>
      </w:r>
      <w:r w:rsidRPr="00E465A1">
        <w:rPr>
          <w:b/>
          <w:color w:val="262626" w:themeColor="text1" w:themeTint="D9"/>
          <w:sz w:val="22"/>
          <w:szCs w:val="22"/>
        </w:rPr>
        <w:t>:  Reconciliation of O</w:t>
      </w:r>
      <w:r w:rsidR="006B621C" w:rsidRPr="00E465A1">
        <w:rPr>
          <w:b/>
          <w:color w:val="262626" w:themeColor="text1" w:themeTint="D9"/>
          <w:sz w:val="22"/>
          <w:szCs w:val="22"/>
        </w:rPr>
        <w:t>perating Result to Net Cash Provided by</w:t>
      </w:r>
      <w:r w:rsidRPr="00E465A1">
        <w:rPr>
          <w:b/>
          <w:color w:val="262626" w:themeColor="text1" w:themeTint="D9"/>
          <w:sz w:val="22"/>
          <w:szCs w:val="22"/>
        </w:rPr>
        <w:t xml:space="preserve"> Operating Activities</w:t>
      </w:r>
    </w:p>
    <w:p w:rsidR="0065561D" w:rsidRPr="00E465A1" w:rsidRDefault="0065561D" w:rsidP="00F44E86">
      <w:pPr>
        <w:pStyle w:val="Normal1stpara"/>
        <w:rPr>
          <w:color w:val="262626" w:themeColor="text1" w:themeTint="D9"/>
        </w:rPr>
      </w:pPr>
    </w:p>
    <w:tbl>
      <w:tblPr>
        <w:tblW w:w="4943" w:type="pct"/>
        <w:tblBorders>
          <w:top w:val="double" w:sz="4" w:space="0" w:color="auto"/>
          <w:left w:val="double" w:sz="4" w:space="0" w:color="auto"/>
          <w:bottom w:val="double" w:sz="4" w:space="0" w:color="auto"/>
          <w:right w:val="double" w:sz="4" w:space="0" w:color="auto"/>
        </w:tblBorders>
        <w:tblLayout w:type="fixed"/>
        <w:tblCellMar>
          <w:left w:w="0" w:type="dxa"/>
          <w:bottom w:w="11" w:type="dxa"/>
          <w:right w:w="0" w:type="dxa"/>
        </w:tblCellMar>
        <w:tblLook w:val="0000" w:firstRow="0" w:lastRow="0" w:firstColumn="0" w:lastColumn="0" w:noHBand="0" w:noVBand="0"/>
      </w:tblPr>
      <w:tblGrid>
        <w:gridCol w:w="6719"/>
        <w:gridCol w:w="841"/>
        <w:gridCol w:w="1125"/>
        <w:gridCol w:w="280"/>
        <w:gridCol w:w="1125"/>
      </w:tblGrid>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p>
          <w:p w:rsidR="00876A0E" w:rsidRPr="00E465A1" w:rsidRDefault="00876A0E" w:rsidP="00F972E2">
            <w:pPr>
              <w:pStyle w:val="Normaltabletextleft"/>
              <w:rPr>
                <w:color w:val="262626" w:themeColor="text1" w:themeTint="D9"/>
                <w:lang w:eastAsia="en-AU"/>
              </w:rPr>
            </w:pP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6202D5" w:rsidP="00F972E2">
            <w:pPr>
              <w:pStyle w:val="Normaltabletext1stpararight"/>
              <w:rPr>
                <w:b/>
                <w:color w:val="262626" w:themeColor="text1" w:themeTint="D9"/>
                <w:lang w:eastAsia="en-AU"/>
              </w:rPr>
            </w:pPr>
            <w:r w:rsidRPr="00E465A1">
              <w:rPr>
                <w:b/>
                <w:color w:val="262626" w:themeColor="text1" w:themeTint="D9"/>
                <w:lang w:eastAsia="en-AU"/>
              </w:rPr>
              <w:t>2018</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b/>
                <w:color w:val="262626" w:themeColor="text1" w:themeTint="D9"/>
                <w:lang w:eastAsia="en-AU"/>
              </w:rPr>
              <w:t>2017</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6202D5" w:rsidP="00F972E2">
            <w:pPr>
              <w:pStyle w:val="Normaltabletext1stpararight"/>
              <w:rPr>
                <w:color w:val="262626" w:themeColor="text1" w:themeTint="D9"/>
                <w:lang w:eastAsia="en-AU"/>
              </w:rPr>
            </w:pPr>
            <w:r w:rsidRPr="00E465A1">
              <w:rPr>
                <w:b/>
                <w:color w:val="262626" w:themeColor="text1" w:themeTint="D9"/>
                <w:lang w:eastAsia="en-AU"/>
              </w:rPr>
              <w:t>$’000</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972E2" w:rsidP="00F972E2">
            <w:pPr>
              <w:pStyle w:val="Normaltabletext1stpararight"/>
              <w:rPr>
                <w:color w:val="262626" w:themeColor="text1" w:themeTint="D9"/>
                <w:lang w:eastAsia="en-AU"/>
              </w:rPr>
            </w:pP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Operating result from continuing operations</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AD2569">
            <w:pPr>
              <w:pStyle w:val="Normaltabletext1stpararight"/>
              <w:rPr>
                <w:iCs/>
                <w:color w:val="262626" w:themeColor="text1" w:themeTint="D9"/>
                <w:lang w:eastAsia="en-AU"/>
              </w:rPr>
            </w:pPr>
            <w:r w:rsidRPr="00E465A1">
              <w:rPr>
                <w:iCs/>
                <w:color w:val="262626" w:themeColor="text1" w:themeTint="D9"/>
                <w:lang w:eastAsia="en-AU"/>
              </w:rPr>
              <w:t>4</w:t>
            </w:r>
            <w:r w:rsidR="00AD2569" w:rsidRPr="00E465A1">
              <w:rPr>
                <w:iCs/>
                <w:color w:val="262626" w:themeColor="text1" w:themeTint="D9"/>
                <w:lang w:eastAsia="en-AU"/>
              </w:rPr>
              <w:t>07</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iCs/>
                <w:color w:val="262626" w:themeColor="text1" w:themeTint="D9"/>
                <w:lang w:eastAsia="en-AU"/>
              </w:rPr>
            </w:pPr>
            <w:r w:rsidRPr="00E465A1">
              <w:rPr>
                <w:iCs/>
                <w:color w:val="262626" w:themeColor="text1" w:themeTint="D9"/>
                <w:lang w:eastAsia="en-AU"/>
              </w:rPr>
              <w:t>(22)</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972E2" w:rsidP="00F972E2">
            <w:pPr>
              <w:pStyle w:val="Normaltabletext1stpararight"/>
              <w:rPr>
                <w:color w:val="262626" w:themeColor="text1" w:themeTint="D9"/>
                <w:lang w:eastAsia="en-AU"/>
              </w:rPr>
            </w:pP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Depreciation and amortisation expense</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1,852</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2,105</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Losses on disposal of property, plant and equipment</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EB44F7" w:rsidP="00F972E2">
            <w:pPr>
              <w:pStyle w:val="Normaltabletext1stpararight"/>
              <w:rPr>
                <w:color w:val="262626" w:themeColor="text1" w:themeTint="D9"/>
                <w:lang w:eastAsia="en-AU"/>
              </w:rPr>
            </w:pPr>
            <w:r w:rsidRPr="00E465A1">
              <w:rPr>
                <w:color w:val="262626" w:themeColor="text1" w:themeTint="D9"/>
                <w:lang w:eastAsia="en-AU"/>
              </w:rPr>
              <w:t>1</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37</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Gains on disposal of property, plant and equipment</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(123</w:t>
            </w:r>
            <w:r w:rsidR="00EB44F7" w:rsidRPr="00E465A1">
              <w:rPr>
                <w:color w:val="262626" w:themeColor="text1" w:themeTint="D9"/>
                <w:lang w:eastAsia="en-AU"/>
              </w:rPr>
              <w:t>)</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(83)</w:t>
            </w:r>
          </w:p>
        </w:tc>
      </w:tr>
      <w:tr w:rsidR="00E465A1" w:rsidRPr="00E465A1" w:rsidTr="00AD6577">
        <w:trPr>
          <w:trHeight w:val="20"/>
        </w:trPr>
        <w:tc>
          <w:tcPr>
            <w:tcW w:w="6719" w:type="dxa"/>
            <w:tcBorders>
              <w:top w:val="nil"/>
              <w:left w:val="nil"/>
              <w:bottom w:val="nil"/>
            </w:tcBorders>
            <w:noWrap/>
            <w:tcMar>
              <w:left w:w="0" w:type="dxa"/>
              <w:right w:w="0" w:type="dxa"/>
            </w:tcMar>
          </w:tcPr>
          <w:p w:rsidR="000A2845" w:rsidRPr="00E465A1" w:rsidRDefault="000A2845" w:rsidP="00F972E2">
            <w:pPr>
              <w:pStyle w:val="Normaltabletextleft"/>
              <w:rPr>
                <w:color w:val="262626" w:themeColor="text1" w:themeTint="D9"/>
                <w:lang w:eastAsia="en-AU"/>
              </w:rPr>
            </w:pPr>
            <w:r w:rsidRPr="00E465A1">
              <w:rPr>
                <w:color w:val="262626" w:themeColor="text1" w:themeTint="D9"/>
                <w:lang w:eastAsia="en-AU"/>
              </w:rPr>
              <w:t>Other Revenue</w:t>
            </w:r>
          </w:p>
        </w:tc>
        <w:tc>
          <w:tcPr>
            <w:tcW w:w="841" w:type="dxa"/>
            <w:tcBorders>
              <w:top w:val="nil"/>
              <w:bottom w:val="nil"/>
            </w:tcBorders>
            <w:shd w:val="clear" w:color="auto" w:fill="auto"/>
            <w:noWrap/>
            <w:tcMar>
              <w:left w:w="0" w:type="dxa"/>
              <w:right w:w="0" w:type="dxa"/>
            </w:tcMar>
          </w:tcPr>
          <w:p w:rsidR="000A2845" w:rsidRPr="00E465A1" w:rsidRDefault="000A2845"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0A2845"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(133</w:t>
            </w:r>
            <w:r w:rsidR="000A2845" w:rsidRPr="00E465A1">
              <w:rPr>
                <w:color w:val="262626" w:themeColor="text1" w:themeTint="D9"/>
                <w:lang w:eastAsia="en-AU"/>
              </w:rPr>
              <w:t>)</w:t>
            </w:r>
          </w:p>
        </w:tc>
        <w:tc>
          <w:tcPr>
            <w:tcW w:w="280" w:type="dxa"/>
            <w:tcBorders>
              <w:top w:val="nil"/>
              <w:bottom w:val="nil"/>
            </w:tcBorders>
            <w:noWrap/>
            <w:tcMar>
              <w:left w:w="0" w:type="dxa"/>
              <w:right w:w="0" w:type="dxa"/>
            </w:tcMar>
          </w:tcPr>
          <w:p w:rsidR="000A2845" w:rsidRPr="00E465A1" w:rsidRDefault="000A2845"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0A2845" w:rsidRPr="00E465A1" w:rsidRDefault="000A2845" w:rsidP="00F972E2">
            <w:pPr>
              <w:pStyle w:val="Normaltabletext1stpararight"/>
              <w:rPr>
                <w:color w:val="262626" w:themeColor="text1" w:themeTint="D9"/>
                <w:lang w:eastAsia="en-AU"/>
              </w:rPr>
            </w:pPr>
            <w:r w:rsidRPr="00E465A1">
              <w:rPr>
                <w:color w:val="262626" w:themeColor="text1" w:themeTint="D9"/>
              </w:rPr>
              <w:t>–</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Finance costs</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5</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6</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b/>
                <w:color w:val="262626" w:themeColor="text1" w:themeTint="D9"/>
                <w:lang w:eastAsia="en-AU"/>
              </w:rPr>
            </w:pP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972E2" w:rsidP="00F972E2">
            <w:pPr>
              <w:pStyle w:val="Normaltabletext1stpararight"/>
              <w:rPr>
                <w:b/>
                <w:color w:val="262626" w:themeColor="text1" w:themeTint="D9"/>
                <w:lang w:eastAsia="en-AU"/>
              </w:rPr>
            </w:pPr>
          </w:p>
        </w:tc>
        <w:tc>
          <w:tcPr>
            <w:tcW w:w="280" w:type="dxa"/>
            <w:tcBorders>
              <w:top w:val="nil"/>
              <w:bottom w:val="nil"/>
            </w:tcBorders>
            <w:noWrap/>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b/>
                <w:color w:val="262626" w:themeColor="text1" w:themeTint="D9"/>
                <w:lang w:eastAsia="en-AU"/>
              </w:rPr>
            </w:pP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b/>
                <w:color w:val="262626" w:themeColor="text1" w:themeTint="D9"/>
                <w:lang w:eastAsia="en-AU"/>
              </w:rPr>
            </w:pPr>
            <w:r w:rsidRPr="00E465A1">
              <w:rPr>
                <w:b/>
                <w:color w:val="262626" w:themeColor="text1" w:themeTint="D9"/>
                <w:lang w:eastAsia="en-AU"/>
              </w:rPr>
              <w:t>Change in asset and liabilities:</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972E2" w:rsidP="00F972E2">
            <w:pPr>
              <w:pStyle w:val="Normaltabletext1stpararight"/>
              <w:rPr>
                <w:b/>
                <w:color w:val="262626" w:themeColor="text1" w:themeTint="D9"/>
                <w:lang w:eastAsia="en-AU"/>
              </w:rPr>
            </w:pPr>
          </w:p>
        </w:tc>
        <w:tc>
          <w:tcPr>
            <w:tcW w:w="280" w:type="dxa"/>
            <w:tcBorders>
              <w:top w:val="nil"/>
              <w:bottom w:val="nil"/>
            </w:tcBorders>
            <w:noWrap/>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b/>
                <w:color w:val="262626" w:themeColor="text1" w:themeTint="D9"/>
                <w:lang w:eastAsia="en-AU"/>
              </w:rPr>
            </w:pP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other receivables</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C69AC">
            <w:pPr>
              <w:pStyle w:val="Normaltabletext1stpararight"/>
              <w:rPr>
                <w:color w:val="262626" w:themeColor="text1" w:themeTint="D9"/>
                <w:lang w:eastAsia="en-AU"/>
              </w:rPr>
            </w:pPr>
            <w:r w:rsidRPr="00E465A1">
              <w:rPr>
                <w:color w:val="262626" w:themeColor="text1" w:themeTint="D9"/>
                <w:lang w:eastAsia="en-AU"/>
              </w:rPr>
              <w:t>(56)</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44</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GST input tax receivable</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C69AC">
            <w:pPr>
              <w:pStyle w:val="Normaltabletext1stpararight"/>
              <w:rPr>
                <w:color w:val="262626" w:themeColor="text1" w:themeTint="D9"/>
                <w:lang w:eastAsia="en-AU"/>
              </w:rPr>
            </w:pPr>
            <w:r w:rsidRPr="00E465A1">
              <w:rPr>
                <w:color w:val="262626" w:themeColor="text1" w:themeTint="D9"/>
                <w:lang w:eastAsia="en-AU"/>
              </w:rPr>
              <w:t>(132)</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80</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long service leave reimbursement receivable</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(93)</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106</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interest receivable</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39</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30</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prepayments</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30</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(43)</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accounts payable</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AD2569">
            <w:pPr>
              <w:pStyle w:val="Normaltabletext1stpararight"/>
              <w:rPr>
                <w:color w:val="262626" w:themeColor="text1" w:themeTint="D9"/>
                <w:lang w:eastAsia="en-AU"/>
              </w:rPr>
            </w:pPr>
            <w:r w:rsidRPr="00E465A1">
              <w:rPr>
                <w:color w:val="262626" w:themeColor="text1" w:themeTint="D9"/>
                <w:lang w:eastAsia="en-AU"/>
              </w:rPr>
              <w:t>1,8</w:t>
            </w:r>
            <w:r w:rsidR="00AD2569" w:rsidRPr="00E465A1">
              <w:rPr>
                <w:color w:val="262626" w:themeColor="text1" w:themeTint="D9"/>
                <w:lang w:eastAsia="en-AU"/>
              </w:rPr>
              <w:t>98</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(492)</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accrued employee benefits</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AD2569" w:rsidP="00F972E2">
            <w:pPr>
              <w:pStyle w:val="Normaltabletext1stpararight"/>
              <w:rPr>
                <w:color w:val="262626" w:themeColor="text1" w:themeTint="D9"/>
                <w:lang w:eastAsia="en-AU"/>
              </w:rPr>
            </w:pPr>
            <w:r w:rsidRPr="00E465A1">
              <w:rPr>
                <w:color w:val="262626" w:themeColor="text1" w:themeTint="D9"/>
                <w:lang w:eastAsia="en-AU"/>
              </w:rPr>
              <w:t>(113</w:t>
            </w:r>
            <w:r w:rsidR="00FC69AC" w:rsidRPr="00E465A1">
              <w:rPr>
                <w:color w:val="262626" w:themeColor="text1" w:themeTint="D9"/>
                <w:lang w:eastAsia="en-AU"/>
              </w:rPr>
              <w:t>)</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357</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GST payable</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(1</w:t>
            </w:r>
            <w:r w:rsidR="00EB44F7" w:rsidRPr="00E465A1">
              <w:rPr>
                <w:color w:val="262626" w:themeColor="text1" w:themeTint="D9"/>
                <w:lang w:eastAsia="en-AU"/>
              </w:rPr>
              <w:t>)</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4</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unearned revenue</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700</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10</w:t>
            </w:r>
          </w:p>
        </w:tc>
      </w:tr>
      <w:tr w:rsidR="00E465A1" w:rsidRPr="00E465A1" w:rsidTr="00AD6577">
        <w:trPr>
          <w:trHeight w:val="20"/>
        </w:trPr>
        <w:tc>
          <w:tcPr>
            <w:tcW w:w="6719" w:type="dxa"/>
            <w:tcBorders>
              <w:top w:val="nil"/>
              <w:left w:val="nil"/>
              <w:bottom w:val="nil"/>
            </w:tcBorders>
            <w:noWrap/>
            <w:tcMar>
              <w:left w:w="0" w:type="dxa"/>
              <w:right w:w="0" w:type="dxa"/>
            </w:tcMar>
          </w:tcPr>
          <w:p w:rsidR="00D00EE3" w:rsidRPr="00E465A1" w:rsidRDefault="00D00EE3" w:rsidP="00F972E2">
            <w:pPr>
              <w:pStyle w:val="Normaltabletextleft"/>
              <w:rPr>
                <w:color w:val="262626" w:themeColor="text1" w:themeTint="D9"/>
                <w:lang w:eastAsia="en-AU"/>
              </w:rPr>
            </w:pPr>
            <w:r w:rsidRPr="00E465A1">
              <w:rPr>
                <w:color w:val="262626" w:themeColor="text1" w:themeTint="D9"/>
                <w:lang w:eastAsia="en-AU"/>
              </w:rPr>
              <w:t>Increase/(decrease) in provision</w:t>
            </w:r>
          </w:p>
        </w:tc>
        <w:tc>
          <w:tcPr>
            <w:tcW w:w="841" w:type="dxa"/>
            <w:tcBorders>
              <w:top w:val="nil"/>
              <w:bottom w:val="nil"/>
            </w:tcBorders>
            <w:shd w:val="clear" w:color="auto" w:fill="auto"/>
            <w:noWrap/>
            <w:tcMar>
              <w:left w:w="0" w:type="dxa"/>
              <w:right w:w="0" w:type="dxa"/>
            </w:tcMar>
          </w:tcPr>
          <w:p w:rsidR="00D00EE3" w:rsidRPr="00E465A1" w:rsidRDefault="00D00EE3"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D00EE3" w:rsidRPr="00E465A1" w:rsidRDefault="00D00EE3" w:rsidP="000A2845">
            <w:pPr>
              <w:pStyle w:val="Normaltabletext1stpararight"/>
              <w:rPr>
                <w:color w:val="262626" w:themeColor="text1" w:themeTint="D9"/>
                <w:lang w:eastAsia="en-AU"/>
              </w:rPr>
            </w:pPr>
            <w:r w:rsidRPr="00E465A1">
              <w:rPr>
                <w:color w:val="262626" w:themeColor="text1" w:themeTint="D9"/>
                <w:lang w:eastAsia="en-AU"/>
              </w:rPr>
              <w:t>(2</w:t>
            </w:r>
            <w:r w:rsidR="00FC69AC" w:rsidRPr="00E465A1">
              <w:rPr>
                <w:color w:val="262626" w:themeColor="text1" w:themeTint="D9"/>
                <w:lang w:eastAsia="en-AU"/>
              </w:rPr>
              <w:t>7</w:t>
            </w:r>
            <w:r w:rsidRPr="00E465A1">
              <w:rPr>
                <w:color w:val="262626" w:themeColor="text1" w:themeTint="D9"/>
                <w:lang w:eastAsia="en-AU"/>
              </w:rPr>
              <w:t>)</w:t>
            </w:r>
          </w:p>
        </w:tc>
        <w:tc>
          <w:tcPr>
            <w:tcW w:w="280" w:type="dxa"/>
            <w:tcBorders>
              <w:top w:val="nil"/>
              <w:bottom w:val="nil"/>
            </w:tcBorders>
            <w:noWrap/>
            <w:tcMar>
              <w:left w:w="0" w:type="dxa"/>
              <w:right w:w="0" w:type="dxa"/>
            </w:tcMar>
          </w:tcPr>
          <w:p w:rsidR="00D00EE3" w:rsidRPr="00E465A1" w:rsidRDefault="00D00EE3"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D00EE3" w:rsidRPr="00E465A1" w:rsidRDefault="00D00EE3" w:rsidP="00F972E2">
            <w:pPr>
              <w:pStyle w:val="Normaltabletext1stpararight"/>
              <w:rPr>
                <w:color w:val="262626" w:themeColor="text1" w:themeTint="D9"/>
                <w:lang w:eastAsia="en-AU"/>
              </w:rPr>
            </w:pPr>
            <w:r w:rsidRPr="00E465A1">
              <w:rPr>
                <w:color w:val="262626" w:themeColor="text1" w:themeTint="D9"/>
              </w:rPr>
              <w:t>–</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color w:val="262626" w:themeColor="text1" w:themeTint="D9"/>
                <w:lang w:eastAsia="en-AU"/>
              </w:rPr>
            </w:pPr>
            <w:r w:rsidRPr="00E465A1">
              <w:rPr>
                <w:color w:val="262626" w:themeColor="text1" w:themeTint="D9"/>
                <w:lang w:eastAsia="en-AU"/>
              </w:rPr>
              <w:t>Increase/(decrease) in lease liability</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tcBorders>
            <w:shd w:val="clear" w:color="auto" w:fill="FEE4B0"/>
            <w:noWrap/>
            <w:tcMar>
              <w:left w:w="0" w:type="dxa"/>
              <w:right w:w="113" w:type="dxa"/>
            </w:tcMar>
          </w:tcPr>
          <w:p w:rsidR="00F972E2" w:rsidRPr="00E465A1" w:rsidRDefault="00FC69AC" w:rsidP="00F972E2">
            <w:pPr>
              <w:pStyle w:val="Normaltabletext1stpararight"/>
              <w:rPr>
                <w:color w:val="262626" w:themeColor="text1" w:themeTint="D9"/>
                <w:lang w:eastAsia="en-AU"/>
              </w:rPr>
            </w:pPr>
            <w:r w:rsidRPr="00E465A1">
              <w:rPr>
                <w:color w:val="262626" w:themeColor="text1" w:themeTint="D9"/>
                <w:lang w:eastAsia="en-AU"/>
              </w:rPr>
              <w:t>130</w:t>
            </w:r>
          </w:p>
        </w:tc>
        <w:tc>
          <w:tcPr>
            <w:tcW w:w="280" w:type="dxa"/>
            <w:tcBorders>
              <w:top w:val="nil"/>
              <w:bottom w:val="nil"/>
            </w:tcBorders>
            <w:noWrap/>
            <w:tcMar>
              <w:left w:w="0" w:type="dxa"/>
              <w:right w:w="0" w:type="dxa"/>
            </w:tcMar>
          </w:tcPr>
          <w:p w:rsidR="00F972E2" w:rsidRPr="00E465A1" w:rsidRDefault="00F972E2" w:rsidP="00F972E2">
            <w:pPr>
              <w:pStyle w:val="Normaltabletextcentred"/>
              <w:rPr>
                <w:color w:val="262626" w:themeColor="text1" w:themeTint="D9"/>
                <w:lang w:eastAsia="en-AU"/>
              </w:rPr>
            </w:pPr>
          </w:p>
        </w:tc>
        <w:tc>
          <w:tcPr>
            <w:tcW w:w="1125" w:type="dxa"/>
            <w:tcBorders>
              <w:top w:val="nil"/>
              <w:bottom w:val="nil"/>
              <w:right w:val="nil"/>
            </w:tcBorders>
            <w:shd w:val="clear" w:color="auto" w:fill="FFFFFF" w:themeFill="background1"/>
            <w:noWrap/>
            <w:tcMar>
              <w:left w:w="0" w:type="dxa"/>
              <w:right w:w="113" w:type="dxa"/>
            </w:tcMar>
          </w:tcPr>
          <w:p w:rsidR="00F972E2" w:rsidRPr="00E465A1" w:rsidRDefault="00F972E2" w:rsidP="00F972E2">
            <w:pPr>
              <w:pStyle w:val="Normaltabletext1stpararight"/>
              <w:rPr>
                <w:color w:val="262626" w:themeColor="text1" w:themeTint="D9"/>
                <w:lang w:eastAsia="en-AU"/>
              </w:rPr>
            </w:pPr>
            <w:r w:rsidRPr="00E465A1">
              <w:rPr>
                <w:color w:val="262626" w:themeColor="text1" w:themeTint="D9"/>
                <w:lang w:eastAsia="en-AU"/>
              </w:rPr>
              <w:t>353</w:t>
            </w:r>
          </w:p>
        </w:tc>
      </w:tr>
      <w:tr w:rsidR="00E465A1" w:rsidRPr="00E465A1" w:rsidTr="00AD6577">
        <w:trPr>
          <w:trHeight w:val="20"/>
        </w:trPr>
        <w:tc>
          <w:tcPr>
            <w:tcW w:w="6719" w:type="dxa"/>
            <w:tcBorders>
              <w:top w:val="nil"/>
              <w:left w:val="nil"/>
              <w:bottom w:val="nil"/>
            </w:tcBorders>
            <w:noWrap/>
            <w:tcMar>
              <w:left w:w="0" w:type="dxa"/>
              <w:right w:w="0" w:type="dxa"/>
            </w:tcMar>
          </w:tcPr>
          <w:p w:rsidR="00F972E2" w:rsidRPr="00E465A1" w:rsidRDefault="00F972E2" w:rsidP="00F972E2">
            <w:pPr>
              <w:pStyle w:val="Normaltabletextleft"/>
              <w:rPr>
                <w:b/>
                <w:color w:val="262626" w:themeColor="text1" w:themeTint="D9"/>
                <w:lang w:eastAsia="en-AU"/>
              </w:rPr>
            </w:pPr>
            <w:r w:rsidRPr="00E465A1">
              <w:rPr>
                <w:b/>
                <w:color w:val="262626" w:themeColor="text1" w:themeTint="D9"/>
                <w:lang w:eastAsia="en-AU"/>
              </w:rPr>
              <w:t>Net Cash Provided by operating activities</w:t>
            </w:r>
          </w:p>
        </w:tc>
        <w:tc>
          <w:tcPr>
            <w:tcW w:w="841" w:type="dxa"/>
            <w:tcBorders>
              <w:top w:val="nil"/>
              <w:bottom w:val="nil"/>
            </w:tcBorders>
            <w:shd w:val="clear" w:color="auto" w:fill="auto"/>
            <w:noWrap/>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5" w:type="dxa"/>
            <w:tcBorders>
              <w:top w:val="single" w:sz="4" w:space="0" w:color="auto"/>
              <w:bottom w:val="double" w:sz="4" w:space="0" w:color="auto"/>
            </w:tcBorders>
            <w:shd w:val="clear" w:color="auto" w:fill="FEE4B0"/>
            <w:noWrap/>
            <w:tcMar>
              <w:left w:w="0" w:type="dxa"/>
              <w:right w:w="113" w:type="dxa"/>
            </w:tcMar>
          </w:tcPr>
          <w:p w:rsidR="00F972E2" w:rsidRPr="00E465A1" w:rsidRDefault="00FC69AC" w:rsidP="004D6271">
            <w:pPr>
              <w:pStyle w:val="Normaltabletext1stpararight"/>
              <w:rPr>
                <w:b/>
                <w:color w:val="262626" w:themeColor="text1" w:themeTint="D9"/>
                <w:lang w:eastAsia="en-AU"/>
              </w:rPr>
            </w:pPr>
            <w:r w:rsidRPr="00E465A1">
              <w:rPr>
                <w:b/>
                <w:color w:val="262626" w:themeColor="text1" w:themeTint="D9"/>
                <w:lang w:eastAsia="en-AU"/>
              </w:rPr>
              <w:t>4,384</w:t>
            </w:r>
          </w:p>
        </w:tc>
        <w:tc>
          <w:tcPr>
            <w:tcW w:w="280" w:type="dxa"/>
            <w:tcBorders>
              <w:top w:val="nil"/>
              <w:bottom w:val="nil"/>
            </w:tcBorders>
            <w:noWrap/>
            <w:tcMar>
              <w:left w:w="0" w:type="dxa"/>
              <w:right w:w="0" w:type="dxa"/>
            </w:tcMar>
          </w:tcPr>
          <w:p w:rsidR="00F972E2" w:rsidRPr="00E465A1" w:rsidRDefault="00F972E2" w:rsidP="00F972E2">
            <w:pPr>
              <w:pStyle w:val="Normaltabletextcentred"/>
              <w:rPr>
                <w:b/>
                <w:color w:val="262626" w:themeColor="text1" w:themeTint="D9"/>
                <w:lang w:eastAsia="en-AU"/>
              </w:rPr>
            </w:pPr>
          </w:p>
        </w:tc>
        <w:tc>
          <w:tcPr>
            <w:tcW w:w="1125" w:type="dxa"/>
            <w:tcBorders>
              <w:top w:val="single" w:sz="4" w:space="0" w:color="auto"/>
              <w:bottom w:val="double" w:sz="4" w:space="0" w:color="auto"/>
              <w:right w:val="nil"/>
            </w:tcBorders>
            <w:shd w:val="clear" w:color="auto" w:fill="FFFFFF" w:themeFill="background1"/>
            <w:noWrap/>
            <w:tcMar>
              <w:left w:w="0" w:type="dxa"/>
              <w:right w:w="113" w:type="dxa"/>
            </w:tcMar>
          </w:tcPr>
          <w:p w:rsidR="00F972E2" w:rsidRPr="00E465A1" w:rsidRDefault="00F972E2" w:rsidP="00F972E2">
            <w:pPr>
              <w:pStyle w:val="Normaltabletext1stpararight"/>
              <w:rPr>
                <w:b/>
                <w:color w:val="262626" w:themeColor="text1" w:themeTint="D9"/>
                <w:lang w:eastAsia="en-AU"/>
              </w:rPr>
            </w:pPr>
            <w:r w:rsidRPr="00E465A1">
              <w:rPr>
                <w:b/>
                <w:color w:val="262626" w:themeColor="text1" w:themeTint="D9"/>
                <w:lang w:eastAsia="en-AU"/>
              </w:rPr>
              <w:t>2,492</w:t>
            </w:r>
          </w:p>
        </w:tc>
      </w:tr>
      <w:tr w:rsidR="00F972E2" w:rsidRPr="00E465A1" w:rsidTr="00F972E2">
        <w:trPr>
          <w:trHeight w:val="20"/>
        </w:trPr>
        <w:tc>
          <w:tcPr>
            <w:tcW w:w="6719" w:type="dxa"/>
            <w:tcBorders>
              <w:top w:val="nil"/>
              <w:left w:val="nil"/>
              <w:bottom w:val="nil"/>
              <w:right w:val="nil"/>
            </w:tcBorders>
            <w:noWrap/>
            <w:tcMar>
              <w:left w:w="0" w:type="dxa"/>
              <w:right w:w="0" w:type="dxa"/>
            </w:tcMar>
          </w:tcPr>
          <w:p w:rsidR="00F972E2" w:rsidRPr="00E465A1" w:rsidRDefault="00F972E2" w:rsidP="00F972E2">
            <w:pPr>
              <w:pStyle w:val="Normaltabletext1stpararight"/>
              <w:jc w:val="left"/>
              <w:rPr>
                <w:b/>
                <w:color w:val="262626" w:themeColor="text1" w:themeTint="D9"/>
                <w:sz w:val="22"/>
                <w:szCs w:val="22"/>
              </w:rPr>
            </w:pPr>
          </w:p>
        </w:tc>
        <w:tc>
          <w:tcPr>
            <w:tcW w:w="841" w:type="dxa"/>
            <w:tcBorders>
              <w:top w:val="nil"/>
              <w:left w:val="nil"/>
              <w:bottom w:val="nil"/>
              <w:right w:val="nil"/>
            </w:tcBorders>
          </w:tcPr>
          <w:p w:rsidR="00F972E2" w:rsidRPr="00E465A1" w:rsidRDefault="00F972E2" w:rsidP="00F972E2">
            <w:pPr>
              <w:pStyle w:val="Normaltabletext1stpararight"/>
              <w:jc w:val="left"/>
              <w:rPr>
                <w:b/>
                <w:color w:val="262626" w:themeColor="text1" w:themeTint="D9"/>
                <w:sz w:val="22"/>
                <w:szCs w:val="22"/>
              </w:rPr>
            </w:pPr>
          </w:p>
        </w:tc>
        <w:tc>
          <w:tcPr>
            <w:tcW w:w="1125" w:type="dxa"/>
            <w:tcBorders>
              <w:top w:val="nil"/>
              <w:left w:val="nil"/>
              <w:bottom w:val="nil"/>
              <w:right w:val="nil"/>
            </w:tcBorders>
          </w:tcPr>
          <w:p w:rsidR="00F972E2" w:rsidRPr="00E465A1" w:rsidRDefault="00F972E2" w:rsidP="00F972E2">
            <w:pPr>
              <w:pStyle w:val="Normaltabletext1stpararight"/>
              <w:jc w:val="left"/>
              <w:rPr>
                <w:b/>
                <w:color w:val="262626" w:themeColor="text1" w:themeTint="D9"/>
                <w:sz w:val="22"/>
                <w:szCs w:val="22"/>
              </w:rPr>
            </w:pPr>
          </w:p>
        </w:tc>
        <w:tc>
          <w:tcPr>
            <w:tcW w:w="280" w:type="dxa"/>
            <w:tcBorders>
              <w:top w:val="nil"/>
              <w:left w:val="nil"/>
              <w:bottom w:val="nil"/>
              <w:right w:val="nil"/>
            </w:tcBorders>
          </w:tcPr>
          <w:p w:rsidR="00F972E2" w:rsidRPr="00E465A1" w:rsidRDefault="00F972E2" w:rsidP="00F972E2">
            <w:pPr>
              <w:pStyle w:val="Normaltabletext1stpararight"/>
              <w:jc w:val="left"/>
              <w:rPr>
                <w:b/>
                <w:color w:val="262626" w:themeColor="text1" w:themeTint="D9"/>
                <w:sz w:val="22"/>
                <w:szCs w:val="22"/>
              </w:rPr>
            </w:pPr>
          </w:p>
        </w:tc>
        <w:tc>
          <w:tcPr>
            <w:tcW w:w="1125" w:type="dxa"/>
            <w:tcBorders>
              <w:top w:val="nil"/>
              <w:left w:val="nil"/>
              <w:bottom w:val="nil"/>
              <w:right w:val="nil"/>
            </w:tcBorders>
          </w:tcPr>
          <w:p w:rsidR="00F972E2" w:rsidRPr="00E465A1" w:rsidRDefault="00F972E2" w:rsidP="00F972E2">
            <w:pPr>
              <w:pStyle w:val="Normaltabletext1stpararight"/>
              <w:jc w:val="left"/>
              <w:rPr>
                <w:b/>
                <w:color w:val="262626" w:themeColor="text1" w:themeTint="D9"/>
                <w:sz w:val="22"/>
                <w:szCs w:val="22"/>
              </w:rPr>
            </w:pPr>
          </w:p>
        </w:tc>
      </w:tr>
    </w:tbl>
    <w:p w:rsidR="002D1D9A" w:rsidRPr="00E465A1" w:rsidRDefault="002D1D9A" w:rsidP="00B27A88">
      <w:pPr>
        <w:pStyle w:val="Normal1stpara"/>
        <w:rPr>
          <w:color w:val="262626" w:themeColor="text1" w:themeTint="D9"/>
        </w:rPr>
      </w:pPr>
    </w:p>
    <w:p w:rsidR="00B27A88" w:rsidRPr="00E465A1" w:rsidRDefault="00B27A88" w:rsidP="00B27A88">
      <w:pPr>
        <w:pStyle w:val="Normal115pttext"/>
        <w:rPr>
          <w:color w:val="262626" w:themeColor="text1" w:themeTint="D9"/>
        </w:rPr>
      </w:pPr>
      <w:r w:rsidRPr="00E465A1">
        <w:rPr>
          <w:color w:val="262626" w:themeColor="text1" w:themeTint="D9"/>
        </w:rPr>
        <w:t>Note 1</w:t>
      </w:r>
      <w:r w:rsidR="0014516F" w:rsidRPr="00E465A1">
        <w:rPr>
          <w:color w:val="262626" w:themeColor="text1" w:themeTint="D9"/>
        </w:rPr>
        <w:t>7</w:t>
      </w:r>
      <w:r w:rsidRPr="00E465A1">
        <w:rPr>
          <w:color w:val="262626" w:themeColor="text1" w:themeTint="D9"/>
        </w:rPr>
        <w:t>:  Commitments for Expenditure</w:t>
      </w:r>
    </w:p>
    <w:p w:rsidR="00B27A88" w:rsidRPr="00E465A1" w:rsidRDefault="00B27A88" w:rsidP="00B27A88">
      <w:pPr>
        <w:pStyle w:val="Normal1stpara"/>
        <w:rPr>
          <w:color w:val="262626" w:themeColor="text1" w:themeTint="D9"/>
        </w:rPr>
      </w:pPr>
    </w:p>
    <w:p w:rsidR="00B27A88" w:rsidRPr="00E465A1" w:rsidRDefault="00B27A88" w:rsidP="00B27A88">
      <w:pPr>
        <w:pStyle w:val="Normal1stpara"/>
        <w:rPr>
          <w:color w:val="262626" w:themeColor="text1" w:themeTint="D9"/>
        </w:rPr>
      </w:pPr>
      <w:r w:rsidRPr="00E465A1">
        <w:rPr>
          <w:color w:val="262626" w:themeColor="text1" w:themeTint="D9"/>
        </w:rPr>
        <w:t>Commitments for future expenditure include operating and capital commitments arising from contracts. These future expenditures cease to be disclosed as commitments once the related liabilities are recognised in the statement of financial position. Commitments at reporting date are disclosed at their nominal value inclusive of anticipated GST and are payable as follows:</w:t>
      </w:r>
    </w:p>
    <w:p w:rsidR="00B27A88" w:rsidRPr="00E465A1" w:rsidRDefault="00B27A88" w:rsidP="00F44E86">
      <w:pPr>
        <w:pStyle w:val="Normal1stpara"/>
        <w:rPr>
          <w:color w:val="262626" w:themeColor="text1" w:themeTint="D9"/>
        </w:rPr>
      </w:pPr>
    </w:p>
    <w:tbl>
      <w:tblPr>
        <w:tblW w:w="5000" w:type="pct"/>
        <w:tblBorders>
          <w:top w:val="double" w:sz="4" w:space="0" w:color="auto"/>
          <w:left w:val="double" w:sz="4" w:space="0" w:color="auto"/>
          <w:bottom w:val="double" w:sz="4" w:space="0" w:color="auto"/>
          <w:right w:val="double" w:sz="4" w:space="0" w:color="auto"/>
        </w:tblBorders>
        <w:tblLayout w:type="fixed"/>
        <w:tblCellMar>
          <w:left w:w="0" w:type="dxa"/>
        </w:tblCellMar>
        <w:tblLook w:val="01E0" w:firstRow="1" w:lastRow="1" w:firstColumn="1" w:lastColumn="1" w:noHBand="0" w:noVBand="0"/>
      </w:tblPr>
      <w:tblGrid>
        <w:gridCol w:w="2108"/>
        <w:gridCol w:w="804"/>
        <w:gridCol w:w="841"/>
        <w:gridCol w:w="777"/>
        <w:gridCol w:w="775"/>
        <w:gridCol w:w="707"/>
        <w:gridCol w:w="839"/>
        <w:gridCol w:w="848"/>
        <w:gridCol w:w="840"/>
        <w:gridCol w:w="804"/>
        <w:gridCol w:w="863"/>
      </w:tblGrid>
      <w:tr w:rsidR="00E465A1" w:rsidRPr="00E465A1" w:rsidTr="00B5273C">
        <w:trPr>
          <w:trHeight w:val="340"/>
        </w:trPr>
        <w:tc>
          <w:tcPr>
            <w:tcW w:w="2108" w:type="dxa"/>
            <w:tcBorders>
              <w:top w:val="nil"/>
              <w:left w:val="nil"/>
              <w:bottom w:val="nil"/>
            </w:tcBorders>
            <w:tcMar>
              <w:left w:w="0" w:type="dxa"/>
              <w:right w:w="0" w:type="dxa"/>
            </w:tcMar>
          </w:tcPr>
          <w:p w:rsidR="00B27A88" w:rsidRPr="00E465A1" w:rsidRDefault="00B27A88" w:rsidP="00F618A2">
            <w:pPr>
              <w:pStyle w:val="Normaltabletextleft"/>
              <w:rPr>
                <w:color w:val="262626" w:themeColor="text1" w:themeTint="D9"/>
              </w:rPr>
            </w:pPr>
          </w:p>
        </w:tc>
        <w:tc>
          <w:tcPr>
            <w:tcW w:w="1645" w:type="dxa"/>
            <w:gridSpan w:val="2"/>
            <w:tcBorders>
              <w:top w:val="single" w:sz="4" w:space="0" w:color="auto"/>
              <w:bottom w:val="single" w:sz="4" w:space="0" w:color="auto"/>
              <w:right w:val="single" w:sz="4" w:space="0" w:color="auto"/>
            </w:tcBorders>
            <w:tcMar>
              <w:top w:w="28" w:type="dxa"/>
              <w:left w:w="113" w:type="dxa"/>
              <w:right w:w="113" w:type="dxa"/>
            </w:tcMar>
            <w:vAlign w:val="bottom"/>
          </w:tcPr>
          <w:p w:rsidR="00B27A88" w:rsidRPr="00E465A1" w:rsidRDefault="00B27A88" w:rsidP="00F618A2">
            <w:pPr>
              <w:pStyle w:val="Normaltabletextleft"/>
              <w:jc w:val="center"/>
              <w:rPr>
                <w:b/>
                <w:color w:val="262626" w:themeColor="text1" w:themeTint="D9"/>
              </w:rPr>
            </w:pPr>
            <w:r w:rsidRPr="00E465A1">
              <w:rPr>
                <w:b/>
                <w:color w:val="262626" w:themeColor="text1" w:themeTint="D9"/>
              </w:rPr>
              <w:t xml:space="preserve">Operating </w:t>
            </w:r>
            <w:r w:rsidRPr="00E465A1">
              <w:rPr>
                <w:b/>
                <w:color w:val="262626" w:themeColor="text1" w:themeTint="D9"/>
              </w:rPr>
              <w:br/>
            </w:r>
            <w:r w:rsidR="000278E1" w:rsidRPr="00E465A1">
              <w:rPr>
                <w:b/>
                <w:color w:val="262626" w:themeColor="text1" w:themeTint="D9"/>
              </w:rPr>
              <w:t>Leases¹</w:t>
            </w:r>
          </w:p>
        </w:tc>
        <w:tc>
          <w:tcPr>
            <w:tcW w:w="1552" w:type="dxa"/>
            <w:gridSpan w:val="2"/>
            <w:tcBorders>
              <w:top w:val="single" w:sz="4" w:space="0" w:color="auto"/>
              <w:left w:val="single" w:sz="4" w:space="0" w:color="auto"/>
              <w:bottom w:val="single" w:sz="4" w:space="0" w:color="auto"/>
              <w:right w:val="single" w:sz="4" w:space="0" w:color="auto"/>
            </w:tcBorders>
            <w:tcMar>
              <w:top w:w="28" w:type="dxa"/>
              <w:left w:w="113" w:type="dxa"/>
              <w:right w:w="113" w:type="dxa"/>
            </w:tcMar>
            <w:vAlign w:val="bottom"/>
          </w:tcPr>
          <w:p w:rsidR="00B27A88" w:rsidRPr="00E465A1" w:rsidRDefault="00B27A88" w:rsidP="00F618A2">
            <w:pPr>
              <w:pStyle w:val="Normaltabletextleft"/>
              <w:jc w:val="center"/>
              <w:rPr>
                <w:b/>
                <w:color w:val="262626" w:themeColor="text1" w:themeTint="D9"/>
              </w:rPr>
            </w:pPr>
            <w:r w:rsidRPr="00E465A1">
              <w:rPr>
                <w:b/>
                <w:color w:val="262626" w:themeColor="text1" w:themeTint="D9"/>
              </w:rPr>
              <w:t xml:space="preserve">Vehicle </w:t>
            </w:r>
            <w:r w:rsidRPr="00E465A1">
              <w:rPr>
                <w:b/>
                <w:color w:val="262626" w:themeColor="text1" w:themeTint="D9"/>
              </w:rPr>
              <w:br/>
              <w:t>Leases</w:t>
            </w:r>
          </w:p>
        </w:tc>
        <w:tc>
          <w:tcPr>
            <w:tcW w:w="1546" w:type="dxa"/>
            <w:gridSpan w:val="2"/>
            <w:tcBorders>
              <w:top w:val="single" w:sz="4" w:space="0" w:color="auto"/>
              <w:left w:val="single" w:sz="4" w:space="0" w:color="auto"/>
              <w:bottom w:val="single" w:sz="4" w:space="0" w:color="auto"/>
              <w:right w:val="single" w:sz="4" w:space="0" w:color="auto"/>
            </w:tcBorders>
            <w:tcMar>
              <w:top w:w="28" w:type="dxa"/>
              <w:left w:w="113" w:type="dxa"/>
              <w:right w:w="113" w:type="dxa"/>
            </w:tcMar>
            <w:vAlign w:val="bottom"/>
          </w:tcPr>
          <w:p w:rsidR="00B27A88" w:rsidRPr="00E465A1" w:rsidRDefault="00B27A88" w:rsidP="00F618A2">
            <w:pPr>
              <w:pStyle w:val="Normaltabletextleft"/>
              <w:jc w:val="center"/>
              <w:rPr>
                <w:b/>
                <w:color w:val="262626" w:themeColor="text1" w:themeTint="D9"/>
              </w:rPr>
            </w:pPr>
            <w:r w:rsidRPr="00E465A1">
              <w:rPr>
                <w:b/>
                <w:color w:val="262626" w:themeColor="text1" w:themeTint="D9"/>
              </w:rPr>
              <w:t xml:space="preserve">Capital </w:t>
            </w:r>
            <w:r w:rsidRPr="00E465A1">
              <w:rPr>
                <w:b/>
                <w:color w:val="262626" w:themeColor="text1" w:themeTint="D9"/>
              </w:rPr>
              <w:br/>
              <w:t>Expenditure</w:t>
            </w:r>
          </w:p>
        </w:tc>
        <w:tc>
          <w:tcPr>
            <w:tcW w:w="1688" w:type="dxa"/>
            <w:gridSpan w:val="2"/>
            <w:tcBorders>
              <w:top w:val="single" w:sz="4" w:space="0" w:color="auto"/>
              <w:left w:val="single" w:sz="4" w:space="0" w:color="auto"/>
              <w:bottom w:val="single" w:sz="4" w:space="0" w:color="auto"/>
              <w:right w:val="single" w:sz="4" w:space="0" w:color="auto"/>
            </w:tcBorders>
            <w:tcMar>
              <w:top w:w="28" w:type="dxa"/>
              <w:left w:w="113" w:type="dxa"/>
              <w:right w:w="113" w:type="dxa"/>
            </w:tcMar>
            <w:vAlign w:val="bottom"/>
          </w:tcPr>
          <w:p w:rsidR="00B27A88" w:rsidRPr="00E465A1" w:rsidRDefault="00B27A88" w:rsidP="00F618A2">
            <w:pPr>
              <w:pStyle w:val="Normaltabletextleft"/>
              <w:jc w:val="center"/>
              <w:rPr>
                <w:b/>
                <w:color w:val="262626" w:themeColor="text1" w:themeTint="D9"/>
              </w:rPr>
            </w:pPr>
            <w:r w:rsidRPr="00E465A1">
              <w:rPr>
                <w:b/>
                <w:color w:val="262626" w:themeColor="text1" w:themeTint="D9"/>
              </w:rPr>
              <w:t>Other</w:t>
            </w:r>
            <w:r w:rsidRPr="00E465A1">
              <w:rPr>
                <w:b/>
                <w:color w:val="262626" w:themeColor="text1" w:themeTint="D9"/>
              </w:rPr>
              <w:br/>
              <w:t>Expenditure</w:t>
            </w:r>
          </w:p>
        </w:tc>
        <w:tc>
          <w:tcPr>
            <w:tcW w:w="1667" w:type="dxa"/>
            <w:gridSpan w:val="2"/>
            <w:tcBorders>
              <w:top w:val="single" w:sz="4" w:space="0" w:color="auto"/>
              <w:left w:val="single" w:sz="4" w:space="0" w:color="auto"/>
              <w:bottom w:val="single" w:sz="4" w:space="0" w:color="auto"/>
              <w:right w:val="nil"/>
            </w:tcBorders>
            <w:tcMar>
              <w:top w:w="28" w:type="dxa"/>
              <w:left w:w="113" w:type="dxa"/>
              <w:right w:w="113" w:type="dxa"/>
            </w:tcMar>
            <w:vAlign w:val="bottom"/>
          </w:tcPr>
          <w:p w:rsidR="00B27A88" w:rsidRPr="00E465A1" w:rsidRDefault="00B27A88" w:rsidP="00F618A2">
            <w:pPr>
              <w:pStyle w:val="Normaltabletextleft"/>
              <w:jc w:val="center"/>
              <w:rPr>
                <w:b/>
                <w:color w:val="262626" w:themeColor="text1" w:themeTint="D9"/>
              </w:rPr>
            </w:pPr>
            <w:r w:rsidRPr="00E465A1">
              <w:rPr>
                <w:b/>
                <w:color w:val="262626" w:themeColor="text1" w:themeTint="D9"/>
              </w:rPr>
              <w:t xml:space="preserve">Total </w:t>
            </w:r>
            <w:r w:rsidRPr="00E465A1">
              <w:rPr>
                <w:b/>
                <w:color w:val="262626" w:themeColor="text1" w:themeTint="D9"/>
              </w:rPr>
              <w:br/>
              <w:t>Commitments</w:t>
            </w:r>
          </w:p>
        </w:tc>
      </w:tr>
      <w:tr w:rsidR="00E465A1" w:rsidRPr="00E465A1" w:rsidTr="00AD6577">
        <w:tc>
          <w:tcPr>
            <w:tcW w:w="2108" w:type="dxa"/>
            <w:tcBorders>
              <w:top w:val="nil"/>
              <w:left w:val="nil"/>
            </w:tcBorders>
            <w:tcMar>
              <w:left w:w="0" w:type="dxa"/>
              <w:right w:w="0" w:type="dxa"/>
            </w:tcMar>
          </w:tcPr>
          <w:p w:rsidR="00B5273C" w:rsidRPr="00E465A1" w:rsidRDefault="00B5273C" w:rsidP="00B5273C">
            <w:pPr>
              <w:pStyle w:val="Normaltabletextleft"/>
              <w:rPr>
                <w:color w:val="262626" w:themeColor="text1" w:themeTint="D9"/>
              </w:rPr>
            </w:pPr>
          </w:p>
        </w:tc>
        <w:tc>
          <w:tcPr>
            <w:tcW w:w="804" w:type="dxa"/>
            <w:tcBorders>
              <w:top w:val="single" w:sz="4" w:space="0" w:color="auto"/>
              <w:right w:val="single" w:sz="4" w:space="0" w:color="auto"/>
            </w:tcBorders>
            <w:shd w:val="clear" w:color="auto" w:fill="FEE4B0"/>
            <w:tcMar>
              <w:top w:w="28" w:type="dxa"/>
              <w:left w:w="113"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2018</w:t>
            </w:r>
          </w:p>
        </w:tc>
        <w:tc>
          <w:tcPr>
            <w:tcW w:w="841" w:type="dxa"/>
            <w:tcBorders>
              <w:top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2017</w:t>
            </w:r>
          </w:p>
        </w:tc>
        <w:tc>
          <w:tcPr>
            <w:tcW w:w="777" w:type="dxa"/>
            <w:tcBorders>
              <w:top w:val="single" w:sz="4" w:space="0" w:color="auto"/>
              <w:left w:val="single" w:sz="4" w:space="0" w:color="auto"/>
              <w:right w:val="single" w:sz="4" w:space="0" w:color="auto"/>
            </w:tcBorders>
            <w:shd w:val="clear" w:color="auto" w:fill="FEE4B0"/>
            <w:tcMar>
              <w:top w:w="28" w:type="dxa"/>
              <w:left w:w="113"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2018</w:t>
            </w:r>
          </w:p>
        </w:tc>
        <w:tc>
          <w:tcPr>
            <w:tcW w:w="775" w:type="dxa"/>
            <w:tcBorders>
              <w:top w:val="single" w:sz="4" w:space="0" w:color="auto"/>
              <w:left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2017</w:t>
            </w:r>
          </w:p>
        </w:tc>
        <w:tc>
          <w:tcPr>
            <w:tcW w:w="707" w:type="dxa"/>
            <w:tcBorders>
              <w:top w:val="single" w:sz="4" w:space="0" w:color="auto"/>
              <w:left w:val="single" w:sz="4" w:space="0" w:color="auto"/>
              <w:right w:val="single" w:sz="4" w:space="0" w:color="auto"/>
            </w:tcBorders>
            <w:shd w:val="clear" w:color="auto" w:fill="FEE4B0"/>
            <w:tcMar>
              <w:top w:w="28" w:type="dxa"/>
              <w:left w:w="113"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2018</w:t>
            </w:r>
          </w:p>
        </w:tc>
        <w:tc>
          <w:tcPr>
            <w:tcW w:w="839" w:type="dxa"/>
            <w:tcBorders>
              <w:top w:val="single" w:sz="4" w:space="0" w:color="auto"/>
              <w:left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2017</w:t>
            </w:r>
          </w:p>
        </w:tc>
        <w:tc>
          <w:tcPr>
            <w:tcW w:w="848" w:type="dxa"/>
            <w:tcBorders>
              <w:top w:val="single" w:sz="4" w:space="0" w:color="auto"/>
              <w:left w:val="single" w:sz="4" w:space="0" w:color="auto"/>
              <w:right w:val="single" w:sz="4" w:space="0" w:color="auto"/>
            </w:tcBorders>
            <w:shd w:val="clear" w:color="auto" w:fill="FEE4B0"/>
            <w:tcMar>
              <w:top w:w="28" w:type="dxa"/>
              <w:left w:w="113"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2018</w:t>
            </w:r>
          </w:p>
        </w:tc>
        <w:tc>
          <w:tcPr>
            <w:tcW w:w="840" w:type="dxa"/>
            <w:tcBorders>
              <w:top w:val="single" w:sz="4" w:space="0" w:color="auto"/>
              <w:left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2017</w:t>
            </w:r>
          </w:p>
        </w:tc>
        <w:tc>
          <w:tcPr>
            <w:tcW w:w="804" w:type="dxa"/>
            <w:tcBorders>
              <w:top w:val="single" w:sz="4" w:space="0" w:color="auto"/>
              <w:left w:val="single" w:sz="4" w:space="0" w:color="auto"/>
              <w:right w:val="nil"/>
            </w:tcBorders>
            <w:shd w:val="clear" w:color="auto" w:fill="FEE4B0"/>
            <w:tcMar>
              <w:top w:w="28" w:type="dxa"/>
              <w:left w:w="113"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2018</w:t>
            </w:r>
          </w:p>
        </w:tc>
        <w:tc>
          <w:tcPr>
            <w:tcW w:w="863" w:type="dxa"/>
            <w:tcBorders>
              <w:top w:val="single" w:sz="4" w:space="0" w:color="auto"/>
              <w:left w:val="single" w:sz="4" w:space="0" w:color="auto"/>
              <w:right w:val="nil"/>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2017</w:t>
            </w:r>
          </w:p>
        </w:tc>
      </w:tr>
      <w:tr w:rsidR="00E465A1" w:rsidRPr="00E465A1" w:rsidTr="00AD6577">
        <w:tc>
          <w:tcPr>
            <w:tcW w:w="2108" w:type="dxa"/>
            <w:tcBorders>
              <w:left w:val="nil"/>
            </w:tcBorders>
            <w:tcMar>
              <w:left w:w="0" w:type="dxa"/>
              <w:right w:w="0" w:type="dxa"/>
            </w:tcMar>
          </w:tcPr>
          <w:p w:rsidR="00B5273C" w:rsidRPr="00E465A1" w:rsidRDefault="00B5273C" w:rsidP="00B5273C">
            <w:pPr>
              <w:pStyle w:val="Normaltabletextleft"/>
              <w:rPr>
                <w:color w:val="262626" w:themeColor="text1" w:themeTint="D9"/>
              </w:rPr>
            </w:pPr>
          </w:p>
        </w:tc>
        <w:tc>
          <w:tcPr>
            <w:tcW w:w="804" w:type="dxa"/>
            <w:tcBorders>
              <w:bottom w:val="single" w:sz="4" w:space="0" w:color="auto"/>
              <w:right w:val="single" w:sz="4" w:space="0" w:color="auto"/>
            </w:tcBorders>
            <w:shd w:val="clear" w:color="auto" w:fill="FEE4B0"/>
            <w:tcMar>
              <w:left w:w="0" w:type="dxa"/>
              <w:bottom w:w="57"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c>
          <w:tcPr>
            <w:tcW w:w="841" w:type="dxa"/>
            <w:tcBorders>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c>
          <w:tcPr>
            <w:tcW w:w="777" w:type="dxa"/>
            <w:tcBorders>
              <w:left w:val="single" w:sz="4" w:space="0" w:color="auto"/>
              <w:bottom w:val="single" w:sz="4" w:space="0" w:color="auto"/>
              <w:right w:val="single" w:sz="4" w:space="0" w:color="auto"/>
            </w:tcBorders>
            <w:shd w:val="clear" w:color="auto" w:fill="FEE4B0"/>
            <w:tcMar>
              <w:left w:w="0" w:type="dxa"/>
              <w:bottom w:w="57"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c>
          <w:tcPr>
            <w:tcW w:w="775" w:type="dxa"/>
            <w:tcBorders>
              <w:left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c>
          <w:tcPr>
            <w:tcW w:w="707" w:type="dxa"/>
            <w:tcBorders>
              <w:left w:val="single" w:sz="4" w:space="0" w:color="auto"/>
              <w:bottom w:val="single" w:sz="4" w:space="0" w:color="auto"/>
              <w:right w:val="single" w:sz="4" w:space="0" w:color="auto"/>
            </w:tcBorders>
            <w:shd w:val="clear" w:color="auto" w:fill="FEE4B0"/>
            <w:tcMar>
              <w:left w:w="0" w:type="dxa"/>
              <w:bottom w:w="57"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c>
          <w:tcPr>
            <w:tcW w:w="839" w:type="dxa"/>
            <w:tcBorders>
              <w:left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c>
          <w:tcPr>
            <w:tcW w:w="848" w:type="dxa"/>
            <w:tcBorders>
              <w:left w:val="single" w:sz="4" w:space="0" w:color="auto"/>
              <w:bottom w:val="single" w:sz="4" w:space="0" w:color="auto"/>
              <w:right w:val="single" w:sz="4" w:space="0" w:color="auto"/>
            </w:tcBorders>
            <w:shd w:val="clear" w:color="auto" w:fill="FEE4B0"/>
            <w:tcMar>
              <w:left w:w="0" w:type="dxa"/>
              <w:bottom w:w="57"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c>
          <w:tcPr>
            <w:tcW w:w="840" w:type="dxa"/>
            <w:tcBorders>
              <w:left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c>
          <w:tcPr>
            <w:tcW w:w="804" w:type="dxa"/>
            <w:tcBorders>
              <w:left w:val="single" w:sz="4" w:space="0" w:color="auto"/>
              <w:bottom w:val="single" w:sz="4" w:space="0" w:color="auto"/>
              <w:right w:val="nil"/>
            </w:tcBorders>
            <w:shd w:val="clear" w:color="auto" w:fill="FEE4B0"/>
            <w:tcMar>
              <w:left w:w="0" w:type="dxa"/>
              <w:bottom w:w="57" w:type="dxa"/>
              <w:right w:w="113" w:type="dxa"/>
            </w:tcMar>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c>
          <w:tcPr>
            <w:tcW w:w="863" w:type="dxa"/>
            <w:tcBorders>
              <w:left w:val="single" w:sz="4" w:space="0" w:color="auto"/>
              <w:bottom w:val="single" w:sz="4" w:space="0" w:color="auto"/>
              <w:right w:val="nil"/>
            </w:tcBorders>
            <w:shd w:val="clear" w:color="auto" w:fill="FFFFFF" w:themeFill="background1"/>
            <w:vAlign w:val="bottom"/>
          </w:tcPr>
          <w:p w:rsidR="00B5273C" w:rsidRPr="00E465A1" w:rsidRDefault="00B5273C" w:rsidP="00B5273C">
            <w:pPr>
              <w:pStyle w:val="Normaltabletextleft"/>
              <w:jc w:val="center"/>
              <w:rPr>
                <w:b/>
                <w:color w:val="262626" w:themeColor="text1" w:themeTint="D9"/>
              </w:rPr>
            </w:pPr>
            <w:r w:rsidRPr="00E465A1">
              <w:rPr>
                <w:b/>
                <w:color w:val="262626" w:themeColor="text1" w:themeTint="D9"/>
              </w:rPr>
              <w:t>$’000</w:t>
            </w:r>
          </w:p>
        </w:tc>
      </w:tr>
      <w:tr w:rsidR="00E465A1" w:rsidRPr="00E465A1" w:rsidTr="00AD6577">
        <w:tc>
          <w:tcPr>
            <w:tcW w:w="2108" w:type="dxa"/>
            <w:tcBorders>
              <w:left w:val="nil"/>
            </w:tcBorders>
            <w:tcMar>
              <w:top w:w="57" w:type="dxa"/>
              <w:left w:w="0" w:type="dxa"/>
              <w:right w:w="0" w:type="dxa"/>
            </w:tcMar>
          </w:tcPr>
          <w:p w:rsidR="00B5273C" w:rsidRPr="00E465A1" w:rsidRDefault="00B5273C" w:rsidP="00B5273C">
            <w:pPr>
              <w:pStyle w:val="Normaltabletextleft"/>
              <w:rPr>
                <w:color w:val="262626" w:themeColor="text1" w:themeTint="D9"/>
              </w:rPr>
            </w:pPr>
            <w:r w:rsidRPr="00E465A1">
              <w:rPr>
                <w:color w:val="262626" w:themeColor="text1" w:themeTint="D9"/>
              </w:rPr>
              <w:t>Not later than one year</w:t>
            </w:r>
          </w:p>
        </w:tc>
        <w:tc>
          <w:tcPr>
            <w:tcW w:w="804" w:type="dxa"/>
            <w:tcBorders>
              <w:bottom w:val="single" w:sz="4" w:space="0" w:color="auto"/>
              <w:right w:val="single" w:sz="4" w:space="0" w:color="auto"/>
            </w:tcBorders>
            <w:shd w:val="clear" w:color="auto" w:fill="FEE4B0"/>
            <w:tcMar>
              <w:top w:w="57" w:type="dxa"/>
              <w:left w:w="0" w:type="dxa"/>
              <w:right w:w="113" w:type="dxa"/>
            </w:tcMar>
            <w:vAlign w:val="center"/>
          </w:tcPr>
          <w:p w:rsidR="00B5273C" w:rsidRPr="00E465A1" w:rsidRDefault="006C40F1" w:rsidP="00B5273C">
            <w:pPr>
              <w:pStyle w:val="Normaltabletextleft"/>
              <w:jc w:val="right"/>
              <w:rPr>
                <w:color w:val="262626" w:themeColor="text1" w:themeTint="D9"/>
              </w:rPr>
            </w:pPr>
            <w:r w:rsidRPr="00E465A1">
              <w:rPr>
                <w:color w:val="262626" w:themeColor="text1" w:themeTint="D9"/>
              </w:rPr>
              <w:t>4,196</w:t>
            </w:r>
          </w:p>
        </w:tc>
        <w:tc>
          <w:tcPr>
            <w:tcW w:w="841" w:type="dxa"/>
            <w:tcBorders>
              <w:bottom w:val="single" w:sz="4" w:space="0" w:color="auto"/>
              <w:right w:val="single" w:sz="4" w:space="0" w:color="auto"/>
            </w:tcBorders>
            <w:shd w:val="clear" w:color="auto" w:fill="FFFFFF" w:themeFill="background1"/>
            <w:vAlign w:val="center"/>
          </w:tcPr>
          <w:p w:rsidR="00B5273C" w:rsidRPr="00E465A1" w:rsidRDefault="00B5273C" w:rsidP="00B5273C">
            <w:pPr>
              <w:pStyle w:val="Normaltabletextleft"/>
              <w:jc w:val="right"/>
              <w:rPr>
                <w:color w:val="262626" w:themeColor="text1" w:themeTint="D9"/>
              </w:rPr>
            </w:pPr>
            <w:r w:rsidRPr="00E465A1">
              <w:rPr>
                <w:color w:val="262626" w:themeColor="text1" w:themeTint="D9"/>
              </w:rPr>
              <w:t>4,006</w:t>
            </w:r>
          </w:p>
        </w:tc>
        <w:tc>
          <w:tcPr>
            <w:tcW w:w="777" w:type="dxa"/>
            <w:tcBorders>
              <w:left w:val="single" w:sz="4" w:space="0" w:color="auto"/>
              <w:bottom w:val="single" w:sz="4" w:space="0" w:color="auto"/>
              <w:right w:val="single" w:sz="4" w:space="0" w:color="auto"/>
            </w:tcBorders>
            <w:shd w:val="clear" w:color="auto" w:fill="FEE4B0"/>
            <w:tcMar>
              <w:top w:w="57" w:type="dxa"/>
              <w:left w:w="0" w:type="dxa"/>
              <w:right w:w="113" w:type="dxa"/>
            </w:tcMar>
            <w:vAlign w:val="center"/>
          </w:tcPr>
          <w:p w:rsidR="00B5273C" w:rsidRPr="00E465A1" w:rsidRDefault="006C40F1" w:rsidP="00B5273C">
            <w:pPr>
              <w:pStyle w:val="Normaltabletextleft"/>
              <w:jc w:val="right"/>
              <w:rPr>
                <w:color w:val="262626" w:themeColor="text1" w:themeTint="D9"/>
              </w:rPr>
            </w:pPr>
            <w:r w:rsidRPr="00E465A1">
              <w:rPr>
                <w:color w:val="262626" w:themeColor="text1" w:themeTint="D9"/>
              </w:rPr>
              <w:t>140</w:t>
            </w:r>
          </w:p>
        </w:tc>
        <w:tc>
          <w:tcPr>
            <w:tcW w:w="775" w:type="dxa"/>
            <w:tcBorders>
              <w:left w:val="single" w:sz="4" w:space="0" w:color="auto"/>
              <w:bottom w:val="single" w:sz="4" w:space="0" w:color="auto"/>
              <w:right w:val="single" w:sz="4" w:space="0" w:color="auto"/>
            </w:tcBorders>
            <w:shd w:val="clear" w:color="auto" w:fill="FFFFFF" w:themeFill="background1"/>
            <w:vAlign w:val="center"/>
          </w:tcPr>
          <w:p w:rsidR="00B5273C" w:rsidRPr="00E465A1" w:rsidRDefault="00B5273C" w:rsidP="00B5273C">
            <w:pPr>
              <w:pStyle w:val="Normaltabletextleft"/>
              <w:jc w:val="right"/>
              <w:rPr>
                <w:color w:val="262626" w:themeColor="text1" w:themeTint="D9"/>
              </w:rPr>
            </w:pPr>
            <w:r w:rsidRPr="00E465A1">
              <w:rPr>
                <w:color w:val="262626" w:themeColor="text1" w:themeTint="D9"/>
              </w:rPr>
              <w:t>100</w:t>
            </w:r>
          </w:p>
        </w:tc>
        <w:tc>
          <w:tcPr>
            <w:tcW w:w="707" w:type="dxa"/>
            <w:tcBorders>
              <w:left w:val="single" w:sz="4" w:space="0" w:color="auto"/>
              <w:bottom w:val="single" w:sz="4" w:space="0" w:color="auto"/>
              <w:right w:val="single" w:sz="4" w:space="0" w:color="auto"/>
            </w:tcBorders>
            <w:shd w:val="clear" w:color="auto" w:fill="FEE4B0"/>
            <w:tcMar>
              <w:top w:w="57" w:type="dxa"/>
              <w:left w:w="0" w:type="dxa"/>
              <w:right w:w="113" w:type="dxa"/>
            </w:tcMar>
            <w:vAlign w:val="center"/>
          </w:tcPr>
          <w:p w:rsidR="00B5273C" w:rsidRPr="00E465A1" w:rsidRDefault="006C40F1" w:rsidP="00B5273C">
            <w:pPr>
              <w:pStyle w:val="Normaltabletextleft"/>
              <w:jc w:val="right"/>
              <w:rPr>
                <w:color w:val="262626" w:themeColor="text1" w:themeTint="D9"/>
              </w:rPr>
            </w:pPr>
            <w:r w:rsidRPr="00E465A1">
              <w:rPr>
                <w:color w:val="262626" w:themeColor="text1" w:themeTint="D9"/>
              </w:rPr>
              <w:t>239</w:t>
            </w:r>
          </w:p>
        </w:tc>
        <w:tc>
          <w:tcPr>
            <w:tcW w:w="839" w:type="dxa"/>
            <w:tcBorders>
              <w:left w:val="single" w:sz="4" w:space="0" w:color="auto"/>
              <w:bottom w:val="single" w:sz="4" w:space="0" w:color="auto"/>
              <w:right w:val="single" w:sz="4" w:space="0" w:color="auto"/>
            </w:tcBorders>
            <w:shd w:val="clear" w:color="auto" w:fill="FFFFFF" w:themeFill="background1"/>
            <w:vAlign w:val="center"/>
          </w:tcPr>
          <w:p w:rsidR="00B5273C" w:rsidRPr="00E465A1" w:rsidRDefault="00B5273C" w:rsidP="00B5273C">
            <w:pPr>
              <w:pStyle w:val="Normaltabletextleft"/>
              <w:jc w:val="right"/>
              <w:rPr>
                <w:color w:val="262626" w:themeColor="text1" w:themeTint="D9"/>
              </w:rPr>
            </w:pPr>
            <w:r w:rsidRPr="00E465A1">
              <w:rPr>
                <w:color w:val="262626" w:themeColor="text1" w:themeTint="D9"/>
              </w:rPr>
              <w:t>103</w:t>
            </w:r>
          </w:p>
        </w:tc>
        <w:tc>
          <w:tcPr>
            <w:tcW w:w="848" w:type="dxa"/>
            <w:tcBorders>
              <w:left w:val="single" w:sz="4" w:space="0" w:color="auto"/>
              <w:bottom w:val="single" w:sz="4" w:space="0" w:color="auto"/>
              <w:right w:val="single" w:sz="4" w:space="0" w:color="auto"/>
            </w:tcBorders>
            <w:shd w:val="clear" w:color="auto" w:fill="FEE4B0"/>
            <w:tcMar>
              <w:top w:w="57" w:type="dxa"/>
              <w:left w:w="0" w:type="dxa"/>
              <w:right w:w="113" w:type="dxa"/>
            </w:tcMar>
            <w:vAlign w:val="center"/>
          </w:tcPr>
          <w:p w:rsidR="00B5273C" w:rsidRPr="00E465A1" w:rsidRDefault="006C40F1" w:rsidP="00B5273C">
            <w:pPr>
              <w:pStyle w:val="Normaltabletextleft"/>
              <w:jc w:val="right"/>
              <w:rPr>
                <w:color w:val="262626" w:themeColor="text1" w:themeTint="D9"/>
              </w:rPr>
            </w:pPr>
            <w:r w:rsidRPr="00E465A1">
              <w:rPr>
                <w:color w:val="262626" w:themeColor="text1" w:themeTint="D9"/>
              </w:rPr>
              <w:t>1,197</w:t>
            </w:r>
          </w:p>
        </w:tc>
        <w:tc>
          <w:tcPr>
            <w:tcW w:w="840" w:type="dxa"/>
            <w:tcBorders>
              <w:left w:val="single" w:sz="4" w:space="0" w:color="auto"/>
              <w:bottom w:val="single" w:sz="4" w:space="0" w:color="auto"/>
              <w:right w:val="single" w:sz="4" w:space="0" w:color="auto"/>
            </w:tcBorders>
            <w:shd w:val="clear" w:color="auto" w:fill="FFFFFF" w:themeFill="background1"/>
            <w:vAlign w:val="center"/>
          </w:tcPr>
          <w:p w:rsidR="00B5273C" w:rsidRPr="00E465A1" w:rsidRDefault="00B5273C" w:rsidP="00B5273C">
            <w:pPr>
              <w:pStyle w:val="Normaltabletextleft"/>
              <w:jc w:val="right"/>
              <w:rPr>
                <w:color w:val="262626" w:themeColor="text1" w:themeTint="D9"/>
              </w:rPr>
            </w:pPr>
            <w:r w:rsidRPr="00E465A1">
              <w:rPr>
                <w:color w:val="262626" w:themeColor="text1" w:themeTint="D9"/>
              </w:rPr>
              <w:t>1,282</w:t>
            </w:r>
          </w:p>
        </w:tc>
        <w:tc>
          <w:tcPr>
            <w:tcW w:w="804" w:type="dxa"/>
            <w:tcBorders>
              <w:left w:val="single" w:sz="4" w:space="0" w:color="auto"/>
              <w:bottom w:val="single" w:sz="4" w:space="0" w:color="auto"/>
              <w:right w:val="nil"/>
            </w:tcBorders>
            <w:shd w:val="clear" w:color="auto" w:fill="FEE4B0"/>
            <w:tcMar>
              <w:top w:w="57" w:type="dxa"/>
              <w:left w:w="0" w:type="dxa"/>
              <w:right w:w="113" w:type="dxa"/>
            </w:tcMar>
            <w:vAlign w:val="center"/>
          </w:tcPr>
          <w:p w:rsidR="00B5273C" w:rsidRPr="00E465A1" w:rsidRDefault="006C40F1" w:rsidP="00B5273C">
            <w:pPr>
              <w:pStyle w:val="Normaltabletextleft"/>
              <w:jc w:val="right"/>
              <w:rPr>
                <w:color w:val="262626" w:themeColor="text1" w:themeTint="D9"/>
              </w:rPr>
            </w:pPr>
            <w:r w:rsidRPr="00E465A1">
              <w:rPr>
                <w:color w:val="262626" w:themeColor="text1" w:themeTint="D9"/>
              </w:rPr>
              <w:t>5,772</w:t>
            </w:r>
          </w:p>
        </w:tc>
        <w:tc>
          <w:tcPr>
            <w:tcW w:w="863" w:type="dxa"/>
            <w:tcBorders>
              <w:left w:val="single" w:sz="4" w:space="0" w:color="auto"/>
              <w:bottom w:val="single" w:sz="4" w:space="0" w:color="auto"/>
              <w:right w:val="nil"/>
            </w:tcBorders>
            <w:shd w:val="clear" w:color="auto" w:fill="FFFFFF" w:themeFill="background1"/>
            <w:vAlign w:val="center"/>
          </w:tcPr>
          <w:p w:rsidR="00B5273C" w:rsidRPr="00E465A1" w:rsidRDefault="00B5273C" w:rsidP="00B5273C">
            <w:pPr>
              <w:pStyle w:val="Normaltabletextleft"/>
              <w:jc w:val="right"/>
              <w:rPr>
                <w:color w:val="262626" w:themeColor="text1" w:themeTint="D9"/>
              </w:rPr>
            </w:pPr>
            <w:r w:rsidRPr="00E465A1">
              <w:rPr>
                <w:color w:val="262626" w:themeColor="text1" w:themeTint="D9"/>
              </w:rPr>
              <w:t>5,491</w:t>
            </w:r>
          </w:p>
        </w:tc>
      </w:tr>
      <w:tr w:rsidR="00E465A1" w:rsidRPr="00E465A1" w:rsidTr="00AD6577">
        <w:trPr>
          <w:trHeight w:val="357"/>
        </w:trPr>
        <w:tc>
          <w:tcPr>
            <w:tcW w:w="2108" w:type="dxa"/>
            <w:tcBorders>
              <w:left w:val="nil"/>
            </w:tcBorders>
            <w:tcMar>
              <w:top w:w="57" w:type="dxa"/>
              <w:left w:w="0" w:type="dxa"/>
              <w:right w:w="0" w:type="dxa"/>
            </w:tcMar>
            <w:vAlign w:val="bottom"/>
          </w:tcPr>
          <w:p w:rsidR="00B5273C" w:rsidRPr="00E465A1" w:rsidRDefault="00B5273C" w:rsidP="00B5273C">
            <w:pPr>
              <w:pStyle w:val="Normaltabletextleft"/>
              <w:rPr>
                <w:color w:val="262626" w:themeColor="text1" w:themeTint="D9"/>
              </w:rPr>
            </w:pPr>
            <w:r w:rsidRPr="00E465A1">
              <w:rPr>
                <w:color w:val="262626" w:themeColor="text1" w:themeTint="D9"/>
              </w:rPr>
              <w:t xml:space="preserve">Later than one year and </w:t>
            </w:r>
          </w:p>
          <w:p w:rsidR="00B5273C" w:rsidRPr="00E465A1" w:rsidRDefault="00B5273C" w:rsidP="00B5273C">
            <w:pPr>
              <w:pStyle w:val="Normaltabletextleft"/>
              <w:rPr>
                <w:color w:val="262626" w:themeColor="text1" w:themeTint="D9"/>
              </w:rPr>
            </w:pPr>
            <w:r w:rsidRPr="00E465A1">
              <w:rPr>
                <w:color w:val="262626" w:themeColor="text1" w:themeTint="D9"/>
              </w:rPr>
              <w:t>not later than five years</w:t>
            </w:r>
          </w:p>
        </w:tc>
        <w:tc>
          <w:tcPr>
            <w:tcW w:w="804" w:type="dxa"/>
            <w:tcBorders>
              <w:bottom w:val="single" w:sz="4" w:space="0" w:color="auto"/>
              <w:right w:val="single" w:sz="4" w:space="0" w:color="auto"/>
            </w:tcBorders>
            <w:shd w:val="clear" w:color="auto" w:fill="FEE4B0"/>
            <w:tcMar>
              <w:top w:w="57" w:type="dxa"/>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8,456</w:t>
            </w:r>
          </w:p>
        </w:tc>
        <w:tc>
          <w:tcPr>
            <w:tcW w:w="841" w:type="dxa"/>
            <w:tcBorders>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12,652</w:t>
            </w:r>
          </w:p>
        </w:tc>
        <w:tc>
          <w:tcPr>
            <w:tcW w:w="777" w:type="dxa"/>
            <w:tcBorders>
              <w:left w:val="single" w:sz="4" w:space="0" w:color="auto"/>
              <w:bottom w:val="single" w:sz="4" w:space="0" w:color="auto"/>
              <w:right w:val="single" w:sz="4" w:space="0" w:color="auto"/>
            </w:tcBorders>
            <w:shd w:val="clear" w:color="auto" w:fill="FEE4B0"/>
            <w:tcMar>
              <w:top w:w="57" w:type="dxa"/>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189</w:t>
            </w:r>
          </w:p>
        </w:tc>
        <w:tc>
          <w:tcPr>
            <w:tcW w:w="775" w:type="dxa"/>
            <w:tcBorders>
              <w:left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66</w:t>
            </w:r>
          </w:p>
        </w:tc>
        <w:tc>
          <w:tcPr>
            <w:tcW w:w="707" w:type="dxa"/>
            <w:tcBorders>
              <w:left w:val="single" w:sz="4" w:space="0" w:color="auto"/>
              <w:bottom w:val="single" w:sz="4" w:space="0" w:color="auto"/>
              <w:right w:val="single" w:sz="4" w:space="0" w:color="auto"/>
            </w:tcBorders>
            <w:shd w:val="clear" w:color="auto" w:fill="FEE4B0"/>
            <w:tcMar>
              <w:top w:w="57" w:type="dxa"/>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w:t>
            </w:r>
          </w:p>
        </w:tc>
        <w:tc>
          <w:tcPr>
            <w:tcW w:w="839" w:type="dxa"/>
            <w:tcBorders>
              <w:left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w:t>
            </w:r>
          </w:p>
        </w:tc>
        <w:tc>
          <w:tcPr>
            <w:tcW w:w="848" w:type="dxa"/>
            <w:tcBorders>
              <w:left w:val="single" w:sz="4" w:space="0" w:color="auto"/>
              <w:bottom w:val="single" w:sz="4" w:space="0" w:color="auto"/>
              <w:right w:val="single" w:sz="4" w:space="0" w:color="auto"/>
            </w:tcBorders>
            <w:shd w:val="clear" w:color="auto" w:fill="FEE4B0"/>
            <w:tcMar>
              <w:top w:w="57" w:type="dxa"/>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1,198</w:t>
            </w:r>
          </w:p>
        </w:tc>
        <w:tc>
          <w:tcPr>
            <w:tcW w:w="840" w:type="dxa"/>
            <w:tcBorders>
              <w:left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1,387</w:t>
            </w:r>
          </w:p>
        </w:tc>
        <w:tc>
          <w:tcPr>
            <w:tcW w:w="804" w:type="dxa"/>
            <w:tcBorders>
              <w:left w:val="single" w:sz="4" w:space="0" w:color="auto"/>
              <w:bottom w:val="single" w:sz="4" w:space="0" w:color="auto"/>
              <w:right w:val="nil"/>
            </w:tcBorders>
            <w:shd w:val="clear" w:color="auto" w:fill="FEE4B0"/>
            <w:tcMar>
              <w:top w:w="57" w:type="dxa"/>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9,843</w:t>
            </w:r>
          </w:p>
        </w:tc>
        <w:tc>
          <w:tcPr>
            <w:tcW w:w="863" w:type="dxa"/>
            <w:tcBorders>
              <w:left w:val="single" w:sz="4" w:space="0" w:color="auto"/>
              <w:bottom w:val="single" w:sz="4" w:space="0" w:color="auto"/>
              <w:right w:val="nil"/>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14,105</w:t>
            </w:r>
          </w:p>
        </w:tc>
      </w:tr>
      <w:tr w:rsidR="00E465A1" w:rsidRPr="00E465A1" w:rsidTr="00AD6577">
        <w:trPr>
          <w:trHeight w:val="323"/>
        </w:trPr>
        <w:tc>
          <w:tcPr>
            <w:tcW w:w="2108" w:type="dxa"/>
            <w:tcBorders>
              <w:left w:val="nil"/>
            </w:tcBorders>
            <w:tcMar>
              <w:left w:w="0" w:type="dxa"/>
              <w:right w:w="0" w:type="dxa"/>
            </w:tcMar>
          </w:tcPr>
          <w:p w:rsidR="00B5273C" w:rsidRPr="00E465A1" w:rsidRDefault="00B5273C" w:rsidP="00B5273C">
            <w:pPr>
              <w:pStyle w:val="Normaltabletextleft"/>
              <w:rPr>
                <w:color w:val="262626" w:themeColor="text1" w:themeTint="D9"/>
              </w:rPr>
            </w:pPr>
            <w:r w:rsidRPr="00E465A1">
              <w:rPr>
                <w:color w:val="262626" w:themeColor="text1" w:themeTint="D9"/>
              </w:rPr>
              <w:t>Later than five years</w:t>
            </w:r>
          </w:p>
        </w:tc>
        <w:tc>
          <w:tcPr>
            <w:tcW w:w="804" w:type="dxa"/>
            <w:tcBorders>
              <w:top w:val="single" w:sz="4" w:space="0" w:color="auto"/>
              <w:bottom w:val="single" w:sz="4" w:space="0" w:color="auto"/>
              <w:right w:val="single" w:sz="4" w:space="0" w:color="auto"/>
            </w:tcBorders>
            <w:shd w:val="clear" w:color="auto" w:fill="FEE4B0"/>
            <w:tcMar>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w:t>
            </w:r>
          </w:p>
        </w:tc>
        <w:tc>
          <w:tcPr>
            <w:tcW w:w="841" w:type="dxa"/>
            <w:tcBorders>
              <w:top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w:t>
            </w:r>
          </w:p>
        </w:tc>
        <w:tc>
          <w:tcPr>
            <w:tcW w:w="777" w:type="dxa"/>
            <w:tcBorders>
              <w:top w:val="single" w:sz="4" w:space="0" w:color="auto"/>
              <w:left w:val="single" w:sz="4" w:space="0" w:color="auto"/>
              <w:bottom w:val="single" w:sz="4" w:space="0" w:color="auto"/>
              <w:right w:val="single" w:sz="4" w:space="0" w:color="auto"/>
            </w:tcBorders>
            <w:shd w:val="clear" w:color="auto" w:fill="FEE4B0"/>
            <w:tcMar>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w:t>
            </w:r>
          </w:p>
        </w:tc>
        <w:tc>
          <w:tcPr>
            <w:tcW w:w="7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w:t>
            </w:r>
          </w:p>
        </w:tc>
        <w:tc>
          <w:tcPr>
            <w:tcW w:w="707" w:type="dxa"/>
            <w:tcBorders>
              <w:top w:val="single" w:sz="4" w:space="0" w:color="auto"/>
              <w:left w:val="single" w:sz="4" w:space="0" w:color="auto"/>
              <w:bottom w:val="single" w:sz="4" w:space="0" w:color="auto"/>
              <w:right w:val="single" w:sz="4" w:space="0" w:color="auto"/>
            </w:tcBorders>
            <w:shd w:val="clear" w:color="auto" w:fill="FEE4B0"/>
            <w:tcMar>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w:t>
            </w:r>
          </w:p>
        </w:tc>
        <w:tc>
          <w:tcPr>
            <w:tcW w:w="848" w:type="dxa"/>
            <w:tcBorders>
              <w:top w:val="single" w:sz="4" w:space="0" w:color="auto"/>
              <w:left w:val="single" w:sz="4" w:space="0" w:color="auto"/>
              <w:bottom w:val="single" w:sz="4" w:space="0" w:color="auto"/>
              <w:right w:val="single" w:sz="4" w:space="0" w:color="auto"/>
            </w:tcBorders>
            <w:shd w:val="clear" w:color="auto" w:fill="FEE4B0"/>
            <w:tcMar>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w:t>
            </w:r>
          </w:p>
        </w:tc>
        <w:tc>
          <w:tcPr>
            <w:tcW w:w="804" w:type="dxa"/>
            <w:tcBorders>
              <w:top w:val="single" w:sz="4" w:space="0" w:color="auto"/>
              <w:left w:val="single" w:sz="4" w:space="0" w:color="auto"/>
              <w:bottom w:val="single" w:sz="4" w:space="0" w:color="auto"/>
              <w:right w:val="nil"/>
            </w:tcBorders>
            <w:shd w:val="clear" w:color="auto" w:fill="FEE4B0"/>
            <w:tcMar>
              <w:left w:w="0" w:type="dxa"/>
              <w:right w:w="113" w:type="dxa"/>
            </w:tcMar>
            <w:vAlign w:val="bottom"/>
          </w:tcPr>
          <w:p w:rsidR="00B5273C" w:rsidRPr="00E465A1" w:rsidRDefault="006C40F1" w:rsidP="00B5273C">
            <w:pPr>
              <w:pStyle w:val="Normaltabletextleft"/>
              <w:jc w:val="right"/>
              <w:rPr>
                <w:color w:val="262626" w:themeColor="text1" w:themeTint="D9"/>
              </w:rPr>
            </w:pPr>
            <w:r w:rsidRPr="00E465A1">
              <w:rPr>
                <w:color w:val="262626" w:themeColor="text1" w:themeTint="D9"/>
              </w:rPr>
              <w:t>–</w:t>
            </w:r>
          </w:p>
        </w:tc>
        <w:tc>
          <w:tcPr>
            <w:tcW w:w="863" w:type="dxa"/>
            <w:tcBorders>
              <w:top w:val="single" w:sz="4" w:space="0" w:color="auto"/>
              <w:left w:val="single" w:sz="4" w:space="0" w:color="auto"/>
              <w:bottom w:val="single" w:sz="4" w:space="0" w:color="auto"/>
              <w:right w:val="nil"/>
            </w:tcBorders>
            <w:shd w:val="clear" w:color="auto" w:fill="FFFFFF" w:themeFill="background1"/>
            <w:vAlign w:val="bottom"/>
          </w:tcPr>
          <w:p w:rsidR="00B5273C" w:rsidRPr="00E465A1" w:rsidRDefault="00B5273C" w:rsidP="00B5273C">
            <w:pPr>
              <w:pStyle w:val="Normaltabletextleft"/>
              <w:jc w:val="right"/>
              <w:rPr>
                <w:color w:val="262626" w:themeColor="text1" w:themeTint="D9"/>
              </w:rPr>
            </w:pPr>
            <w:r w:rsidRPr="00E465A1">
              <w:rPr>
                <w:color w:val="262626" w:themeColor="text1" w:themeTint="D9"/>
              </w:rPr>
              <w:t>–</w:t>
            </w:r>
          </w:p>
        </w:tc>
      </w:tr>
      <w:tr w:rsidR="00E465A1" w:rsidRPr="00E465A1" w:rsidTr="00AD6577">
        <w:tc>
          <w:tcPr>
            <w:tcW w:w="2108" w:type="dxa"/>
            <w:tcBorders>
              <w:left w:val="nil"/>
            </w:tcBorders>
            <w:tcMar>
              <w:left w:w="0" w:type="dxa"/>
              <w:right w:w="0" w:type="dxa"/>
            </w:tcMar>
          </w:tcPr>
          <w:p w:rsidR="00B5273C" w:rsidRPr="00E465A1" w:rsidRDefault="00B5273C" w:rsidP="00B5273C">
            <w:pPr>
              <w:pStyle w:val="Normaltabletextleft"/>
              <w:rPr>
                <w:b/>
                <w:color w:val="262626" w:themeColor="text1" w:themeTint="D9"/>
              </w:rPr>
            </w:pPr>
            <w:r w:rsidRPr="00E465A1">
              <w:rPr>
                <w:b/>
                <w:color w:val="262626" w:themeColor="text1" w:themeTint="D9"/>
              </w:rPr>
              <w:t>Total</w:t>
            </w:r>
          </w:p>
        </w:tc>
        <w:tc>
          <w:tcPr>
            <w:tcW w:w="804" w:type="dxa"/>
            <w:tcBorders>
              <w:top w:val="single" w:sz="4" w:space="0" w:color="auto"/>
              <w:bottom w:val="double" w:sz="4" w:space="0" w:color="auto"/>
              <w:right w:val="single" w:sz="4" w:space="0" w:color="auto"/>
            </w:tcBorders>
            <w:shd w:val="clear" w:color="auto" w:fill="FEE4B0"/>
            <w:tcMar>
              <w:left w:w="0" w:type="dxa"/>
              <w:right w:w="113" w:type="dxa"/>
            </w:tcMar>
            <w:vAlign w:val="bottom"/>
          </w:tcPr>
          <w:p w:rsidR="00B5273C" w:rsidRPr="00E465A1" w:rsidRDefault="006C40F1" w:rsidP="00B5273C">
            <w:pPr>
              <w:pStyle w:val="Normaltabletextleft"/>
              <w:jc w:val="right"/>
              <w:rPr>
                <w:b/>
                <w:color w:val="262626" w:themeColor="text1" w:themeTint="D9"/>
              </w:rPr>
            </w:pPr>
            <w:r w:rsidRPr="00E465A1">
              <w:rPr>
                <w:b/>
                <w:color w:val="262626" w:themeColor="text1" w:themeTint="D9"/>
              </w:rPr>
              <w:t>12,652</w:t>
            </w:r>
          </w:p>
        </w:tc>
        <w:tc>
          <w:tcPr>
            <w:tcW w:w="841" w:type="dxa"/>
            <w:tcBorders>
              <w:top w:val="single" w:sz="4" w:space="0" w:color="auto"/>
              <w:bottom w:val="doub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b/>
                <w:color w:val="262626" w:themeColor="text1" w:themeTint="D9"/>
              </w:rPr>
            </w:pPr>
            <w:r w:rsidRPr="00E465A1">
              <w:rPr>
                <w:b/>
                <w:color w:val="262626" w:themeColor="text1" w:themeTint="D9"/>
              </w:rPr>
              <w:t>16,658</w:t>
            </w:r>
          </w:p>
        </w:tc>
        <w:tc>
          <w:tcPr>
            <w:tcW w:w="777" w:type="dxa"/>
            <w:tcBorders>
              <w:top w:val="single" w:sz="4" w:space="0" w:color="auto"/>
              <w:left w:val="single" w:sz="4" w:space="0" w:color="auto"/>
              <w:bottom w:val="double" w:sz="4" w:space="0" w:color="auto"/>
              <w:right w:val="single" w:sz="4" w:space="0" w:color="auto"/>
            </w:tcBorders>
            <w:shd w:val="clear" w:color="auto" w:fill="FEE4B0"/>
            <w:tcMar>
              <w:left w:w="0" w:type="dxa"/>
              <w:right w:w="113" w:type="dxa"/>
            </w:tcMar>
            <w:vAlign w:val="bottom"/>
          </w:tcPr>
          <w:p w:rsidR="00B5273C" w:rsidRPr="00E465A1" w:rsidRDefault="006C40F1" w:rsidP="00B5273C">
            <w:pPr>
              <w:pStyle w:val="Normaltabletextleft"/>
              <w:jc w:val="right"/>
              <w:rPr>
                <w:b/>
                <w:color w:val="262626" w:themeColor="text1" w:themeTint="D9"/>
              </w:rPr>
            </w:pPr>
            <w:r w:rsidRPr="00E465A1">
              <w:rPr>
                <w:b/>
                <w:color w:val="262626" w:themeColor="text1" w:themeTint="D9"/>
              </w:rPr>
              <w:t>329</w:t>
            </w:r>
          </w:p>
        </w:tc>
        <w:tc>
          <w:tcPr>
            <w:tcW w:w="775"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b/>
                <w:color w:val="262626" w:themeColor="text1" w:themeTint="D9"/>
              </w:rPr>
            </w:pPr>
            <w:r w:rsidRPr="00E465A1">
              <w:rPr>
                <w:b/>
                <w:color w:val="262626" w:themeColor="text1" w:themeTint="D9"/>
              </w:rPr>
              <w:t>166</w:t>
            </w:r>
          </w:p>
        </w:tc>
        <w:tc>
          <w:tcPr>
            <w:tcW w:w="707" w:type="dxa"/>
            <w:tcBorders>
              <w:top w:val="single" w:sz="4" w:space="0" w:color="auto"/>
              <w:left w:val="single" w:sz="4" w:space="0" w:color="auto"/>
              <w:bottom w:val="double" w:sz="4" w:space="0" w:color="auto"/>
              <w:right w:val="single" w:sz="4" w:space="0" w:color="auto"/>
            </w:tcBorders>
            <w:shd w:val="clear" w:color="auto" w:fill="FEE4B0"/>
            <w:tcMar>
              <w:left w:w="0" w:type="dxa"/>
              <w:right w:w="113" w:type="dxa"/>
            </w:tcMar>
            <w:vAlign w:val="bottom"/>
          </w:tcPr>
          <w:p w:rsidR="00B5273C" w:rsidRPr="00E465A1" w:rsidRDefault="006C40F1" w:rsidP="00B5273C">
            <w:pPr>
              <w:pStyle w:val="Normaltabletextleft"/>
              <w:jc w:val="right"/>
              <w:rPr>
                <w:b/>
                <w:color w:val="262626" w:themeColor="text1" w:themeTint="D9"/>
              </w:rPr>
            </w:pPr>
            <w:r w:rsidRPr="00E465A1">
              <w:rPr>
                <w:b/>
                <w:color w:val="262626" w:themeColor="text1" w:themeTint="D9"/>
              </w:rPr>
              <w:t>239</w:t>
            </w:r>
          </w:p>
        </w:tc>
        <w:tc>
          <w:tcPr>
            <w:tcW w:w="839"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b/>
                <w:strike/>
                <w:color w:val="262626" w:themeColor="text1" w:themeTint="D9"/>
              </w:rPr>
            </w:pPr>
            <w:r w:rsidRPr="00E465A1">
              <w:rPr>
                <w:b/>
                <w:color w:val="262626" w:themeColor="text1" w:themeTint="D9"/>
              </w:rPr>
              <w:t>103</w:t>
            </w:r>
          </w:p>
        </w:tc>
        <w:tc>
          <w:tcPr>
            <w:tcW w:w="848" w:type="dxa"/>
            <w:tcBorders>
              <w:top w:val="single" w:sz="4" w:space="0" w:color="auto"/>
              <w:left w:val="single" w:sz="4" w:space="0" w:color="auto"/>
              <w:bottom w:val="double" w:sz="4" w:space="0" w:color="auto"/>
              <w:right w:val="single" w:sz="4" w:space="0" w:color="auto"/>
            </w:tcBorders>
            <w:shd w:val="clear" w:color="auto" w:fill="FEE4B0"/>
            <w:tcMar>
              <w:left w:w="0" w:type="dxa"/>
              <w:right w:w="113" w:type="dxa"/>
            </w:tcMar>
            <w:vAlign w:val="bottom"/>
          </w:tcPr>
          <w:p w:rsidR="00B5273C" w:rsidRPr="00E465A1" w:rsidRDefault="006C40F1" w:rsidP="00B5273C">
            <w:pPr>
              <w:pStyle w:val="Normaltabletextleft"/>
              <w:jc w:val="right"/>
              <w:rPr>
                <w:b/>
                <w:color w:val="262626" w:themeColor="text1" w:themeTint="D9"/>
              </w:rPr>
            </w:pPr>
            <w:r w:rsidRPr="00E465A1">
              <w:rPr>
                <w:b/>
                <w:color w:val="262626" w:themeColor="text1" w:themeTint="D9"/>
              </w:rPr>
              <w:t>2,395</w:t>
            </w:r>
          </w:p>
        </w:tc>
        <w:tc>
          <w:tcPr>
            <w:tcW w:w="840"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rsidR="00B5273C" w:rsidRPr="00E465A1" w:rsidRDefault="00B5273C" w:rsidP="00B5273C">
            <w:pPr>
              <w:pStyle w:val="Normaltabletextleft"/>
              <w:jc w:val="right"/>
              <w:rPr>
                <w:b/>
                <w:color w:val="262626" w:themeColor="text1" w:themeTint="D9"/>
              </w:rPr>
            </w:pPr>
            <w:r w:rsidRPr="00E465A1">
              <w:rPr>
                <w:b/>
                <w:color w:val="262626" w:themeColor="text1" w:themeTint="D9"/>
              </w:rPr>
              <w:t>2,669</w:t>
            </w:r>
          </w:p>
        </w:tc>
        <w:tc>
          <w:tcPr>
            <w:tcW w:w="804" w:type="dxa"/>
            <w:tcBorders>
              <w:top w:val="single" w:sz="4" w:space="0" w:color="auto"/>
              <w:left w:val="single" w:sz="4" w:space="0" w:color="auto"/>
              <w:bottom w:val="double" w:sz="4" w:space="0" w:color="auto"/>
              <w:right w:val="nil"/>
            </w:tcBorders>
            <w:shd w:val="clear" w:color="auto" w:fill="FEE4B0"/>
            <w:tcMar>
              <w:left w:w="0" w:type="dxa"/>
              <w:right w:w="113" w:type="dxa"/>
            </w:tcMar>
            <w:vAlign w:val="bottom"/>
          </w:tcPr>
          <w:p w:rsidR="00B5273C" w:rsidRPr="00E465A1" w:rsidRDefault="006C40F1" w:rsidP="00B5273C">
            <w:pPr>
              <w:pStyle w:val="Normaltabletextleft"/>
              <w:jc w:val="right"/>
              <w:rPr>
                <w:b/>
                <w:color w:val="262626" w:themeColor="text1" w:themeTint="D9"/>
              </w:rPr>
            </w:pPr>
            <w:r w:rsidRPr="00E465A1">
              <w:rPr>
                <w:b/>
                <w:color w:val="262626" w:themeColor="text1" w:themeTint="D9"/>
              </w:rPr>
              <w:t>15,615</w:t>
            </w:r>
          </w:p>
        </w:tc>
        <w:tc>
          <w:tcPr>
            <w:tcW w:w="863" w:type="dxa"/>
            <w:tcBorders>
              <w:top w:val="single" w:sz="4" w:space="0" w:color="auto"/>
              <w:left w:val="single" w:sz="4" w:space="0" w:color="auto"/>
              <w:bottom w:val="double" w:sz="4" w:space="0" w:color="auto"/>
              <w:right w:val="nil"/>
            </w:tcBorders>
            <w:shd w:val="clear" w:color="auto" w:fill="FFFFFF" w:themeFill="background1"/>
            <w:vAlign w:val="bottom"/>
          </w:tcPr>
          <w:p w:rsidR="00B5273C" w:rsidRPr="00E465A1" w:rsidRDefault="00B5273C" w:rsidP="00B5273C">
            <w:pPr>
              <w:pStyle w:val="Normaltabletextleft"/>
              <w:jc w:val="right"/>
              <w:rPr>
                <w:b/>
                <w:color w:val="262626" w:themeColor="text1" w:themeTint="D9"/>
              </w:rPr>
            </w:pPr>
            <w:r w:rsidRPr="00E465A1">
              <w:rPr>
                <w:b/>
                <w:color w:val="262626" w:themeColor="text1" w:themeTint="D9"/>
              </w:rPr>
              <w:t>19,596</w:t>
            </w:r>
          </w:p>
        </w:tc>
      </w:tr>
      <w:tr w:rsidR="00E465A1" w:rsidRPr="00E465A1" w:rsidTr="00B5273C">
        <w:tblPrEx>
          <w:tblCellMar>
            <w:bottom w:w="11" w:type="dxa"/>
            <w:right w:w="0" w:type="dxa"/>
          </w:tblCellMar>
          <w:tblLook w:val="0000" w:firstRow="0" w:lastRow="0" w:firstColumn="0" w:lastColumn="0" w:noHBand="0" w:noVBand="0"/>
        </w:tblPrEx>
        <w:trPr>
          <w:trHeight w:val="20"/>
        </w:trPr>
        <w:tc>
          <w:tcPr>
            <w:tcW w:w="10206" w:type="dxa"/>
            <w:gridSpan w:val="11"/>
            <w:tcBorders>
              <w:top w:val="nil"/>
              <w:left w:val="nil"/>
              <w:bottom w:val="nil"/>
              <w:right w:val="nil"/>
            </w:tcBorders>
            <w:noWrap/>
            <w:tcMar>
              <w:left w:w="0" w:type="dxa"/>
              <w:right w:w="0" w:type="dxa"/>
            </w:tcMar>
          </w:tcPr>
          <w:p w:rsidR="00B5273C" w:rsidRPr="00E465A1" w:rsidRDefault="00B5273C" w:rsidP="00B5273C">
            <w:pPr>
              <w:pStyle w:val="Normalindent1stpara"/>
              <w:spacing w:before="0"/>
              <w:ind w:left="0"/>
              <w:rPr>
                <w:color w:val="262626" w:themeColor="text1" w:themeTint="D9"/>
              </w:rPr>
            </w:pPr>
          </w:p>
        </w:tc>
      </w:tr>
    </w:tbl>
    <w:p w:rsidR="00B27A88" w:rsidRPr="00E465A1" w:rsidRDefault="00A24D12" w:rsidP="00A24D12">
      <w:pPr>
        <w:pStyle w:val="Noteswithhangingindent"/>
        <w:rPr>
          <w:color w:val="262626" w:themeColor="text1" w:themeTint="D9"/>
        </w:rPr>
      </w:pPr>
      <w:r w:rsidRPr="00E465A1">
        <w:rPr>
          <w:color w:val="262626" w:themeColor="text1" w:themeTint="D9"/>
          <w:vertAlign w:val="superscript"/>
        </w:rPr>
        <w:t>1</w:t>
      </w:r>
      <w:r w:rsidRPr="00E465A1">
        <w:rPr>
          <w:color w:val="262626" w:themeColor="text1" w:themeTint="D9"/>
        </w:rPr>
        <w:tab/>
      </w:r>
      <w:r w:rsidR="00B27A88" w:rsidRPr="00E465A1">
        <w:rPr>
          <w:color w:val="262626" w:themeColor="text1" w:themeTint="D9"/>
        </w:rPr>
        <w:t xml:space="preserve">Operating leases </w:t>
      </w:r>
      <w:r w:rsidR="000278E1" w:rsidRPr="00E465A1">
        <w:rPr>
          <w:color w:val="262626" w:themeColor="text1" w:themeTint="D9"/>
        </w:rPr>
        <w:t xml:space="preserve">for office accommodation are </w:t>
      </w:r>
      <w:r w:rsidR="00B27A88" w:rsidRPr="00E465A1">
        <w:rPr>
          <w:color w:val="262626" w:themeColor="text1" w:themeTint="D9"/>
        </w:rPr>
        <w:t xml:space="preserve">non-cancellable </w:t>
      </w:r>
      <w:r w:rsidR="000278E1" w:rsidRPr="00E465A1">
        <w:rPr>
          <w:color w:val="262626" w:themeColor="text1" w:themeTint="D9"/>
        </w:rPr>
        <w:t xml:space="preserve">and </w:t>
      </w:r>
      <w:r w:rsidR="00B27A88" w:rsidRPr="00E465A1">
        <w:rPr>
          <w:color w:val="262626" w:themeColor="text1" w:themeTint="D9"/>
        </w:rPr>
        <w:t xml:space="preserve">have </w:t>
      </w:r>
      <w:r w:rsidR="000278E1" w:rsidRPr="00E465A1">
        <w:rPr>
          <w:color w:val="262626" w:themeColor="text1" w:themeTint="D9"/>
        </w:rPr>
        <w:t xml:space="preserve">a </w:t>
      </w:r>
      <w:r w:rsidR="00B27A88" w:rsidRPr="00E465A1">
        <w:rPr>
          <w:color w:val="262626" w:themeColor="text1" w:themeTint="D9"/>
        </w:rPr>
        <w:t>renewal option that is exercisable at market prices. Lease payments are generally fixed, and no lease arrangements create restrictions on other financing transactions.</w:t>
      </w:r>
    </w:p>
    <w:p w:rsidR="00B27A88" w:rsidRPr="00E465A1" w:rsidRDefault="00B27A88" w:rsidP="00B27A88">
      <w:pPr>
        <w:pStyle w:val="Normal115pttext"/>
        <w:rPr>
          <w:color w:val="262626" w:themeColor="text1" w:themeTint="D9"/>
        </w:rPr>
      </w:pPr>
      <w:r w:rsidRPr="00E465A1">
        <w:rPr>
          <w:color w:val="262626" w:themeColor="text1" w:themeTint="D9"/>
        </w:rPr>
        <w:lastRenderedPageBreak/>
        <w:t>Note 1</w:t>
      </w:r>
      <w:r w:rsidR="0014516F" w:rsidRPr="00E465A1">
        <w:rPr>
          <w:color w:val="262626" w:themeColor="text1" w:themeTint="D9"/>
        </w:rPr>
        <w:t>8</w:t>
      </w:r>
      <w:r w:rsidRPr="00E465A1">
        <w:rPr>
          <w:color w:val="262626" w:themeColor="text1" w:themeTint="D9"/>
        </w:rPr>
        <w:t>:  Contingencies</w:t>
      </w:r>
    </w:p>
    <w:p w:rsidR="00B27A88" w:rsidRPr="00E465A1" w:rsidRDefault="00B27A88" w:rsidP="00B27A88">
      <w:pPr>
        <w:pStyle w:val="Normal1stpara"/>
        <w:rPr>
          <w:color w:val="262626" w:themeColor="text1" w:themeTint="D9"/>
        </w:rPr>
      </w:pPr>
    </w:p>
    <w:tbl>
      <w:tblPr>
        <w:tblStyle w:val="TableGrid"/>
        <w:tblW w:w="0" w:type="auto"/>
        <w:tblCellMar>
          <w:top w:w="113" w:type="dxa"/>
          <w:bottom w:w="113" w:type="dxa"/>
        </w:tblCellMar>
        <w:tblLook w:val="04A0" w:firstRow="1" w:lastRow="0" w:firstColumn="1" w:lastColumn="0" w:noHBand="0" w:noVBand="1"/>
      </w:tblPr>
      <w:tblGrid>
        <w:gridCol w:w="10054"/>
      </w:tblGrid>
      <w:tr w:rsidR="00B27A88" w:rsidRPr="00E465A1" w:rsidTr="00A24D12">
        <w:tc>
          <w:tcPr>
            <w:tcW w:w="10054" w:type="dxa"/>
          </w:tcPr>
          <w:p w:rsidR="00B27A88" w:rsidRPr="00E465A1" w:rsidRDefault="00B27A88" w:rsidP="00F618A2">
            <w:pPr>
              <w:pStyle w:val="Policyheading"/>
              <w:rPr>
                <w:color w:val="262626" w:themeColor="text1" w:themeTint="D9"/>
              </w:rPr>
            </w:pPr>
            <w:r w:rsidRPr="00E465A1">
              <w:rPr>
                <w:color w:val="262626" w:themeColor="text1" w:themeTint="D9"/>
              </w:rPr>
              <w:t>Accounting Policy:</w:t>
            </w:r>
          </w:p>
          <w:p w:rsidR="00B27A88" w:rsidRPr="00E465A1" w:rsidRDefault="00B27A88" w:rsidP="00F618A2">
            <w:pPr>
              <w:pStyle w:val="Policyfollowingparas"/>
              <w:rPr>
                <w:color w:val="262626" w:themeColor="text1" w:themeTint="D9"/>
              </w:rPr>
            </w:pPr>
            <w:r w:rsidRPr="00E465A1">
              <w:rPr>
                <w:b/>
                <w:i/>
                <w:color w:val="262626" w:themeColor="text1" w:themeTint="D9"/>
                <w:szCs w:val="19"/>
              </w:rPr>
              <w:t>Recognition</w:t>
            </w:r>
            <w:r w:rsidRPr="00E465A1">
              <w:rPr>
                <w:b/>
                <w:color w:val="262626" w:themeColor="text1" w:themeTint="D9"/>
                <w:szCs w:val="19"/>
              </w:rPr>
              <w:t xml:space="preserve"> </w:t>
            </w:r>
            <w:r w:rsidRPr="00E465A1">
              <w:rPr>
                <w:color w:val="262626" w:themeColor="text1" w:themeTint="D9"/>
                <w:szCs w:val="19"/>
              </w:rPr>
              <w:t>– Contingent assets and liabilities are not recognised in the Statement of Financial Position, but</w:t>
            </w:r>
            <w:r w:rsidR="009A585E" w:rsidRPr="00E465A1">
              <w:rPr>
                <w:color w:val="262626" w:themeColor="text1" w:themeTint="D9"/>
                <w:szCs w:val="19"/>
              </w:rPr>
              <w:t xml:space="preserve"> are disclosed by way of a note</w:t>
            </w:r>
            <w:r w:rsidRPr="00E465A1">
              <w:rPr>
                <w:color w:val="262626" w:themeColor="text1" w:themeTint="D9"/>
                <w:szCs w:val="19"/>
              </w:rPr>
              <w:t xml:space="preserve"> and</w:t>
            </w:r>
            <w:r w:rsidR="009A585E" w:rsidRPr="00E465A1">
              <w:rPr>
                <w:color w:val="262626" w:themeColor="text1" w:themeTint="D9"/>
                <w:szCs w:val="19"/>
              </w:rPr>
              <w:t>,</w:t>
            </w:r>
            <w:r w:rsidRPr="00E465A1">
              <w:rPr>
                <w:color w:val="262626" w:themeColor="text1" w:themeTint="D9"/>
                <w:szCs w:val="19"/>
              </w:rPr>
              <w:t xml:space="preserve"> if quantifiable, are measured at nominal value.</w:t>
            </w:r>
          </w:p>
        </w:tc>
      </w:tr>
    </w:tbl>
    <w:p w:rsidR="00B27A88" w:rsidRPr="00E465A1" w:rsidRDefault="00B27A88" w:rsidP="00B27A88">
      <w:pPr>
        <w:pStyle w:val="Normal1stpara"/>
        <w:rPr>
          <w:color w:val="262626" w:themeColor="text1" w:themeTint="D9"/>
        </w:rPr>
      </w:pPr>
    </w:p>
    <w:p w:rsidR="00A400ED" w:rsidRPr="00E465A1" w:rsidRDefault="0066073C" w:rsidP="005421AD">
      <w:pPr>
        <w:rPr>
          <w:b/>
          <w:color w:val="262626" w:themeColor="text1" w:themeTint="D9"/>
        </w:rPr>
      </w:pPr>
      <w:r w:rsidRPr="00E465A1">
        <w:rPr>
          <w:b/>
          <w:color w:val="262626" w:themeColor="text1" w:themeTint="D9"/>
          <w:lang w:eastAsia="en-AU"/>
        </w:rPr>
        <w:t>Litigation in progress</w:t>
      </w:r>
    </w:p>
    <w:p w:rsidR="0069738E" w:rsidRPr="00E465A1" w:rsidRDefault="00E914E2" w:rsidP="00B27A88">
      <w:pPr>
        <w:pStyle w:val="Normal1stpara"/>
        <w:rPr>
          <w:color w:val="262626" w:themeColor="text1" w:themeTint="D9"/>
        </w:rPr>
      </w:pPr>
      <w:r w:rsidRPr="00E465A1">
        <w:rPr>
          <w:color w:val="262626" w:themeColor="text1" w:themeTint="D9"/>
        </w:rPr>
        <w:t xml:space="preserve">As at 30 June </w:t>
      </w:r>
      <w:r w:rsidR="003D302E" w:rsidRPr="00E465A1">
        <w:rPr>
          <w:color w:val="262626" w:themeColor="text1" w:themeTint="D9"/>
        </w:rPr>
        <w:t>201</w:t>
      </w:r>
      <w:r w:rsidR="00341327" w:rsidRPr="00E465A1">
        <w:rPr>
          <w:color w:val="262626" w:themeColor="text1" w:themeTint="D9"/>
        </w:rPr>
        <w:t>8</w:t>
      </w:r>
      <w:r w:rsidR="00F8769B" w:rsidRPr="00E465A1">
        <w:rPr>
          <w:color w:val="262626" w:themeColor="text1" w:themeTint="D9"/>
        </w:rPr>
        <w:t xml:space="preserve">, </w:t>
      </w:r>
      <w:r w:rsidR="00986D31" w:rsidRPr="00E465A1">
        <w:rPr>
          <w:color w:val="262626" w:themeColor="text1" w:themeTint="D9"/>
        </w:rPr>
        <w:t>twelve</w:t>
      </w:r>
      <w:r w:rsidR="00341327" w:rsidRPr="00E465A1">
        <w:rPr>
          <w:color w:val="262626" w:themeColor="text1" w:themeTint="D9"/>
        </w:rPr>
        <w:t xml:space="preserve"> (</w:t>
      </w:r>
      <w:r w:rsidR="00986D31" w:rsidRPr="00E465A1">
        <w:rPr>
          <w:color w:val="262626" w:themeColor="text1" w:themeTint="D9"/>
        </w:rPr>
        <w:t>12</w:t>
      </w:r>
      <w:r w:rsidR="00E52784" w:rsidRPr="00E465A1">
        <w:rPr>
          <w:color w:val="262626" w:themeColor="text1" w:themeTint="D9"/>
        </w:rPr>
        <w:t>)</w:t>
      </w:r>
      <w:r w:rsidR="00F8769B" w:rsidRPr="00E465A1">
        <w:rPr>
          <w:color w:val="262626" w:themeColor="text1" w:themeTint="D9"/>
        </w:rPr>
        <w:t xml:space="preserve"> </w:t>
      </w:r>
      <w:r w:rsidR="0069738E" w:rsidRPr="00E465A1">
        <w:rPr>
          <w:color w:val="262626" w:themeColor="text1" w:themeTint="D9"/>
        </w:rPr>
        <w:t>cases</w:t>
      </w:r>
      <w:r w:rsidR="00536EC4" w:rsidRPr="00E465A1">
        <w:rPr>
          <w:color w:val="262626" w:themeColor="text1" w:themeTint="D9"/>
        </w:rPr>
        <w:t xml:space="preserve"> were ongoing before various courts</w:t>
      </w:r>
      <w:r w:rsidR="007C7733" w:rsidRPr="00E465A1">
        <w:rPr>
          <w:color w:val="262626" w:themeColor="text1" w:themeTint="D9"/>
        </w:rPr>
        <w:t>,</w:t>
      </w:r>
      <w:r w:rsidR="00536EC4" w:rsidRPr="00E465A1">
        <w:rPr>
          <w:color w:val="262626" w:themeColor="text1" w:themeTint="D9"/>
        </w:rPr>
        <w:t xml:space="preserve"> naming the </w:t>
      </w:r>
      <w:r w:rsidR="00EC2665" w:rsidRPr="00E465A1">
        <w:rPr>
          <w:color w:val="262626" w:themeColor="text1" w:themeTint="D9"/>
        </w:rPr>
        <w:t>CCC</w:t>
      </w:r>
      <w:r w:rsidR="00536EC4" w:rsidRPr="00E465A1">
        <w:rPr>
          <w:color w:val="262626" w:themeColor="text1" w:themeTint="D9"/>
        </w:rPr>
        <w:t xml:space="preserve"> </w:t>
      </w:r>
      <w:r w:rsidR="005101D2" w:rsidRPr="00E465A1">
        <w:rPr>
          <w:color w:val="262626" w:themeColor="text1" w:themeTint="D9"/>
        </w:rPr>
        <w:t xml:space="preserve">as </w:t>
      </w:r>
      <w:r w:rsidR="00536EC4" w:rsidRPr="00E465A1">
        <w:rPr>
          <w:color w:val="262626" w:themeColor="text1" w:themeTint="D9"/>
        </w:rPr>
        <w:t xml:space="preserve">either </w:t>
      </w:r>
      <w:r w:rsidR="005101D2" w:rsidRPr="00E465A1">
        <w:rPr>
          <w:color w:val="262626" w:themeColor="text1" w:themeTint="D9"/>
        </w:rPr>
        <w:t>an</w:t>
      </w:r>
      <w:r w:rsidR="00536EC4" w:rsidRPr="00E465A1">
        <w:rPr>
          <w:color w:val="262626" w:themeColor="text1" w:themeTint="D9"/>
        </w:rPr>
        <w:t xml:space="preserve"> applicant </w:t>
      </w:r>
      <w:r w:rsidR="005421AD" w:rsidRPr="00E465A1">
        <w:rPr>
          <w:color w:val="262626" w:themeColor="text1" w:themeTint="D9"/>
        </w:rPr>
        <w:br/>
      </w:r>
      <w:r w:rsidR="00536EC4" w:rsidRPr="00E465A1">
        <w:rPr>
          <w:color w:val="262626" w:themeColor="text1" w:themeTint="D9"/>
        </w:rPr>
        <w:t>or respondent:</w:t>
      </w:r>
    </w:p>
    <w:p w:rsidR="00126F5D" w:rsidRPr="00E465A1" w:rsidRDefault="00126F5D" w:rsidP="00126F5D">
      <w:pPr>
        <w:pStyle w:val="Normal1stpara"/>
        <w:rPr>
          <w:color w:val="262626" w:themeColor="text1" w:themeTint="D9"/>
        </w:rPr>
      </w:pPr>
    </w:p>
    <w:tbl>
      <w:tblPr>
        <w:tblW w:w="10204" w:type="dxa"/>
        <w:tblBorders>
          <w:top w:val="double" w:sz="4" w:space="0" w:color="auto"/>
          <w:left w:val="double" w:sz="4" w:space="0" w:color="auto"/>
          <w:bottom w:val="double" w:sz="4" w:space="0" w:color="auto"/>
          <w:right w:val="double" w:sz="4" w:space="0" w:color="auto"/>
        </w:tblBorders>
        <w:tblLayout w:type="fixed"/>
        <w:tblCellMar>
          <w:left w:w="0" w:type="dxa"/>
        </w:tblCellMar>
        <w:tblLook w:val="0000" w:firstRow="0" w:lastRow="0" w:firstColumn="0" w:lastColumn="0" w:noHBand="0" w:noVBand="0"/>
      </w:tblPr>
      <w:tblGrid>
        <w:gridCol w:w="7200"/>
        <w:gridCol w:w="1417"/>
        <w:gridCol w:w="170"/>
        <w:gridCol w:w="1417"/>
      </w:tblGrid>
      <w:tr w:rsidR="00E465A1" w:rsidRPr="00E465A1" w:rsidTr="00AD6577">
        <w:trPr>
          <w:trHeight w:val="23"/>
        </w:trPr>
        <w:tc>
          <w:tcPr>
            <w:tcW w:w="7200" w:type="dxa"/>
            <w:tcBorders>
              <w:top w:val="nil"/>
              <w:left w:val="nil"/>
              <w:bottom w:val="nil"/>
            </w:tcBorders>
            <w:noWrap/>
            <w:tcMar>
              <w:left w:w="0" w:type="dxa"/>
              <w:bottom w:w="11" w:type="dxa"/>
              <w:right w:w="0" w:type="dxa"/>
            </w:tcMar>
            <w:vAlign w:val="bottom"/>
          </w:tcPr>
          <w:p w:rsidR="0069738E" w:rsidRPr="00E465A1" w:rsidRDefault="0069738E" w:rsidP="002366FF">
            <w:pPr>
              <w:pStyle w:val="Normaltabletextleft"/>
              <w:rPr>
                <w:color w:val="262626" w:themeColor="text1" w:themeTint="D9"/>
                <w:lang w:eastAsia="en-AU"/>
              </w:rPr>
            </w:pPr>
          </w:p>
        </w:tc>
        <w:tc>
          <w:tcPr>
            <w:tcW w:w="1417" w:type="dxa"/>
            <w:tcBorders>
              <w:top w:val="nil"/>
              <w:bottom w:val="nil"/>
            </w:tcBorders>
            <w:shd w:val="clear" w:color="auto" w:fill="FEE4B0"/>
            <w:noWrap/>
            <w:tcMar>
              <w:left w:w="0" w:type="dxa"/>
              <w:bottom w:w="11" w:type="dxa"/>
              <w:right w:w="0" w:type="dxa"/>
            </w:tcMar>
            <w:vAlign w:val="bottom"/>
          </w:tcPr>
          <w:p w:rsidR="003300B1" w:rsidRPr="00E465A1" w:rsidRDefault="003D302E" w:rsidP="002366FF">
            <w:pPr>
              <w:pStyle w:val="Normaltabletextcentred"/>
              <w:rPr>
                <w:b/>
                <w:i/>
                <w:iCs/>
                <w:color w:val="262626" w:themeColor="text1" w:themeTint="D9"/>
                <w:lang w:eastAsia="en-AU"/>
              </w:rPr>
            </w:pPr>
            <w:r w:rsidRPr="00E465A1">
              <w:rPr>
                <w:b/>
                <w:color w:val="262626" w:themeColor="text1" w:themeTint="D9"/>
                <w:lang w:eastAsia="en-AU"/>
              </w:rPr>
              <w:t>201</w:t>
            </w:r>
            <w:r w:rsidR="00341327" w:rsidRPr="00E465A1">
              <w:rPr>
                <w:b/>
                <w:color w:val="262626" w:themeColor="text1" w:themeTint="D9"/>
                <w:lang w:eastAsia="en-AU"/>
              </w:rPr>
              <w:t>8</w:t>
            </w:r>
          </w:p>
        </w:tc>
        <w:tc>
          <w:tcPr>
            <w:tcW w:w="170" w:type="dxa"/>
            <w:tcBorders>
              <w:top w:val="nil"/>
              <w:bottom w:val="nil"/>
            </w:tcBorders>
            <w:noWrap/>
            <w:tcMar>
              <w:left w:w="0" w:type="dxa"/>
              <w:bottom w:w="11" w:type="dxa"/>
              <w:right w:w="0" w:type="dxa"/>
            </w:tcMar>
            <w:vAlign w:val="bottom"/>
          </w:tcPr>
          <w:p w:rsidR="0069738E" w:rsidRPr="00E465A1" w:rsidRDefault="0069738E" w:rsidP="002366FF">
            <w:pPr>
              <w:pStyle w:val="Normaltabletextcentred"/>
              <w:rPr>
                <w:b/>
                <w:color w:val="262626" w:themeColor="text1" w:themeTint="D9"/>
                <w:lang w:eastAsia="en-AU"/>
              </w:rPr>
            </w:pPr>
          </w:p>
        </w:tc>
        <w:tc>
          <w:tcPr>
            <w:tcW w:w="1417" w:type="dxa"/>
            <w:tcBorders>
              <w:top w:val="nil"/>
              <w:bottom w:val="nil"/>
              <w:right w:val="nil"/>
            </w:tcBorders>
            <w:noWrap/>
            <w:tcMar>
              <w:left w:w="0" w:type="dxa"/>
              <w:bottom w:w="11" w:type="dxa"/>
              <w:right w:w="0" w:type="dxa"/>
            </w:tcMar>
            <w:vAlign w:val="bottom"/>
          </w:tcPr>
          <w:p w:rsidR="003300B1" w:rsidRPr="00E465A1" w:rsidRDefault="003D302E" w:rsidP="002366FF">
            <w:pPr>
              <w:pStyle w:val="Normaltabletextcentred"/>
              <w:rPr>
                <w:b/>
                <w:i/>
                <w:iCs/>
                <w:color w:val="262626" w:themeColor="text1" w:themeTint="D9"/>
                <w:lang w:eastAsia="en-AU"/>
              </w:rPr>
            </w:pPr>
            <w:r w:rsidRPr="00E465A1">
              <w:rPr>
                <w:b/>
                <w:color w:val="262626" w:themeColor="text1" w:themeTint="D9"/>
                <w:lang w:eastAsia="en-AU"/>
              </w:rPr>
              <w:t>201</w:t>
            </w:r>
            <w:r w:rsidR="00341327" w:rsidRPr="00E465A1">
              <w:rPr>
                <w:b/>
                <w:color w:val="262626" w:themeColor="text1" w:themeTint="D9"/>
                <w:lang w:eastAsia="en-AU"/>
              </w:rPr>
              <w:t>7</w:t>
            </w:r>
          </w:p>
        </w:tc>
      </w:tr>
      <w:tr w:rsidR="00E465A1" w:rsidRPr="00E465A1" w:rsidTr="00AD6577">
        <w:trPr>
          <w:trHeight w:val="23"/>
        </w:trPr>
        <w:tc>
          <w:tcPr>
            <w:tcW w:w="7200" w:type="dxa"/>
            <w:tcBorders>
              <w:top w:val="nil"/>
              <w:left w:val="nil"/>
              <w:bottom w:val="nil"/>
            </w:tcBorders>
            <w:noWrap/>
            <w:tcMar>
              <w:left w:w="0" w:type="dxa"/>
              <w:bottom w:w="11" w:type="dxa"/>
              <w:right w:w="0" w:type="dxa"/>
            </w:tcMar>
            <w:vAlign w:val="bottom"/>
          </w:tcPr>
          <w:p w:rsidR="0069738E" w:rsidRPr="00E465A1" w:rsidRDefault="0069738E" w:rsidP="002366FF">
            <w:pPr>
              <w:pStyle w:val="Normaltabletextleft"/>
              <w:rPr>
                <w:color w:val="262626" w:themeColor="text1" w:themeTint="D9"/>
                <w:lang w:eastAsia="en-AU"/>
              </w:rPr>
            </w:pPr>
          </w:p>
        </w:tc>
        <w:tc>
          <w:tcPr>
            <w:tcW w:w="1417" w:type="dxa"/>
            <w:tcBorders>
              <w:top w:val="nil"/>
              <w:bottom w:val="nil"/>
            </w:tcBorders>
            <w:shd w:val="clear" w:color="auto" w:fill="FEE4B0"/>
            <w:noWrap/>
            <w:tcMar>
              <w:left w:w="0" w:type="dxa"/>
              <w:bottom w:w="11" w:type="dxa"/>
              <w:right w:w="0" w:type="dxa"/>
            </w:tcMar>
            <w:vAlign w:val="bottom"/>
          </w:tcPr>
          <w:p w:rsidR="00D61A2B" w:rsidRPr="00E465A1" w:rsidRDefault="00241C51" w:rsidP="002366FF">
            <w:pPr>
              <w:pStyle w:val="Normaltabletextcentred"/>
              <w:rPr>
                <w:b/>
                <w:color w:val="262626" w:themeColor="text1" w:themeTint="D9"/>
                <w:lang w:eastAsia="en-AU"/>
              </w:rPr>
            </w:pPr>
            <w:r w:rsidRPr="00E465A1">
              <w:rPr>
                <w:b/>
                <w:color w:val="262626" w:themeColor="text1" w:themeTint="D9"/>
                <w:lang w:eastAsia="en-AU"/>
              </w:rPr>
              <w:t xml:space="preserve">Number of </w:t>
            </w:r>
            <w:r w:rsidR="00A24D12" w:rsidRPr="00E465A1">
              <w:rPr>
                <w:b/>
                <w:color w:val="262626" w:themeColor="text1" w:themeTint="D9"/>
                <w:lang w:eastAsia="en-AU"/>
              </w:rPr>
              <w:br/>
            </w:r>
            <w:r w:rsidRPr="00E465A1">
              <w:rPr>
                <w:b/>
                <w:color w:val="262626" w:themeColor="text1" w:themeTint="D9"/>
                <w:lang w:eastAsia="en-AU"/>
              </w:rPr>
              <w:t>cases</w:t>
            </w:r>
          </w:p>
        </w:tc>
        <w:tc>
          <w:tcPr>
            <w:tcW w:w="170" w:type="dxa"/>
            <w:tcBorders>
              <w:top w:val="nil"/>
              <w:bottom w:val="nil"/>
            </w:tcBorders>
            <w:noWrap/>
            <w:tcMar>
              <w:left w:w="0" w:type="dxa"/>
              <w:bottom w:w="11" w:type="dxa"/>
              <w:right w:w="0" w:type="dxa"/>
            </w:tcMar>
            <w:vAlign w:val="bottom"/>
          </w:tcPr>
          <w:p w:rsidR="0069738E" w:rsidRPr="00E465A1" w:rsidRDefault="0069738E" w:rsidP="002366FF">
            <w:pPr>
              <w:pStyle w:val="Normaltabletextcentred"/>
              <w:rPr>
                <w:b/>
                <w:color w:val="262626" w:themeColor="text1" w:themeTint="D9"/>
                <w:lang w:eastAsia="en-AU"/>
              </w:rPr>
            </w:pPr>
          </w:p>
        </w:tc>
        <w:tc>
          <w:tcPr>
            <w:tcW w:w="1417" w:type="dxa"/>
            <w:tcBorders>
              <w:top w:val="nil"/>
              <w:bottom w:val="nil"/>
              <w:right w:val="nil"/>
            </w:tcBorders>
            <w:noWrap/>
            <w:tcMar>
              <w:left w:w="0" w:type="dxa"/>
              <w:bottom w:w="11" w:type="dxa"/>
              <w:right w:w="0" w:type="dxa"/>
            </w:tcMar>
            <w:vAlign w:val="bottom"/>
          </w:tcPr>
          <w:p w:rsidR="0069738E" w:rsidRPr="00E465A1" w:rsidRDefault="00241C51" w:rsidP="002366FF">
            <w:pPr>
              <w:pStyle w:val="Normaltabletextcentred"/>
              <w:rPr>
                <w:b/>
                <w:color w:val="262626" w:themeColor="text1" w:themeTint="D9"/>
                <w:lang w:eastAsia="en-AU"/>
              </w:rPr>
            </w:pPr>
            <w:r w:rsidRPr="00E465A1">
              <w:rPr>
                <w:b/>
                <w:color w:val="262626" w:themeColor="text1" w:themeTint="D9"/>
                <w:lang w:eastAsia="en-AU"/>
              </w:rPr>
              <w:t xml:space="preserve">Number of </w:t>
            </w:r>
            <w:r w:rsidR="00A24D12" w:rsidRPr="00E465A1">
              <w:rPr>
                <w:b/>
                <w:color w:val="262626" w:themeColor="text1" w:themeTint="D9"/>
                <w:lang w:eastAsia="en-AU"/>
              </w:rPr>
              <w:br/>
            </w:r>
            <w:r w:rsidRPr="00E465A1">
              <w:rPr>
                <w:b/>
                <w:color w:val="262626" w:themeColor="text1" w:themeTint="D9"/>
                <w:lang w:eastAsia="en-AU"/>
              </w:rPr>
              <w:t>cases</w:t>
            </w:r>
          </w:p>
        </w:tc>
      </w:tr>
      <w:tr w:rsidR="00E465A1" w:rsidRPr="00E465A1" w:rsidTr="00AD6577">
        <w:trPr>
          <w:trHeight w:val="23"/>
        </w:trPr>
        <w:tc>
          <w:tcPr>
            <w:tcW w:w="7200" w:type="dxa"/>
            <w:tcBorders>
              <w:top w:val="nil"/>
              <w:left w:val="nil"/>
              <w:bottom w:val="nil"/>
            </w:tcBorders>
            <w:noWrap/>
            <w:tcMar>
              <w:left w:w="0" w:type="dxa"/>
              <w:bottom w:w="11" w:type="dxa"/>
              <w:right w:w="0" w:type="dxa"/>
            </w:tcMar>
            <w:vAlign w:val="bottom"/>
          </w:tcPr>
          <w:p w:rsidR="0069738E" w:rsidRPr="00E465A1" w:rsidRDefault="0069738E" w:rsidP="002366FF">
            <w:pPr>
              <w:pStyle w:val="Normaltabletextleft"/>
              <w:rPr>
                <w:color w:val="262626" w:themeColor="text1" w:themeTint="D9"/>
                <w:lang w:eastAsia="en-AU"/>
              </w:rPr>
            </w:pPr>
          </w:p>
        </w:tc>
        <w:tc>
          <w:tcPr>
            <w:tcW w:w="1417" w:type="dxa"/>
            <w:tcBorders>
              <w:top w:val="nil"/>
              <w:bottom w:val="nil"/>
            </w:tcBorders>
            <w:shd w:val="clear" w:color="auto" w:fill="FEE4B0"/>
            <w:noWrap/>
            <w:tcMar>
              <w:left w:w="0" w:type="dxa"/>
              <w:bottom w:w="11" w:type="dxa"/>
              <w:right w:w="113" w:type="dxa"/>
            </w:tcMar>
            <w:vAlign w:val="bottom"/>
          </w:tcPr>
          <w:p w:rsidR="0069738E" w:rsidRPr="00E465A1" w:rsidRDefault="0069738E" w:rsidP="002366FF">
            <w:pPr>
              <w:pStyle w:val="Normaltabletext1stpararight"/>
              <w:rPr>
                <w:color w:val="262626" w:themeColor="text1" w:themeTint="D9"/>
                <w:lang w:eastAsia="en-AU"/>
              </w:rPr>
            </w:pPr>
          </w:p>
        </w:tc>
        <w:tc>
          <w:tcPr>
            <w:tcW w:w="170" w:type="dxa"/>
            <w:tcBorders>
              <w:top w:val="nil"/>
              <w:bottom w:val="nil"/>
            </w:tcBorders>
            <w:noWrap/>
            <w:tcMar>
              <w:left w:w="0" w:type="dxa"/>
              <w:bottom w:w="11" w:type="dxa"/>
              <w:right w:w="0" w:type="dxa"/>
            </w:tcMar>
            <w:vAlign w:val="bottom"/>
          </w:tcPr>
          <w:p w:rsidR="0069738E" w:rsidRPr="00E465A1" w:rsidRDefault="0069738E" w:rsidP="002366FF">
            <w:pPr>
              <w:pStyle w:val="Normaltabletextcentred"/>
              <w:rPr>
                <w:b/>
                <w:color w:val="262626" w:themeColor="text1" w:themeTint="D9"/>
                <w:lang w:eastAsia="en-AU"/>
              </w:rPr>
            </w:pPr>
          </w:p>
        </w:tc>
        <w:tc>
          <w:tcPr>
            <w:tcW w:w="1417" w:type="dxa"/>
            <w:tcBorders>
              <w:top w:val="nil"/>
              <w:bottom w:val="nil"/>
              <w:right w:val="nil"/>
            </w:tcBorders>
            <w:noWrap/>
            <w:tcMar>
              <w:left w:w="0" w:type="dxa"/>
              <w:bottom w:w="11" w:type="dxa"/>
              <w:right w:w="113" w:type="dxa"/>
            </w:tcMar>
            <w:vAlign w:val="bottom"/>
          </w:tcPr>
          <w:p w:rsidR="0069738E" w:rsidRPr="00E465A1" w:rsidRDefault="0069738E" w:rsidP="002366FF">
            <w:pPr>
              <w:pStyle w:val="Normaltabletext1stpararight"/>
              <w:rPr>
                <w:color w:val="262626" w:themeColor="text1" w:themeTint="D9"/>
                <w:lang w:eastAsia="en-AU"/>
              </w:rPr>
            </w:pPr>
          </w:p>
        </w:tc>
      </w:tr>
      <w:tr w:rsidR="00E465A1" w:rsidRPr="00E465A1" w:rsidTr="00AD6577">
        <w:trPr>
          <w:trHeight w:val="23"/>
        </w:trPr>
        <w:tc>
          <w:tcPr>
            <w:tcW w:w="7200" w:type="dxa"/>
            <w:tcBorders>
              <w:top w:val="nil"/>
              <w:left w:val="nil"/>
              <w:bottom w:val="nil"/>
            </w:tcBorders>
            <w:noWrap/>
            <w:tcMar>
              <w:left w:w="0" w:type="dxa"/>
              <w:bottom w:w="11" w:type="dxa"/>
              <w:right w:w="0" w:type="dxa"/>
            </w:tcMar>
            <w:vAlign w:val="bottom"/>
          </w:tcPr>
          <w:p w:rsidR="00341327" w:rsidRPr="00E465A1" w:rsidRDefault="00341327" w:rsidP="00341327">
            <w:pPr>
              <w:pStyle w:val="Normalindent1stpara"/>
              <w:spacing w:before="0"/>
              <w:rPr>
                <w:color w:val="262626" w:themeColor="text1" w:themeTint="D9"/>
                <w:lang w:eastAsia="en-AU"/>
              </w:rPr>
            </w:pPr>
            <w:r w:rsidRPr="00E465A1">
              <w:rPr>
                <w:color w:val="262626" w:themeColor="text1" w:themeTint="D9"/>
                <w:lang w:eastAsia="en-AU"/>
              </w:rPr>
              <w:t>Court of Appeal/High Court</w:t>
            </w:r>
          </w:p>
        </w:tc>
        <w:tc>
          <w:tcPr>
            <w:tcW w:w="1417" w:type="dxa"/>
            <w:tcBorders>
              <w:top w:val="nil"/>
              <w:bottom w:val="nil"/>
            </w:tcBorders>
            <w:shd w:val="clear" w:color="auto" w:fill="FEE4B0"/>
            <w:noWrap/>
            <w:tcMar>
              <w:left w:w="0" w:type="dxa"/>
              <w:bottom w:w="11" w:type="dxa"/>
              <w:right w:w="113" w:type="dxa"/>
            </w:tcMar>
            <w:vAlign w:val="bottom"/>
          </w:tcPr>
          <w:p w:rsidR="00341327" w:rsidRPr="00E465A1" w:rsidRDefault="00986D31" w:rsidP="00341327">
            <w:pPr>
              <w:pStyle w:val="Normaltabletext1stpararight"/>
              <w:rPr>
                <w:color w:val="262626" w:themeColor="text1" w:themeTint="D9"/>
                <w:lang w:eastAsia="en-AU"/>
              </w:rPr>
            </w:pPr>
            <w:r w:rsidRPr="00E465A1">
              <w:rPr>
                <w:color w:val="262626" w:themeColor="text1" w:themeTint="D9"/>
                <w:lang w:eastAsia="en-AU"/>
              </w:rPr>
              <w:t>1</w:t>
            </w:r>
          </w:p>
        </w:tc>
        <w:tc>
          <w:tcPr>
            <w:tcW w:w="170" w:type="dxa"/>
            <w:tcBorders>
              <w:top w:val="nil"/>
              <w:bottom w:val="nil"/>
            </w:tcBorders>
            <w:noWrap/>
            <w:tcMar>
              <w:left w:w="0" w:type="dxa"/>
              <w:bottom w:w="11" w:type="dxa"/>
              <w:right w:w="0" w:type="dxa"/>
            </w:tcMar>
            <w:vAlign w:val="bottom"/>
          </w:tcPr>
          <w:p w:rsidR="00341327" w:rsidRPr="00E465A1" w:rsidRDefault="00341327" w:rsidP="00341327">
            <w:pPr>
              <w:pStyle w:val="Normaltabletextcentred"/>
              <w:rPr>
                <w:b/>
                <w:color w:val="262626" w:themeColor="text1" w:themeTint="D9"/>
                <w:lang w:eastAsia="en-AU"/>
              </w:rPr>
            </w:pPr>
          </w:p>
        </w:tc>
        <w:tc>
          <w:tcPr>
            <w:tcW w:w="1417" w:type="dxa"/>
            <w:tcBorders>
              <w:top w:val="nil"/>
              <w:bottom w:val="nil"/>
              <w:right w:val="nil"/>
            </w:tcBorders>
            <w:noWrap/>
            <w:tcMar>
              <w:left w:w="0" w:type="dxa"/>
              <w:bottom w:w="11" w:type="dxa"/>
              <w:right w:w="113" w:type="dxa"/>
            </w:tcMar>
            <w:vAlign w:val="bottom"/>
          </w:tcPr>
          <w:p w:rsidR="00341327" w:rsidRPr="00E465A1" w:rsidRDefault="00341327" w:rsidP="00341327">
            <w:pPr>
              <w:pStyle w:val="Normaltabletext1stpararight"/>
              <w:rPr>
                <w:color w:val="262626" w:themeColor="text1" w:themeTint="D9"/>
                <w:lang w:eastAsia="en-AU"/>
              </w:rPr>
            </w:pPr>
            <w:r w:rsidRPr="00E465A1">
              <w:rPr>
                <w:color w:val="262626" w:themeColor="text1" w:themeTint="D9"/>
                <w:lang w:eastAsia="en-AU"/>
              </w:rPr>
              <w:t>3</w:t>
            </w:r>
          </w:p>
        </w:tc>
      </w:tr>
      <w:tr w:rsidR="00E465A1" w:rsidRPr="00E465A1" w:rsidTr="00AD6577">
        <w:trPr>
          <w:trHeight w:val="23"/>
        </w:trPr>
        <w:tc>
          <w:tcPr>
            <w:tcW w:w="7200" w:type="dxa"/>
            <w:tcBorders>
              <w:top w:val="nil"/>
              <w:left w:val="nil"/>
              <w:bottom w:val="nil"/>
            </w:tcBorders>
            <w:noWrap/>
            <w:tcMar>
              <w:left w:w="0" w:type="dxa"/>
              <w:bottom w:w="11" w:type="dxa"/>
              <w:right w:w="0" w:type="dxa"/>
            </w:tcMar>
            <w:vAlign w:val="bottom"/>
          </w:tcPr>
          <w:p w:rsidR="00341327" w:rsidRPr="00E465A1" w:rsidRDefault="00341327" w:rsidP="00341327">
            <w:pPr>
              <w:pStyle w:val="Normalindent1stpara"/>
              <w:spacing w:before="0"/>
              <w:rPr>
                <w:color w:val="262626" w:themeColor="text1" w:themeTint="D9"/>
                <w:lang w:eastAsia="en-AU"/>
              </w:rPr>
            </w:pPr>
            <w:r w:rsidRPr="00E465A1">
              <w:rPr>
                <w:color w:val="262626" w:themeColor="text1" w:themeTint="D9"/>
                <w:lang w:eastAsia="en-AU"/>
              </w:rPr>
              <w:t>Supreme Court</w:t>
            </w:r>
          </w:p>
        </w:tc>
        <w:tc>
          <w:tcPr>
            <w:tcW w:w="1417" w:type="dxa"/>
            <w:tcBorders>
              <w:top w:val="nil"/>
              <w:bottom w:val="nil"/>
            </w:tcBorders>
            <w:shd w:val="clear" w:color="auto" w:fill="FEE4B0"/>
            <w:noWrap/>
            <w:tcMar>
              <w:left w:w="0" w:type="dxa"/>
              <w:bottom w:w="11" w:type="dxa"/>
              <w:right w:w="113" w:type="dxa"/>
            </w:tcMar>
            <w:vAlign w:val="bottom"/>
          </w:tcPr>
          <w:p w:rsidR="00341327" w:rsidRPr="00E465A1" w:rsidRDefault="00986D31" w:rsidP="00341327">
            <w:pPr>
              <w:pStyle w:val="Normaltabletext1stpararight"/>
              <w:rPr>
                <w:color w:val="262626" w:themeColor="text1" w:themeTint="D9"/>
                <w:lang w:eastAsia="en-AU"/>
              </w:rPr>
            </w:pPr>
            <w:r w:rsidRPr="00E465A1">
              <w:rPr>
                <w:color w:val="262626" w:themeColor="text1" w:themeTint="D9"/>
                <w:lang w:eastAsia="en-AU"/>
              </w:rPr>
              <w:t>2</w:t>
            </w:r>
          </w:p>
        </w:tc>
        <w:tc>
          <w:tcPr>
            <w:tcW w:w="170" w:type="dxa"/>
            <w:tcBorders>
              <w:top w:val="nil"/>
              <w:bottom w:val="nil"/>
            </w:tcBorders>
            <w:noWrap/>
            <w:tcMar>
              <w:left w:w="0" w:type="dxa"/>
              <w:bottom w:w="11" w:type="dxa"/>
              <w:right w:w="0" w:type="dxa"/>
            </w:tcMar>
            <w:vAlign w:val="bottom"/>
          </w:tcPr>
          <w:p w:rsidR="00341327" w:rsidRPr="00E465A1" w:rsidRDefault="00341327" w:rsidP="00341327">
            <w:pPr>
              <w:pStyle w:val="Normaltabletextcentred"/>
              <w:rPr>
                <w:b/>
                <w:color w:val="262626" w:themeColor="text1" w:themeTint="D9"/>
                <w:lang w:eastAsia="en-AU"/>
              </w:rPr>
            </w:pPr>
          </w:p>
        </w:tc>
        <w:tc>
          <w:tcPr>
            <w:tcW w:w="1417" w:type="dxa"/>
            <w:tcBorders>
              <w:top w:val="nil"/>
              <w:bottom w:val="nil"/>
              <w:right w:val="nil"/>
            </w:tcBorders>
            <w:noWrap/>
            <w:tcMar>
              <w:left w:w="0" w:type="dxa"/>
              <w:bottom w:w="11" w:type="dxa"/>
              <w:right w:w="113" w:type="dxa"/>
            </w:tcMar>
            <w:vAlign w:val="bottom"/>
          </w:tcPr>
          <w:p w:rsidR="00341327" w:rsidRPr="00E465A1" w:rsidRDefault="00341327" w:rsidP="00341327">
            <w:pPr>
              <w:pStyle w:val="Normaltabletext1stpararight"/>
              <w:rPr>
                <w:color w:val="262626" w:themeColor="text1" w:themeTint="D9"/>
                <w:lang w:eastAsia="en-AU"/>
              </w:rPr>
            </w:pPr>
            <w:r w:rsidRPr="00E465A1">
              <w:rPr>
                <w:color w:val="262626" w:themeColor="text1" w:themeTint="D9"/>
                <w:lang w:eastAsia="en-AU"/>
              </w:rPr>
              <w:t>3</w:t>
            </w:r>
          </w:p>
        </w:tc>
      </w:tr>
      <w:tr w:rsidR="00E465A1" w:rsidRPr="00E465A1" w:rsidTr="00AD6577">
        <w:trPr>
          <w:trHeight w:val="23"/>
        </w:trPr>
        <w:tc>
          <w:tcPr>
            <w:tcW w:w="7200" w:type="dxa"/>
            <w:tcBorders>
              <w:top w:val="nil"/>
              <w:left w:val="nil"/>
              <w:bottom w:val="nil"/>
            </w:tcBorders>
            <w:noWrap/>
            <w:tcMar>
              <w:left w:w="0" w:type="dxa"/>
              <w:bottom w:w="11" w:type="dxa"/>
              <w:right w:w="0" w:type="dxa"/>
            </w:tcMar>
            <w:vAlign w:val="bottom"/>
          </w:tcPr>
          <w:p w:rsidR="00341327" w:rsidRPr="00E465A1" w:rsidRDefault="00341327" w:rsidP="00341327">
            <w:pPr>
              <w:pStyle w:val="Normalindent1stpara"/>
              <w:spacing w:before="0"/>
              <w:rPr>
                <w:color w:val="262626" w:themeColor="text1" w:themeTint="D9"/>
                <w:lang w:eastAsia="en-AU"/>
              </w:rPr>
            </w:pPr>
            <w:r w:rsidRPr="00E465A1">
              <w:rPr>
                <w:color w:val="262626" w:themeColor="text1" w:themeTint="D9"/>
                <w:lang w:eastAsia="en-AU"/>
              </w:rPr>
              <w:t>Queensland Civil and Administrative Tribunal (</w:t>
            </w:r>
            <w:proofErr w:type="spellStart"/>
            <w:r w:rsidRPr="00E465A1">
              <w:rPr>
                <w:color w:val="262626" w:themeColor="text1" w:themeTint="D9"/>
                <w:lang w:eastAsia="en-AU"/>
              </w:rPr>
              <w:t>QCAT</w:t>
            </w:r>
            <w:proofErr w:type="spellEnd"/>
            <w:r w:rsidRPr="00E465A1">
              <w:rPr>
                <w:color w:val="262626" w:themeColor="text1" w:themeTint="D9"/>
                <w:lang w:eastAsia="en-AU"/>
              </w:rPr>
              <w:t>)</w:t>
            </w:r>
          </w:p>
        </w:tc>
        <w:tc>
          <w:tcPr>
            <w:tcW w:w="1417" w:type="dxa"/>
            <w:tcBorders>
              <w:top w:val="nil"/>
              <w:bottom w:val="nil"/>
            </w:tcBorders>
            <w:shd w:val="clear" w:color="auto" w:fill="FEE4B0"/>
            <w:noWrap/>
            <w:tcMar>
              <w:left w:w="0" w:type="dxa"/>
              <w:bottom w:w="11" w:type="dxa"/>
              <w:right w:w="113" w:type="dxa"/>
            </w:tcMar>
            <w:vAlign w:val="bottom"/>
          </w:tcPr>
          <w:p w:rsidR="00341327" w:rsidRPr="00E465A1" w:rsidRDefault="00986D31" w:rsidP="00341327">
            <w:pPr>
              <w:pStyle w:val="Normaltabletext1stpararight"/>
              <w:rPr>
                <w:color w:val="262626" w:themeColor="text1" w:themeTint="D9"/>
                <w:lang w:eastAsia="en-AU"/>
              </w:rPr>
            </w:pPr>
            <w:r w:rsidRPr="00E465A1">
              <w:rPr>
                <w:color w:val="262626" w:themeColor="text1" w:themeTint="D9"/>
                <w:lang w:eastAsia="en-AU"/>
              </w:rPr>
              <w:t>9</w:t>
            </w:r>
          </w:p>
        </w:tc>
        <w:tc>
          <w:tcPr>
            <w:tcW w:w="170" w:type="dxa"/>
            <w:tcBorders>
              <w:top w:val="nil"/>
              <w:bottom w:val="nil"/>
            </w:tcBorders>
            <w:noWrap/>
            <w:tcMar>
              <w:left w:w="0" w:type="dxa"/>
              <w:bottom w:w="11" w:type="dxa"/>
              <w:right w:w="0" w:type="dxa"/>
            </w:tcMar>
            <w:vAlign w:val="bottom"/>
          </w:tcPr>
          <w:p w:rsidR="00341327" w:rsidRPr="00E465A1" w:rsidRDefault="00341327" w:rsidP="00341327">
            <w:pPr>
              <w:pStyle w:val="Normaltabletextcentred"/>
              <w:rPr>
                <w:b/>
                <w:color w:val="262626" w:themeColor="text1" w:themeTint="D9"/>
                <w:lang w:eastAsia="en-AU"/>
              </w:rPr>
            </w:pPr>
          </w:p>
        </w:tc>
        <w:tc>
          <w:tcPr>
            <w:tcW w:w="1417" w:type="dxa"/>
            <w:tcBorders>
              <w:top w:val="nil"/>
              <w:bottom w:val="nil"/>
              <w:right w:val="nil"/>
            </w:tcBorders>
            <w:noWrap/>
            <w:tcMar>
              <w:left w:w="0" w:type="dxa"/>
              <w:bottom w:w="11" w:type="dxa"/>
              <w:right w:w="113" w:type="dxa"/>
            </w:tcMar>
            <w:vAlign w:val="bottom"/>
          </w:tcPr>
          <w:p w:rsidR="00341327" w:rsidRPr="00E465A1" w:rsidRDefault="00341327" w:rsidP="00341327">
            <w:pPr>
              <w:pStyle w:val="Normaltabletext1stpararight"/>
              <w:rPr>
                <w:color w:val="262626" w:themeColor="text1" w:themeTint="D9"/>
                <w:lang w:eastAsia="en-AU"/>
              </w:rPr>
            </w:pPr>
            <w:r w:rsidRPr="00E465A1">
              <w:rPr>
                <w:color w:val="262626" w:themeColor="text1" w:themeTint="D9"/>
                <w:lang w:eastAsia="en-AU"/>
              </w:rPr>
              <w:t>7</w:t>
            </w:r>
          </w:p>
        </w:tc>
      </w:tr>
      <w:tr w:rsidR="00E465A1" w:rsidRPr="00E465A1" w:rsidTr="00AD6577">
        <w:trPr>
          <w:trHeight w:val="347"/>
        </w:trPr>
        <w:tc>
          <w:tcPr>
            <w:tcW w:w="7200" w:type="dxa"/>
            <w:tcBorders>
              <w:top w:val="nil"/>
              <w:left w:val="nil"/>
              <w:bottom w:val="nil"/>
            </w:tcBorders>
            <w:noWrap/>
            <w:tcMar>
              <w:left w:w="0" w:type="dxa"/>
              <w:bottom w:w="11" w:type="dxa"/>
              <w:right w:w="0" w:type="dxa"/>
            </w:tcMar>
            <w:vAlign w:val="bottom"/>
          </w:tcPr>
          <w:p w:rsidR="00341327" w:rsidRPr="00E465A1" w:rsidRDefault="00341327" w:rsidP="00341327">
            <w:pPr>
              <w:pStyle w:val="Normalindent1stpara"/>
              <w:spacing w:before="0"/>
              <w:rPr>
                <w:b/>
                <w:color w:val="262626" w:themeColor="text1" w:themeTint="D9"/>
                <w:lang w:eastAsia="en-AU"/>
              </w:rPr>
            </w:pPr>
            <w:r w:rsidRPr="00E465A1">
              <w:rPr>
                <w:b/>
                <w:color w:val="262626" w:themeColor="text1" w:themeTint="D9"/>
                <w:lang w:eastAsia="en-AU"/>
              </w:rPr>
              <w:t>Total</w:t>
            </w:r>
          </w:p>
        </w:tc>
        <w:tc>
          <w:tcPr>
            <w:tcW w:w="1417" w:type="dxa"/>
            <w:tcBorders>
              <w:top w:val="single" w:sz="4" w:space="0" w:color="auto"/>
              <w:bottom w:val="double" w:sz="4" w:space="0" w:color="auto"/>
            </w:tcBorders>
            <w:shd w:val="clear" w:color="auto" w:fill="FEE4B0"/>
            <w:noWrap/>
            <w:tcMar>
              <w:left w:w="0" w:type="dxa"/>
              <w:bottom w:w="11" w:type="dxa"/>
              <w:right w:w="113" w:type="dxa"/>
            </w:tcMar>
            <w:vAlign w:val="bottom"/>
          </w:tcPr>
          <w:p w:rsidR="00341327" w:rsidRPr="00E465A1" w:rsidRDefault="00986D31" w:rsidP="00341327">
            <w:pPr>
              <w:pStyle w:val="Normaltabletext1stpararight"/>
              <w:rPr>
                <w:b/>
                <w:color w:val="262626" w:themeColor="text1" w:themeTint="D9"/>
                <w:lang w:eastAsia="en-AU"/>
              </w:rPr>
            </w:pPr>
            <w:r w:rsidRPr="00E465A1">
              <w:rPr>
                <w:b/>
                <w:color w:val="262626" w:themeColor="text1" w:themeTint="D9"/>
                <w:lang w:eastAsia="en-AU"/>
              </w:rPr>
              <w:t>12</w:t>
            </w:r>
          </w:p>
        </w:tc>
        <w:tc>
          <w:tcPr>
            <w:tcW w:w="170" w:type="dxa"/>
            <w:tcBorders>
              <w:top w:val="nil"/>
              <w:bottom w:val="nil"/>
            </w:tcBorders>
            <w:noWrap/>
            <w:tcMar>
              <w:left w:w="0" w:type="dxa"/>
              <w:bottom w:w="11" w:type="dxa"/>
              <w:right w:w="0" w:type="dxa"/>
            </w:tcMar>
            <w:vAlign w:val="bottom"/>
          </w:tcPr>
          <w:p w:rsidR="00341327" w:rsidRPr="00E465A1" w:rsidRDefault="00341327" w:rsidP="00341327">
            <w:pPr>
              <w:pStyle w:val="Normaltabletextcentred"/>
              <w:rPr>
                <w:b/>
                <w:color w:val="262626" w:themeColor="text1" w:themeTint="D9"/>
                <w:lang w:eastAsia="en-AU"/>
              </w:rPr>
            </w:pPr>
          </w:p>
        </w:tc>
        <w:tc>
          <w:tcPr>
            <w:tcW w:w="1417" w:type="dxa"/>
            <w:tcBorders>
              <w:top w:val="single" w:sz="4" w:space="0" w:color="auto"/>
              <w:bottom w:val="double" w:sz="4" w:space="0" w:color="auto"/>
              <w:right w:val="nil"/>
            </w:tcBorders>
            <w:noWrap/>
            <w:tcMar>
              <w:left w:w="0" w:type="dxa"/>
              <w:bottom w:w="11" w:type="dxa"/>
              <w:right w:w="113" w:type="dxa"/>
            </w:tcMar>
            <w:vAlign w:val="bottom"/>
          </w:tcPr>
          <w:p w:rsidR="00341327" w:rsidRPr="00E465A1" w:rsidRDefault="00341327" w:rsidP="00341327">
            <w:pPr>
              <w:pStyle w:val="Normaltabletext1stpararight"/>
              <w:rPr>
                <w:b/>
                <w:color w:val="262626" w:themeColor="text1" w:themeTint="D9"/>
                <w:lang w:eastAsia="en-AU"/>
              </w:rPr>
            </w:pPr>
            <w:r w:rsidRPr="00E465A1">
              <w:rPr>
                <w:b/>
                <w:color w:val="262626" w:themeColor="text1" w:themeTint="D9"/>
                <w:lang w:eastAsia="en-AU"/>
              </w:rPr>
              <w:t>13</w:t>
            </w:r>
          </w:p>
        </w:tc>
      </w:tr>
    </w:tbl>
    <w:p w:rsidR="003300B1" w:rsidRPr="00E465A1" w:rsidRDefault="00276E72" w:rsidP="00A24D12">
      <w:pPr>
        <w:rPr>
          <w:color w:val="262626" w:themeColor="text1" w:themeTint="D9"/>
          <w:lang w:eastAsia="en-AU"/>
        </w:rPr>
      </w:pPr>
      <w:r w:rsidRPr="00E465A1">
        <w:rPr>
          <w:color w:val="262626" w:themeColor="text1" w:themeTint="D9"/>
          <w:lang w:eastAsia="en-AU"/>
        </w:rPr>
        <w:t>It is not possible to make a reliable estimate of the final costs</w:t>
      </w:r>
      <w:r w:rsidR="0005785D" w:rsidRPr="00E465A1">
        <w:rPr>
          <w:color w:val="262626" w:themeColor="text1" w:themeTint="D9"/>
          <w:lang w:eastAsia="en-AU"/>
        </w:rPr>
        <w:t>, if any,</w:t>
      </w:r>
      <w:r w:rsidRPr="00E465A1">
        <w:rPr>
          <w:color w:val="262626" w:themeColor="text1" w:themeTint="D9"/>
          <w:lang w:eastAsia="en-AU"/>
        </w:rPr>
        <w:t xml:space="preserve"> that could be</w:t>
      </w:r>
      <w:r w:rsidRPr="00E465A1">
        <w:rPr>
          <w:color w:val="262626" w:themeColor="text1" w:themeTint="D9"/>
        </w:rPr>
        <w:t xml:space="preserve"> </w:t>
      </w:r>
      <w:r w:rsidRPr="00E465A1">
        <w:rPr>
          <w:color w:val="262626" w:themeColor="text1" w:themeTint="D9"/>
          <w:lang w:eastAsia="en-AU"/>
        </w:rPr>
        <w:t>recovered or payable from these cases at this time.</w:t>
      </w:r>
    </w:p>
    <w:p w:rsidR="00CA4501" w:rsidRPr="00E465A1" w:rsidRDefault="00CA4501" w:rsidP="00A24D12">
      <w:pPr>
        <w:pStyle w:val="Normal1stpara"/>
        <w:rPr>
          <w:color w:val="262626" w:themeColor="text1" w:themeTint="D9"/>
        </w:rPr>
      </w:pPr>
    </w:p>
    <w:p w:rsidR="009C5E1A" w:rsidRPr="00E465A1" w:rsidRDefault="009C5E1A" w:rsidP="00A24D12">
      <w:pPr>
        <w:pStyle w:val="Normal1stpara"/>
        <w:rPr>
          <w:color w:val="262626" w:themeColor="text1" w:themeTint="D9"/>
        </w:rPr>
      </w:pPr>
    </w:p>
    <w:p w:rsidR="00D767C3" w:rsidRPr="00E465A1" w:rsidRDefault="00095156" w:rsidP="00126F5D">
      <w:pPr>
        <w:pStyle w:val="Normal115pttext"/>
        <w:rPr>
          <w:color w:val="262626" w:themeColor="text1" w:themeTint="D9"/>
        </w:rPr>
      </w:pPr>
      <w:r w:rsidRPr="00E465A1">
        <w:rPr>
          <w:color w:val="262626" w:themeColor="text1" w:themeTint="D9"/>
        </w:rPr>
        <w:t xml:space="preserve">Note </w:t>
      </w:r>
      <w:r w:rsidR="007B19CE" w:rsidRPr="00E465A1">
        <w:rPr>
          <w:color w:val="262626" w:themeColor="text1" w:themeTint="D9"/>
        </w:rPr>
        <w:t>1</w:t>
      </w:r>
      <w:r w:rsidR="0014516F" w:rsidRPr="00E465A1">
        <w:rPr>
          <w:color w:val="262626" w:themeColor="text1" w:themeTint="D9"/>
        </w:rPr>
        <w:t>9</w:t>
      </w:r>
      <w:r w:rsidR="00276E72" w:rsidRPr="00E465A1">
        <w:rPr>
          <w:color w:val="262626" w:themeColor="text1" w:themeTint="D9"/>
        </w:rPr>
        <w:t>:  Financial Instruments</w:t>
      </w:r>
    </w:p>
    <w:p w:rsidR="00126F5D" w:rsidRPr="00E465A1" w:rsidRDefault="00126F5D" w:rsidP="00126F5D">
      <w:pPr>
        <w:pStyle w:val="Normal1stpara"/>
        <w:rPr>
          <w:color w:val="262626" w:themeColor="text1" w:themeTint="D9"/>
        </w:rPr>
      </w:pPr>
    </w:p>
    <w:tbl>
      <w:tblPr>
        <w:tblStyle w:val="TableGrid"/>
        <w:tblW w:w="0" w:type="auto"/>
        <w:tblCellMar>
          <w:top w:w="113" w:type="dxa"/>
          <w:bottom w:w="113" w:type="dxa"/>
        </w:tblCellMar>
        <w:tblLook w:val="04A0" w:firstRow="1" w:lastRow="0" w:firstColumn="1" w:lastColumn="0" w:noHBand="0" w:noVBand="1"/>
      </w:tblPr>
      <w:tblGrid>
        <w:gridCol w:w="10196"/>
      </w:tblGrid>
      <w:tr w:rsidR="00126F5D" w:rsidRPr="00E465A1" w:rsidTr="00A24D12">
        <w:tc>
          <w:tcPr>
            <w:tcW w:w="10201" w:type="dxa"/>
          </w:tcPr>
          <w:p w:rsidR="00126F5D" w:rsidRPr="00E465A1" w:rsidRDefault="00126F5D" w:rsidP="00F618A2">
            <w:pPr>
              <w:pStyle w:val="Policyheading"/>
              <w:rPr>
                <w:color w:val="262626" w:themeColor="text1" w:themeTint="D9"/>
              </w:rPr>
            </w:pPr>
            <w:r w:rsidRPr="00E465A1">
              <w:rPr>
                <w:color w:val="262626" w:themeColor="text1" w:themeTint="D9"/>
              </w:rPr>
              <w:t>Accounting Policy:</w:t>
            </w:r>
          </w:p>
          <w:p w:rsidR="009C5E1A" w:rsidRPr="00E465A1" w:rsidRDefault="009C5E1A" w:rsidP="00F618A2">
            <w:pPr>
              <w:pStyle w:val="Policyheading"/>
              <w:rPr>
                <w:color w:val="262626" w:themeColor="text1" w:themeTint="D9"/>
              </w:rPr>
            </w:pPr>
          </w:p>
          <w:p w:rsidR="00126F5D" w:rsidRPr="00E465A1" w:rsidRDefault="00126F5D" w:rsidP="00126F5D">
            <w:pPr>
              <w:pStyle w:val="Policy1stpara"/>
              <w:rPr>
                <w:color w:val="262626" w:themeColor="text1" w:themeTint="D9"/>
                <w:lang w:eastAsia="en-AU"/>
              </w:rPr>
            </w:pPr>
            <w:r w:rsidRPr="00E465A1">
              <w:rPr>
                <w:b/>
                <w:i/>
                <w:color w:val="262626" w:themeColor="text1" w:themeTint="D9"/>
              </w:rPr>
              <w:t>Recognition</w:t>
            </w:r>
            <w:r w:rsidRPr="00E465A1">
              <w:rPr>
                <w:color w:val="262626" w:themeColor="text1" w:themeTint="D9"/>
              </w:rPr>
              <w:t xml:space="preserve"> –</w:t>
            </w:r>
            <w:r w:rsidRPr="00E465A1">
              <w:rPr>
                <w:color w:val="262626" w:themeColor="text1" w:themeTint="D9"/>
                <w:lang w:eastAsia="en-AU"/>
              </w:rPr>
              <w:t xml:space="preserve"> </w:t>
            </w:r>
          </w:p>
          <w:p w:rsidR="00126F5D" w:rsidRPr="00E465A1" w:rsidRDefault="00126F5D" w:rsidP="00126F5D">
            <w:pPr>
              <w:pStyle w:val="Policyfollowingparas"/>
              <w:rPr>
                <w:color w:val="262626" w:themeColor="text1" w:themeTint="D9"/>
              </w:rPr>
            </w:pPr>
            <w:r w:rsidRPr="00E465A1">
              <w:rPr>
                <w:color w:val="262626" w:themeColor="text1" w:themeTint="D9"/>
              </w:rPr>
              <w:t xml:space="preserve">Financial assets and financial liabilities are recognised in the Statement of Financial Position when the </w:t>
            </w:r>
            <w:r w:rsidR="00EC2665" w:rsidRPr="00E465A1">
              <w:rPr>
                <w:color w:val="262626" w:themeColor="text1" w:themeTint="D9"/>
              </w:rPr>
              <w:t>CCC</w:t>
            </w:r>
            <w:r w:rsidRPr="00E465A1">
              <w:rPr>
                <w:color w:val="262626" w:themeColor="text1" w:themeTint="D9"/>
              </w:rPr>
              <w:t xml:space="preserve"> becomes party to the contractual provisions of the financial instrument.</w:t>
            </w:r>
          </w:p>
          <w:p w:rsidR="009C5E1A" w:rsidRPr="00E465A1" w:rsidRDefault="009C5E1A" w:rsidP="00126F5D">
            <w:pPr>
              <w:pStyle w:val="Policyfollowingparas"/>
              <w:rPr>
                <w:color w:val="262626" w:themeColor="text1" w:themeTint="D9"/>
              </w:rPr>
            </w:pPr>
          </w:p>
          <w:p w:rsidR="00126F5D" w:rsidRPr="00E465A1" w:rsidRDefault="00126F5D" w:rsidP="00126F5D">
            <w:pPr>
              <w:pStyle w:val="Policy1stpara"/>
              <w:rPr>
                <w:color w:val="262626" w:themeColor="text1" w:themeTint="D9"/>
              </w:rPr>
            </w:pPr>
            <w:r w:rsidRPr="00E465A1">
              <w:rPr>
                <w:b/>
                <w:i/>
                <w:color w:val="262626" w:themeColor="text1" w:themeTint="D9"/>
              </w:rPr>
              <w:t>Classification and Measurement</w:t>
            </w:r>
            <w:r w:rsidRPr="00E465A1">
              <w:rPr>
                <w:color w:val="262626" w:themeColor="text1" w:themeTint="D9"/>
              </w:rPr>
              <w:t xml:space="preserve"> – Financial instruments are classified and measured as follows:</w:t>
            </w:r>
          </w:p>
          <w:p w:rsidR="009C5E1A" w:rsidRPr="00E465A1" w:rsidRDefault="009C5E1A" w:rsidP="00126F5D">
            <w:pPr>
              <w:pStyle w:val="Policyfollowingparas"/>
              <w:rPr>
                <w:i/>
                <w:color w:val="262626" w:themeColor="text1" w:themeTint="D9"/>
              </w:rPr>
            </w:pPr>
          </w:p>
          <w:p w:rsidR="00126F5D" w:rsidRPr="00E465A1" w:rsidRDefault="00126F5D" w:rsidP="00126F5D">
            <w:pPr>
              <w:pStyle w:val="Policyfollowingparas"/>
              <w:rPr>
                <w:i/>
                <w:color w:val="262626" w:themeColor="text1" w:themeTint="D9"/>
              </w:rPr>
            </w:pPr>
            <w:r w:rsidRPr="00E465A1">
              <w:rPr>
                <w:i/>
                <w:color w:val="262626" w:themeColor="text1" w:themeTint="D9"/>
              </w:rPr>
              <w:t>Financial Assets:</w:t>
            </w:r>
          </w:p>
          <w:p w:rsidR="00126F5D" w:rsidRPr="00E465A1" w:rsidRDefault="00126F5D" w:rsidP="00126F5D">
            <w:pPr>
              <w:pStyle w:val="Policyindented"/>
              <w:rPr>
                <w:color w:val="262626" w:themeColor="text1" w:themeTint="D9"/>
              </w:rPr>
            </w:pPr>
            <w:r w:rsidRPr="00E465A1">
              <w:rPr>
                <w:color w:val="262626" w:themeColor="text1" w:themeTint="D9"/>
              </w:rPr>
              <w:t>Cash and cash equivalents – held at fair value through profit and loss</w:t>
            </w:r>
          </w:p>
          <w:p w:rsidR="00126F5D" w:rsidRPr="00E465A1" w:rsidRDefault="00126F5D" w:rsidP="00126F5D">
            <w:pPr>
              <w:pStyle w:val="Policyindented"/>
              <w:rPr>
                <w:color w:val="262626" w:themeColor="text1" w:themeTint="D9"/>
              </w:rPr>
            </w:pPr>
            <w:r w:rsidRPr="00E465A1">
              <w:rPr>
                <w:color w:val="262626" w:themeColor="text1" w:themeTint="D9"/>
              </w:rPr>
              <w:t>Receivables – held at amortised cost</w:t>
            </w:r>
          </w:p>
          <w:p w:rsidR="009C5E1A" w:rsidRPr="00E465A1" w:rsidRDefault="009C5E1A" w:rsidP="00126F5D">
            <w:pPr>
              <w:pStyle w:val="Policyindented"/>
              <w:rPr>
                <w:color w:val="262626" w:themeColor="text1" w:themeTint="D9"/>
              </w:rPr>
            </w:pPr>
          </w:p>
          <w:p w:rsidR="00126F5D" w:rsidRPr="00E465A1" w:rsidRDefault="00126F5D" w:rsidP="00126F5D">
            <w:pPr>
              <w:pStyle w:val="Policyfollowingparas"/>
              <w:rPr>
                <w:i/>
                <w:color w:val="262626" w:themeColor="text1" w:themeTint="D9"/>
              </w:rPr>
            </w:pPr>
            <w:r w:rsidRPr="00E465A1">
              <w:rPr>
                <w:i/>
                <w:color w:val="262626" w:themeColor="text1" w:themeTint="D9"/>
              </w:rPr>
              <w:t>Financial Liabilities:</w:t>
            </w:r>
          </w:p>
          <w:p w:rsidR="00126F5D" w:rsidRPr="00E465A1" w:rsidRDefault="00126F5D" w:rsidP="00042BAC">
            <w:pPr>
              <w:pStyle w:val="Policyindented"/>
              <w:rPr>
                <w:color w:val="262626" w:themeColor="text1" w:themeTint="D9"/>
              </w:rPr>
            </w:pPr>
            <w:r w:rsidRPr="00E465A1">
              <w:rPr>
                <w:color w:val="262626" w:themeColor="text1" w:themeTint="D9"/>
              </w:rPr>
              <w:t>Payables</w:t>
            </w:r>
            <w:r w:rsidR="00042BAC" w:rsidRPr="00E465A1">
              <w:rPr>
                <w:color w:val="262626" w:themeColor="text1" w:themeTint="D9"/>
              </w:rPr>
              <w:t xml:space="preserve"> </w:t>
            </w:r>
            <w:r w:rsidRPr="00E465A1">
              <w:rPr>
                <w:color w:val="262626" w:themeColor="text1" w:themeTint="D9"/>
              </w:rPr>
              <w:t>– held at amortised cost</w:t>
            </w:r>
          </w:p>
          <w:p w:rsidR="009C5E1A" w:rsidRPr="00E465A1" w:rsidRDefault="009C5E1A" w:rsidP="00042BAC">
            <w:pPr>
              <w:pStyle w:val="Policyindented"/>
              <w:rPr>
                <w:color w:val="262626" w:themeColor="text1" w:themeTint="D9"/>
              </w:rPr>
            </w:pPr>
          </w:p>
        </w:tc>
      </w:tr>
    </w:tbl>
    <w:p w:rsidR="00126F5D" w:rsidRPr="00E465A1" w:rsidRDefault="00126F5D" w:rsidP="00126F5D">
      <w:pPr>
        <w:pStyle w:val="Normal1stpara"/>
        <w:rPr>
          <w:color w:val="262626" w:themeColor="text1" w:themeTint="D9"/>
        </w:rPr>
      </w:pPr>
    </w:p>
    <w:p w:rsidR="00D75870" w:rsidRPr="00E465A1" w:rsidRDefault="00D75870" w:rsidP="00126F5D">
      <w:pPr>
        <w:pStyle w:val="Normal1stpara"/>
        <w:rPr>
          <w:color w:val="262626" w:themeColor="text1" w:themeTint="D9"/>
        </w:rPr>
      </w:pPr>
    </w:p>
    <w:p w:rsidR="009C5E1A" w:rsidRPr="00E465A1" w:rsidRDefault="009C5E1A" w:rsidP="00126F5D">
      <w:pPr>
        <w:pStyle w:val="Normal1stpara"/>
        <w:rPr>
          <w:color w:val="262626" w:themeColor="text1" w:themeTint="D9"/>
        </w:rPr>
      </w:pPr>
    </w:p>
    <w:p w:rsidR="009C5E1A" w:rsidRPr="00E465A1" w:rsidRDefault="009C5E1A" w:rsidP="009C5E1A">
      <w:pPr>
        <w:pStyle w:val="Normal115pttext"/>
        <w:rPr>
          <w:color w:val="262626" w:themeColor="text1" w:themeTint="D9"/>
        </w:rPr>
      </w:pPr>
      <w:r w:rsidRPr="00E465A1">
        <w:rPr>
          <w:color w:val="262626" w:themeColor="text1" w:themeTint="D9"/>
        </w:rPr>
        <w:lastRenderedPageBreak/>
        <w:t>Note 1</w:t>
      </w:r>
      <w:r w:rsidR="0014516F" w:rsidRPr="00E465A1">
        <w:rPr>
          <w:color w:val="262626" w:themeColor="text1" w:themeTint="D9"/>
        </w:rPr>
        <w:t>9</w:t>
      </w:r>
      <w:r w:rsidRPr="00E465A1">
        <w:rPr>
          <w:color w:val="262626" w:themeColor="text1" w:themeTint="D9"/>
        </w:rPr>
        <w:t>:  Financial Instruments (cont’d)</w:t>
      </w:r>
    </w:p>
    <w:p w:rsidR="009C5E1A" w:rsidRPr="00E465A1" w:rsidRDefault="009C5E1A" w:rsidP="00126F5D">
      <w:pPr>
        <w:pStyle w:val="Normal1stpara"/>
        <w:rPr>
          <w:color w:val="262626" w:themeColor="text1" w:themeTint="D9"/>
        </w:rPr>
      </w:pPr>
    </w:p>
    <w:p w:rsidR="0066535B" w:rsidRPr="00E465A1" w:rsidRDefault="00126F5D" w:rsidP="00126F5D">
      <w:pPr>
        <w:pStyle w:val="Normalhanginglist105pt"/>
        <w:rPr>
          <w:color w:val="262626" w:themeColor="text1" w:themeTint="D9"/>
        </w:rPr>
      </w:pPr>
      <w:r w:rsidRPr="00E465A1">
        <w:rPr>
          <w:color w:val="262626" w:themeColor="text1" w:themeTint="D9"/>
        </w:rPr>
        <w:t>(a)</w:t>
      </w:r>
      <w:r w:rsidRPr="00E465A1">
        <w:rPr>
          <w:color w:val="262626" w:themeColor="text1" w:themeTint="D9"/>
        </w:rPr>
        <w:tab/>
      </w:r>
      <w:r w:rsidR="00276E72" w:rsidRPr="00E465A1">
        <w:rPr>
          <w:color w:val="262626" w:themeColor="text1" w:themeTint="D9"/>
        </w:rPr>
        <w:t>Categorisation of Financial Instruments</w:t>
      </w:r>
    </w:p>
    <w:p w:rsidR="00255483" w:rsidRPr="00E465A1" w:rsidRDefault="00276E72" w:rsidP="00126F5D">
      <w:pPr>
        <w:pStyle w:val="Normalindent1stpara"/>
        <w:rPr>
          <w:color w:val="262626" w:themeColor="text1" w:themeTint="D9"/>
        </w:rPr>
      </w:pPr>
      <w:r w:rsidRPr="00E465A1">
        <w:rPr>
          <w:color w:val="262626" w:themeColor="text1" w:themeTint="D9"/>
        </w:rPr>
        <w:t xml:space="preserve">The </w:t>
      </w:r>
      <w:r w:rsidR="00EC2665" w:rsidRPr="00E465A1">
        <w:rPr>
          <w:color w:val="262626" w:themeColor="text1" w:themeTint="D9"/>
        </w:rPr>
        <w:t>CCC</w:t>
      </w:r>
      <w:r w:rsidRPr="00E465A1">
        <w:rPr>
          <w:color w:val="262626" w:themeColor="text1" w:themeTint="D9"/>
        </w:rPr>
        <w:t xml:space="preserve"> has the following categories of financial assets and </w:t>
      </w:r>
      <w:r w:rsidR="00411B9A" w:rsidRPr="00E465A1">
        <w:rPr>
          <w:color w:val="262626" w:themeColor="text1" w:themeTint="D9"/>
        </w:rPr>
        <w:t>financial liabilities</w:t>
      </w:r>
      <w:r w:rsidR="00957A56" w:rsidRPr="00E465A1">
        <w:rPr>
          <w:color w:val="262626" w:themeColor="text1" w:themeTint="D9"/>
        </w:rPr>
        <w:t>:</w:t>
      </w:r>
    </w:p>
    <w:p w:rsidR="00126F5D" w:rsidRPr="00E465A1" w:rsidRDefault="00126F5D" w:rsidP="00126F5D">
      <w:pPr>
        <w:pStyle w:val="Normalindent1stpara"/>
        <w:rPr>
          <w:color w:val="262626" w:themeColor="text1" w:themeTint="D9"/>
        </w:rPr>
      </w:pPr>
    </w:p>
    <w:tbl>
      <w:tblPr>
        <w:tblW w:w="10205" w:type="dxa"/>
        <w:tblBorders>
          <w:top w:val="double" w:sz="4" w:space="0" w:color="auto"/>
          <w:left w:val="double" w:sz="4" w:space="0" w:color="auto"/>
          <w:bottom w:val="double" w:sz="4" w:space="0" w:color="auto"/>
          <w:right w:val="double" w:sz="4" w:space="0" w:color="auto"/>
        </w:tblBorders>
        <w:tblLayout w:type="fixed"/>
        <w:tblCellMar>
          <w:left w:w="0" w:type="dxa"/>
        </w:tblCellMar>
        <w:tblLook w:val="0000" w:firstRow="0" w:lastRow="0" w:firstColumn="0" w:lastColumn="0" w:noHBand="0" w:noVBand="0"/>
      </w:tblPr>
      <w:tblGrid>
        <w:gridCol w:w="6917"/>
        <w:gridCol w:w="850"/>
        <w:gridCol w:w="1134"/>
        <w:gridCol w:w="170"/>
        <w:gridCol w:w="1134"/>
      </w:tblGrid>
      <w:tr w:rsidR="00E465A1" w:rsidRPr="00E465A1" w:rsidTr="00AD6577">
        <w:trPr>
          <w:trHeight w:val="20"/>
        </w:trPr>
        <w:tc>
          <w:tcPr>
            <w:tcW w:w="6917" w:type="dxa"/>
            <w:tcBorders>
              <w:top w:val="nil"/>
              <w:left w:val="nil"/>
              <w:bottom w:val="nil"/>
            </w:tcBorders>
            <w:noWrap/>
            <w:tcMar>
              <w:left w:w="0" w:type="dxa"/>
              <w:right w:w="0" w:type="dxa"/>
            </w:tcMar>
            <w:vAlign w:val="bottom"/>
          </w:tcPr>
          <w:p w:rsidR="00EA2620" w:rsidRPr="00E465A1" w:rsidRDefault="00EA2620" w:rsidP="00D86A71">
            <w:pPr>
              <w:pStyle w:val="Normalindent1stpara"/>
              <w:spacing w:before="0"/>
              <w:rPr>
                <w:color w:val="262626" w:themeColor="text1" w:themeTint="D9"/>
                <w:lang w:eastAsia="en-AU"/>
              </w:rPr>
            </w:pPr>
          </w:p>
        </w:tc>
        <w:tc>
          <w:tcPr>
            <w:tcW w:w="850" w:type="dxa"/>
            <w:tcBorders>
              <w:top w:val="nil"/>
              <w:bottom w:val="nil"/>
            </w:tcBorders>
            <w:noWrap/>
            <w:tcMar>
              <w:left w:w="0" w:type="dxa"/>
              <w:right w:w="0" w:type="dxa"/>
            </w:tcMar>
            <w:vAlign w:val="bottom"/>
          </w:tcPr>
          <w:p w:rsidR="00EA2620" w:rsidRPr="00E465A1" w:rsidRDefault="00276E72" w:rsidP="00BA3C97">
            <w:pPr>
              <w:pStyle w:val="Normaltabletextcentred"/>
              <w:rPr>
                <w:b/>
                <w:color w:val="262626" w:themeColor="text1" w:themeTint="D9"/>
                <w:lang w:eastAsia="en-AU"/>
              </w:rPr>
            </w:pPr>
            <w:r w:rsidRPr="00E465A1">
              <w:rPr>
                <w:b/>
                <w:color w:val="262626" w:themeColor="text1" w:themeTint="D9"/>
                <w:lang w:eastAsia="en-AU"/>
              </w:rPr>
              <w:t>Note</w:t>
            </w:r>
          </w:p>
        </w:tc>
        <w:tc>
          <w:tcPr>
            <w:tcW w:w="1134" w:type="dxa"/>
            <w:tcBorders>
              <w:top w:val="nil"/>
              <w:bottom w:val="nil"/>
            </w:tcBorders>
            <w:shd w:val="clear" w:color="auto" w:fill="FEE4B0"/>
            <w:noWrap/>
            <w:tcMar>
              <w:left w:w="0" w:type="dxa"/>
              <w:right w:w="113" w:type="dxa"/>
            </w:tcMar>
            <w:vAlign w:val="bottom"/>
          </w:tcPr>
          <w:p w:rsidR="00EA2620" w:rsidRPr="00E465A1" w:rsidRDefault="003D302E" w:rsidP="00B42CC9">
            <w:pPr>
              <w:pStyle w:val="Normaltabletext1stpararight"/>
              <w:rPr>
                <w:b/>
                <w:color w:val="262626" w:themeColor="text1" w:themeTint="D9"/>
                <w:lang w:eastAsia="en-AU"/>
              </w:rPr>
            </w:pPr>
            <w:r w:rsidRPr="00E465A1">
              <w:rPr>
                <w:b/>
                <w:color w:val="262626" w:themeColor="text1" w:themeTint="D9"/>
                <w:lang w:eastAsia="en-AU"/>
              </w:rPr>
              <w:t>201</w:t>
            </w:r>
            <w:r w:rsidR="00341327" w:rsidRPr="00E465A1">
              <w:rPr>
                <w:b/>
                <w:color w:val="262626" w:themeColor="text1" w:themeTint="D9"/>
                <w:lang w:eastAsia="en-AU"/>
              </w:rPr>
              <w:t>8</w:t>
            </w:r>
          </w:p>
        </w:tc>
        <w:tc>
          <w:tcPr>
            <w:tcW w:w="170" w:type="dxa"/>
            <w:tcBorders>
              <w:top w:val="nil"/>
              <w:bottom w:val="nil"/>
            </w:tcBorders>
            <w:noWrap/>
            <w:tcMar>
              <w:left w:w="0" w:type="dxa"/>
              <w:right w:w="0" w:type="dxa"/>
            </w:tcMar>
            <w:vAlign w:val="bottom"/>
          </w:tcPr>
          <w:p w:rsidR="00EA2620" w:rsidRPr="00E465A1" w:rsidRDefault="00EA2620" w:rsidP="00BA3C97">
            <w:pPr>
              <w:pStyle w:val="Normaltabletextcentred"/>
              <w:rPr>
                <w:b/>
                <w:color w:val="262626" w:themeColor="text1" w:themeTint="D9"/>
                <w:lang w:eastAsia="en-AU"/>
              </w:rPr>
            </w:pPr>
          </w:p>
        </w:tc>
        <w:tc>
          <w:tcPr>
            <w:tcW w:w="1134" w:type="dxa"/>
            <w:tcBorders>
              <w:top w:val="nil"/>
              <w:bottom w:val="nil"/>
              <w:right w:val="nil"/>
            </w:tcBorders>
            <w:noWrap/>
            <w:tcMar>
              <w:left w:w="0" w:type="dxa"/>
              <w:right w:w="113" w:type="dxa"/>
            </w:tcMar>
            <w:vAlign w:val="bottom"/>
          </w:tcPr>
          <w:p w:rsidR="00EA2620" w:rsidRPr="00E465A1" w:rsidRDefault="003D302E" w:rsidP="00B42CC9">
            <w:pPr>
              <w:pStyle w:val="Normaltabletext1stpararight"/>
              <w:rPr>
                <w:b/>
                <w:color w:val="262626" w:themeColor="text1" w:themeTint="D9"/>
                <w:lang w:eastAsia="en-AU"/>
              </w:rPr>
            </w:pPr>
            <w:r w:rsidRPr="00E465A1">
              <w:rPr>
                <w:b/>
                <w:color w:val="262626" w:themeColor="text1" w:themeTint="D9"/>
                <w:lang w:eastAsia="en-AU"/>
              </w:rPr>
              <w:t>201</w:t>
            </w:r>
            <w:r w:rsidR="00341327" w:rsidRPr="00E465A1">
              <w:rPr>
                <w:b/>
                <w:color w:val="262626" w:themeColor="text1" w:themeTint="D9"/>
                <w:lang w:eastAsia="en-AU"/>
              </w:rPr>
              <w:t>7</w:t>
            </w: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EA2620" w:rsidRPr="00E465A1" w:rsidRDefault="00EA2620" w:rsidP="00D86A71">
            <w:pPr>
              <w:pStyle w:val="Normalindent1stpara"/>
              <w:spacing w:before="0"/>
              <w:rPr>
                <w:b/>
                <w:color w:val="262626" w:themeColor="text1" w:themeTint="D9"/>
                <w:lang w:eastAsia="en-AU"/>
              </w:rPr>
            </w:pPr>
          </w:p>
        </w:tc>
        <w:tc>
          <w:tcPr>
            <w:tcW w:w="850" w:type="dxa"/>
            <w:tcBorders>
              <w:top w:val="nil"/>
              <w:bottom w:val="nil"/>
            </w:tcBorders>
            <w:noWrap/>
            <w:tcMar>
              <w:left w:w="0" w:type="dxa"/>
              <w:right w:w="0" w:type="dxa"/>
            </w:tcMar>
            <w:vAlign w:val="bottom"/>
          </w:tcPr>
          <w:p w:rsidR="00EA2620" w:rsidRPr="00E465A1" w:rsidRDefault="00EA2620" w:rsidP="00BA3C97">
            <w:pPr>
              <w:pStyle w:val="Normaltabletextcentred"/>
              <w:rPr>
                <w:b/>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EA2620" w:rsidRPr="00E465A1" w:rsidRDefault="00276E72" w:rsidP="00BA3C97">
            <w:pPr>
              <w:pStyle w:val="Normaltabletext1stpararight"/>
              <w:rPr>
                <w:b/>
                <w:color w:val="262626" w:themeColor="text1" w:themeTint="D9"/>
                <w:lang w:eastAsia="en-AU"/>
              </w:rPr>
            </w:pPr>
            <w:r w:rsidRPr="00E465A1">
              <w:rPr>
                <w:b/>
                <w:color w:val="262626" w:themeColor="text1" w:themeTint="D9"/>
                <w:lang w:eastAsia="en-AU"/>
              </w:rPr>
              <w:t>$’000</w:t>
            </w:r>
          </w:p>
        </w:tc>
        <w:tc>
          <w:tcPr>
            <w:tcW w:w="170" w:type="dxa"/>
            <w:tcBorders>
              <w:top w:val="nil"/>
              <w:bottom w:val="nil"/>
            </w:tcBorders>
            <w:noWrap/>
            <w:tcMar>
              <w:left w:w="0" w:type="dxa"/>
              <w:right w:w="0" w:type="dxa"/>
            </w:tcMar>
            <w:vAlign w:val="bottom"/>
          </w:tcPr>
          <w:p w:rsidR="00EA2620" w:rsidRPr="00E465A1" w:rsidRDefault="00EA2620" w:rsidP="00BA3C97">
            <w:pPr>
              <w:pStyle w:val="Normaltabletextcentred"/>
              <w:rPr>
                <w:b/>
                <w:color w:val="262626" w:themeColor="text1" w:themeTint="D9"/>
                <w:lang w:eastAsia="en-AU"/>
              </w:rPr>
            </w:pPr>
          </w:p>
        </w:tc>
        <w:tc>
          <w:tcPr>
            <w:tcW w:w="1134" w:type="dxa"/>
            <w:tcBorders>
              <w:top w:val="nil"/>
              <w:bottom w:val="nil"/>
              <w:right w:val="nil"/>
            </w:tcBorders>
            <w:noWrap/>
            <w:tcMar>
              <w:left w:w="0" w:type="dxa"/>
              <w:right w:w="113" w:type="dxa"/>
            </w:tcMar>
            <w:vAlign w:val="bottom"/>
          </w:tcPr>
          <w:p w:rsidR="00EA2620" w:rsidRPr="00E465A1" w:rsidRDefault="00276E72" w:rsidP="00BA3C97">
            <w:pPr>
              <w:pStyle w:val="Normaltabletext1stpararight"/>
              <w:rPr>
                <w:b/>
                <w:color w:val="262626" w:themeColor="text1" w:themeTint="D9"/>
                <w:lang w:eastAsia="en-AU"/>
              </w:rPr>
            </w:pPr>
            <w:r w:rsidRPr="00E465A1">
              <w:rPr>
                <w:b/>
                <w:color w:val="262626" w:themeColor="text1" w:themeTint="D9"/>
                <w:lang w:eastAsia="en-AU"/>
              </w:rPr>
              <w:t>$’000</w:t>
            </w: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EA2620" w:rsidRPr="00E465A1" w:rsidRDefault="00EA2620" w:rsidP="00D86A71">
            <w:pPr>
              <w:pStyle w:val="Normalindent1stpara"/>
              <w:spacing w:before="0"/>
              <w:rPr>
                <w:color w:val="262626" w:themeColor="text1" w:themeTint="D9"/>
                <w:lang w:eastAsia="en-AU"/>
              </w:rPr>
            </w:pPr>
          </w:p>
        </w:tc>
        <w:tc>
          <w:tcPr>
            <w:tcW w:w="850" w:type="dxa"/>
            <w:tcBorders>
              <w:top w:val="nil"/>
              <w:bottom w:val="nil"/>
            </w:tcBorders>
            <w:noWrap/>
            <w:tcMar>
              <w:left w:w="0" w:type="dxa"/>
              <w:right w:w="0" w:type="dxa"/>
            </w:tcMar>
            <w:vAlign w:val="bottom"/>
          </w:tcPr>
          <w:p w:rsidR="00EA2620" w:rsidRPr="00E465A1" w:rsidRDefault="00EA2620" w:rsidP="00BA3C97">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0" w:type="dxa"/>
            </w:tcMar>
            <w:vAlign w:val="bottom"/>
          </w:tcPr>
          <w:p w:rsidR="00EA2620" w:rsidRPr="00E465A1" w:rsidRDefault="00EA2620" w:rsidP="00BA3C97">
            <w:pPr>
              <w:pStyle w:val="Normaltabletext1stpararight"/>
              <w:rPr>
                <w:color w:val="262626" w:themeColor="text1" w:themeTint="D9"/>
                <w:lang w:eastAsia="en-AU"/>
              </w:rPr>
            </w:pPr>
          </w:p>
        </w:tc>
        <w:tc>
          <w:tcPr>
            <w:tcW w:w="170" w:type="dxa"/>
            <w:tcBorders>
              <w:top w:val="nil"/>
              <w:bottom w:val="nil"/>
            </w:tcBorders>
            <w:noWrap/>
            <w:tcMar>
              <w:left w:w="0" w:type="dxa"/>
              <w:right w:w="0" w:type="dxa"/>
            </w:tcMar>
            <w:vAlign w:val="bottom"/>
          </w:tcPr>
          <w:p w:rsidR="00EA2620" w:rsidRPr="00E465A1" w:rsidRDefault="00EA2620" w:rsidP="00BA3C97">
            <w:pPr>
              <w:pStyle w:val="Normaltabletextcentred"/>
              <w:rPr>
                <w:color w:val="262626" w:themeColor="text1" w:themeTint="D9"/>
                <w:lang w:eastAsia="en-AU"/>
              </w:rPr>
            </w:pPr>
          </w:p>
        </w:tc>
        <w:tc>
          <w:tcPr>
            <w:tcW w:w="1134" w:type="dxa"/>
            <w:tcBorders>
              <w:top w:val="nil"/>
              <w:bottom w:val="nil"/>
              <w:right w:val="nil"/>
            </w:tcBorders>
            <w:noWrap/>
            <w:tcMar>
              <w:left w:w="0" w:type="dxa"/>
              <w:right w:w="0" w:type="dxa"/>
            </w:tcMar>
          </w:tcPr>
          <w:p w:rsidR="00EA2620" w:rsidRPr="00E465A1" w:rsidRDefault="00EA2620" w:rsidP="00BA3C97">
            <w:pPr>
              <w:pStyle w:val="Normaltabletext1stpararight"/>
              <w:rPr>
                <w:color w:val="262626" w:themeColor="text1" w:themeTint="D9"/>
                <w:lang w:eastAsia="en-AU"/>
              </w:rPr>
            </w:pP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EA2620" w:rsidRPr="00E465A1" w:rsidRDefault="00276E72" w:rsidP="00D86A71">
            <w:pPr>
              <w:pStyle w:val="Normalindent1stpara"/>
              <w:spacing w:before="0"/>
              <w:rPr>
                <w:b/>
                <w:color w:val="262626" w:themeColor="text1" w:themeTint="D9"/>
                <w:lang w:eastAsia="en-AU"/>
              </w:rPr>
            </w:pPr>
            <w:r w:rsidRPr="00E465A1">
              <w:rPr>
                <w:b/>
                <w:color w:val="262626" w:themeColor="text1" w:themeTint="D9"/>
                <w:lang w:eastAsia="en-AU"/>
              </w:rPr>
              <w:t>Financial assets</w:t>
            </w:r>
          </w:p>
        </w:tc>
        <w:tc>
          <w:tcPr>
            <w:tcW w:w="850" w:type="dxa"/>
            <w:tcBorders>
              <w:top w:val="nil"/>
              <w:bottom w:val="nil"/>
            </w:tcBorders>
            <w:noWrap/>
            <w:tcMar>
              <w:left w:w="0" w:type="dxa"/>
              <w:right w:w="0" w:type="dxa"/>
            </w:tcMar>
            <w:vAlign w:val="bottom"/>
          </w:tcPr>
          <w:p w:rsidR="00EA2620" w:rsidRPr="00E465A1" w:rsidRDefault="00EA2620" w:rsidP="00BA3C97">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0" w:type="dxa"/>
            </w:tcMar>
            <w:vAlign w:val="bottom"/>
          </w:tcPr>
          <w:p w:rsidR="00EA2620" w:rsidRPr="00E465A1" w:rsidRDefault="00EA2620" w:rsidP="00BA3C97">
            <w:pPr>
              <w:pStyle w:val="Normaltabletext1stpararight"/>
              <w:rPr>
                <w:color w:val="262626" w:themeColor="text1" w:themeTint="D9"/>
                <w:lang w:eastAsia="en-AU"/>
              </w:rPr>
            </w:pPr>
          </w:p>
        </w:tc>
        <w:tc>
          <w:tcPr>
            <w:tcW w:w="170" w:type="dxa"/>
            <w:tcBorders>
              <w:top w:val="nil"/>
              <w:bottom w:val="nil"/>
            </w:tcBorders>
            <w:noWrap/>
            <w:tcMar>
              <w:left w:w="0" w:type="dxa"/>
              <w:right w:w="0" w:type="dxa"/>
            </w:tcMar>
            <w:vAlign w:val="bottom"/>
          </w:tcPr>
          <w:p w:rsidR="00EA2620" w:rsidRPr="00E465A1" w:rsidRDefault="00EA2620" w:rsidP="00BA3C97">
            <w:pPr>
              <w:pStyle w:val="Normaltabletextcentred"/>
              <w:rPr>
                <w:color w:val="262626" w:themeColor="text1" w:themeTint="D9"/>
                <w:lang w:eastAsia="en-AU"/>
              </w:rPr>
            </w:pPr>
          </w:p>
        </w:tc>
        <w:tc>
          <w:tcPr>
            <w:tcW w:w="1134" w:type="dxa"/>
            <w:tcBorders>
              <w:top w:val="nil"/>
              <w:bottom w:val="nil"/>
              <w:right w:val="nil"/>
            </w:tcBorders>
            <w:noWrap/>
            <w:tcMar>
              <w:left w:w="0" w:type="dxa"/>
              <w:right w:w="0" w:type="dxa"/>
            </w:tcMar>
          </w:tcPr>
          <w:p w:rsidR="00EA2620" w:rsidRPr="00E465A1" w:rsidRDefault="00EA2620" w:rsidP="00BA3C97">
            <w:pPr>
              <w:pStyle w:val="Normaltabletext1stpararight"/>
              <w:rPr>
                <w:color w:val="262626" w:themeColor="text1" w:themeTint="D9"/>
                <w:lang w:eastAsia="en-AU"/>
              </w:rPr>
            </w:pP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341327" w:rsidRPr="00E465A1" w:rsidRDefault="00341327" w:rsidP="00341327">
            <w:pPr>
              <w:pStyle w:val="Normalindent1stpara"/>
              <w:spacing w:before="0"/>
              <w:rPr>
                <w:color w:val="262626" w:themeColor="text1" w:themeTint="D9"/>
                <w:lang w:eastAsia="en-AU"/>
              </w:rPr>
            </w:pPr>
            <w:r w:rsidRPr="00E465A1">
              <w:rPr>
                <w:color w:val="262626" w:themeColor="text1" w:themeTint="D9"/>
                <w:lang w:eastAsia="en-AU"/>
              </w:rPr>
              <w:t>Cash and cash equivalents</w:t>
            </w:r>
          </w:p>
        </w:tc>
        <w:tc>
          <w:tcPr>
            <w:tcW w:w="850" w:type="dxa"/>
            <w:tcBorders>
              <w:top w:val="nil"/>
              <w:bottom w:val="nil"/>
            </w:tcBorders>
            <w:noWrap/>
            <w:tcMar>
              <w:left w:w="0" w:type="dxa"/>
              <w:right w:w="0" w:type="dxa"/>
            </w:tcMar>
            <w:vAlign w:val="bottom"/>
          </w:tcPr>
          <w:p w:rsidR="00341327" w:rsidRPr="00E465A1" w:rsidRDefault="00ED633A" w:rsidP="00341327">
            <w:pPr>
              <w:pStyle w:val="Normaltabletextcentred"/>
              <w:rPr>
                <w:color w:val="262626" w:themeColor="text1" w:themeTint="D9"/>
                <w:lang w:eastAsia="en-AU"/>
              </w:rPr>
            </w:pPr>
            <w:r w:rsidRPr="00E465A1">
              <w:rPr>
                <w:color w:val="262626" w:themeColor="text1" w:themeTint="D9"/>
                <w:lang w:eastAsia="en-AU"/>
              </w:rPr>
              <w:t>8</w:t>
            </w:r>
          </w:p>
        </w:tc>
        <w:tc>
          <w:tcPr>
            <w:tcW w:w="1134" w:type="dxa"/>
            <w:tcBorders>
              <w:top w:val="nil"/>
              <w:bottom w:val="nil"/>
            </w:tcBorders>
            <w:shd w:val="clear" w:color="auto" w:fill="FEE4B0"/>
            <w:noWrap/>
            <w:tcMar>
              <w:left w:w="0" w:type="dxa"/>
              <w:right w:w="113" w:type="dxa"/>
            </w:tcMar>
            <w:vAlign w:val="bottom"/>
          </w:tcPr>
          <w:p w:rsidR="00341327" w:rsidRPr="00E465A1" w:rsidRDefault="00C85F52" w:rsidP="00341327">
            <w:pPr>
              <w:pStyle w:val="Normaltabletext1stpararight"/>
              <w:rPr>
                <w:color w:val="262626" w:themeColor="text1" w:themeTint="D9"/>
                <w:lang w:eastAsia="en-AU"/>
              </w:rPr>
            </w:pPr>
            <w:r w:rsidRPr="00E465A1">
              <w:rPr>
                <w:color w:val="262626" w:themeColor="text1" w:themeTint="D9"/>
                <w:lang w:eastAsia="en-AU"/>
              </w:rPr>
              <w:t>16,718</w:t>
            </w:r>
          </w:p>
        </w:tc>
        <w:tc>
          <w:tcPr>
            <w:tcW w:w="170" w:type="dxa"/>
            <w:tcBorders>
              <w:top w:val="nil"/>
              <w:bottom w:val="nil"/>
            </w:tcBorders>
            <w:noWrap/>
            <w:tcMar>
              <w:left w:w="0" w:type="dxa"/>
              <w:right w:w="0" w:type="dxa"/>
            </w:tcMar>
            <w:vAlign w:val="bottom"/>
          </w:tcPr>
          <w:p w:rsidR="00341327" w:rsidRPr="00E465A1" w:rsidRDefault="00341327" w:rsidP="00341327">
            <w:pPr>
              <w:pStyle w:val="Normaltabletextcentred"/>
              <w:rPr>
                <w:color w:val="262626" w:themeColor="text1" w:themeTint="D9"/>
                <w:lang w:eastAsia="en-AU"/>
              </w:rPr>
            </w:pPr>
          </w:p>
        </w:tc>
        <w:tc>
          <w:tcPr>
            <w:tcW w:w="1134" w:type="dxa"/>
            <w:tcBorders>
              <w:top w:val="nil"/>
              <w:bottom w:val="nil"/>
              <w:right w:val="nil"/>
            </w:tcBorders>
            <w:noWrap/>
            <w:tcMar>
              <w:left w:w="0" w:type="dxa"/>
              <w:right w:w="113" w:type="dxa"/>
            </w:tcMar>
            <w:vAlign w:val="bottom"/>
          </w:tcPr>
          <w:p w:rsidR="00341327" w:rsidRPr="00E465A1" w:rsidRDefault="00341327" w:rsidP="00341327">
            <w:pPr>
              <w:pStyle w:val="Normaltabletext1stpararight"/>
              <w:rPr>
                <w:color w:val="262626" w:themeColor="text1" w:themeTint="D9"/>
                <w:lang w:eastAsia="en-AU"/>
              </w:rPr>
            </w:pPr>
            <w:r w:rsidRPr="00E465A1">
              <w:rPr>
                <w:color w:val="262626" w:themeColor="text1" w:themeTint="D9"/>
                <w:lang w:eastAsia="en-AU"/>
              </w:rPr>
              <w:t>14,953</w:t>
            </w: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341327" w:rsidRPr="00E465A1" w:rsidRDefault="00341327" w:rsidP="00341327">
            <w:pPr>
              <w:pStyle w:val="Normalindent1stpara"/>
              <w:spacing w:before="0"/>
              <w:rPr>
                <w:color w:val="262626" w:themeColor="text1" w:themeTint="D9"/>
                <w:lang w:eastAsia="en-AU"/>
              </w:rPr>
            </w:pPr>
            <w:r w:rsidRPr="00E465A1">
              <w:rPr>
                <w:color w:val="262626" w:themeColor="text1" w:themeTint="D9"/>
                <w:lang w:eastAsia="en-AU"/>
              </w:rPr>
              <w:t>Contractual receivables</w:t>
            </w:r>
          </w:p>
        </w:tc>
        <w:tc>
          <w:tcPr>
            <w:tcW w:w="850" w:type="dxa"/>
            <w:tcBorders>
              <w:top w:val="nil"/>
              <w:bottom w:val="nil"/>
            </w:tcBorders>
            <w:noWrap/>
            <w:tcMar>
              <w:left w:w="0" w:type="dxa"/>
              <w:right w:w="0" w:type="dxa"/>
            </w:tcMar>
            <w:vAlign w:val="bottom"/>
          </w:tcPr>
          <w:p w:rsidR="00341327" w:rsidRPr="00E465A1" w:rsidRDefault="00341327" w:rsidP="00341327">
            <w:pPr>
              <w:pStyle w:val="Normaltabletextcentred"/>
              <w:rPr>
                <w:color w:val="262626" w:themeColor="text1" w:themeTint="D9"/>
                <w:lang w:eastAsia="en-AU"/>
              </w:rPr>
            </w:pPr>
          </w:p>
        </w:tc>
        <w:tc>
          <w:tcPr>
            <w:tcW w:w="1134" w:type="dxa"/>
            <w:tcBorders>
              <w:top w:val="nil"/>
              <w:bottom w:val="single" w:sz="4" w:space="0" w:color="auto"/>
            </w:tcBorders>
            <w:shd w:val="clear" w:color="auto" w:fill="FEE4B0"/>
            <w:noWrap/>
            <w:tcMar>
              <w:left w:w="0" w:type="dxa"/>
              <w:right w:w="113" w:type="dxa"/>
            </w:tcMar>
            <w:vAlign w:val="bottom"/>
          </w:tcPr>
          <w:p w:rsidR="00341327" w:rsidRPr="00E465A1" w:rsidRDefault="00C85F52" w:rsidP="00341327">
            <w:pPr>
              <w:pStyle w:val="Normaltabletext1stpararight"/>
              <w:rPr>
                <w:color w:val="262626" w:themeColor="text1" w:themeTint="D9"/>
                <w:lang w:eastAsia="en-AU"/>
              </w:rPr>
            </w:pPr>
            <w:r w:rsidRPr="00E465A1">
              <w:rPr>
                <w:color w:val="262626" w:themeColor="text1" w:themeTint="D9"/>
                <w:lang w:eastAsia="en-AU"/>
              </w:rPr>
              <w:t>330</w:t>
            </w:r>
          </w:p>
        </w:tc>
        <w:tc>
          <w:tcPr>
            <w:tcW w:w="170" w:type="dxa"/>
            <w:tcBorders>
              <w:top w:val="nil"/>
              <w:bottom w:val="nil"/>
            </w:tcBorders>
            <w:noWrap/>
            <w:tcMar>
              <w:left w:w="0" w:type="dxa"/>
              <w:right w:w="0" w:type="dxa"/>
            </w:tcMar>
            <w:vAlign w:val="bottom"/>
          </w:tcPr>
          <w:p w:rsidR="00341327" w:rsidRPr="00E465A1" w:rsidRDefault="00341327" w:rsidP="00341327">
            <w:pPr>
              <w:pStyle w:val="Normaltabletextcentred"/>
              <w:rPr>
                <w:color w:val="262626" w:themeColor="text1" w:themeTint="D9"/>
                <w:lang w:eastAsia="en-AU"/>
              </w:rPr>
            </w:pPr>
          </w:p>
        </w:tc>
        <w:tc>
          <w:tcPr>
            <w:tcW w:w="1134" w:type="dxa"/>
            <w:tcBorders>
              <w:top w:val="nil"/>
              <w:bottom w:val="single" w:sz="4" w:space="0" w:color="auto"/>
              <w:right w:val="nil"/>
            </w:tcBorders>
            <w:noWrap/>
            <w:tcMar>
              <w:left w:w="0" w:type="dxa"/>
              <w:right w:w="113" w:type="dxa"/>
            </w:tcMar>
            <w:vAlign w:val="bottom"/>
          </w:tcPr>
          <w:p w:rsidR="00341327" w:rsidRPr="00E465A1" w:rsidRDefault="00341327" w:rsidP="00341327">
            <w:pPr>
              <w:pStyle w:val="Normaltabletext1stpararight"/>
              <w:rPr>
                <w:color w:val="262626" w:themeColor="text1" w:themeTint="D9"/>
                <w:lang w:eastAsia="en-AU"/>
              </w:rPr>
            </w:pPr>
            <w:r w:rsidRPr="00E465A1">
              <w:rPr>
                <w:color w:val="262626" w:themeColor="text1" w:themeTint="D9"/>
                <w:lang w:eastAsia="en-AU"/>
              </w:rPr>
              <w:t>220</w:t>
            </w: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341327" w:rsidRPr="00E465A1" w:rsidRDefault="00341327" w:rsidP="00341327">
            <w:pPr>
              <w:pStyle w:val="Normalindent1stpara"/>
              <w:spacing w:before="0"/>
              <w:rPr>
                <w:b/>
                <w:color w:val="262626" w:themeColor="text1" w:themeTint="D9"/>
                <w:lang w:eastAsia="en-AU"/>
              </w:rPr>
            </w:pPr>
            <w:r w:rsidRPr="00E465A1">
              <w:rPr>
                <w:b/>
                <w:color w:val="262626" w:themeColor="text1" w:themeTint="D9"/>
                <w:lang w:eastAsia="en-AU"/>
              </w:rPr>
              <w:t>Total</w:t>
            </w:r>
          </w:p>
        </w:tc>
        <w:tc>
          <w:tcPr>
            <w:tcW w:w="850" w:type="dxa"/>
            <w:tcBorders>
              <w:top w:val="nil"/>
              <w:bottom w:val="nil"/>
            </w:tcBorders>
            <w:noWrap/>
            <w:tcMar>
              <w:left w:w="0" w:type="dxa"/>
              <w:right w:w="0" w:type="dxa"/>
            </w:tcMar>
            <w:vAlign w:val="bottom"/>
          </w:tcPr>
          <w:p w:rsidR="00341327" w:rsidRPr="00E465A1" w:rsidRDefault="00341327" w:rsidP="00341327">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341327" w:rsidRPr="00E465A1" w:rsidRDefault="00C85F52" w:rsidP="00341327">
            <w:pPr>
              <w:pStyle w:val="Normaltabletext1stpararight"/>
              <w:rPr>
                <w:b/>
                <w:color w:val="262626" w:themeColor="text1" w:themeTint="D9"/>
                <w:lang w:eastAsia="en-AU"/>
              </w:rPr>
            </w:pPr>
            <w:r w:rsidRPr="00E465A1">
              <w:rPr>
                <w:b/>
                <w:color w:val="262626" w:themeColor="text1" w:themeTint="D9"/>
                <w:lang w:eastAsia="en-AU"/>
              </w:rPr>
              <w:t>17,048</w:t>
            </w:r>
          </w:p>
        </w:tc>
        <w:tc>
          <w:tcPr>
            <w:tcW w:w="170" w:type="dxa"/>
            <w:tcBorders>
              <w:top w:val="nil"/>
              <w:bottom w:val="nil"/>
            </w:tcBorders>
            <w:noWrap/>
            <w:tcMar>
              <w:left w:w="0" w:type="dxa"/>
              <w:right w:w="0" w:type="dxa"/>
            </w:tcMar>
            <w:vAlign w:val="bottom"/>
          </w:tcPr>
          <w:p w:rsidR="00341327" w:rsidRPr="00E465A1" w:rsidRDefault="00341327" w:rsidP="00341327">
            <w:pPr>
              <w:pStyle w:val="Normaltabletextcentred"/>
              <w:rPr>
                <w:b/>
                <w:color w:val="262626" w:themeColor="text1" w:themeTint="D9"/>
                <w:lang w:eastAsia="en-AU"/>
              </w:rPr>
            </w:pPr>
          </w:p>
        </w:tc>
        <w:tc>
          <w:tcPr>
            <w:tcW w:w="1134" w:type="dxa"/>
            <w:tcBorders>
              <w:top w:val="single" w:sz="4" w:space="0" w:color="auto"/>
              <w:bottom w:val="double" w:sz="4" w:space="0" w:color="auto"/>
              <w:right w:val="nil"/>
            </w:tcBorders>
            <w:noWrap/>
            <w:tcMar>
              <w:left w:w="0" w:type="dxa"/>
              <w:right w:w="113" w:type="dxa"/>
            </w:tcMar>
            <w:vAlign w:val="bottom"/>
          </w:tcPr>
          <w:p w:rsidR="00341327" w:rsidRPr="00E465A1" w:rsidRDefault="00341327" w:rsidP="00341327">
            <w:pPr>
              <w:pStyle w:val="Normaltabletext1stpararight"/>
              <w:rPr>
                <w:b/>
                <w:color w:val="262626" w:themeColor="text1" w:themeTint="D9"/>
                <w:lang w:eastAsia="en-AU"/>
              </w:rPr>
            </w:pPr>
            <w:r w:rsidRPr="00E465A1">
              <w:rPr>
                <w:b/>
                <w:color w:val="262626" w:themeColor="text1" w:themeTint="D9"/>
                <w:lang w:eastAsia="en-AU"/>
              </w:rPr>
              <w:t>15,173</w:t>
            </w: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341327" w:rsidRPr="00E465A1" w:rsidRDefault="00341327" w:rsidP="00341327">
            <w:pPr>
              <w:pStyle w:val="Normalindent1stpara"/>
              <w:spacing w:before="0"/>
              <w:rPr>
                <w:b/>
                <w:color w:val="262626" w:themeColor="text1" w:themeTint="D9"/>
                <w:lang w:eastAsia="en-AU"/>
              </w:rPr>
            </w:pPr>
            <w:r w:rsidRPr="00E465A1">
              <w:rPr>
                <w:b/>
                <w:color w:val="262626" w:themeColor="text1" w:themeTint="D9"/>
                <w:lang w:eastAsia="en-AU"/>
              </w:rPr>
              <w:t>Financial liabilities</w:t>
            </w:r>
          </w:p>
        </w:tc>
        <w:tc>
          <w:tcPr>
            <w:tcW w:w="850" w:type="dxa"/>
            <w:tcBorders>
              <w:top w:val="nil"/>
              <w:bottom w:val="nil"/>
            </w:tcBorders>
            <w:noWrap/>
            <w:tcMar>
              <w:left w:w="0" w:type="dxa"/>
              <w:right w:w="0" w:type="dxa"/>
            </w:tcMar>
            <w:vAlign w:val="bottom"/>
          </w:tcPr>
          <w:p w:rsidR="00341327" w:rsidRPr="00E465A1" w:rsidRDefault="00341327" w:rsidP="00341327">
            <w:pPr>
              <w:pStyle w:val="Normaltabletextcentred"/>
              <w:rPr>
                <w:color w:val="262626" w:themeColor="text1" w:themeTint="D9"/>
                <w:lang w:eastAsia="en-AU"/>
              </w:rPr>
            </w:pPr>
          </w:p>
        </w:tc>
        <w:tc>
          <w:tcPr>
            <w:tcW w:w="1134" w:type="dxa"/>
            <w:tcBorders>
              <w:top w:val="nil"/>
              <w:bottom w:val="nil"/>
            </w:tcBorders>
            <w:shd w:val="clear" w:color="auto" w:fill="FEE4B0"/>
            <w:noWrap/>
            <w:tcMar>
              <w:left w:w="0" w:type="dxa"/>
              <w:right w:w="113" w:type="dxa"/>
            </w:tcMar>
            <w:vAlign w:val="bottom"/>
          </w:tcPr>
          <w:p w:rsidR="00341327" w:rsidRPr="00E465A1" w:rsidRDefault="00341327" w:rsidP="00341327">
            <w:pPr>
              <w:pStyle w:val="Normaltabletext1stpararight"/>
              <w:rPr>
                <w:color w:val="262626" w:themeColor="text1" w:themeTint="D9"/>
                <w:lang w:eastAsia="en-AU"/>
              </w:rPr>
            </w:pPr>
          </w:p>
        </w:tc>
        <w:tc>
          <w:tcPr>
            <w:tcW w:w="170" w:type="dxa"/>
            <w:tcBorders>
              <w:top w:val="nil"/>
              <w:bottom w:val="nil"/>
            </w:tcBorders>
            <w:noWrap/>
            <w:tcMar>
              <w:left w:w="0" w:type="dxa"/>
              <w:right w:w="0" w:type="dxa"/>
            </w:tcMar>
            <w:vAlign w:val="bottom"/>
          </w:tcPr>
          <w:p w:rsidR="00341327" w:rsidRPr="00E465A1" w:rsidRDefault="00341327" w:rsidP="00341327">
            <w:pPr>
              <w:pStyle w:val="Normaltabletextcentred"/>
              <w:rPr>
                <w:color w:val="262626" w:themeColor="text1" w:themeTint="D9"/>
                <w:lang w:eastAsia="en-AU"/>
              </w:rPr>
            </w:pPr>
          </w:p>
        </w:tc>
        <w:tc>
          <w:tcPr>
            <w:tcW w:w="1134" w:type="dxa"/>
            <w:tcBorders>
              <w:top w:val="nil"/>
              <w:bottom w:val="nil"/>
              <w:right w:val="nil"/>
            </w:tcBorders>
            <w:noWrap/>
            <w:tcMar>
              <w:left w:w="0" w:type="dxa"/>
              <w:right w:w="113" w:type="dxa"/>
            </w:tcMar>
            <w:vAlign w:val="bottom"/>
          </w:tcPr>
          <w:p w:rsidR="00341327" w:rsidRPr="00E465A1" w:rsidRDefault="00341327" w:rsidP="00341327">
            <w:pPr>
              <w:pStyle w:val="Normaltabletext1stpararight"/>
              <w:rPr>
                <w:color w:val="262626" w:themeColor="text1" w:themeTint="D9"/>
                <w:lang w:eastAsia="en-AU"/>
              </w:rPr>
            </w:pP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341327" w:rsidRPr="00E465A1" w:rsidRDefault="00341327" w:rsidP="00341327">
            <w:pPr>
              <w:pStyle w:val="Normalindent1stpara"/>
              <w:spacing w:before="0"/>
              <w:rPr>
                <w:color w:val="262626" w:themeColor="text1" w:themeTint="D9"/>
                <w:lang w:eastAsia="en-AU"/>
              </w:rPr>
            </w:pPr>
            <w:r w:rsidRPr="00E465A1">
              <w:rPr>
                <w:color w:val="262626" w:themeColor="text1" w:themeTint="D9"/>
                <w:lang w:eastAsia="en-AU"/>
              </w:rPr>
              <w:t>Contractual payables</w:t>
            </w:r>
          </w:p>
        </w:tc>
        <w:tc>
          <w:tcPr>
            <w:tcW w:w="850" w:type="dxa"/>
            <w:tcBorders>
              <w:top w:val="nil"/>
              <w:bottom w:val="nil"/>
            </w:tcBorders>
            <w:noWrap/>
            <w:tcMar>
              <w:left w:w="0" w:type="dxa"/>
              <w:right w:w="0" w:type="dxa"/>
            </w:tcMar>
            <w:vAlign w:val="bottom"/>
          </w:tcPr>
          <w:p w:rsidR="00341327" w:rsidRPr="00E465A1" w:rsidRDefault="00341327" w:rsidP="00AE7ADA">
            <w:pPr>
              <w:pStyle w:val="Normaltabletextcentred"/>
              <w:rPr>
                <w:color w:val="262626" w:themeColor="text1" w:themeTint="D9"/>
                <w:lang w:eastAsia="en-AU"/>
              </w:rPr>
            </w:pPr>
            <w:r w:rsidRPr="00E465A1">
              <w:rPr>
                <w:color w:val="262626" w:themeColor="text1" w:themeTint="D9"/>
                <w:lang w:eastAsia="en-AU"/>
              </w:rPr>
              <w:t>1</w:t>
            </w:r>
            <w:r w:rsidR="00ED633A" w:rsidRPr="00E465A1">
              <w:rPr>
                <w:color w:val="262626" w:themeColor="text1" w:themeTint="D9"/>
                <w:lang w:eastAsia="en-AU"/>
              </w:rPr>
              <w:t>1</w:t>
            </w:r>
          </w:p>
        </w:tc>
        <w:tc>
          <w:tcPr>
            <w:tcW w:w="1134" w:type="dxa"/>
            <w:tcBorders>
              <w:top w:val="nil"/>
              <w:bottom w:val="nil"/>
            </w:tcBorders>
            <w:shd w:val="clear" w:color="auto" w:fill="FEE4B0"/>
            <w:noWrap/>
            <w:tcMar>
              <w:left w:w="0" w:type="dxa"/>
              <w:right w:w="113" w:type="dxa"/>
            </w:tcMar>
            <w:vAlign w:val="bottom"/>
          </w:tcPr>
          <w:p w:rsidR="00341327" w:rsidRPr="00E465A1" w:rsidRDefault="00ED633A" w:rsidP="0042425F">
            <w:pPr>
              <w:pStyle w:val="Normaltabletext1stpararight"/>
              <w:rPr>
                <w:color w:val="262626" w:themeColor="text1" w:themeTint="D9"/>
                <w:lang w:eastAsia="en-AU"/>
              </w:rPr>
            </w:pPr>
            <w:r w:rsidRPr="00E465A1">
              <w:rPr>
                <w:color w:val="262626" w:themeColor="text1" w:themeTint="D9"/>
                <w:lang w:eastAsia="en-AU"/>
              </w:rPr>
              <w:t>4</w:t>
            </w:r>
            <w:r w:rsidR="009A5B4D" w:rsidRPr="00E465A1">
              <w:rPr>
                <w:color w:val="262626" w:themeColor="text1" w:themeTint="D9"/>
                <w:lang w:eastAsia="en-AU"/>
              </w:rPr>
              <w:t>,</w:t>
            </w:r>
            <w:r w:rsidR="0042425F" w:rsidRPr="00E465A1">
              <w:rPr>
                <w:color w:val="262626" w:themeColor="text1" w:themeTint="D9"/>
                <w:lang w:eastAsia="en-AU"/>
              </w:rPr>
              <w:t>629</w:t>
            </w:r>
          </w:p>
        </w:tc>
        <w:tc>
          <w:tcPr>
            <w:tcW w:w="170" w:type="dxa"/>
            <w:tcBorders>
              <w:top w:val="nil"/>
              <w:bottom w:val="nil"/>
            </w:tcBorders>
            <w:noWrap/>
            <w:tcMar>
              <w:left w:w="0" w:type="dxa"/>
              <w:right w:w="0" w:type="dxa"/>
            </w:tcMar>
            <w:vAlign w:val="bottom"/>
          </w:tcPr>
          <w:p w:rsidR="00341327" w:rsidRPr="00E465A1" w:rsidRDefault="00341327" w:rsidP="00341327">
            <w:pPr>
              <w:pStyle w:val="Normaltabletextcentred"/>
              <w:rPr>
                <w:color w:val="262626" w:themeColor="text1" w:themeTint="D9"/>
                <w:lang w:eastAsia="en-AU"/>
              </w:rPr>
            </w:pPr>
          </w:p>
        </w:tc>
        <w:tc>
          <w:tcPr>
            <w:tcW w:w="1134" w:type="dxa"/>
            <w:tcBorders>
              <w:top w:val="nil"/>
              <w:bottom w:val="nil"/>
              <w:right w:val="nil"/>
            </w:tcBorders>
            <w:noWrap/>
            <w:tcMar>
              <w:left w:w="0" w:type="dxa"/>
              <w:right w:w="113" w:type="dxa"/>
            </w:tcMar>
            <w:vAlign w:val="bottom"/>
          </w:tcPr>
          <w:p w:rsidR="00341327" w:rsidRPr="00E465A1" w:rsidRDefault="00341327" w:rsidP="00341327">
            <w:pPr>
              <w:pStyle w:val="Normaltabletext1stpararight"/>
              <w:rPr>
                <w:color w:val="262626" w:themeColor="text1" w:themeTint="D9"/>
                <w:lang w:eastAsia="en-AU"/>
              </w:rPr>
            </w:pPr>
            <w:r w:rsidRPr="00E465A1">
              <w:rPr>
                <w:color w:val="262626" w:themeColor="text1" w:themeTint="D9"/>
                <w:lang w:eastAsia="en-AU"/>
              </w:rPr>
              <w:t>2,780</w:t>
            </w: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341327" w:rsidRPr="00E465A1" w:rsidRDefault="00341327" w:rsidP="00341327">
            <w:pPr>
              <w:pStyle w:val="Normalindent1stpara"/>
              <w:spacing w:before="0"/>
              <w:rPr>
                <w:b/>
                <w:color w:val="262626" w:themeColor="text1" w:themeTint="D9"/>
                <w:lang w:eastAsia="en-AU"/>
              </w:rPr>
            </w:pPr>
            <w:r w:rsidRPr="00E465A1">
              <w:rPr>
                <w:b/>
                <w:color w:val="262626" w:themeColor="text1" w:themeTint="D9"/>
                <w:lang w:eastAsia="en-AU"/>
              </w:rPr>
              <w:t>Total</w:t>
            </w:r>
          </w:p>
        </w:tc>
        <w:tc>
          <w:tcPr>
            <w:tcW w:w="850" w:type="dxa"/>
            <w:tcBorders>
              <w:top w:val="nil"/>
              <w:bottom w:val="nil"/>
            </w:tcBorders>
            <w:noWrap/>
            <w:tcMar>
              <w:left w:w="0" w:type="dxa"/>
              <w:right w:w="0" w:type="dxa"/>
            </w:tcMar>
            <w:vAlign w:val="bottom"/>
          </w:tcPr>
          <w:p w:rsidR="00341327" w:rsidRPr="00E465A1" w:rsidRDefault="00341327" w:rsidP="00341327">
            <w:pPr>
              <w:pStyle w:val="Normaltabletextcentred"/>
              <w:rPr>
                <w:b/>
                <w:color w:val="262626" w:themeColor="text1" w:themeTint="D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341327" w:rsidRPr="00E465A1" w:rsidRDefault="00ED633A" w:rsidP="00341327">
            <w:pPr>
              <w:pStyle w:val="Normaltabletext1stpararight"/>
              <w:rPr>
                <w:b/>
                <w:color w:val="262626" w:themeColor="text1" w:themeTint="D9"/>
                <w:lang w:eastAsia="en-AU"/>
              </w:rPr>
            </w:pPr>
            <w:r w:rsidRPr="00E465A1">
              <w:rPr>
                <w:b/>
                <w:color w:val="262626" w:themeColor="text1" w:themeTint="D9"/>
                <w:lang w:eastAsia="en-AU"/>
              </w:rPr>
              <w:t>4</w:t>
            </w:r>
            <w:r w:rsidR="009A5B4D" w:rsidRPr="00E465A1">
              <w:rPr>
                <w:b/>
                <w:color w:val="262626" w:themeColor="text1" w:themeTint="D9"/>
                <w:lang w:eastAsia="en-AU"/>
              </w:rPr>
              <w:t>,</w:t>
            </w:r>
            <w:r w:rsidR="0042425F" w:rsidRPr="00E465A1">
              <w:rPr>
                <w:b/>
                <w:color w:val="262626" w:themeColor="text1" w:themeTint="D9"/>
                <w:lang w:eastAsia="en-AU"/>
              </w:rPr>
              <w:t>629</w:t>
            </w:r>
          </w:p>
        </w:tc>
        <w:tc>
          <w:tcPr>
            <w:tcW w:w="170" w:type="dxa"/>
            <w:tcBorders>
              <w:top w:val="nil"/>
              <w:bottom w:val="nil"/>
            </w:tcBorders>
            <w:noWrap/>
            <w:tcMar>
              <w:left w:w="0" w:type="dxa"/>
              <w:right w:w="0" w:type="dxa"/>
            </w:tcMar>
            <w:vAlign w:val="bottom"/>
          </w:tcPr>
          <w:p w:rsidR="00341327" w:rsidRPr="00E465A1" w:rsidRDefault="00341327" w:rsidP="00341327">
            <w:pPr>
              <w:pStyle w:val="Normaltabletextcentred"/>
              <w:rPr>
                <w:b/>
                <w:color w:val="262626" w:themeColor="text1" w:themeTint="D9"/>
                <w:lang w:eastAsia="en-AU"/>
              </w:rPr>
            </w:pPr>
          </w:p>
        </w:tc>
        <w:tc>
          <w:tcPr>
            <w:tcW w:w="1134" w:type="dxa"/>
            <w:tcBorders>
              <w:top w:val="single" w:sz="4" w:space="0" w:color="auto"/>
              <w:bottom w:val="double" w:sz="4" w:space="0" w:color="auto"/>
              <w:right w:val="nil"/>
            </w:tcBorders>
            <w:noWrap/>
            <w:tcMar>
              <w:left w:w="0" w:type="dxa"/>
              <w:right w:w="113" w:type="dxa"/>
            </w:tcMar>
            <w:vAlign w:val="bottom"/>
          </w:tcPr>
          <w:p w:rsidR="00341327" w:rsidRPr="00E465A1" w:rsidRDefault="00341327" w:rsidP="00341327">
            <w:pPr>
              <w:pStyle w:val="Normaltabletext1stpararight"/>
              <w:rPr>
                <w:b/>
                <w:color w:val="262626" w:themeColor="text1" w:themeTint="D9"/>
                <w:lang w:eastAsia="en-AU"/>
              </w:rPr>
            </w:pPr>
            <w:r w:rsidRPr="00E465A1">
              <w:rPr>
                <w:b/>
                <w:color w:val="262626" w:themeColor="text1" w:themeTint="D9"/>
                <w:lang w:eastAsia="en-AU"/>
              </w:rPr>
              <w:t>2,780</w:t>
            </w:r>
          </w:p>
        </w:tc>
      </w:tr>
    </w:tbl>
    <w:p w:rsidR="00EE624B" w:rsidRPr="00E465A1" w:rsidRDefault="00EE624B" w:rsidP="00126F5D">
      <w:pPr>
        <w:pStyle w:val="Normal1stpara"/>
        <w:rPr>
          <w:color w:val="262626" w:themeColor="text1" w:themeTint="D9"/>
        </w:rPr>
      </w:pPr>
    </w:p>
    <w:p w:rsidR="009C5E1A" w:rsidRPr="00E465A1" w:rsidRDefault="009C5E1A" w:rsidP="00126F5D">
      <w:pPr>
        <w:pStyle w:val="Normal1stpara"/>
        <w:rPr>
          <w:color w:val="262626" w:themeColor="text1" w:themeTint="D9"/>
        </w:rPr>
      </w:pPr>
    </w:p>
    <w:p w:rsidR="0050048D" w:rsidRPr="00E465A1" w:rsidRDefault="00276E72" w:rsidP="00126F5D">
      <w:pPr>
        <w:pStyle w:val="Normalhanginglist105pt"/>
        <w:rPr>
          <w:color w:val="262626" w:themeColor="text1" w:themeTint="D9"/>
        </w:rPr>
      </w:pPr>
      <w:r w:rsidRPr="00E465A1">
        <w:rPr>
          <w:color w:val="262626" w:themeColor="text1" w:themeTint="D9"/>
        </w:rPr>
        <w:t>(b)</w:t>
      </w:r>
      <w:r w:rsidRPr="00E465A1">
        <w:rPr>
          <w:color w:val="262626" w:themeColor="text1" w:themeTint="D9"/>
        </w:rPr>
        <w:tab/>
        <w:t>Financial Risk Management</w:t>
      </w:r>
    </w:p>
    <w:p w:rsidR="00940DB2" w:rsidRPr="00E465A1" w:rsidRDefault="00276E72" w:rsidP="009571E2">
      <w:pPr>
        <w:pStyle w:val="Normalindent1stpara"/>
        <w:rPr>
          <w:color w:val="262626" w:themeColor="text1" w:themeTint="D9"/>
          <w:lang w:eastAsia="en-AU"/>
        </w:rPr>
      </w:pPr>
      <w:r w:rsidRPr="00E465A1">
        <w:rPr>
          <w:color w:val="262626" w:themeColor="text1" w:themeTint="D9"/>
          <w:lang w:eastAsia="en-AU"/>
        </w:rPr>
        <w:t xml:space="preserve">The </w:t>
      </w:r>
      <w:r w:rsidR="00EC2665" w:rsidRPr="00E465A1">
        <w:rPr>
          <w:color w:val="262626" w:themeColor="text1" w:themeTint="D9"/>
          <w:lang w:eastAsia="en-AU"/>
        </w:rPr>
        <w:t>CCC</w:t>
      </w:r>
      <w:r w:rsidRPr="00E465A1">
        <w:rPr>
          <w:color w:val="262626" w:themeColor="text1" w:themeTint="D9"/>
          <w:lang w:eastAsia="en-AU"/>
        </w:rPr>
        <w:t>’s activities expose it to a variety of financial risks</w:t>
      </w:r>
      <w:r w:rsidR="007E382A" w:rsidRPr="00E465A1">
        <w:rPr>
          <w:color w:val="262626" w:themeColor="text1" w:themeTint="D9"/>
          <w:lang w:eastAsia="en-AU"/>
        </w:rPr>
        <w:t xml:space="preserve"> —</w:t>
      </w:r>
      <w:r w:rsidRPr="00E465A1">
        <w:rPr>
          <w:color w:val="262626" w:themeColor="text1" w:themeTint="D9"/>
          <w:lang w:eastAsia="en-AU"/>
        </w:rPr>
        <w:t xml:space="preserve"> interest rate risk, credit risk, liquidity risk and </w:t>
      </w:r>
      <w:r w:rsidR="005421AD" w:rsidRPr="00E465A1">
        <w:rPr>
          <w:color w:val="262626" w:themeColor="text1" w:themeTint="D9"/>
          <w:lang w:eastAsia="en-AU"/>
        </w:rPr>
        <w:br/>
      </w:r>
      <w:r w:rsidRPr="00E465A1">
        <w:rPr>
          <w:color w:val="262626" w:themeColor="text1" w:themeTint="D9"/>
          <w:lang w:eastAsia="en-AU"/>
        </w:rPr>
        <w:t>market risk.</w:t>
      </w:r>
      <w:r w:rsidR="009571E2" w:rsidRPr="00E465A1">
        <w:rPr>
          <w:color w:val="262626" w:themeColor="text1" w:themeTint="D9"/>
          <w:lang w:eastAsia="en-AU"/>
        </w:rPr>
        <w:t xml:space="preserve"> </w:t>
      </w:r>
      <w:r w:rsidR="009B1112" w:rsidRPr="00E465A1">
        <w:rPr>
          <w:color w:val="262626" w:themeColor="text1" w:themeTint="D9"/>
        </w:rPr>
        <w:t xml:space="preserve">The </w:t>
      </w:r>
      <w:r w:rsidR="00EC2665" w:rsidRPr="00E465A1">
        <w:rPr>
          <w:color w:val="262626" w:themeColor="text1" w:themeTint="D9"/>
        </w:rPr>
        <w:t>CCC</w:t>
      </w:r>
      <w:r w:rsidR="009B1112" w:rsidRPr="00E465A1">
        <w:rPr>
          <w:color w:val="262626" w:themeColor="text1" w:themeTint="D9"/>
        </w:rPr>
        <w:t xml:space="preserve"> provides written principles for overall risk management as well as policies covering specific areas. These policies focus on the financial performance of the </w:t>
      </w:r>
      <w:r w:rsidR="00EC2665" w:rsidRPr="00E465A1">
        <w:rPr>
          <w:color w:val="262626" w:themeColor="text1" w:themeTint="D9"/>
        </w:rPr>
        <w:t>CCC</w:t>
      </w:r>
      <w:r w:rsidR="009B1112" w:rsidRPr="00E465A1">
        <w:rPr>
          <w:color w:val="262626" w:themeColor="text1" w:themeTint="D9"/>
        </w:rPr>
        <w:t>.</w:t>
      </w:r>
      <w:r w:rsidR="00940DB2" w:rsidRPr="00E465A1">
        <w:rPr>
          <w:color w:val="262626" w:themeColor="text1" w:themeTint="D9"/>
        </w:rPr>
        <w:t xml:space="preserve"> </w:t>
      </w:r>
      <w:r w:rsidR="009B1112" w:rsidRPr="00E465A1">
        <w:rPr>
          <w:color w:val="262626" w:themeColor="text1" w:themeTint="D9"/>
        </w:rPr>
        <w:t xml:space="preserve">All financial risk is managed by </w:t>
      </w:r>
      <w:r w:rsidR="00126F5D" w:rsidRPr="00E465A1">
        <w:rPr>
          <w:color w:val="262626" w:themeColor="text1" w:themeTint="D9"/>
        </w:rPr>
        <w:br/>
      </w:r>
      <w:r w:rsidR="009B1112" w:rsidRPr="00E465A1">
        <w:rPr>
          <w:color w:val="262626" w:themeColor="text1" w:themeTint="D9"/>
        </w:rPr>
        <w:t>the Strate</w:t>
      </w:r>
      <w:r w:rsidR="00EB4340" w:rsidRPr="00E465A1">
        <w:rPr>
          <w:color w:val="262626" w:themeColor="text1" w:themeTint="D9"/>
        </w:rPr>
        <w:t>gic</w:t>
      </w:r>
      <w:r w:rsidR="009B1112" w:rsidRPr="00E465A1">
        <w:rPr>
          <w:color w:val="262626" w:themeColor="text1" w:themeTint="D9"/>
        </w:rPr>
        <w:t xml:space="preserve"> and </w:t>
      </w:r>
      <w:r w:rsidR="00EB4340" w:rsidRPr="00E465A1">
        <w:rPr>
          <w:color w:val="262626" w:themeColor="text1" w:themeTint="D9"/>
        </w:rPr>
        <w:t xml:space="preserve">Corporate </w:t>
      </w:r>
      <w:r w:rsidR="009B1112" w:rsidRPr="00E465A1">
        <w:rPr>
          <w:color w:val="262626" w:themeColor="text1" w:themeTint="D9"/>
        </w:rPr>
        <w:t>Services Division under poli</w:t>
      </w:r>
      <w:r w:rsidR="00940DB2" w:rsidRPr="00E465A1">
        <w:rPr>
          <w:color w:val="262626" w:themeColor="text1" w:themeTint="D9"/>
        </w:rPr>
        <w:t>cies approved by the Commission.</w:t>
      </w:r>
    </w:p>
    <w:p w:rsidR="009C5E1A" w:rsidRPr="00E465A1" w:rsidRDefault="00276E72" w:rsidP="00126F5D">
      <w:pPr>
        <w:pStyle w:val="Normalhanginglist105pt"/>
        <w:rPr>
          <w:color w:val="262626" w:themeColor="text1" w:themeTint="D9"/>
        </w:rPr>
      </w:pPr>
      <w:r w:rsidRPr="00E465A1">
        <w:rPr>
          <w:color w:val="262626" w:themeColor="text1" w:themeTint="D9"/>
        </w:rPr>
        <w:tab/>
      </w:r>
    </w:p>
    <w:p w:rsidR="0050048D" w:rsidRPr="00E465A1" w:rsidRDefault="00276E72" w:rsidP="00247C11">
      <w:pPr>
        <w:pStyle w:val="Normalhanginglist105pt"/>
        <w:ind w:hanging="28"/>
        <w:rPr>
          <w:i/>
          <w:color w:val="262626" w:themeColor="text1" w:themeTint="D9"/>
        </w:rPr>
      </w:pPr>
      <w:r w:rsidRPr="00E465A1">
        <w:rPr>
          <w:i/>
          <w:color w:val="262626" w:themeColor="text1" w:themeTint="D9"/>
        </w:rPr>
        <w:t>Credit Risk Exposure</w:t>
      </w:r>
    </w:p>
    <w:p w:rsidR="003300B1" w:rsidRPr="00E465A1" w:rsidRDefault="00276E72" w:rsidP="00126F5D">
      <w:pPr>
        <w:pStyle w:val="Normalindent1stpara"/>
        <w:rPr>
          <w:color w:val="262626" w:themeColor="text1" w:themeTint="D9"/>
        </w:rPr>
      </w:pPr>
      <w:r w:rsidRPr="00E465A1">
        <w:rPr>
          <w:color w:val="262626" w:themeColor="text1" w:themeTint="D9"/>
          <w:lang w:eastAsia="en-AU"/>
        </w:rPr>
        <w:t xml:space="preserve">Credit risk exposure refers to the situation where the </w:t>
      </w:r>
      <w:r w:rsidR="00EC2665" w:rsidRPr="00E465A1">
        <w:rPr>
          <w:color w:val="262626" w:themeColor="text1" w:themeTint="D9"/>
          <w:lang w:eastAsia="en-AU"/>
        </w:rPr>
        <w:t>CCC</w:t>
      </w:r>
      <w:r w:rsidRPr="00E465A1">
        <w:rPr>
          <w:color w:val="262626" w:themeColor="text1" w:themeTint="D9"/>
          <w:lang w:eastAsia="en-AU"/>
        </w:rPr>
        <w:t xml:space="preserve"> may incur financial loss as a result of another party </w:t>
      </w:r>
      <w:r w:rsidR="005421AD" w:rsidRPr="00E465A1">
        <w:rPr>
          <w:color w:val="262626" w:themeColor="text1" w:themeTint="D9"/>
          <w:lang w:eastAsia="en-AU"/>
        </w:rPr>
        <w:br/>
      </w:r>
      <w:r w:rsidRPr="00E465A1">
        <w:rPr>
          <w:color w:val="262626" w:themeColor="text1" w:themeTint="D9"/>
          <w:lang w:eastAsia="en-AU"/>
        </w:rPr>
        <w:t>to a financial instrument failing to discharge its obligation.</w:t>
      </w:r>
      <w:r w:rsidR="0099086E" w:rsidRPr="00E465A1">
        <w:rPr>
          <w:color w:val="262626" w:themeColor="text1" w:themeTint="D9"/>
          <w:lang w:eastAsia="en-AU"/>
        </w:rPr>
        <w:t xml:space="preserve"> The </w:t>
      </w:r>
      <w:r w:rsidR="00EC2665" w:rsidRPr="00E465A1">
        <w:rPr>
          <w:color w:val="262626" w:themeColor="text1" w:themeTint="D9"/>
          <w:lang w:eastAsia="en-AU"/>
        </w:rPr>
        <w:t>CCC</w:t>
      </w:r>
      <w:r w:rsidR="0099086E" w:rsidRPr="00E465A1">
        <w:rPr>
          <w:color w:val="262626" w:themeColor="text1" w:themeTint="D9"/>
          <w:lang w:eastAsia="en-AU"/>
        </w:rPr>
        <w:t xml:space="preserve"> monitors e</w:t>
      </w:r>
      <w:r w:rsidR="0099086E" w:rsidRPr="00E465A1">
        <w:rPr>
          <w:color w:val="262626" w:themeColor="text1" w:themeTint="D9"/>
        </w:rPr>
        <w:t xml:space="preserve">xposure to credit risk on an </w:t>
      </w:r>
      <w:r w:rsidR="005421AD" w:rsidRPr="00E465A1">
        <w:rPr>
          <w:color w:val="262626" w:themeColor="text1" w:themeTint="D9"/>
        </w:rPr>
        <w:br/>
      </w:r>
      <w:r w:rsidR="0099086E" w:rsidRPr="00E465A1">
        <w:rPr>
          <w:color w:val="262626" w:themeColor="text1" w:themeTint="D9"/>
        </w:rPr>
        <w:t>ongoing basis.</w:t>
      </w:r>
    </w:p>
    <w:p w:rsidR="002D1D9A" w:rsidRPr="00E465A1" w:rsidRDefault="002D1D9A" w:rsidP="002D1D9A">
      <w:pPr>
        <w:pStyle w:val="Normalindent1stpara"/>
        <w:rPr>
          <w:color w:val="262626" w:themeColor="text1" w:themeTint="D9"/>
        </w:rPr>
      </w:pPr>
      <w:r w:rsidRPr="00E465A1">
        <w:rPr>
          <w:color w:val="262626" w:themeColor="text1" w:themeTint="D9"/>
        </w:rPr>
        <w:t xml:space="preserve">The maximum exposure to credit risk at balance date in relation to each class of recognised financial assets is the </w:t>
      </w:r>
      <w:r w:rsidRPr="00E465A1">
        <w:rPr>
          <w:color w:val="262626" w:themeColor="text1" w:themeTint="D9"/>
        </w:rPr>
        <w:br/>
        <w:t xml:space="preserve">gross carrying amount of those assets inclusive of any allowance for impairment. The CCC manages credit </w:t>
      </w:r>
      <w:r w:rsidRPr="00E465A1">
        <w:rPr>
          <w:color w:val="262626" w:themeColor="text1" w:themeTint="D9"/>
        </w:rPr>
        <w:br/>
        <w:t xml:space="preserve">risk by ensuring that it invests in secure assets and monitors all funds owed on a regular basis. </w:t>
      </w:r>
    </w:p>
    <w:p w:rsidR="000B7A20" w:rsidRPr="00E465A1" w:rsidRDefault="00276E72" w:rsidP="00126F5D">
      <w:pPr>
        <w:pStyle w:val="NormalIndent1"/>
        <w:rPr>
          <w:color w:val="262626" w:themeColor="text1" w:themeTint="D9"/>
        </w:rPr>
      </w:pPr>
      <w:r w:rsidRPr="00E465A1">
        <w:rPr>
          <w:color w:val="262626" w:themeColor="text1" w:themeTint="D9"/>
        </w:rPr>
        <w:t xml:space="preserve">The following table represents the </w:t>
      </w:r>
      <w:r w:rsidR="00EC2665" w:rsidRPr="00E465A1">
        <w:rPr>
          <w:color w:val="262626" w:themeColor="text1" w:themeTint="D9"/>
        </w:rPr>
        <w:t>CCC</w:t>
      </w:r>
      <w:r w:rsidRPr="00E465A1">
        <w:rPr>
          <w:color w:val="262626" w:themeColor="text1" w:themeTint="D9"/>
        </w:rPr>
        <w:t xml:space="preserve">’s maximum exposure to credit risk based on contractual amounts net </w:t>
      </w:r>
      <w:r w:rsidR="005421AD" w:rsidRPr="00E465A1">
        <w:rPr>
          <w:color w:val="262626" w:themeColor="text1" w:themeTint="D9"/>
        </w:rPr>
        <w:br/>
      </w:r>
      <w:r w:rsidRPr="00E465A1">
        <w:rPr>
          <w:color w:val="262626" w:themeColor="text1" w:themeTint="D9"/>
        </w:rPr>
        <w:t>of any allowances:</w:t>
      </w:r>
    </w:p>
    <w:p w:rsidR="00126F5D" w:rsidRPr="00E465A1" w:rsidRDefault="00126F5D" w:rsidP="00126F5D">
      <w:pPr>
        <w:pStyle w:val="Normalindent1stpara"/>
        <w:rPr>
          <w:color w:val="262626" w:themeColor="text1" w:themeTint="D9"/>
        </w:rPr>
      </w:pPr>
    </w:p>
    <w:tbl>
      <w:tblPr>
        <w:tblW w:w="9922" w:type="dxa"/>
        <w:tblInd w:w="284" w:type="dxa"/>
        <w:tblBorders>
          <w:top w:val="double" w:sz="4" w:space="0" w:color="auto"/>
          <w:left w:val="double" w:sz="4" w:space="0" w:color="auto"/>
          <w:bottom w:val="double" w:sz="4" w:space="0" w:color="auto"/>
          <w:right w:val="double" w:sz="4" w:space="0" w:color="auto"/>
        </w:tblBorders>
        <w:tblLayout w:type="fixed"/>
        <w:tblCellMar>
          <w:left w:w="0" w:type="dxa"/>
          <w:bottom w:w="11" w:type="dxa"/>
          <w:right w:w="0" w:type="dxa"/>
        </w:tblCellMar>
        <w:tblLook w:val="0000" w:firstRow="0" w:lastRow="0" w:firstColumn="0" w:lastColumn="0" w:noHBand="0" w:noVBand="0"/>
      </w:tblPr>
      <w:tblGrid>
        <w:gridCol w:w="6917"/>
        <w:gridCol w:w="596"/>
        <w:gridCol w:w="1134"/>
        <w:gridCol w:w="170"/>
        <w:gridCol w:w="1105"/>
      </w:tblGrid>
      <w:tr w:rsidR="00E465A1" w:rsidRPr="00E465A1" w:rsidTr="00AD6577">
        <w:trPr>
          <w:trHeight w:val="20"/>
        </w:trPr>
        <w:tc>
          <w:tcPr>
            <w:tcW w:w="6917" w:type="dxa"/>
            <w:tcBorders>
              <w:top w:val="nil"/>
              <w:left w:val="nil"/>
              <w:bottom w:val="nil"/>
            </w:tcBorders>
            <w:noWrap/>
            <w:tcMar>
              <w:left w:w="0" w:type="dxa"/>
              <w:right w:w="0" w:type="dxa"/>
            </w:tcMar>
            <w:vAlign w:val="bottom"/>
          </w:tcPr>
          <w:p w:rsidR="00EA2620" w:rsidRPr="00E465A1" w:rsidRDefault="00276E72" w:rsidP="00693783">
            <w:pPr>
              <w:pStyle w:val="Normalindent1stpara"/>
              <w:spacing w:before="0"/>
              <w:jc w:val="center"/>
              <w:rPr>
                <w:b/>
                <w:color w:val="262626" w:themeColor="text1" w:themeTint="D9"/>
                <w:szCs w:val="19"/>
              </w:rPr>
            </w:pPr>
            <w:r w:rsidRPr="00E465A1">
              <w:rPr>
                <w:b/>
                <w:color w:val="262626" w:themeColor="text1" w:themeTint="D9"/>
                <w:szCs w:val="19"/>
              </w:rPr>
              <w:t>Maximum Exposure to Credit Risk</w:t>
            </w:r>
          </w:p>
        </w:tc>
        <w:tc>
          <w:tcPr>
            <w:tcW w:w="596" w:type="dxa"/>
            <w:tcBorders>
              <w:top w:val="nil"/>
              <w:bottom w:val="nil"/>
            </w:tcBorders>
            <w:noWrap/>
            <w:tcMar>
              <w:left w:w="0" w:type="dxa"/>
              <w:right w:w="113" w:type="dxa"/>
            </w:tcMar>
          </w:tcPr>
          <w:p w:rsidR="00EA2620" w:rsidRPr="00E465A1" w:rsidRDefault="00EA2620" w:rsidP="004722AD">
            <w:pPr>
              <w:pStyle w:val="Normaltabletextcentred"/>
              <w:rPr>
                <w:b/>
                <w:color w:val="262626" w:themeColor="text1" w:themeTint="D9"/>
                <w:szCs w:val="19"/>
                <w:lang w:eastAsia="en-AU"/>
              </w:rPr>
            </w:pPr>
          </w:p>
        </w:tc>
        <w:tc>
          <w:tcPr>
            <w:tcW w:w="1134" w:type="dxa"/>
            <w:tcBorders>
              <w:top w:val="single" w:sz="4" w:space="0" w:color="auto"/>
              <w:bottom w:val="nil"/>
            </w:tcBorders>
            <w:shd w:val="clear" w:color="auto" w:fill="FEE4B0"/>
            <w:noWrap/>
            <w:tcMar>
              <w:left w:w="0" w:type="dxa"/>
              <w:right w:w="113" w:type="dxa"/>
            </w:tcMar>
            <w:vAlign w:val="bottom"/>
          </w:tcPr>
          <w:p w:rsidR="00EA2620" w:rsidRPr="00E465A1" w:rsidRDefault="003D302E" w:rsidP="009A1C90">
            <w:pPr>
              <w:pStyle w:val="Normaltabletext1stpararight"/>
              <w:rPr>
                <w:b/>
                <w:color w:val="262626" w:themeColor="text1" w:themeTint="D9"/>
                <w:szCs w:val="19"/>
                <w:lang w:eastAsia="en-AU"/>
              </w:rPr>
            </w:pPr>
            <w:r w:rsidRPr="00E465A1">
              <w:rPr>
                <w:b/>
                <w:color w:val="262626" w:themeColor="text1" w:themeTint="D9"/>
                <w:szCs w:val="19"/>
                <w:lang w:eastAsia="en-AU"/>
              </w:rPr>
              <w:t>201</w:t>
            </w:r>
            <w:r w:rsidR="00E71F7D" w:rsidRPr="00E465A1">
              <w:rPr>
                <w:b/>
                <w:color w:val="262626" w:themeColor="text1" w:themeTint="D9"/>
                <w:szCs w:val="19"/>
                <w:lang w:eastAsia="en-AU"/>
              </w:rPr>
              <w:t>8</w:t>
            </w:r>
          </w:p>
        </w:tc>
        <w:tc>
          <w:tcPr>
            <w:tcW w:w="170" w:type="dxa"/>
            <w:tcBorders>
              <w:top w:val="nil"/>
              <w:bottom w:val="nil"/>
            </w:tcBorders>
            <w:noWrap/>
            <w:tcMar>
              <w:left w:w="0" w:type="dxa"/>
              <w:right w:w="0" w:type="dxa"/>
            </w:tcMar>
            <w:vAlign w:val="bottom"/>
          </w:tcPr>
          <w:p w:rsidR="00EA2620" w:rsidRPr="00E465A1" w:rsidRDefault="00EA2620" w:rsidP="004722AD">
            <w:pPr>
              <w:pStyle w:val="Normaltabletextcentred"/>
              <w:rPr>
                <w:b/>
                <w:color w:val="262626" w:themeColor="text1" w:themeTint="D9"/>
                <w:szCs w:val="19"/>
                <w:lang w:eastAsia="en-AU"/>
              </w:rPr>
            </w:pPr>
          </w:p>
        </w:tc>
        <w:tc>
          <w:tcPr>
            <w:tcW w:w="1105" w:type="dxa"/>
            <w:tcBorders>
              <w:top w:val="single" w:sz="4" w:space="0" w:color="auto"/>
              <w:bottom w:val="nil"/>
              <w:right w:val="nil"/>
            </w:tcBorders>
            <w:noWrap/>
            <w:tcMar>
              <w:left w:w="0" w:type="dxa"/>
              <w:right w:w="113" w:type="dxa"/>
            </w:tcMar>
            <w:vAlign w:val="bottom"/>
          </w:tcPr>
          <w:p w:rsidR="00EA2620" w:rsidRPr="00E465A1" w:rsidRDefault="003D302E" w:rsidP="00B42CC9">
            <w:pPr>
              <w:pStyle w:val="Normaltabletext1stpararight"/>
              <w:rPr>
                <w:b/>
                <w:color w:val="262626" w:themeColor="text1" w:themeTint="D9"/>
                <w:szCs w:val="19"/>
                <w:lang w:eastAsia="en-AU"/>
              </w:rPr>
            </w:pPr>
            <w:r w:rsidRPr="00E465A1">
              <w:rPr>
                <w:b/>
                <w:color w:val="262626" w:themeColor="text1" w:themeTint="D9"/>
                <w:szCs w:val="19"/>
                <w:lang w:eastAsia="en-AU"/>
              </w:rPr>
              <w:t>201</w:t>
            </w:r>
            <w:r w:rsidR="00E71F7D" w:rsidRPr="00E465A1">
              <w:rPr>
                <w:b/>
                <w:color w:val="262626" w:themeColor="text1" w:themeTint="D9"/>
                <w:szCs w:val="19"/>
                <w:lang w:eastAsia="en-AU"/>
              </w:rPr>
              <w:t>7</w:t>
            </w:r>
          </w:p>
        </w:tc>
      </w:tr>
      <w:tr w:rsidR="00E465A1" w:rsidRPr="00E465A1" w:rsidTr="00AD6577">
        <w:trPr>
          <w:trHeight w:val="20"/>
        </w:trPr>
        <w:tc>
          <w:tcPr>
            <w:tcW w:w="6917" w:type="dxa"/>
            <w:tcBorders>
              <w:top w:val="nil"/>
              <w:left w:val="nil"/>
              <w:bottom w:val="single" w:sz="4" w:space="0" w:color="auto"/>
            </w:tcBorders>
            <w:noWrap/>
            <w:tcMar>
              <w:left w:w="0" w:type="dxa"/>
              <w:bottom w:w="11" w:type="dxa"/>
              <w:right w:w="0" w:type="dxa"/>
            </w:tcMar>
            <w:vAlign w:val="bottom"/>
          </w:tcPr>
          <w:p w:rsidR="00EA2620" w:rsidRPr="00E465A1" w:rsidRDefault="00276E72" w:rsidP="00693783">
            <w:pPr>
              <w:pStyle w:val="Normalindent1stpara"/>
              <w:spacing w:before="0"/>
              <w:rPr>
                <w:b/>
                <w:i/>
                <w:color w:val="262626" w:themeColor="text1" w:themeTint="D9"/>
                <w:szCs w:val="19"/>
              </w:rPr>
            </w:pPr>
            <w:r w:rsidRPr="00E465A1">
              <w:rPr>
                <w:b/>
                <w:i/>
                <w:color w:val="262626" w:themeColor="text1" w:themeTint="D9"/>
                <w:szCs w:val="19"/>
              </w:rPr>
              <w:t>Category:</w:t>
            </w:r>
          </w:p>
        </w:tc>
        <w:tc>
          <w:tcPr>
            <w:tcW w:w="596" w:type="dxa"/>
            <w:tcBorders>
              <w:top w:val="nil"/>
              <w:bottom w:val="single" w:sz="4" w:space="0" w:color="auto"/>
            </w:tcBorders>
            <w:noWrap/>
            <w:tcMar>
              <w:left w:w="0" w:type="dxa"/>
              <w:bottom w:w="11" w:type="dxa"/>
              <w:right w:w="0" w:type="dxa"/>
            </w:tcMar>
          </w:tcPr>
          <w:p w:rsidR="00EA2620" w:rsidRPr="00E465A1" w:rsidRDefault="00276E72" w:rsidP="004722AD">
            <w:pPr>
              <w:pStyle w:val="Normaltabletextcentred"/>
              <w:rPr>
                <w:b/>
                <w:color w:val="262626" w:themeColor="text1" w:themeTint="D9"/>
                <w:szCs w:val="19"/>
                <w:lang w:eastAsia="en-AU"/>
              </w:rPr>
            </w:pPr>
            <w:r w:rsidRPr="00E465A1">
              <w:rPr>
                <w:b/>
                <w:color w:val="262626" w:themeColor="text1" w:themeTint="D9"/>
                <w:szCs w:val="19"/>
                <w:lang w:eastAsia="en-AU"/>
              </w:rPr>
              <w:t>Note</w:t>
            </w:r>
          </w:p>
        </w:tc>
        <w:tc>
          <w:tcPr>
            <w:tcW w:w="1134" w:type="dxa"/>
            <w:tcBorders>
              <w:top w:val="nil"/>
              <w:bottom w:val="single" w:sz="4" w:space="0" w:color="auto"/>
            </w:tcBorders>
            <w:shd w:val="clear" w:color="auto" w:fill="FEE4B0"/>
            <w:noWrap/>
            <w:tcMar>
              <w:left w:w="0" w:type="dxa"/>
              <w:bottom w:w="11" w:type="dxa"/>
              <w:right w:w="113" w:type="dxa"/>
            </w:tcMar>
            <w:vAlign w:val="bottom"/>
          </w:tcPr>
          <w:p w:rsidR="00EA2620" w:rsidRPr="00E465A1" w:rsidRDefault="00276E72" w:rsidP="004722AD">
            <w:pPr>
              <w:pStyle w:val="Normaltabletext1stpararight"/>
              <w:rPr>
                <w:b/>
                <w:color w:val="262626" w:themeColor="text1" w:themeTint="D9"/>
                <w:szCs w:val="19"/>
                <w:lang w:eastAsia="en-AU"/>
              </w:rPr>
            </w:pPr>
            <w:r w:rsidRPr="00E465A1">
              <w:rPr>
                <w:b/>
                <w:color w:val="262626" w:themeColor="text1" w:themeTint="D9"/>
                <w:szCs w:val="19"/>
                <w:lang w:eastAsia="en-AU"/>
              </w:rPr>
              <w:t>$’000</w:t>
            </w:r>
          </w:p>
        </w:tc>
        <w:tc>
          <w:tcPr>
            <w:tcW w:w="170" w:type="dxa"/>
            <w:tcBorders>
              <w:top w:val="nil"/>
              <w:bottom w:val="nil"/>
            </w:tcBorders>
            <w:noWrap/>
            <w:tcMar>
              <w:left w:w="0" w:type="dxa"/>
              <w:bottom w:w="11" w:type="dxa"/>
              <w:right w:w="0" w:type="dxa"/>
            </w:tcMar>
            <w:vAlign w:val="bottom"/>
          </w:tcPr>
          <w:p w:rsidR="00EA2620" w:rsidRPr="00E465A1" w:rsidRDefault="00EA2620" w:rsidP="004722AD">
            <w:pPr>
              <w:pStyle w:val="Normaltabletextcentred"/>
              <w:rPr>
                <w:b/>
                <w:color w:val="262626" w:themeColor="text1" w:themeTint="D9"/>
                <w:szCs w:val="19"/>
                <w:lang w:eastAsia="en-AU"/>
              </w:rPr>
            </w:pPr>
          </w:p>
        </w:tc>
        <w:tc>
          <w:tcPr>
            <w:tcW w:w="1105" w:type="dxa"/>
            <w:tcBorders>
              <w:top w:val="nil"/>
              <w:bottom w:val="single" w:sz="4" w:space="0" w:color="auto"/>
              <w:right w:val="nil"/>
            </w:tcBorders>
            <w:noWrap/>
            <w:tcMar>
              <w:left w:w="0" w:type="dxa"/>
              <w:bottom w:w="11" w:type="dxa"/>
              <w:right w:w="113" w:type="dxa"/>
            </w:tcMar>
            <w:vAlign w:val="bottom"/>
          </w:tcPr>
          <w:p w:rsidR="00EA2620" w:rsidRPr="00E465A1" w:rsidRDefault="00276E72" w:rsidP="004722AD">
            <w:pPr>
              <w:pStyle w:val="Normaltabletext1stpararight"/>
              <w:rPr>
                <w:b/>
                <w:color w:val="262626" w:themeColor="text1" w:themeTint="D9"/>
                <w:szCs w:val="19"/>
                <w:lang w:eastAsia="en-AU"/>
              </w:rPr>
            </w:pPr>
            <w:r w:rsidRPr="00E465A1">
              <w:rPr>
                <w:b/>
                <w:color w:val="262626" w:themeColor="text1" w:themeTint="D9"/>
                <w:szCs w:val="19"/>
                <w:lang w:eastAsia="en-AU"/>
              </w:rPr>
              <w:t>$’000</w:t>
            </w:r>
          </w:p>
        </w:tc>
      </w:tr>
      <w:tr w:rsidR="00E465A1" w:rsidRPr="00E465A1" w:rsidTr="00AD6577">
        <w:trPr>
          <w:trHeight w:val="20"/>
        </w:trPr>
        <w:tc>
          <w:tcPr>
            <w:tcW w:w="6917" w:type="dxa"/>
            <w:tcBorders>
              <w:top w:val="nil"/>
              <w:left w:val="nil"/>
              <w:bottom w:val="nil"/>
            </w:tcBorders>
            <w:noWrap/>
            <w:tcMar>
              <w:top w:w="0" w:type="dxa"/>
              <w:left w:w="0" w:type="dxa"/>
              <w:right w:w="0" w:type="dxa"/>
            </w:tcMar>
            <w:vAlign w:val="bottom"/>
          </w:tcPr>
          <w:p w:rsidR="00EA2620" w:rsidRPr="00E465A1" w:rsidRDefault="00EA2620" w:rsidP="00693783">
            <w:pPr>
              <w:pStyle w:val="Normalindent1stpara"/>
              <w:spacing w:before="0"/>
              <w:rPr>
                <w:color w:val="262626" w:themeColor="text1" w:themeTint="D9"/>
                <w:szCs w:val="19"/>
              </w:rPr>
            </w:pPr>
          </w:p>
        </w:tc>
        <w:tc>
          <w:tcPr>
            <w:tcW w:w="596" w:type="dxa"/>
            <w:tcBorders>
              <w:top w:val="nil"/>
              <w:bottom w:val="nil"/>
            </w:tcBorders>
            <w:noWrap/>
            <w:tcMar>
              <w:top w:w="0" w:type="dxa"/>
              <w:left w:w="0" w:type="dxa"/>
              <w:right w:w="0" w:type="dxa"/>
            </w:tcMar>
          </w:tcPr>
          <w:p w:rsidR="00EA2620" w:rsidRPr="00E465A1" w:rsidRDefault="00EA2620" w:rsidP="004722AD">
            <w:pPr>
              <w:pStyle w:val="Normaltabletextcentred"/>
              <w:rPr>
                <w:color w:val="262626" w:themeColor="text1" w:themeTint="D9"/>
                <w:szCs w:val="19"/>
                <w:lang w:eastAsia="en-AU"/>
              </w:rPr>
            </w:pPr>
          </w:p>
        </w:tc>
        <w:tc>
          <w:tcPr>
            <w:tcW w:w="1134" w:type="dxa"/>
            <w:tcBorders>
              <w:top w:val="nil"/>
              <w:bottom w:val="nil"/>
            </w:tcBorders>
            <w:shd w:val="clear" w:color="auto" w:fill="FEE4B0"/>
            <w:noWrap/>
            <w:tcMar>
              <w:top w:w="0" w:type="dxa"/>
              <w:left w:w="0" w:type="dxa"/>
              <w:right w:w="113" w:type="dxa"/>
            </w:tcMar>
            <w:vAlign w:val="bottom"/>
          </w:tcPr>
          <w:p w:rsidR="00EA2620" w:rsidRPr="00E465A1" w:rsidRDefault="00EA2620" w:rsidP="004722AD">
            <w:pPr>
              <w:pStyle w:val="Normaltabletext1stpararight"/>
              <w:rPr>
                <w:color w:val="262626" w:themeColor="text1" w:themeTint="D9"/>
                <w:szCs w:val="19"/>
                <w:lang w:eastAsia="en-AU"/>
              </w:rPr>
            </w:pPr>
          </w:p>
        </w:tc>
        <w:tc>
          <w:tcPr>
            <w:tcW w:w="170" w:type="dxa"/>
            <w:tcBorders>
              <w:top w:val="nil"/>
              <w:bottom w:val="nil"/>
            </w:tcBorders>
            <w:noWrap/>
            <w:tcMar>
              <w:top w:w="0" w:type="dxa"/>
              <w:left w:w="0" w:type="dxa"/>
              <w:right w:w="0" w:type="dxa"/>
            </w:tcMar>
            <w:vAlign w:val="bottom"/>
          </w:tcPr>
          <w:p w:rsidR="00EA2620" w:rsidRPr="00E465A1" w:rsidRDefault="00EA2620" w:rsidP="004722AD">
            <w:pPr>
              <w:pStyle w:val="Normaltabletextcentred"/>
              <w:rPr>
                <w:color w:val="262626" w:themeColor="text1" w:themeTint="D9"/>
                <w:szCs w:val="19"/>
                <w:lang w:eastAsia="en-AU"/>
              </w:rPr>
            </w:pPr>
          </w:p>
        </w:tc>
        <w:tc>
          <w:tcPr>
            <w:tcW w:w="1105" w:type="dxa"/>
            <w:tcBorders>
              <w:top w:val="nil"/>
              <w:bottom w:val="nil"/>
              <w:right w:val="nil"/>
            </w:tcBorders>
            <w:noWrap/>
            <w:tcMar>
              <w:top w:w="0" w:type="dxa"/>
              <w:left w:w="0" w:type="dxa"/>
              <w:right w:w="113" w:type="dxa"/>
            </w:tcMar>
          </w:tcPr>
          <w:p w:rsidR="00EA2620" w:rsidRPr="00E465A1" w:rsidRDefault="00EA2620" w:rsidP="004722AD">
            <w:pPr>
              <w:pStyle w:val="Normaltabletext1stpararight"/>
              <w:rPr>
                <w:color w:val="262626" w:themeColor="text1" w:themeTint="D9"/>
                <w:szCs w:val="19"/>
                <w:lang w:eastAsia="en-AU"/>
              </w:rPr>
            </w:pP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693783" w:rsidRPr="00E465A1" w:rsidRDefault="00693783" w:rsidP="00693783">
            <w:pPr>
              <w:pStyle w:val="Normalindent1stpara"/>
              <w:spacing w:before="0"/>
              <w:rPr>
                <w:b/>
                <w:color w:val="262626" w:themeColor="text1" w:themeTint="D9"/>
                <w:szCs w:val="19"/>
              </w:rPr>
            </w:pPr>
            <w:r w:rsidRPr="00E465A1">
              <w:rPr>
                <w:b/>
                <w:color w:val="262626" w:themeColor="text1" w:themeTint="D9"/>
                <w:szCs w:val="19"/>
              </w:rPr>
              <w:t>Financial Assets</w:t>
            </w:r>
          </w:p>
        </w:tc>
        <w:tc>
          <w:tcPr>
            <w:tcW w:w="596" w:type="dxa"/>
            <w:tcBorders>
              <w:top w:val="nil"/>
              <w:bottom w:val="nil"/>
            </w:tcBorders>
            <w:noWrap/>
            <w:tcMar>
              <w:left w:w="0" w:type="dxa"/>
              <w:right w:w="0" w:type="dxa"/>
            </w:tcMar>
          </w:tcPr>
          <w:p w:rsidR="00693783" w:rsidRPr="00E465A1" w:rsidRDefault="00693783" w:rsidP="004722AD">
            <w:pPr>
              <w:pStyle w:val="Normaltabletextcentred"/>
              <w:rPr>
                <w:color w:val="262626" w:themeColor="text1" w:themeTint="D9"/>
                <w:szCs w:val="19"/>
                <w:lang w:eastAsia="en-AU"/>
              </w:rPr>
            </w:pPr>
          </w:p>
        </w:tc>
        <w:tc>
          <w:tcPr>
            <w:tcW w:w="1134" w:type="dxa"/>
            <w:tcBorders>
              <w:top w:val="nil"/>
              <w:bottom w:val="nil"/>
            </w:tcBorders>
            <w:shd w:val="clear" w:color="auto" w:fill="FEE4B0"/>
            <w:noWrap/>
            <w:tcMar>
              <w:left w:w="0" w:type="dxa"/>
              <w:right w:w="113" w:type="dxa"/>
            </w:tcMar>
            <w:vAlign w:val="bottom"/>
          </w:tcPr>
          <w:p w:rsidR="00693783" w:rsidRPr="00E465A1" w:rsidRDefault="00693783" w:rsidP="004722AD">
            <w:pPr>
              <w:pStyle w:val="Normaltabletext1stpararight"/>
              <w:rPr>
                <w:color w:val="262626" w:themeColor="text1" w:themeTint="D9"/>
                <w:szCs w:val="19"/>
                <w:lang w:eastAsia="en-AU"/>
              </w:rPr>
            </w:pPr>
          </w:p>
        </w:tc>
        <w:tc>
          <w:tcPr>
            <w:tcW w:w="170" w:type="dxa"/>
            <w:tcBorders>
              <w:top w:val="nil"/>
              <w:bottom w:val="nil"/>
            </w:tcBorders>
            <w:noWrap/>
            <w:tcMar>
              <w:left w:w="0" w:type="dxa"/>
              <w:right w:w="0" w:type="dxa"/>
            </w:tcMar>
            <w:vAlign w:val="bottom"/>
          </w:tcPr>
          <w:p w:rsidR="00693783" w:rsidRPr="00E465A1" w:rsidRDefault="00693783" w:rsidP="004722AD">
            <w:pPr>
              <w:pStyle w:val="Normaltabletextcentred"/>
              <w:rPr>
                <w:color w:val="262626" w:themeColor="text1" w:themeTint="D9"/>
                <w:szCs w:val="19"/>
                <w:lang w:eastAsia="en-AU"/>
              </w:rPr>
            </w:pPr>
          </w:p>
        </w:tc>
        <w:tc>
          <w:tcPr>
            <w:tcW w:w="1105" w:type="dxa"/>
            <w:tcBorders>
              <w:top w:val="nil"/>
              <w:bottom w:val="nil"/>
              <w:right w:val="nil"/>
            </w:tcBorders>
            <w:noWrap/>
            <w:tcMar>
              <w:left w:w="0" w:type="dxa"/>
              <w:right w:w="113" w:type="dxa"/>
            </w:tcMar>
            <w:vAlign w:val="bottom"/>
          </w:tcPr>
          <w:p w:rsidR="00693783" w:rsidRPr="00E465A1" w:rsidRDefault="00693783" w:rsidP="004722AD">
            <w:pPr>
              <w:pStyle w:val="Normaltabletext1stpararight"/>
              <w:rPr>
                <w:color w:val="262626" w:themeColor="text1" w:themeTint="D9"/>
                <w:szCs w:val="19"/>
                <w:lang w:eastAsia="en-AU"/>
              </w:rPr>
            </w:pP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E71F7D" w:rsidRPr="00E465A1" w:rsidRDefault="00E71F7D" w:rsidP="00E71F7D">
            <w:pPr>
              <w:pStyle w:val="Normalindent1stpara"/>
              <w:spacing w:before="0"/>
              <w:rPr>
                <w:color w:val="262626" w:themeColor="text1" w:themeTint="D9"/>
                <w:szCs w:val="19"/>
              </w:rPr>
            </w:pPr>
            <w:r w:rsidRPr="00E465A1">
              <w:rPr>
                <w:color w:val="262626" w:themeColor="text1" w:themeTint="D9"/>
                <w:szCs w:val="19"/>
              </w:rPr>
              <w:t>Cash and cash equivalents</w:t>
            </w:r>
          </w:p>
        </w:tc>
        <w:tc>
          <w:tcPr>
            <w:tcW w:w="596" w:type="dxa"/>
            <w:tcBorders>
              <w:top w:val="nil"/>
              <w:bottom w:val="nil"/>
            </w:tcBorders>
            <w:noWrap/>
            <w:tcMar>
              <w:left w:w="0" w:type="dxa"/>
              <w:right w:w="0" w:type="dxa"/>
            </w:tcMar>
          </w:tcPr>
          <w:p w:rsidR="00E71F7D" w:rsidRPr="00E465A1" w:rsidRDefault="000B0B6C" w:rsidP="00E71F7D">
            <w:pPr>
              <w:pStyle w:val="Normaltabletextcentred"/>
              <w:rPr>
                <w:color w:val="262626" w:themeColor="text1" w:themeTint="D9"/>
                <w:szCs w:val="19"/>
                <w:lang w:eastAsia="en-AU"/>
              </w:rPr>
            </w:pPr>
            <w:r w:rsidRPr="00E465A1">
              <w:rPr>
                <w:color w:val="262626" w:themeColor="text1" w:themeTint="D9"/>
                <w:szCs w:val="19"/>
                <w:lang w:eastAsia="en-AU"/>
              </w:rPr>
              <w:t>8</w:t>
            </w:r>
          </w:p>
        </w:tc>
        <w:tc>
          <w:tcPr>
            <w:tcW w:w="1134" w:type="dxa"/>
            <w:tcBorders>
              <w:top w:val="nil"/>
              <w:bottom w:val="nil"/>
            </w:tcBorders>
            <w:shd w:val="clear" w:color="auto" w:fill="FEE4B0"/>
            <w:noWrap/>
            <w:tcMar>
              <w:left w:w="0" w:type="dxa"/>
              <w:right w:w="113" w:type="dxa"/>
            </w:tcMar>
            <w:vAlign w:val="bottom"/>
          </w:tcPr>
          <w:p w:rsidR="00E71F7D" w:rsidRPr="00E465A1" w:rsidRDefault="000B0B6C" w:rsidP="00E71F7D">
            <w:pPr>
              <w:pStyle w:val="Normaltabletext1stpararight"/>
              <w:rPr>
                <w:color w:val="262626" w:themeColor="text1" w:themeTint="D9"/>
                <w:szCs w:val="19"/>
                <w:lang w:eastAsia="en-AU"/>
              </w:rPr>
            </w:pPr>
            <w:r w:rsidRPr="00E465A1">
              <w:rPr>
                <w:color w:val="262626" w:themeColor="text1" w:themeTint="D9"/>
                <w:szCs w:val="19"/>
                <w:lang w:eastAsia="en-AU"/>
              </w:rPr>
              <w:t>16,710</w:t>
            </w:r>
          </w:p>
        </w:tc>
        <w:tc>
          <w:tcPr>
            <w:tcW w:w="170" w:type="dxa"/>
            <w:tcBorders>
              <w:top w:val="nil"/>
              <w:bottom w:val="nil"/>
            </w:tcBorders>
            <w:noWrap/>
            <w:tcMar>
              <w:left w:w="0" w:type="dxa"/>
              <w:right w:w="0" w:type="dxa"/>
            </w:tcMar>
            <w:vAlign w:val="bottom"/>
          </w:tcPr>
          <w:p w:rsidR="00E71F7D" w:rsidRPr="00E465A1" w:rsidRDefault="00E71F7D" w:rsidP="00E71F7D">
            <w:pPr>
              <w:pStyle w:val="Normaltabletextcentred"/>
              <w:rPr>
                <w:color w:val="262626" w:themeColor="text1" w:themeTint="D9"/>
                <w:szCs w:val="19"/>
                <w:lang w:eastAsia="en-AU"/>
              </w:rPr>
            </w:pPr>
          </w:p>
        </w:tc>
        <w:tc>
          <w:tcPr>
            <w:tcW w:w="1105" w:type="dxa"/>
            <w:tcBorders>
              <w:top w:val="nil"/>
              <w:bottom w:val="nil"/>
              <w:right w:val="nil"/>
            </w:tcBorders>
            <w:noWrap/>
            <w:tcMar>
              <w:left w:w="0" w:type="dxa"/>
              <w:right w:w="113" w:type="dxa"/>
            </w:tcMar>
            <w:vAlign w:val="bottom"/>
          </w:tcPr>
          <w:p w:rsidR="00E71F7D" w:rsidRPr="00E465A1" w:rsidRDefault="00E71F7D" w:rsidP="00E71F7D">
            <w:pPr>
              <w:pStyle w:val="Normaltabletext1stpararight"/>
              <w:rPr>
                <w:color w:val="262626" w:themeColor="text1" w:themeTint="D9"/>
                <w:szCs w:val="19"/>
                <w:lang w:eastAsia="en-AU"/>
              </w:rPr>
            </w:pPr>
            <w:r w:rsidRPr="00E465A1">
              <w:rPr>
                <w:color w:val="262626" w:themeColor="text1" w:themeTint="D9"/>
                <w:szCs w:val="19"/>
                <w:lang w:eastAsia="en-AU"/>
              </w:rPr>
              <w:t>14,938</w:t>
            </w: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E71F7D" w:rsidRPr="00E465A1" w:rsidRDefault="00E71F7D" w:rsidP="00E71F7D">
            <w:pPr>
              <w:pStyle w:val="Normalindent1stpara"/>
              <w:spacing w:before="0"/>
              <w:rPr>
                <w:color w:val="262626" w:themeColor="text1" w:themeTint="D9"/>
                <w:szCs w:val="19"/>
              </w:rPr>
            </w:pPr>
            <w:r w:rsidRPr="00E465A1">
              <w:rPr>
                <w:color w:val="262626" w:themeColor="text1" w:themeTint="D9"/>
                <w:szCs w:val="19"/>
              </w:rPr>
              <w:t>Contractual receivables</w:t>
            </w:r>
          </w:p>
        </w:tc>
        <w:tc>
          <w:tcPr>
            <w:tcW w:w="596" w:type="dxa"/>
            <w:tcBorders>
              <w:top w:val="nil"/>
              <w:bottom w:val="nil"/>
            </w:tcBorders>
            <w:noWrap/>
            <w:tcMar>
              <w:left w:w="0" w:type="dxa"/>
              <w:right w:w="0" w:type="dxa"/>
            </w:tcMar>
          </w:tcPr>
          <w:p w:rsidR="00E71F7D" w:rsidRPr="00E465A1" w:rsidRDefault="00E71F7D" w:rsidP="00E71F7D">
            <w:pPr>
              <w:pStyle w:val="Normaltabletextcentred"/>
              <w:rPr>
                <w:color w:val="262626" w:themeColor="text1" w:themeTint="D9"/>
                <w:szCs w:val="19"/>
                <w:lang w:eastAsia="en-AU"/>
              </w:rPr>
            </w:pPr>
          </w:p>
        </w:tc>
        <w:tc>
          <w:tcPr>
            <w:tcW w:w="1134" w:type="dxa"/>
            <w:tcBorders>
              <w:top w:val="nil"/>
              <w:bottom w:val="nil"/>
            </w:tcBorders>
            <w:shd w:val="clear" w:color="auto" w:fill="FEE4B0"/>
            <w:noWrap/>
            <w:tcMar>
              <w:left w:w="0" w:type="dxa"/>
              <w:right w:w="113" w:type="dxa"/>
            </w:tcMar>
            <w:vAlign w:val="bottom"/>
          </w:tcPr>
          <w:p w:rsidR="00E71F7D" w:rsidRPr="00E465A1" w:rsidRDefault="000B0B6C" w:rsidP="00E71F7D">
            <w:pPr>
              <w:pStyle w:val="Normaltabletext1stpararight"/>
              <w:rPr>
                <w:color w:val="262626" w:themeColor="text1" w:themeTint="D9"/>
                <w:szCs w:val="19"/>
                <w:lang w:eastAsia="en-AU"/>
              </w:rPr>
            </w:pPr>
            <w:r w:rsidRPr="00E465A1">
              <w:rPr>
                <w:color w:val="262626" w:themeColor="text1" w:themeTint="D9"/>
                <w:szCs w:val="19"/>
                <w:lang w:eastAsia="en-AU"/>
              </w:rPr>
              <w:t>330</w:t>
            </w:r>
          </w:p>
        </w:tc>
        <w:tc>
          <w:tcPr>
            <w:tcW w:w="170" w:type="dxa"/>
            <w:tcBorders>
              <w:top w:val="nil"/>
              <w:bottom w:val="nil"/>
            </w:tcBorders>
            <w:noWrap/>
            <w:tcMar>
              <w:left w:w="0" w:type="dxa"/>
              <w:right w:w="0" w:type="dxa"/>
            </w:tcMar>
            <w:vAlign w:val="bottom"/>
          </w:tcPr>
          <w:p w:rsidR="00E71F7D" w:rsidRPr="00E465A1" w:rsidRDefault="00E71F7D" w:rsidP="00E71F7D">
            <w:pPr>
              <w:pStyle w:val="Normaltabletextcentred"/>
              <w:rPr>
                <w:color w:val="262626" w:themeColor="text1" w:themeTint="D9"/>
                <w:szCs w:val="19"/>
                <w:lang w:eastAsia="en-AU"/>
              </w:rPr>
            </w:pPr>
          </w:p>
        </w:tc>
        <w:tc>
          <w:tcPr>
            <w:tcW w:w="1105" w:type="dxa"/>
            <w:tcBorders>
              <w:top w:val="nil"/>
              <w:bottom w:val="nil"/>
              <w:right w:val="nil"/>
            </w:tcBorders>
            <w:noWrap/>
            <w:tcMar>
              <w:left w:w="0" w:type="dxa"/>
              <w:right w:w="113" w:type="dxa"/>
            </w:tcMar>
            <w:vAlign w:val="bottom"/>
          </w:tcPr>
          <w:p w:rsidR="00E71F7D" w:rsidRPr="00E465A1" w:rsidRDefault="00E71F7D" w:rsidP="00E71F7D">
            <w:pPr>
              <w:pStyle w:val="Normaltabletext1stpararight"/>
              <w:rPr>
                <w:color w:val="262626" w:themeColor="text1" w:themeTint="D9"/>
                <w:szCs w:val="19"/>
                <w:lang w:eastAsia="en-AU"/>
              </w:rPr>
            </w:pPr>
            <w:r w:rsidRPr="00E465A1">
              <w:rPr>
                <w:color w:val="262626" w:themeColor="text1" w:themeTint="D9"/>
                <w:szCs w:val="19"/>
                <w:lang w:eastAsia="en-AU"/>
              </w:rPr>
              <w:t>220</w:t>
            </w:r>
          </w:p>
        </w:tc>
      </w:tr>
      <w:tr w:rsidR="00E465A1" w:rsidRPr="00E465A1" w:rsidTr="00AD6577">
        <w:trPr>
          <w:trHeight w:val="20"/>
        </w:trPr>
        <w:tc>
          <w:tcPr>
            <w:tcW w:w="6917" w:type="dxa"/>
            <w:tcBorders>
              <w:top w:val="nil"/>
              <w:left w:val="nil"/>
              <w:bottom w:val="nil"/>
            </w:tcBorders>
            <w:noWrap/>
            <w:tcMar>
              <w:left w:w="0" w:type="dxa"/>
              <w:right w:w="0" w:type="dxa"/>
            </w:tcMar>
            <w:vAlign w:val="bottom"/>
          </w:tcPr>
          <w:p w:rsidR="00E71F7D" w:rsidRPr="00E465A1" w:rsidRDefault="00E71F7D" w:rsidP="00E71F7D">
            <w:pPr>
              <w:pStyle w:val="Normalindent1stpara"/>
              <w:spacing w:before="0"/>
              <w:rPr>
                <w:b/>
                <w:color w:val="262626" w:themeColor="text1" w:themeTint="D9"/>
                <w:szCs w:val="19"/>
              </w:rPr>
            </w:pPr>
            <w:r w:rsidRPr="00E465A1">
              <w:rPr>
                <w:b/>
                <w:color w:val="262626" w:themeColor="text1" w:themeTint="D9"/>
                <w:szCs w:val="19"/>
              </w:rPr>
              <w:t>Total</w:t>
            </w:r>
          </w:p>
        </w:tc>
        <w:tc>
          <w:tcPr>
            <w:tcW w:w="596" w:type="dxa"/>
            <w:tcBorders>
              <w:top w:val="nil"/>
              <w:bottom w:val="nil"/>
            </w:tcBorders>
            <w:noWrap/>
            <w:tcMar>
              <w:left w:w="0" w:type="dxa"/>
              <w:right w:w="0" w:type="dxa"/>
            </w:tcMar>
          </w:tcPr>
          <w:p w:rsidR="00E71F7D" w:rsidRPr="00E465A1" w:rsidRDefault="00E71F7D" w:rsidP="00E71F7D">
            <w:pPr>
              <w:pStyle w:val="Normaltabletextcentred"/>
              <w:rPr>
                <w:b/>
                <w:color w:val="262626" w:themeColor="text1" w:themeTint="D9"/>
                <w:szCs w:val="19"/>
                <w:lang w:eastAsia="en-AU"/>
              </w:rPr>
            </w:pPr>
          </w:p>
        </w:tc>
        <w:tc>
          <w:tcPr>
            <w:tcW w:w="1134" w:type="dxa"/>
            <w:tcBorders>
              <w:top w:val="single" w:sz="4" w:space="0" w:color="auto"/>
              <w:bottom w:val="double" w:sz="4" w:space="0" w:color="auto"/>
            </w:tcBorders>
            <w:shd w:val="clear" w:color="auto" w:fill="FEE4B0"/>
            <w:noWrap/>
            <w:tcMar>
              <w:left w:w="0" w:type="dxa"/>
              <w:right w:w="113" w:type="dxa"/>
            </w:tcMar>
            <w:vAlign w:val="bottom"/>
          </w:tcPr>
          <w:p w:rsidR="00E71F7D" w:rsidRPr="00E465A1" w:rsidRDefault="000B0B6C" w:rsidP="00E71F7D">
            <w:pPr>
              <w:pStyle w:val="Normaltabletext1stpararight"/>
              <w:rPr>
                <w:b/>
                <w:color w:val="262626" w:themeColor="text1" w:themeTint="D9"/>
                <w:szCs w:val="19"/>
                <w:lang w:eastAsia="en-AU"/>
              </w:rPr>
            </w:pPr>
            <w:r w:rsidRPr="00E465A1">
              <w:rPr>
                <w:b/>
                <w:color w:val="262626" w:themeColor="text1" w:themeTint="D9"/>
                <w:szCs w:val="19"/>
                <w:lang w:eastAsia="en-AU"/>
              </w:rPr>
              <w:t>17,040</w:t>
            </w:r>
          </w:p>
        </w:tc>
        <w:tc>
          <w:tcPr>
            <w:tcW w:w="170" w:type="dxa"/>
            <w:tcBorders>
              <w:top w:val="nil"/>
              <w:bottom w:val="nil"/>
            </w:tcBorders>
            <w:noWrap/>
            <w:tcMar>
              <w:left w:w="0" w:type="dxa"/>
              <w:right w:w="0" w:type="dxa"/>
            </w:tcMar>
            <w:vAlign w:val="bottom"/>
          </w:tcPr>
          <w:p w:rsidR="00E71F7D" w:rsidRPr="00E465A1" w:rsidRDefault="00E71F7D" w:rsidP="00E71F7D">
            <w:pPr>
              <w:pStyle w:val="Normaltabletextcentred"/>
              <w:rPr>
                <w:b/>
                <w:color w:val="262626" w:themeColor="text1" w:themeTint="D9"/>
                <w:szCs w:val="19"/>
                <w:lang w:eastAsia="en-AU"/>
              </w:rPr>
            </w:pPr>
          </w:p>
        </w:tc>
        <w:tc>
          <w:tcPr>
            <w:tcW w:w="1105" w:type="dxa"/>
            <w:tcBorders>
              <w:top w:val="single" w:sz="4" w:space="0" w:color="auto"/>
              <w:bottom w:val="double" w:sz="4" w:space="0" w:color="auto"/>
              <w:right w:val="nil"/>
            </w:tcBorders>
            <w:noWrap/>
            <w:tcMar>
              <w:left w:w="0" w:type="dxa"/>
              <w:right w:w="113" w:type="dxa"/>
            </w:tcMar>
            <w:vAlign w:val="bottom"/>
          </w:tcPr>
          <w:p w:rsidR="00E71F7D" w:rsidRPr="00E465A1" w:rsidRDefault="00E71F7D" w:rsidP="00E71F7D">
            <w:pPr>
              <w:pStyle w:val="Normaltabletext1stpararight"/>
              <w:rPr>
                <w:b/>
                <w:color w:val="262626" w:themeColor="text1" w:themeTint="D9"/>
                <w:szCs w:val="19"/>
                <w:lang w:eastAsia="en-AU"/>
              </w:rPr>
            </w:pPr>
            <w:r w:rsidRPr="00E465A1">
              <w:rPr>
                <w:b/>
                <w:color w:val="262626" w:themeColor="text1" w:themeTint="D9"/>
                <w:szCs w:val="19"/>
                <w:lang w:eastAsia="en-AU"/>
              </w:rPr>
              <w:t>15,158</w:t>
            </w:r>
          </w:p>
        </w:tc>
      </w:tr>
    </w:tbl>
    <w:p w:rsidR="00CF2B87" w:rsidRPr="00E465A1" w:rsidRDefault="00CF2B87" w:rsidP="00D02455">
      <w:pPr>
        <w:pStyle w:val="Normalindent1stpara"/>
        <w:rPr>
          <w:color w:val="262626" w:themeColor="text1" w:themeTint="D9"/>
        </w:rPr>
      </w:pPr>
    </w:p>
    <w:p w:rsidR="009B25E5" w:rsidRPr="00E465A1" w:rsidRDefault="00650B14" w:rsidP="00D02455">
      <w:pPr>
        <w:pStyle w:val="Normalindent1stpara"/>
        <w:rPr>
          <w:color w:val="262626" w:themeColor="text1" w:themeTint="D9"/>
        </w:rPr>
      </w:pPr>
      <w:r w:rsidRPr="00E465A1">
        <w:rPr>
          <w:color w:val="262626" w:themeColor="text1" w:themeTint="D9"/>
        </w:rPr>
        <w:t xml:space="preserve">No financial assets have had their terms renegotiated so as to prevent them from being past due or </w:t>
      </w:r>
      <w:r w:rsidR="005421AD" w:rsidRPr="00E465A1">
        <w:rPr>
          <w:color w:val="262626" w:themeColor="text1" w:themeTint="D9"/>
        </w:rPr>
        <w:t>impaired.</w:t>
      </w:r>
    </w:p>
    <w:p w:rsidR="0064466D" w:rsidRPr="00E465A1" w:rsidRDefault="00E05AE5" w:rsidP="00D02455">
      <w:pPr>
        <w:pStyle w:val="NormalIndent1"/>
        <w:rPr>
          <w:color w:val="262626" w:themeColor="text1" w:themeTint="D9"/>
        </w:rPr>
      </w:pPr>
      <w:r w:rsidRPr="00E465A1">
        <w:rPr>
          <w:color w:val="262626" w:themeColor="text1" w:themeTint="D9"/>
        </w:rPr>
        <w:t xml:space="preserve">The </w:t>
      </w:r>
      <w:r w:rsidR="00EC2665" w:rsidRPr="00E465A1">
        <w:rPr>
          <w:color w:val="262626" w:themeColor="text1" w:themeTint="D9"/>
        </w:rPr>
        <w:t>CCC</w:t>
      </w:r>
      <w:r w:rsidRPr="00E465A1">
        <w:rPr>
          <w:color w:val="262626" w:themeColor="text1" w:themeTint="D9"/>
        </w:rPr>
        <w:t xml:space="preserve"> did not have any financial assets that were past due but not impaired in the current or previous period.</w:t>
      </w:r>
    </w:p>
    <w:p w:rsidR="00410B09" w:rsidRPr="00E465A1" w:rsidRDefault="00276E72" w:rsidP="006956B1">
      <w:pPr>
        <w:pStyle w:val="Normalhanginglist105pt"/>
        <w:rPr>
          <w:color w:val="262626" w:themeColor="text1" w:themeTint="D9"/>
        </w:rPr>
      </w:pPr>
      <w:r w:rsidRPr="00E465A1">
        <w:rPr>
          <w:color w:val="262626" w:themeColor="text1" w:themeTint="D9"/>
        </w:rPr>
        <w:tab/>
      </w:r>
    </w:p>
    <w:p w:rsidR="00247C11" w:rsidRPr="00E465A1" w:rsidRDefault="00247C11" w:rsidP="006956B1">
      <w:pPr>
        <w:pStyle w:val="Normalhanginglist105pt"/>
        <w:rPr>
          <w:color w:val="262626" w:themeColor="text1" w:themeTint="D9"/>
        </w:rPr>
      </w:pPr>
    </w:p>
    <w:p w:rsidR="00247C11" w:rsidRPr="00E465A1" w:rsidRDefault="00247C11" w:rsidP="00247C11">
      <w:pPr>
        <w:pStyle w:val="Normal115pttext"/>
        <w:rPr>
          <w:color w:val="262626" w:themeColor="text1" w:themeTint="D9"/>
        </w:rPr>
      </w:pPr>
      <w:r w:rsidRPr="00E465A1">
        <w:rPr>
          <w:color w:val="262626" w:themeColor="text1" w:themeTint="D9"/>
        </w:rPr>
        <w:lastRenderedPageBreak/>
        <w:t>Note 1</w:t>
      </w:r>
      <w:r w:rsidR="0014516F" w:rsidRPr="00E465A1">
        <w:rPr>
          <w:color w:val="262626" w:themeColor="text1" w:themeTint="D9"/>
        </w:rPr>
        <w:t>9</w:t>
      </w:r>
      <w:r w:rsidRPr="00E465A1">
        <w:rPr>
          <w:color w:val="262626" w:themeColor="text1" w:themeTint="D9"/>
        </w:rPr>
        <w:t>:  Financial Instruments (cont’d)</w:t>
      </w:r>
    </w:p>
    <w:p w:rsidR="00247C11" w:rsidRPr="00E465A1" w:rsidRDefault="00247C11" w:rsidP="00247C11">
      <w:pPr>
        <w:pStyle w:val="Normalhanginglist105pt"/>
        <w:rPr>
          <w:color w:val="262626" w:themeColor="text1" w:themeTint="D9"/>
        </w:rPr>
      </w:pPr>
      <w:r w:rsidRPr="00E465A1">
        <w:rPr>
          <w:color w:val="262626" w:themeColor="text1" w:themeTint="D9"/>
        </w:rPr>
        <w:t>(b)</w:t>
      </w:r>
      <w:r w:rsidRPr="00E465A1">
        <w:rPr>
          <w:color w:val="262626" w:themeColor="text1" w:themeTint="D9"/>
        </w:rPr>
        <w:tab/>
        <w:t>Financial Risk Management (cont’d)</w:t>
      </w:r>
    </w:p>
    <w:p w:rsidR="006956B1" w:rsidRPr="00E465A1" w:rsidRDefault="006956B1" w:rsidP="006956B1">
      <w:pPr>
        <w:pStyle w:val="Normalhanginglist105pt"/>
        <w:ind w:firstLine="0"/>
        <w:rPr>
          <w:color w:val="262626" w:themeColor="text1" w:themeTint="D9"/>
        </w:rPr>
      </w:pPr>
      <w:r w:rsidRPr="00E465A1">
        <w:rPr>
          <w:i/>
          <w:color w:val="262626" w:themeColor="text1" w:themeTint="D9"/>
        </w:rPr>
        <w:t>Liquidity</w:t>
      </w:r>
      <w:r w:rsidRPr="00E465A1">
        <w:rPr>
          <w:color w:val="262626" w:themeColor="text1" w:themeTint="D9"/>
        </w:rPr>
        <w:t xml:space="preserve"> </w:t>
      </w:r>
      <w:r w:rsidRPr="00E465A1">
        <w:rPr>
          <w:i/>
          <w:color w:val="262626" w:themeColor="text1" w:themeTint="D9"/>
        </w:rPr>
        <w:t>Risk</w:t>
      </w:r>
    </w:p>
    <w:p w:rsidR="006956B1" w:rsidRPr="00E465A1" w:rsidRDefault="006956B1" w:rsidP="006956B1">
      <w:pPr>
        <w:pStyle w:val="Normalindent1stpara"/>
        <w:rPr>
          <w:color w:val="262626" w:themeColor="text1" w:themeTint="D9"/>
        </w:rPr>
      </w:pPr>
      <w:r w:rsidRPr="00E465A1">
        <w:rPr>
          <w:color w:val="262626" w:themeColor="text1" w:themeTint="D9"/>
        </w:rPr>
        <w:t xml:space="preserve">Liquidity risk refers to the situation where the CCC may encounter difficulty in meeting obligations associated </w:t>
      </w:r>
      <w:r w:rsidRPr="00E465A1">
        <w:rPr>
          <w:color w:val="262626" w:themeColor="text1" w:themeTint="D9"/>
        </w:rPr>
        <w:br/>
        <w:t>with these financial liabilities</w:t>
      </w:r>
      <w:r w:rsidR="008C4A48" w:rsidRPr="00E465A1">
        <w:rPr>
          <w:color w:val="262626" w:themeColor="text1" w:themeTint="D9"/>
        </w:rPr>
        <w:t xml:space="preserve"> that are settled by delivering cash or another financial asset</w:t>
      </w:r>
      <w:r w:rsidRPr="00E465A1">
        <w:rPr>
          <w:color w:val="262626" w:themeColor="text1" w:themeTint="D9"/>
        </w:rPr>
        <w:t>.</w:t>
      </w:r>
    </w:p>
    <w:p w:rsidR="00410B09" w:rsidRPr="00E465A1" w:rsidRDefault="009B1112" w:rsidP="00A24D12">
      <w:pPr>
        <w:pStyle w:val="NormalIndent1"/>
        <w:rPr>
          <w:color w:val="262626" w:themeColor="text1" w:themeTint="D9"/>
        </w:rPr>
      </w:pPr>
      <w:r w:rsidRPr="00E465A1">
        <w:rPr>
          <w:color w:val="262626" w:themeColor="text1" w:themeTint="D9"/>
        </w:rPr>
        <w:t xml:space="preserve">The </w:t>
      </w:r>
      <w:r w:rsidR="00EC2665" w:rsidRPr="00E465A1">
        <w:rPr>
          <w:color w:val="262626" w:themeColor="text1" w:themeTint="D9"/>
        </w:rPr>
        <w:t>CCC</w:t>
      </w:r>
      <w:r w:rsidRPr="00E465A1">
        <w:rPr>
          <w:color w:val="262626" w:themeColor="text1" w:themeTint="D9"/>
        </w:rPr>
        <w:t xml:space="preserve"> manages liquidity risk by ensuring the </w:t>
      </w:r>
      <w:r w:rsidR="00EC2665" w:rsidRPr="00E465A1">
        <w:rPr>
          <w:color w:val="262626" w:themeColor="text1" w:themeTint="D9"/>
        </w:rPr>
        <w:t>CCC</w:t>
      </w:r>
      <w:r w:rsidRPr="00E465A1">
        <w:rPr>
          <w:color w:val="262626" w:themeColor="text1" w:themeTint="D9"/>
        </w:rPr>
        <w:t xml:space="preserve"> has sufficient funds available to meet employee </w:t>
      </w:r>
      <w:r w:rsidR="005421AD" w:rsidRPr="00E465A1">
        <w:rPr>
          <w:color w:val="262626" w:themeColor="text1" w:themeTint="D9"/>
        </w:rPr>
        <w:br/>
      </w:r>
      <w:r w:rsidRPr="00E465A1">
        <w:rPr>
          <w:color w:val="262626" w:themeColor="text1" w:themeTint="D9"/>
        </w:rPr>
        <w:t xml:space="preserve">and supplier obligations as they fall due. This is achieved by ensuring that sufficient levels of cash are held within the </w:t>
      </w:r>
      <w:r w:rsidR="005421AD" w:rsidRPr="00E465A1">
        <w:rPr>
          <w:color w:val="262626" w:themeColor="text1" w:themeTint="D9"/>
        </w:rPr>
        <w:br/>
      </w:r>
      <w:r w:rsidRPr="00E465A1">
        <w:rPr>
          <w:color w:val="262626" w:themeColor="text1" w:themeTint="D9"/>
        </w:rPr>
        <w:t>various bank accounts so as to match the expected duration of the various employee and supplier liabilities.</w:t>
      </w:r>
    </w:p>
    <w:p w:rsidR="0024432A" w:rsidRPr="00E465A1" w:rsidRDefault="0024432A" w:rsidP="00ED747E">
      <w:pPr>
        <w:pStyle w:val="NormalIndent1"/>
        <w:spacing w:line="220" w:lineRule="exact"/>
        <w:rPr>
          <w:color w:val="262626" w:themeColor="text1" w:themeTint="D9"/>
        </w:rPr>
      </w:pPr>
      <w:r w:rsidRPr="00E465A1">
        <w:rPr>
          <w:color w:val="262626" w:themeColor="text1" w:themeTint="D9"/>
        </w:rPr>
        <w:t xml:space="preserve">The following table sets out the liquidity risk of financial liabilities held by the </w:t>
      </w:r>
      <w:r w:rsidR="00EC2665" w:rsidRPr="00E465A1">
        <w:rPr>
          <w:color w:val="262626" w:themeColor="text1" w:themeTint="D9"/>
        </w:rPr>
        <w:t>CCC</w:t>
      </w:r>
      <w:r w:rsidRPr="00E465A1">
        <w:rPr>
          <w:color w:val="262626" w:themeColor="text1" w:themeTint="D9"/>
        </w:rPr>
        <w:t>.</w:t>
      </w:r>
    </w:p>
    <w:p w:rsidR="00126F5D" w:rsidRPr="00E465A1" w:rsidRDefault="00126F5D" w:rsidP="00126F5D">
      <w:pPr>
        <w:pStyle w:val="Normalindent1stpara"/>
        <w:rPr>
          <w:color w:val="262626" w:themeColor="text1" w:themeTint="D9"/>
        </w:rPr>
      </w:pPr>
    </w:p>
    <w:tbl>
      <w:tblPr>
        <w:tblW w:w="9780" w:type="dxa"/>
        <w:tblInd w:w="426" w:type="dxa"/>
        <w:tblLayout w:type="fixed"/>
        <w:tblCellMar>
          <w:left w:w="0" w:type="dxa"/>
        </w:tblCellMar>
        <w:tblLook w:val="01E0" w:firstRow="1" w:lastRow="1" w:firstColumn="1" w:lastColumn="1" w:noHBand="0" w:noVBand="0"/>
      </w:tblPr>
      <w:tblGrid>
        <w:gridCol w:w="2126"/>
        <w:gridCol w:w="850"/>
        <w:gridCol w:w="851"/>
        <w:gridCol w:w="850"/>
        <w:gridCol w:w="851"/>
        <w:gridCol w:w="850"/>
        <w:gridCol w:w="851"/>
        <w:gridCol w:w="850"/>
        <w:gridCol w:w="851"/>
        <w:gridCol w:w="850"/>
      </w:tblGrid>
      <w:tr w:rsidR="00E465A1" w:rsidRPr="00E465A1" w:rsidTr="00247C11">
        <w:trPr>
          <w:trHeight w:val="267"/>
        </w:trPr>
        <w:tc>
          <w:tcPr>
            <w:tcW w:w="2126" w:type="dxa"/>
            <w:tcMar>
              <w:left w:w="0" w:type="dxa"/>
              <w:right w:w="0" w:type="dxa"/>
            </w:tcMar>
          </w:tcPr>
          <w:p w:rsidR="00150BC9" w:rsidRPr="00E465A1" w:rsidRDefault="00150BC9" w:rsidP="007D3491">
            <w:pPr>
              <w:spacing w:line="246" w:lineRule="exact"/>
              <w:rPr>
                <w:rFonts w:cstheme="minorHAnsi"/>
                <w:color w:val="262626" w:themeColor="text1" w:themeTint="D9"/>
                <w:szCs w:val="19"/>
              </w:rPr>
            </w:pPr>
          </w:p>
        </w:tc>
        <w:tc>
          <w:tcPr>
            <w:tcW w:w="850" w:type="dxa"/>
            <w:tcMar>
              <w:left w:w="0" w:type="dxa"/>
              <w:right w:w="0" w:type="dxa"/>
            </w:tcMar>
          </w:tcPr>
          <w:p w:rsidR="00150BC9" w:rsidRPr="00E465A1" w:rsidRDefault="00150BC9" w:rsidP="007D3491">
            <w:pPr>
              <w:spacing w:line="246" w:lineRule="exact"/>
              <w:rPr>
                <w:rFonts w:cstheme="minorHAnsi"/>
                <w:b/>
                <w:color w:val="262626" w:themeColor="text1" w:themeTint="D9"/>
                <w:szCs w:val="19"/>
              </w:rPr>
            </w:pPr>
          </w:p>
        </w:tc>
        <w:tc>
          <w:tcPr>
            <w:tcW w:w="5103" w:type="dxa"/>
            <w:gridSpan w:val="6"/>
          </w:tcPr>
          <w:p w:rsidR="00150BC9" w:rsidRPr="00E465A1" w:rsidRDefault="00150BC9" w:rsidP="00C911CB">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Payable in</w:t>
            </w:r>
          </w:p>
        </w:tc>
        <w:tc>
          <w:tcPr>
            <w:tcW w:w="1701" w:type="dxa"/>
            <w:gridSpan w:val="2"/>
            <w:vMerge w:val="restart"/>
            <w:tcBorders>
              <w:bottom w:val="single" w:sz="4" w:space="0" w:color="auto"/>
            </w:tcBorders>
            <w:tcMar>
              <w:left w:w="0" w:type="dxa"/>
              <w:bottom w:w="0" w:type="dxa"/>
              <w:right w:w="113" w:type="dxa"/>
            </w:tcMar>
            <w:vAlign w:val="bottom"/>
          </w:tcPr>
          <w:p w:rsidR="00150BC9" w:rsidRPr="00E465A1" w:rsidRDefault="00150BC9" w:rsidP="00150BC9">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Total</w:t>
            </w:r>
          </w:p>
        </w:tc>
      </w:tr>
      <w:tr w:rsidR="00E465A1" w:rsidRPr="00E465A1" w:rsidTr="00247C11">
        <w:trPr>
          <w:trHeight w:val="343"/>
        </w:trPr>
        <w:tc>
          <w:tcPr>
            <w:tcW w:w="2126" w:type="dxa"/>
            <w:tcMar>
              <w:left w:w="0" w:type="dxa"/>
              <w:right w:w="0" w:type="dxa"/>
            </w:tcMar>
          </w:tcPr>
          <w:p w:rsidR="00150BC9" w:rsidRPr="00E465A1" w:rsidRDefault="00150BC9" w:rsidP="007D3491">
            <w:pPr>
              <w:spacing w:line="246" w:lineRule="exact"/>
              <w:jc w:val="center"/>
              <w:rPr>
                <w:rFonts w:cstheme="minorHAnsi"/>
                <w:color w:val="262626" w:themeColor="text1" w:themeTint="D9"/>
                <w:szCs w:val="19"/>
              </w:rPr>
            </w:pPr>
          </w:p>
        </w:tc>
        <w:tc>
          <w:tcPr>
            <w:tcW w:w="850" w:type="dxa"/>
            <w:tcMar>
              <w:top w:w="57" w:type="dxa"/>
              <w:left w:w="0" w:type="dxa"/>
              <w:bottom w:w="57" w:type="dxa"/>
              <w:right w:w="0" w:type="dxa"/>
            </w:tcMar>
          </w:tcPr>
          <w:p w:rsidR="00150BC9" w:rsidRPr="00E465A1" w:rsidRDefault="00150BC9" w:rsidP="007D3491">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Note</w:t>
            </w:r>
          </w:p>
        </w:tc>
        <w:tc>
          <w:tcPr>
            <w:tcW w:w="1701" w:type="dxa"/>
            <w:gridSpan w:val="2"/>
            <w:tcBorders>
              <w:top w:val="single" w:sz="4" w:space="0" w:color="auto"/>
              <w:bottom w:val="single" w:sz="4" w:space="0" w:color="auto"/>
            </w:tcBorders>
            <w:tcMar>
              <w:top w:w="0" w:type="dxa"/>
              <w:left w:w="0" w:type="dxa"/>
              <w:bottom w:w="0" w:type="dxa"/>
              <w:right w:w="113" w:type="dxa"/>
            </w:tcMar>
          </w:tcPr>
          <w:p w:rsidR="00150BC9" w:rsidRPr="00E465A1" w:rsidRDefault="00150BC9" w:rsidP="007D3491">
            <w:pPr>
              <w:spacing w:line="246" w:lineRule="exact"/>
              <w:jc w:val="right"/>
              <w:rPr>
                <w:rFonts w:cstheme="minorHAnsi"/>
                <w:b/>
                <w:color w:val="262626" w:themeColor="text1" w:themeTint="D9"/>
                <w:szCs w:val="19"/>
              </w:rPr>
            </w:pPr>
            <w:r w:rsidRPr="00E465A1">
              <w:rPr>
                <w:rFonts w:cstheme="minorHAnsi"/>
                <w:b/>
                <w:color w:val="262626" w:themeColor="text1" w:themeTint="D9"/>
                <w:szCs w:val="19"/>
              </w:rPr>
              <w:t>&lt; 1 year</w:t>
            </w:r>
          </w:p>
        </w:tc>
        <w:tc>
          <w:tcPr>
            <w:tcW w:w="1701" w:type="dxa"/>
            <w:gridSpan w:val="2"/>
            <w:tcBorders>
              <w:top w:val="single" w:sz="4" w:space="0" w:color="auto"/>
              <w:bottom w:val="single" w:sz="4" w:space="0" w:color="auto"/>
            </w:tcBorders>
            <w:tcMar>
              <w:top w:w="0" w:type="dxa"/>
              <w:left w:w="0" w:type="dxa"/>
              <w:bottom w:w="0" w:type="dxa"/>
              <w:right w:w="113" w:type="dxa"/>
            </w:tcMar>
          </w:tcPr>
          <w:p w:rsidR="00150BC9" w:rsidRPr="00E465A1" w:rsidRDefault="00150BC9" w:rsidP="007D3491">
            <w:pPr>
              <w:spacing w:line="246" w:lineRule="exact"/>
              <w:jc w:val="right"/>
              <w:rPr>
                <w:rFonts w:cstheme="minorHAnsi"/>
                <w:b/>
                <w:color w:val="262626" w:themeColor="text1" w:themeTint="D9"/>
                <w:szCs w:val="19"/>
              </w:rPr>
            </w:pPr>
            <w:r w:rsidRPr="00E465A1">
              <w:rPr>
                <w:rFonts w:cstheme="minorHAnsi"/>
                <w:b/>
                <w:color w:val="262626" w:themeColor="text1" w:themeTint="D9"/>
                <w:szCs w:val="19"/>
              </w:rPr>
              <w:t>1–5 years</w:t>
            </w:r>
          </w:p>
        </w:tc>
        <w:tc>
          <w:tcPr>
            <w:tcW w:w="1701" w:type="dxa"/>
            <w:gridSpan w:val="2"/>
            <w:tcBorders>
              <w:top w:val="single" w:sz="4" w:space="0" w:color="auto"/>
              <w:bottom w:val="single" w:sz="4" w:space="0" w:color="auto"/>
            </w:tcBorders>
            <w:tcMar>
              <w:top w:w="0" w:type="dxa"/>
              <w:left w:w="0" w:type="dxa"/>
              <w:bottom w:w="0" w:type="dxa"/>
              <w:right w:w="113" w:type="dxa"/>
            </w:tcMar>
          </w:tcPr>
          <w:p w:rsidR="00150BC9" w:rsidRPr="00E465A1" w:rsidRDefault="00150BC9" w:rsidP="007D3491">
            <w:pPr>
              <w:spacing w:line="246" w:lineRule="exact"/>
              <w:jc w:val="right"/>
              <w:rPr>
                <w:rFonts w:cstheme="minorHAnsi"/>
                <w:b/>
                <w:color w:val="262626" w:themeColor="text1" w:themeTint="D9"/>
                <w:szCs w:val="19"/>
              </w:rPr>
            </w:pPr>
            <w:r w:rsidRPr="00E465A1">
              <w:rPr>
                <w:rFonts w:cstheme="minorHAnsi"/>
                <w:b/>
                <w:color w:val="262626" w:themeColor="text1" w:themeTint="D9"/>
                <w:szCs w:val="19"/>
              </w:rPr>
              <w:t>&gt; 5 years</w:t>
            </w:r>
          </w:p>
        </w:tc>
        <w:tc>
          <w:tcPr>
            <w:tcW w:w="1701" w:type="dxa"/>
            <w:gridSpan w:val="2"/>
            <w:vMerge/>
            <w:tcBorders>
              <w:bottom w:val="single" w:sz="4" w:space="0" w:color="auto"/>
            </w:tcBorders>
            <w:tcMar>
              <w:top w:w="57" w:type="dxa"/>
              <w:left w:w="0" w:type="dxa"/>
              <w:bottom w:w="0" w:type="dxa"/>
              <w:right w:w="0" w:type="dxa"/>
            </w:tcMar>
            <w:vAlign w:val="bottom"/>
          </w:tcPr>
          <w:p w:rsidR="00150BC9" w:rsidRPr="00E465A1" w:rsidRDefault="00150BC9" w:rsidP="007D3491">
            <w:pPr>
              <w:spacing w:line="246" w:lineRule="exact"/>
              <w:jc w:val="right"/>
              <w:rPr>
                <w:rFonts w:cstheme="minorHAnsi"/>
                <w:b/>
                <w:color w:val="262626" w:themeColor="text1" w:themeTint="D9"/>
                <w:szCs w:val="19"/>
              </w:rPr>
            </w:pPr>
          </w:p>
        </w:tc>
      </w:tr>
      <w:tr w:rsidR="00E465A1" w:rsidRPr="00E465A1" w:rsidTr="00AD6577">
        <w:tc>
          <w:tcPr>
            <w:tcW w:w="2126" w:type="dxa"/>
            <w:tcMar>
              <w:left w:w="0" w:type="dxa"/>
              <w:right w:w="0" w:type="dxa"/>
            </w:tcMar>
          </w:tcPr>
          <w:p w:rsidR="00B42CC9" w:rsidRPr="00E465A1" w:rsidRDefault="00B42CC9" w:rsidP="00B42CC9">
            <w:pPr>
              <w:spacing w:line="246" w:lineRule="exact"/>
              <w:jc w:val="right"/>
              <w:rPr>
                <w:rFonts w:cstheme="minorHAnsi"/>
                <w:b/>
                <w:color w:val="262626" w:themeColor="text1" w:themeTint="D9"/>
                <w:szCs w:val="19"/>
              </w:rPr>
            </w:pPr>
          </w:p>
        </w:tc>
        <w:tc>
          <w:tcPr>
            <w:tcW w:w="850" w:type="dxa"/>
            <w:tcMar>
              <w:left w:w="0" w:type="dxa"/>
              <w:right w:w="0" w:type="dxa"/>
            </w:tcMar>
          </w:tcPr>
          <w:p w:rsidR="00B42CC9" w:rsidRPr="00E465A1" w:rsidRDefault="00B42CC9" w:rsidP="00B42CC9">
            <w:pPr>
              <w:spacing w:line="246" w:lineRule="exact"/>
              <w:jc w:val="right"/>
              <w:rPr>
                <w:rFonts w:cstheme="minorHAnsi"/>
                <w:b/>
                <w:color w:val="262626" w:themeColor="text1" w:themeTint="D9"/>
                <w:szCs w:val="19"/>
              </w:rPr>
            </w:pPr>
          </w:p>
        </w:tc>
        <w:tc>
          <w:tcPr>
            <w:tcW w:w="851" w:type="dxa"/>
            <w:tcBorders>
              <w:top w:val="single" w:sz="4" w:space="0" w:color="auto"/>
              <w:right w:val="single" w:sz="4" w:space="0" w:color="auto"/>
            </w:tcBorders>
            <w:shd w:val="clear" w:color="auto" w:fill="FEE4B0"/>
            <w:tcMar>
              <w:left w:w="0" w:type="dxa"/>
              <w:right w:w="0" w:type="dxa"/>
            </w:tcMar>
            <w:vAlign w:val="bottom"/>
          </w:tcPr>
          <w:p w:rsidR="00B42CC9" w:rsidRPr="00E465A1" w:rsidRDefault="008238A9"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2018</w:t>
            </w:r>
          </w:p>
        </w:tc>
        <w:tc>
          <w:tcPr>
            <w:tcW w:w="850" w:type="dxa"/>
            <w:tcBorders>
              <w:top w:val="single" w:sz="4" w:space="0" w:color="auto"/>
              <w:left w:val="single" w:sz="4" w:space="0" w:color="auto"/>
              <w:right w:val="single" w:sz="4" w:space="0" w:color="auto"/>
            </w:tcBorders>
            <w:shd w:val="clear" w:color="auto" w:fill="FFFFFF" w:themeFill="background1"/>
            <w:vAlign w:val="bottom"/>
          </w:tcPr>
          <w:p w:rsidR="00B42CC9" w:rsidRPr="00E465A1" w:rsidRDefault="008238A9"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2017</w:t>
            </w:r>
          </w:p>
        </w:tc>
        <w:tc>
          <w:tcPr>
            <w:tcW w:w="851" w:type="dxa"/>
            <w:tcBorders>
              <w:top w:val="single" w:sz="4" w:space="0" w:color="auto"/>
              <w:left w:val="single" w:sz="4" w:space="0" w:color="auto"/>
              <w:right w:val="single" w:sz="4" w:space="0" w:color="auto"/>
            </w:tcBorders>
            <w:shd w:val="clear" w:color="auto" w:fill="FEE4B0"/>
            <w:tcMar>
              <w:left w:w="0" w:type="dxa"/>
              <w:right w:w="0" w:type="dxa"/>
            </w:tcMar>
            <w:vAlign w:val="bottom"/>
          </w:tcPr>
          <w:p w:rsidR="00B42CC9" w:rsidRPr="00E465A1" w:rsidRDefault="008238A9"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2018</w:t>
            </w:r>
          </w:p>
        </w:tc>
        <w:tc>
          <w:tcPr>
            <w:tcW w:w="850" w:type="dxa"/>
            <w:tcBorders>
              <w:top w:val="single" w:sz="4" w:space="0" w:color="auto"/>
              <w:left w:val="single" w:sz="4" w:space="0" w:color="auto"/>
              <w:right w:val="single" w:sz="4" w:space="0" w:color="auto"/>
            </w:tcBorders>
            <w:shd w:val="clear" w:color="auto" w:fill="FFFFFF" w:themeFill="background1"/>
            <w:vAlign w:val="bottom"/>
          </w:tcPr>
          <w:p w:rsidR="00B42CC9" w:rsidRPr="00E465A1" w:rsidRDefault="008238A9"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2017</w:t>
            </w:r>
          </w:p>
        </w:tc>
        <w:tc>
          <w:tcPr>
            <w:tcW w:w="851" w:type="dxa"/>
            <w:tcBorders>
              <w:top w:val="single" w:sz="4" w:space="0" w:color="auto"/>
              <w:left w:val="single" w:sz="4" w:space="0" w:color="auto"/>
              <w:right w:val="single" w:sz="4" w:space="0" w:color="auto"/>
            </w:tcBorders>
            <w:shd w:val="clear" w:color="auto" w:fill="FEE4B0"/>
            <w:tcMar>
              <w:left w:w="0" w:type="dxa"/>
              <w:right w:w="0" w:type="dxa"/>
            </w:tcMar>
            <w:vAlign w:val="bottom"/>
          </w:tcPr>
          <w:p w:rsidR="00B42CC9" w:rsidRPr="00E465A1" w:rsidRDefault="008238A9"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2018</w:t>
            </w:r>
          </w:p>
        </w:tc>
        <w:tc>
          <w:tcPr>
            <w:tcW w:w="850" w:type="dxa"/>
            <w:tcBorders>
              <w:top w:val="single" w:sz="4" w:space="0" w:color="auto"/>
              <w:right w:val="single" w:sz="4" w:space="0" w:color="auto"/>
            </w:tcBorders>
            <w:shd w:val="clear" w:color="auto" w:fill="FFFFFF" w:themeFill="background1"/>
            <w:vAlign w:val="bottom"/>
          </w:tcPr>
          <w:p w:rsidR="00B42CC9" w:rsidRPr="00E465A1" w:rsidRDefault="008238A9"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2017</w:t>
            </w:r>
          </w:p>
        </w:tc>
        <w:tc>
          <w:tcPr>
            <w:tcW w:w="851" w:type="dxa"/>
            <w:tcBorders>
              <w:top w:val="single" w:sz="4" w:space="0" w:color="auto"/>
              <w:left w:val="single" w:sz="4" w:space="0" w:color="auto"/>
            </w:tcBorders>
            <w:shd w:val="clear" w:color="auto" w:fill="FEE4B0"/>
            <w:tcMar>
              <w:left w:w="0" w:type="dxa"/>
              <w:right w:w="0" w:type="dxa"/>
            </w:tcMar>
            <w:vAlign w:val="bottom"/>
          </w:tcPr>
          <w:p w:rsidR="00B42CC9" w:rsidRPr="00E465A1" w:rsidRDefault="008238A9"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2018</w:t>
            </w:r>
          </w:p>
        </w:tc>
        <w:tc>
          <w:tcPr>
            <w:tcW w:w="850" w:type="dxa"/>
            <w:tcBorders>
              <w:top w:val="single" w:sz="4" w:space="0" w:color="auto"/>
              <w:left w:val="single" w:sz="4" w:space="0" w:color="auto"/>
            </w:tcBorders>
            <w:shd w:val="clear" w:color="auto" w:fill="FFFFFF" w:themeFill="background1"/>
            <w:vAlign w:val="bottom"/>
          </w:tcPr>
          <w:p w:rsidR="00B42CC9" w:rsidRPr="00E465A1" w:rsidRDefault="008238A9"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2017</w:t>
            </w:r>
          </w:p>
        </w:tc>
      </w:tr>
      <w:tr w:rsidR="00E465A1" w:rsidRPr="00E465A1" w:rsidTr="00AD6577">
        <w:tc>
          <w:tcPr>
            <w:tcW w:w="2126" w:type="dxa"/>
            <w:tcMar>
              <w:left w:w="0" w:type="dxa"/>
              <w:right w:w="0" w:type="dxa"/>
            </w:tcMar>
          </w:tcPr>
          <w:p w:rsidR="009D695A" w:rsidRPr="00E465A1" w:rsidRDefault="009D695A" w:rsidP="007D3491">
            <w:pPr>
              <w:spacing w:line="246" w:lineRule="exact"/>
              <w:jc w:val="right"/>
              <w:rPr>
                <w:rFonts w:cstheme="minorHAnsi"/>
                <w:b/>
                <w:color w:val="262626" w:themeColor="text1" w:themeTint="D9"/>
                <w:szCs w:val="19"/>
              </w:rPr>
            </w:pPr>
          </w:p>
        </w:tc>
        <w:tc>
          <w:tcPr>
            <w:tcW w:w="850" w:type="dxa"/>
            <w:tcMar>
              <w:left w:w="0" w:type="dxa"/>
              <w:right w:w="0" w:type="dxa"/>
            </w:tcMar>
          </w:tcPr>
          <w:p w:rsidR="009D695A" w:rsidRPr="00E465A1" w:rsidRDefault="009D695A" w:rsidP="007D3491">
            <w:pPr>
              <w:spacing w:line="246" w:lineRule="exact"/>
              <w:jc w:val="right"/>
              <w:rPr>
                <w:rFonts w:cstheme="minorHAnsi"/>
                <w:b/>
                <w:color w:val="262626" w:themeColor="text1" w:themeTint="D9"/>
                <w:szCs w:val="19"/>
              </w:rPr>
            </w:pPr>
          </w:p>
        </w:tc>
        <w:tc>
          <w:tcPr>
            <w:tcW w:w="851" w:type="dxa"/>
            <w:tcBorders>
              <w:bottom w:val="single" w:sz="4" w:space="0" w:color="auto"/>
              <w:right w:val="single" w:sz="4" w:space="0" w:color="auto"/>
            </w:tcBorders>
            <w:shd w:val="clear" w:color="auto" w:fill="FEE4B0"/>
            <w:tcMar>
              <w:left w:w="0" w:type="dxa"/>
              <w:right w:w="0" w:type="dxa"/>
            </w:tcMar>
            <w:vAlign w:val="bottom"/>
          </w:tcPr>
          <w:p w:rsidR="009D695A" w:rsidRPr="00E465A1" w:rsidRDefault="009D695A"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$’000</w:t>
            </w:r>
          </w:p>
        </w:tc>
        <w:tc>
          <w:tcPr>
            <w:tcW w:w="850" w:type="dxa"/>
            <w:tcBorders>
              <w:left w:val="single" w:sz="4" w:space="0" w:color="auto"/>
              <w:bottom w:val="single" w:sz="4" w:space="0" w:color="auto"/>
              <w:right w:val="single" w:sz="4" w:space="0" w:color="auto"/>
            </w:tcBorders>
            <w:shd w:val="clear" w:color="auto" w:fill="FFFFFF" w:themeFill="background1"/>
            <w:vAlign w:val="bottom"/>
          </w:tcPr>
          <w:p w:rsidR="009D695A" w:rsidRPr="00E465A1" w:rsidRDefault="009D695A"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$’000</w:t>
            </w:r>
          </w:p>
        </w:tc>
        <w:tc>
          <w:tcPr>
            <w:tcW w:w="851" w:type="dxa"/>
            <w:tcBorders>
              <w:left w:val="single" w:sz="4" w:space="0" w:color="auto"/>
              <w:bottom w:val="single" w:sz="4" w:space="0" w:color="auto"/>
              <w:right w:val="single" w:sz="4" w:space="0" w:color="auto"/>
            </w:tcBorders>
            <w:shd w:val="clear" w:color="auto" w:fill="FEE4B0"/>
            <w:tcMar>
              <w:left w:w="0" w:type="dxa"/>
              <w:right w:w="0" w:type="dxa"/>
            </w:tcMar>
            <w:vAlign w:val="bottom"/>
          </w:tcPr>
          <w:p w:rsidR="009D695A" w:rsidRPr="00E465A1" w:rsidRDefault="009D695A"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$’000</w:t>
            </w:r>
          </w:p>
        </w:tc>
        <w:tc>
          <w:tcPr>
            <w:tcW w:w="850" w:type="dxa"/>
            <w:tcBorders>
              <w:left w:val="single" w:sz="4" w:space="0" w:color="auto"/>
              <w:bottom w:val="single" w:sz="4" w:space="0" w:color="auto"/>
              <w:right w:val="single" w:sz="4" w:space="0" w:color="auto"/>
            </w:tcBorders>
            <w:shd w:val="clear" w:color="auto" w:fill="FFFFFF" w:themeFill="background1"/>
            <w:vAlign w:val="bottom"/>
          </w:tcPr>
          <w:p w:rsidR="009D695A" w:rsidRPr="00E465A1" w:rsidRDefault="009D695A"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$’000</w:t>
            </w:r>
          </w:p>
        </w:tc>
        <w:tc>
          <w:tcPr>
            <w:tcW w:w="851" w:type="dxa"/>
            <w:tcBorders>
              <w:left w:val="single" w:sz="4" w:space="0" w:color="auto"/>
              <w:bottom w:val="single" w:sz="4" w:space="0" w:color="auto"/>
              <w:right w:val="single" w:sz="4" w:space="0" w:color="auto"/>
            </w:tcBorders>
            <w:shd w:val="clear" w:color="auto" w:fill="FEE4B0"/>
            <w:tcMar>
              <w:left w:w="0" w:type="dxa"/>
              <w:right w:w="0" w:type="dxa"/>
            </w:tcMar>
            <w:vAlign w:val="bottom"/>
          </w:tcPr>
          <w:p w:rsidR="009D695A" w:rsidRPr="00E465A1" w:rsidRDefault="009D695A"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$’000</w:t>
            </w:r>
          </w:p>
        </w:tc>
        <w:tc>
          <w:tcPr>
            <w:tcW w:w="850" w:type="dxa"/>
            <w:tcBorders>
              <w:bottom w:val="single" w:sz="4" w:space="0" w:color="auto"/>
              <w:right w:val="single" w:sz="4" w:space="0" w:color="auto"/>
            </w:tcBorders>
            <w:shd w:val="clear" w:color="auto" w:fill="FFFFFF" w:themeFill="background1"/>
            <w:vAlign w:val="bottom"/>
          </w:tcPr>
          <w:p w:rsidR="009D695A" w:rsidRPr="00E465A1" w:rsidRDefault="009D695A"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$’000</w:t>
            </w:r>
          </w:p>
        </w:tc>
        <w:tc>
          <w:tcPr>
            <w:tcW w:w="851" w:type="dxa"/>
            <w:tcBorders>
              <w:left w:val="single" w:sz="4" w:space="0" w:color="auto"/>
              <w:bottom w:val="single" w:sz="4" w:space="0" w:color="auto"/>
            </w:tcBorders>
            <w:shd w:val="clear" w:color="auto" w:fill="FEE4B0"/>
            <w:tcMar>
              <w:left w:w="0" w:type="dxa"/>
              <w:right w:w="0" w:type="dxa"/>
            </w:tcMar>
            <w:vAlign w:val="bottom"/>
          </w:tcPr>
          <w:p w:rsidR="009D695A" w:rsidRPr="00E465A1" w:rsidRDefault="009D695A"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$’000</w:t>
            </w:r>
          </w:p>
        </w:tc>
        <w:tc>
          <w:tcPr>
            <w:tcW w:w="850" w:type="dxa"/>
            <w:tcBorders>
              <w:left w:val="single" w:sz="4" w:space="0" w:color="auto"/>
              <w:bottom w:val="single" w:sz="4" w:space="0" w:color="auto"/>
            </w:tcBorders>
            <w:shd w:val="clear" w:color="auto" w:fill="FFFFFF" w:themeFill="background1"/>
            <w:vAlign w:val="bottom"/>
          </w:tcPr>
          <w:p w:rsidR="009D695A" w:rsidRPr="00E465A1" w:rsidRDefault="009D695A" w:rsidP="001D7218">
            <w:pPr>
              <w:spacing w:line="246" w:lineRule="exact"/>
              <w:jc w:val="center"/>
              <w:rPr>
                <w:rFonts w:cstheme="minorHAnsi"/>
                <w:b/>
                <w:color w:val="262626" w:themeColor="text1" w:themeTint="D9"/>
                <w:szCs w:val="19"/>
              </w:rPr>
            </w:pPr>
            <w:r w:rsidRPr="00E465A1">
              <w:rPr>
                <w:rFonts w:cstheme="minorHAnsi"/>
                <w:b/>
                <w:color w:val="262626" w:themeColor="text1" w:themeTint="D9"/>
                <w:szCs w:val="19"/>
              </w:rPr>
              <w:t>$’000</w:t>
            </w:r>
          </w:p>
        </w:tc>
      </w:tr>
      <w:tr w:rsidR="00E465A1" w:rsidRPr="00E465A1" w:rsidTr="00AD6577">
        <w:trPr>
          <w:trHeight w:val="227"/>
        </w:trPr>
        <w:tc>
          <w:tcPr>
            <w:tcW w:w="2126" w:type="dxa"/>
            <w:tcMar>
              <w:left w:w="0" w:type="dxa"/>
              <w:right w:w="0" w:type="dxa"/>
            </w:tcMar>
          </w:tcPr>
          <w:p w:rsidR="009D695A" w:rsidRPr="00E465A1" w:rsidRDefault="009D695A" w:rsidP="007D3491">
            <w:pPr>
              <w:spacing w:line="246" w:lineRule="exact"/>
              <w:rPr>
                <w:rFonts w:cstheme="minorHAnsi"/>
                <w:b/>
                <w:color w:val="262626" w:themeColor="text1" w:themeTint="D9"/>
                <w:szCs w:val="19"/>
              </w:rPr>
            </w:pPr>
            <w:r w:rsidRPr="00E465A1">
              <w:rPr>
                <w:rFonts w:cstheme="minorHAnsi"/>
                <w:b/>
                <w:color w:val="262626" w:themeColor="text1" w:themeTint="D9"/>
                <w:szCs w:val="19"/>
              </w:rPr>
              <w:t>Financial liabilities</w:t>
            </w:r>
          </w:p>
        </w:tc>
        <w:tc>
          <w:tcPr>
            <w:tcW w:w="850" w:type="dxa"/>
            <w:tcMar>
              <w:left w:w="0" w:type="dxa"/>
              <w:right w:w="0" w:type="dxa"/>
            </w:tcMar>
          </w:tcPr>
          <w:p w:rsidR="009D695A" w:rsidRPr="00E465A1" w:rsidRDefault="009D695A" w:rsidP="007D3491">
            <w:pPr>
              <w:spacing w:line="246" w:lineRule="exact"/>
              <w:rPr>
                <w:rFonts w:cstheme="minorHAnsi"/>
                <w:b/>
                <w:color w:val="262626" w:themeColor="text1" w:themeTint="D9"/>
                <w:szCs w:val="19"/>
              </w:rPr>
            </w:pPr>
          </w:p>
        </w:tc>
        <w:tc>
          <w:tcPr>
            <w:tcW w:w="851" w:type="dxa"/>
            <w:tcBorders>
              <w:top w:val="single" w:sz="4" w:space="0" w:color="auto"/>
              <w:right w:val="single" w:sz="4" w:space="0" w:color="auto"/>
            </w:tcBorders>
            <w:shd w:val="clear" w:color="auto" w:fill="FEE4B0"/>
            <w:tcMar>
              <w:left w:w="0" w:type="dxa"/>
              <w:right w:w="0" w:type="dxa"/>
            </w:tcMar>
          </w:tcPr>
          <w:p w:rsidR="009D695A" w:rsidRPr="00E465A1" w:rsidRDefault="009D695A" w:rsidP="007D3491">
            <w:pPr>
              <w:spacing w:line="246" w:lineRule="exact"/>
              <w:rPr>
                <w:rFonts w:cstheme="minorHAnsi"/>
                <w:b/>
                <w:color w:val="262626" w:themeColor="text1" w:themeTint="D9"/>
                <w:szCs w:val="19"/>
              </w:rPr>
            </w:pPr>
          </w:p>
        </w:tc>
        <w:tc>
          <w:tcPr>
            <w:tcW w:w="850" w:type="dxa"/>
            <w:tcBorders>
              <w:top w:val="single" w:sz="4" w:space="0" w:color="auto"/>
              <w:left w:val="single" w:sz="4" w:space="0" w:color="auto"/>
              <w:right w:val="single" w:sz="4" w:space="0" w:color="auto"/>
            </w:tcBorders>
            <w:shd w:val="clear" w:color="auto" w:fill="FFFFFF" w:themeFill="background1"/>
          </w:tcPr>
          <w:p w:rsidR="009D695A" w:rsidRPr="00E465A1" w:rsidRDefault="009D695A" w:rsidP="007D3491">
            <w:pPr>
              <w:spacing w:line="246" w:lineRule="exact"/>
              <w:rPr>
                <w:rFonts w:cstheme="minorHAnsi"/>
                <w:b/>
                <w:color w:val="262626" w:themeColor="text1" w:themeTint="D9"/>
                <w:szCs w:val="19"/>
              </w:rPr>
            </w:pPr>
          </w:p>
        </w:tc>
        <w:tc>
          <w:tcPr>
            <w:tcW w:w="851" w:type="dxa"/>
            <w:tcBorders>
              <w:top w:val="single" w:sz="4" w:space="0" w:color="auto"/>
              <w:left w:val="single" w:sz="4" w:space="0" w:color="auto"/>
              <w:right w:val="single" w:sz="4" w:space="0" w:color="auto"/>
            </w:tcBorders>
            <w:shd w:val="clear" w:color="auto" w:fill="FEE4B0"/>
            <w:tcMar>
              <w:left w:w="0" w:type="dxa"/>
              <w:right w:w="0" w:type="dxa"/>
            </w:tcMar>
          </w:tcPr>
          <w:p w:rsidR="009D695A" w:rsidRPr="00E465A1" w:rsidRDefault="009D695A" w:rsidP="007D3491">
            <w:pPr>
              <w:spacing w:line="246" w:lineRule="exact"/>
              <w:rPr>
                <w:rFonts w:cstheme="minorHAnsi"/>
                <w:b/>
                <w:color w:val="262626" w:themeColor="text1" w:themeTint="D9"/>
                <w:szCs w:val="19"/>
              </w:rPr>
            </w:pPr>
          </w:p>
        </w:tc>
        <w:tc>
          <w:tcPr>
            <w:tcW w:w="850" w:type="dxa"/>
            <w:tcBorders>
              <w:top w:val="single" w:sz="4" w:space="0" w:color="auto"/>
              <w:left w:val="single" w:sz="4" w:space="0" w:color="auto"/>
              <w:right w:val="single" w:sz="4" w:space="0" w:color="auto"/>
            </w:tcBorders>
            <w:shd w:val="clear" w:color="auto" w:fill="FFFFFF" w:themeFill="background1"/>
          </w:tcPr>
          <w:p w:rsidR="009D695A" w:rsidRPr="00E465A1" w:rsidRDefault="009D695A" w:rsidP="007D3491">
            <w:pPr>
              <w:spacing w:line="246" w:lineRule="exact"/>
              <w:rPr>
                <w:rFonts w:cstheme="minorHAnsi"/>
                <w:b/>
                <w:color w:val="262626" w:themeColor="text1" w:themeTint="D9"/>
                <w:szCs w:val="19"/>
              </w:rPr>
            </w:pPr>
          </w:p>
        </w:tc>
        <w:tc>
          <w:tcPr>
            <w:tcW w:w="851" w:type="dxa"/>
            <w:tcBorders>
              <w:top w:val="single" w:sz="4" w:space="0" w:color="auto"/>
              <w:left w:val="single" w:sz="4" w:space="0" w:color="auto"/>
              <w:right w:val="single" w:sz="4" w:space="0" w:color="auto"/>
            </w:tcBorders>
            <w:shd w:val="clear" w:color="auto" w:fill="FEE4B0"/>
            <w:tcMar>
              <w:left w:w="0" w:type="dxa"/>
              <w:right w:w="0" w:type="dxa"/>
            </w:tcMar>
          </w:tcPr>
          <w:p w:rsidR="009D695A" w:rsidRPr="00E465A1" w:rsidRDefault="009D695A" w:rsidP="007D3491">
            <w:pPr>
              <w:spacing w:line="246" w:lineRule="exact"/>
              <w:rPr>
                <w:rFonts w:cstheme="minorHAnsi"/>
                <w:b/>
                <w:color w:val="262626" w:themeColor="text1" w:themeTint="D9"/>
                <w:szCs w:val="19"/>
              </w:rPr>
            </w:pPr>
          </w:p>
        </w:tc>
        <w:tc>
          <w:tcPr>
            <w:tcW w:w="850" w:type="dxa"/>
            <w:tcBorders>
              <w:top w:val="single" w:sz="4" w:space="0" w:color="auto"/>
              <w:right w:val="single" w:sz="4" w:space="0" w:color="auto"/>
            </w:tcBorders>
            <w:shd w:val="clear" w:color="auto" w:fill="FFFFFF" w:themeFill="background1"/>
          </w:tcPr>
          <w:p w:rsidR="009D695A" w:rsidRPr="00E465A1" w:rsidRDefault="009D695A" w:rsidP="007D3491">
            <w:pPr>
              <w:spacing w:line="246" w:lineRule="exact"/>
              <w:rPr>
                <w:rFonts w:cstheme="minorHAnsi"/>
                <w:b/>
                <w:color w:val="262626" w:themeColor="text1" w:themeTint="D9"/>
                <w:szCs w:val="19"/>
              </w:rPr>
            </w:pPr>
          </w:p>
        </w:tc>
        <w:tc>
          <w:tcPr>
            <w:tcW w:w="851" w:type="dxa"/>
            <w:tcBorders>
              <w:top w:val="single" w:sz="4" w:space="0" w:color="auto"/>
              <w:left w:val="single" w:sz="4" w:space="0" w:color="auto"/>
            </w:tcBorders>
            <w:shd w:val="clear" w:color="auto" w:fill="FEE4B0"/>
            <w:tcMar>
              <w:left w:w="0" w:type="dxa"/>
              <w:right w:w="0" w:type="dxa"/>
            </w:tcMar>
          </w:tcPr>
          <w:p w:rsidR="009D695A" w:rsidRPr="00E465A1" w:rsidRDefault="009D695A" w:rsidP="007D3491">
            <w:pPr>
              <w:spacing w:line="246" w:lineRule="exact"/>
              <w:rPr>
                <w:rFonts w:cstheme="minorHAnsi"/>
                <w:b/>
                <w:color w:val="262626" w:themeColor="text1" w:themeTint="D9"/>
                <w:szCs w:val="19"/>
              </w:rPr>
            </w:pPr>
          </w:p>
        </w:tc>
        <w:tc>
          <w:tcPr>
            <w:tcW w:w="850" w:type="dxa"/>
            <w:tcBorders>
              <w:top w:val="single" w:sz="4" w:space="0" w:color="auto"/>
              <w:left w:val="single" w:sz="4" w:space="0" w:color="auto"/>
            </w:tcBorders>
            <w:shd w:val="clear" w:color="auto" w:fill="FFFFFF" w:themeFill="background1"/>
          </w:tcPr>
          <w:p w:rsidR="009D695A" w:rsidRPr="00E465A1" w:rsidRDefault="009D695A" w:rsidP="007D3491">
            <w:pPr>
              <w:spacing w:line="246" w:lineRule="exact"/>
              <w:rPr>
                <w:rFonts w:cstheme="minorHAnsi"/>
                <w:b/>
                <w:color w:val="262626" w:themeColor="text1" w:themeTint="D9"/>
                <w:szCs w:val="19"/>
              </w:rPr>
            </w:pPr>
          </w:p>
        </w:tc>
      </w:tr>
      <w:tr w:rsidR="00E465A1" w:rsidRPr="00E465A1" w:rsidTr="00AD6577">
        <w:tc>
          <w:tcPr>
            <w:tcW w:w="2126" w:type="dxa"/>
            <w:tcMar>
              <w:left w:w="0" w:type="dxa"/>
              <w:right w:w="0" w:type="dxa"/>
            </w:tcMar>
          </w:tcPr>
          <w:p w:rsidR="008238A9" w:rsidRPr="00E465A1" w:rsidRDefault="008238A9" w:rsidP="008238A9">
            <w:pPr>
              <w:spacing w:line="246" w:lineRule="exact"/>
              <w:rPr>
                <w:rFonts w:cstheme="minorHAnsi"/>
                <w:color w:val="262626" w:themeColor="text1" w:themeTint="D9"/>
                <w:szCs w:val="19"/>
              </w:rPr>
            </w:pPr>
            <w:r w:rsidRPr="00E465A1">
              <w:rPr>
                <w:rFonts w:cstheme="minorHAnsi"/>
                <w:color w:val="262626" w:themeColor="text1" w:themeTint="D9"/>
                <w:szCs w:val="19"/>
              </w:rPr>
              <w:t>Contractual Payables</w:t>
            </w:r>
          </w:p>
        </w:tc>
        <w:tc>
          <w:tcPr>
            <w:tcW w:w="850" w:type="dxa"/>
            <w:tcMar>
              <w:left w:w="0" w:type="dxa"/>
              <w:right w:w="0" w:type="dxa"/>
            </w:tcMar>
            <w:vAlign w:val="bottom"/>
          </w:tcPr>
          <w:p w:rsidR="008238A9" w:rsidRPr="00E465A1" w:rsidRDefault="008238A9" w:rsidP="009A5B4D">
            <w:pPr>
              <w:spacing w:line="246" w:lineRule="exact"/>
              <w:jc w:val="center"/>
              <w:rPr>
                <w:rFonts w:cstheme="minorHAnsi"/>
                <w:color w:val="262626" w:themeColor="text1" w:themeTint="D9"/>
                <w:szCs w:val="19"/>
              </w:rPr>
            </w:pPr>
            <w:r w:rsidRPr="00E465A1">
              <w:rPr>
                <w:rFonts w:cstheme="minorHAnsi"/>
                <w:color w:val="262626" w:themeColor="text1" w:themeTint="D9"/>
                <w:szCs w:val="19"/>
              </w:rPr>
              <w:t>1</w:t>
            </w:r>
            <w:r w:rsidR="009A5B4D" w:rsidRPr="00E465A1">
              <w:rPr>
                <w:rFonts w:cstheme="minorHAnsi"/>
                <w:color w:val="262626" w:themeColor="text1" w:themeTint="D9"/>
                <w:szCs w:val="19"/>
              </w:rPr>
              <w:t>1</w:t>
            </w:r>
          </w:p>
        </w:tc>
        <w:tc>
          <w:tcPr>
            <w:tcW w:w="851" w:type="dxa"/>
            <w:tcBorders>
              <w:right w:val="single" w:sz="4" w:space="0" w:color="auto"/>
            </w:tcBorders>
            <w:shd w:val="clear" w:color="auto" w:fill="FEE4B0"/>
            <w:tcMar>
              <w:left w:w="0" w:type="dxa"/>
              <w:right w:w="113" w:type="dxa"/>
            </w:tcMar>
            <w:vAlign w:val="bottom"/>
          </w:tcPr>
          <w:p w:rsidR="008238A9" w:rsidRPr="00E465A1" w:rsidRDefault="009A5B4D" w:rsidP="00B04B20">
            <w:pPr>
              <w:pStyle w:val="Normaltabletext1stpararight"/>
              <w:rPr>
                <w:color w:val="262626" w:themeColor="text1" w:themeTint="D9"/>
                <w:szCs w:val="19"/>
                <w:lang w:eastAsia="en-AU"/>
              </w:rPr>
            </w:pPr>
            <w:r w:rsidRPr="00E465A1">
              <w:rPr>
                <w:color w:val="262626" w:themeColor="text1" w:themeTint="D9"/>
                <w:szCs w:val="19"/>
                <w:lang w:eastAsia="en-AU"/>
              </w:rPr>
              <w:t>4,6</w:t>
            </w:r>
            <w:r w:rsidR="00B04B20" w:rsidRPr="00E465A1">
              <w:rPr>
                <w:color w:val="262626" w:themeColor="text1" w:themeTint="D9"/>
                <w:szCs w:val="19"/>
                <w:lang w:eastAsia="en-AU"/>
              </w:rPr>
              <w:t>29</w:t>
            </w:r>
          </w:p>
        </w:tc>
        <w:tc>
          <w:tcPr>
            <w:tcW w:w="850" w:type="dxa"/>
            <w:tcBorders>
              <w:left w:val="single" w:sz="4" w:space="0" w:color="auto"/>
              <w:right w:val="single" w:sz="4" w:space="0" w:color="auto"/>
            </w:tcBorders>
            <w:shd w:val="clear" w:color="auto" w:fill="FFFFFF" w:themeFill="background1"/>
            <w:vAlign w:val="bottom"/>
          </w:tcPr>
          <w:p w:rsidR="008238A9" w:rsidRPr="00E465A1" w:rsidRDefault="008238A9" w:rsidP="008238A9">
            <w:pPr>
              <w:pStyle w:val="Normaltabletext1stpararight"/>
              <w:rPr>
                <w:color w:val="262626" w:themeColor="text1" w:themeTint="D9"/>
                <w:szCs w:val="19"/>
                <w:lang w:eastAsia="en-AU"/>
              </w:rPr>
            </w:pPr>
            <w:r w:rsidRPr="00E465A1">
              <w:rPr>
                <w:color w:val="262626" w:themeColor="text1" w:themeTint="D9"/>
                <w:szCs w:val="19"/>
                <w:lang w:eastAsia="en-AU"/>
              </w:rPr>
              <w:t>2,780</w:t>
            </w:r>
          </w:p>
        </w:tc>
        <w:tc>
          <w:tcPr>
            <w:tcW w:w="851" w:type="dxa"/>
            <w:tcBorders>
              <w:left w:val="single" w:sz="4" w:space="0" w:color="auto"/>
              <w:right w:val="single" w:sz="4" w:space="0" w:color="auto"/>
            </w:tcBorders>
            <w:shd w:val="clear" w:color="auto" w:fill="FEE4B0"/>
            <w:tcMar>
              <w:left w:w="0" w:type="dxa"/>
              <w:right w:w="113" w:type="dxa"/>
            </w:tcMar>
            <w:vAlign w:val="bottom"/>
          </w:tcPr>
          <w:p w:rsidR="008238A9" w:rsidRPr="00E465A1" w:rsidRDefault="00F43058" w:rsidP="008238A9">
            <w:pPr>
              <w:spacing w:line="246" w:lineRule="exact"/>
              <w:jc w:val="right"/>
              <w:rPr>
                <w:rFonts w:cstheme="minorHAnsi"/>
                <w:color w:val="262626" w:themeColor="text1" w:themeTint="D9"/>
                <w:szCs w:val="19"/>
              </w:rPr>
            </w:pPr>
            <w:r w:rsidRPr="00E465A1">
              <w:rPr>
                <w:rFonts w:cstheme="minorHAnsi"/>
                <w:color w:val="262626" w:themeColor="text1" w:themeTint="D9"/>
                <w:szCs w:val="19"/>
              </w:rPr>
              <w:t>–</w:t>
            </w:r>
          </w:p>
        </w:tc>
        <w:tc>
          <w:tcPr>
            <w:tcW w:w="850" w:type="dxa"/>
            <w:tcBorders>
              <w:left w:val="single" w:sz="4" w:space="0" w:color="auto"/>
              <w:right w:val="single" w:sz="4" w:space="0" w:color="auto"/>
            </w:tcBorders>
            <w:shd w:val="clear" w:color="auto" w:fill="FFFFFF" w:themeFill="background1"/>
          </w:tcPr>
          <w:p w:rsidR="008238A9" w:rsidRPr="00E465A1" w:rsidRDefault="008238A9" w:rsidP="008238A9">
            <w:pPr>
              <w:spacing w:line="246" w:lineRule="exact"/>
              <w:jc w:val="right"/>
              <w:rPr>
                <w:rFonts w:cstheme="minorHAnsi"/>
                <w:color w:val="262626" w:themeColor="text1" w:themeTint="D9"/>
                <w:szCs w:val="19"/>
              </w:rPr>
            </w:pPr>
            <w:r w:rsidRPr="00E465A1">
              <w:rPr>
                <w:rFonts w:cstheme="minorHAnsi"/>
                <w:color w:val="262626" w:themeColor="text1" w:themeTint="D9"/>
                <w:szCs w:val="19"/>
              </w:rPr>
              <w:t>–</w:t>
            </w:r>
          </w:p>
        </w:tc>
        <w:tc>
          <w:tcPr>
            <w:tcW w:w="851" w:type="dxa"/>
            <w:tcBorders>
              <w:left w:val="single" w:sz="4" w:space="0" w:color="auto"/>
              <w:right w:val="single" w:sz="4" w:space="0" w:color="auto"/>
            </w:tcBorders>
            <w:shd w:val="clear" w:color="auto" w:fill="FEE4B0"/>
            <w:tcMar>
              <w:left w:w="0" w:type="dxa"/>
              <w:right w:w="113" w:type="dxa"/>
            </w:tcMar>
            <w:vAlign w:val="bottom"/>
          </w:tcPr>
          <w:p w:rsidR="008238A9" w:rsidRPr="00E465A1" w:rsidRDefault="00F43058" w:rsidP="008238A9">
            <w:pPr>
              <w:spacing w:line="246" w:lineRule="exact"/>
              <w:jc w:val="right"/>
              <w:rPr>
                <w:rFonts w:cstheme="minorHAnsi"/>
                <w:color w:val="262626" w:themeColor="text1" w:themeTint="D9"/>
                <w:szCs w:val="19"/>
              </w:rPr>
            </w:pPr>
            <w:r w:rsidRPr="00E465A1">
              <w:rPr>
                <w:rFonts w:cstheme="minorHAnsi"/>
                <w:color w:val="262626" w:themeColor="text1" w:themeTint="D9"/>
                <w:szCs w:val="19"/>
              </w:rPr>
              <w:t>–</w:t>
            </w:r>
          </w:p>
        </w:tc>
        <w:tc>
          <w:tcPr>
            <w:tcW w:w="850" w:type="dxa"/>
            <w:tcBorders>
              <w:right w:val="single" w:sz="4" w:space="0" w:color="auto"/>
            </w:tcBorders>
            <w:shd w:val="clear" w:color="auto" w:fill="FFFFFF" w:themeFill="background1"/>
          </w:tcPr>
          <w:p w:rsidR="008238A9" w:rsidRPr="00E465A1" w:rsidRDefault="008238A9" w:rsidP="008238A9">
            <w:pPr>
              <w:spacing w:line="246" w:lineRule="exact"/>
              <w:jc w:val="right"/>
              <w:rPr>
                <w:rFonts w:cstheme="minorHAnsi"/>
                <w:color w:val="262626" w:themeColor="text1" w:themeTint="D9"/>
                <w:szCs w:val="19"/>
              </w:rPr>
            </w:pPr>
            <w:r w:rsidRPr="00E465A1">
              <w:rPr>
                <w:rFonts w:cstheme="minorHAnsi"/>
                <w:color w:val="262626" w:themeColor="text1" w:themeTint="D9"/>
                <w:szCs w:val="19"/>
              </w:rPr>
              <w:t>–</w:t>
            </w:r>
          </w:p>
        </w:tc>
        <w:tc>
          <w:tcPr>
            <w:tcW w:w="851" w:type="dxa"/>
            <w:tcBorders>
              <w:left w:val="single" w:sz="4" w:space="0" w:color="auto"/>
            </w:tcBorders>
            <w:shd w:val="clear" w:color="auto" w:fill="FEE4B0"/>
            <w:tcMar>
              <w:left w:w="0" w:type="dxa"/>
              <w:right w:w="113" w:type="dxa"/>
            </w:tcMar>
            <w:vAlign w:val="bottom"/>
          </w:tcPr>
          <w:p w:rsidR="008238A9" w:rsidRPr="00E465A1" w:rsidRDefault="004C093C" w:rsidP="00B04B20">
            <w:pPr>
              <w:spacing w:line="246" w:lineRule="exact"/>
              <w:jc w:val="right"/>
              <w:rPr>
                <w:rFonts w:cstheme="minorHAnsi"/>
                <w:color w:val="262626" w:themeColor="text1" w:themeTint="D9"/>
                <w:szCs w:val="19"/>
              </w:rPr>
            </w:pPr>
            <w:r w:rsidRPr="00E465A1">
              <w:rPr>
                <w:rFonts w:cstheme="minorHAnsi"/>
                <w:color w:val="262626" w:themeColor="text1" w:themeTint="D9"/>
                <w:szCs w:val="19"/>
              </w:rPr>
              <w:t>4,6</w:t>
            </w:r>
            <w:r w:rsidR="00B04B20" w:rsidRPr="00E465A1">
              <w:rPr>
                <w:rFonts w:cstheme="minorHAnsi"/>
                <w:color w:val="262626" w:themeColor="text1" w:themeTint="D9"/>
                <w:szCs w:val="19"/>
              </w:rPr>
              <w:t>29</w:t>
            </w:r>
          </w:p>
        </w:tc>
        <w:tc>
          <w:tcPr>
            <w:tcW w:w="850" w:type="dxa"/>
            <w:tcBorders>
              <w:left w:val="single" w:sz="4" w:space="0" w:color="auto"/>
            </w:tcBorders>
            <w:shd w:val="clear" w:color="auto" w:fill="FFFFFF" w:themeFill="background1"/>
            <w:vAlign w:val="bottom"/>
          </w:tcPr>
          <w:p w:rsidR="008238A9" w:rsidRPr="00E465A1" w:rsidRDefault="008238A9" w:rsidP="008238A9">
            <w:pPr>
              <w:spacing w:line="246" w:lineRule="exact"/>
              <w:jc w:val="right"/>
              <w:rPr>
                <w:rFonts w:cstheme="minorHAnsi"/>
                <w:color w:val="262626" w:themeColor="text1" w:themeTint="D9"/>
                <w:szCs w:val="19"/>
              </w:rPr>
            </w:pPr>
            <w:r w:rsidRPr="00E465A1">
              <w:rPr>
                <w:rFonts w:cstheme="minorHAnsi"/>
                <w:color w:val="262626" w:themeColor="text1" w:themeTint="D9"/>
                <w:szCs w:val="19"/>
              </w:rPr>
              <w:t>2,780</w:t>
            </w:r>
          </w:p>
        </w:tc>
      </w:tr>
      <w:tr w:rsidR="00E465A1" w:rsidRPr="00E465A1" w:rsidTr="00AD6577">
        <w:tc>
          <w:tcPr>
            <w:tcW w:w="2126" w:type="dxa"/>
            <w:tcMar>
              <w:left w:w="0" w:type="dxa"/>
              <w:right w:w="0" w:type="dxa"/>
            </w:tcMar>
          </w:tcPr>
          <w:p w:rsidR="008238A9" w:rsidRPr="00E465A1" w:rsidRDefault="008238A9" w:rsidP="008238A9">
            <w:pPr>
              <w:spacing w:line="246" w:lineRule="exact"/>
              <w:rPr>
                <w:rFonts w:cstheme="minorHAnsi"/>
                <w:b/>
                <w:color w:val="262626" w:themeColor="text1" w:themeTint="D9"/>
                <w:szCs w:val="19"/>
              </w:rPr>
            </w:pPr>
            <w:r w:rsidRPr="00E465A1">
              <w:rPr>
                <w:rFonts w:cstheme="minorHAnsi"/>
                <w:b/>
                <w:color w:val="262626" w:themeColor="text1" w:themeTint="D9"/>
                <w:szCs w:val="19"/>
              </w:rPr>
              <w:t>Total</w:t>
            </w:r>
          </w:p>
        </w:tc>
        <w:tc>
          <w:tcPr>
            <w:tcW w:w="850" w:type="dxa"/>
            <w:tcMar>
              <w:left w:w="0" w:type="dxa"/>
              <w:right w:w="0" w:type="dxa"/>
            </w:tcMar>
          </w:tcPr>
          <w:p w:rsidR="008238A9" w:rsidRPr="00E465A1" w:rsidRDefault="008238A9" w:rsidP="008238A9">
            <w:pPr>
              <w:spacing w:line="246" w:lineRule="exact"/>
              <w:jc w:val="center"/>
              <w:rPr>
                <w:rFonts w:cstheme="minorHAnsi"/>
                <w:b/>
                <w:color w:val="262626" w:themeColor="text1" w:themeTint="D9"/>
                <w:szCs w:val="19"/>
              </w:rPr>
            </w:pPr>
          </w:p>
        </w:tc>
        <w:tc>
          <w:tcPr>
            <w:tcW w:w="851" w:type="dxa"/>
            <w:tcBorders>
              <w:top w:val="single" w:sz="4" w:space="0" w:color="auto"/>
              <w:bottom w:val="double" w:sz="4" w:space="0" w:color="auto"/>
              <w:right w:val="single" w:sz="4" w:space="0" w:color="auto"/>
            </w:tcBorders>
            <w:shd w:val="clear" w:color="auto" w:fill="FEE4B0"/>
            <w:tcMar>
              <w:left w:w="0" w:type="dxa"/>
              <w:right w:w="113" w:type="dxa"/>
            </w:tcMar>
            <w:vAlign w:val="bottom"/>
          </w:tcPr>
          <w:p w:rsidR="008238A9" w:rsidRPr="00E465A1" w:rsidRDefault="00B04B20" w:rsidP="008238A9">
            <w:pPr>
              <w:spacing w:line="246" w:lineRule="exact"/>
              <w:jc w:val="right"/>
              <w:rPr>
                <w:rFonts w:cstheme="minorHAnsi"/>
                <w:b/>
                <w:color w:val="262626" w:themeColor="text1" w:themeTint="D9"/>
                <w:szCs w:val="19"/>
              </w:rPr>
            </w:pPr>
            <w:r w:rsidRPr="00E465A1">
              <w:rPr>
                <w:rFonts w:cstheme="minorHAnsi"/>
                <w:b/>
                <w:color w:val="262626" w:themeColor="text1" w:themeTint="D9"/>
                <w:szCs w:val="19"/>
              </w:rPr>
              <w:t>4,629</w:t>
            </w:r>
          </w:p>
        </w:tc>
        <w:tc>
          <w:tcPr>
            <w:tcW w:w="850" w:type="dxa"/>
            <w:tcBorders>
              <w:top w:val="single" w:sz="4" w:space="0" w:color="auto"/>
              <w:left w:val="single" w:sz="4" w:space="0" w:color="auto"/>
              <w:bottom w:val="double" w:sz="4" w:space="0" w:color="auto"/>
              <w:right w:val="single" w:sz="4" w:space="0" w:color="auto"/>
            </w:tcBorders>
            <w:shd w:val="clear" w:color="auto" w:fill="FFFFFF" w:themeFill="background1"/>
            <w:vAlign w:val="bottom"/>
          </w:tcPr>
          <w:p w:rsidR="008238A9" w:rsidRPr="00E465A1" w:rsidRDefault="008238A9" w:rsidP="008238A9">
            <w:pPr>
              <w:spacing w:line="246" w:lineRule="exact"/>
              <w:jc w:val="right"/>
              <w:rPr>
                <w:rFonts w:cstheme="minorHAnsi"/>
                <w:b/>
                <w:color w:val="262626" w:themeColor="text1" w:themeTint="D9"/>
                <w:szCs w:val="19"/>
              </w:rPr>
            </w:pPr>
            <w:r w:rsidRPr="00E465A1">
              <w:rPr>
                <w:rFonts w:cstheme="minorHAnsi"/>
                <w:b/>
                <w:color w:val="262626" w:themeColor="text1" w:themeTint="D9"/>
                <w:szCs w:val="19"/>
              </w:rPr>
              <w:t>2,780</w:t>
            </w:r>
          </w:p>
        </w:tc>
        <w:tc>
          <w:tcPr>
            <w:tcW w:w="851" w:type="dxa"/>
            <w:tcBorders>
              <w:top w:val="single" w:sz="4" w:space="0" w:color="auto"/>
              <w:left w:val="single" w:sz="4" w:space="0" w:color="auto"/>
              <w:bottom w:val="double" w:sz="4" w:space="0" w:color="auto"/>
              <w:right w:val="single" w:sz="4" w:space="0" w:color="auto"/>
            </w:tcBorders>
            <w:shd w:val="clear" w:color="auto" w:fill="FEE4B0"/>
            <w:tcMar>
              <w:left w:w="0" w:type="dxa"/>
              <w:right w:w="113" w:type="dxa"/>
            </w:tcMar>
            <w:vAlign w:val="bottom"/>
          </w:tcPr>
          <w:p w:rsidR="008238A9" w:rsidRPr="00E465A1" w:rsidRDefault="00F43058" w:rsidP="008238A9">
            <w:pPr>
              <w:spacing w:line="246" w:lineRule="exact"/>
              <w:jc w:val="right"/>
              <w:rPr>
                <w:rFonts w:cstheme="minorHAnsi"/>
                <w:b/>
                <w:color w:val="262626" w:themeColor="text1" w:themeTint="D9"/>
                <w:szCs w:val="19"/>
              </w:rPr>
            </w:pPr>
            <w:r w:rsidRPr="00E465A1">
              <w:rPr>
                <w:rFonts w:cstheme="minorHAnsi"/>
                <w:b/>
                <w:color w:val="262626" w:themeColor="text1" w:themeTint="D9"/>
                <w:szCs w:val="19"/>
              </w:rPr>
              <w:t>–</w:t>
            </w:r>
          </w:p>
        </w:tc>
        <w:tc>
          <w:tcPr>
            <w:tcW w:w="850" w:type="dxa"/>
            <w:tcBorders>
              <w:top w:val="single" w:sz="4" w:space="0" w:color="auto"/>
              <w:left w:val="single" w:sz="4" w:space="0" w:color="auto"/>
              <w:bottom w:val="double" w:sz="4" w:space="0" w:color="auto"/>
              <w:right w:val="single" w:sz="4" w:space="0" w:color="auto"/>
            </w:tcBorders>
            <w:shd w:val="clear" w:color="auto" w:fill="FFFFFF" w:themeFill="background1"/>
          </w:tcPr>
          <w:p w:rsidR="008238A9" w:rsidRPr="00E465A1" w:rsidRDefault="008238A9" w:rsidP="008238A9">
            <w:pPr>
              <w:spacing w:line="246" w:lineRule="exact"/>
              <w:jc w:val="right"/>
              <w:rPr>
                <w:rFonts w:cstheme="minorHAnsi"/>
                <w:b/>
                <w:iCs/>
                <w:color w:val="262626" w:themeColor="text1" w:themeTint="D9"/>
                <w:szCs w:val="19"/>
              </w:rPr>
            </w:pPr>
            <w:r w:rsidRPr="00E465A1">
              <w:rPr>
                <w:rFonts w:cstheme="minorHAnsi"/>
                <w:b/>
                <w:iCs/>
                <w:color w:val="262626" w:themeColor="text1" w:themeTint="D9"/>
                <w:szCs w:val="19"/>
              </w:rPr>
              <w:t>–</w:t>
            </w:r>
          </w:p>
        </w:tc>
        <w:tc>
          <w:tcPr>
            <w:tcW w:w="851" w:type="dxa"/>
            <w:tcBorders>
              <w:top w:val="single" w:sz="4" w:space="0" w:color="auto"/>
              <w:left w:val="single" w:sz="4" w:space="0" w:color="auto"/>
              <w:bottom w:val="double" w:sz="4" w:space="0" w:color="auto"/>
              <w:right w:val="single" w:sz="4" w:space="0" w:color="auto"/>
            </w:tcBorders>
            <w:shd w:val="clear" w:color="auto" w:fill="FEE4B0"/>
            <w:tcMar>
              <w:left w:w="0" w:type="dxa"/>
              <w:right w:w="113" w:type="dxa"/>
            </w:tcMar>
            <w:vAlign w:val="bottom"/>
          </w:tcPr>
          <w:p w:rsidR="008238A9" w:rsidRPr="00E465A1" w:rsidRDefault="00F43058" w:rsidP="008238A9">
            <w:pPr>
              <w:spacing w:line="246" w:lineRule="exact"/>
              <w:jc w:val="right"/>
              <w:rPr>
                <w:rFonts w:cstheme="minorHAnsi"/>
                <w:b/>
                <w:color w:val="262626" w:themeColor="text1" w:themeTint="D9"/>
                <w:szCs w:val="19"/>
              </w:rPr>
            </w:pPr>
            <w:r w:rsidRPr="00E465A1">
              <w:rPr>
                <w:rFonts w:cstheme="minorHAnsi"/>
                <w:b/>
                <w:color w:val="262626" w:themeColor="text1" w:themeTint="D9"/>
                <w:szCs w:val="19"/>
              </w:rPr>
              <w:t>–</w:t>
            </w:r>
          </w:p>
        </w:tc>
        <w:tc>
          <w:tcPr>
            <w:tcW w:w="850" w:type="dxa"/>
            <w:tcBorders>
              <w:top w:val="single" w:sz="4" w:space="0" w:color="auto"/>
              <w:bottom w:val="double" w:sz="4" w:space="0" w:color="auto"/>
              <w:right w:val="single" w:sz="4" w:space="0" w:color="auto"/>
            </w:tcBorders>
            <w:shd w:val="clear" w:color="auto" w:fill="FFFFFF" w:themeFill="background1"/>
          </w:tcPr>
          <w:p w:rsidR="008238A9" w:rsidRPr="00E465A1" w:rsidRDefault="008238A9" w:rsidP="008238A9">
            <w:pPr>
              <w:spacing w:line="246" w:lineRule="exact"/>
              <w:jc w:val="right"/>
              <w:rPr>
                <w:rFonts w:cstheme="minorHAnsi"/>
                <w:b/>
                <w:iCs/>
                <w:color w:val="262626" w:themeColor="text1" w:themeTint="D9"/>
                <w:szCs w:val="19"/>
              </w:rPr>
            </w:pPr>
            <w:r w:rsidRPr="00E465A1">
              <w:rPr>
                <w:rFonts w:cstheme="minorHAnsi"/>
                <w:b/>
                <w:iCs/>
                <w:color w:val="262626" w:themeColor="text1" w:themeTint="D9"/>
                <w:szCs w:val="19"/>
              </w:rPr>
              <w:t>–</w:t>
            </w:r>
          </w:p>
        </w:tc>
        <w:tc>
          <w:tcPr>
            <w:tcW w:w="851" w:type="dxa"/>
            <w:tcBorders>
              <w:top w:val="single" w:sz="4" w:space="0" w:color="auto"/>
              <w:left w:val="single" w:sz="4" w:space="0" w:color="auto"/>
              <w:bottom w:val="double" w:sz="4" w:space="0" w:color="auto"/>
            </w:tcBorders>
            <w:shd w:val="clear" w:color="auto" w:fill="FEE4B0"/>
            <w:tcMar>
              <w:left w:w="0" w:type="dxa"/>
              <w:right w:w="113" w:type="dxa"/>
            </w:tcMar>
            <w:vAlign w:val="bottom"/>
          </w:tcPr>
          <w:p w:rsidR="008238A9" w:rsidRPr="00E465A1" w:rsidRDefault="00B04B20" w:rsidP="008238A9">
            <w:pPr>
              <w:spacing w:line="246" w:lineRule="exact"/>
              <w:jc w:val="right"/>
              <w:rPr>
                <w:rFonts w:cstheme="minorHAnsi"/>
                <w:b/>
                <w:iCs/>
                <w:color w:val="262626" w:themeColor="text1" w:themeTint="D9"/>
                <w:szCs w:val="19"/>
              </w:rPr>
            </w:pPr>
            <w:r w:rsidRPr="00E465A1">
              <w:rPr>
                <w:rFonts w:cstheme="minorHAnsi"/>
                <w:b/>
                <w:color w:val="262626" w:themeColor="text1" w:themeTint="D9"/>
                <w:szCs w:val="19"/>
              </w:rPr>
              <w:t>4,629</w:t>
            </w:r>
          </w:p>
        </w:tc>
        <w:tc>
          <w:tcPr>
            <w:tcW w:w="850" w:type="dxa"/>
            <w:tcBorders>
              <w:top w:val="single" w:sz="4" w:space="0" w:color="auto"/>
              <w:left w:val="single" w:sz="4" w:space="0" w:color="auto"/>
              <w:bottom w:val="double" w:sz="4" w:space="0" w:color="auto"/>
            </w:tcBorders>
            <w:shd w:val="clear" w:color="auto" w:fill="FFFFFF" w:themeFill="background1"/>
            <w:vAlign w:val="bottom"/>
          </w:tcPr>
          <w:p w:rsidR="008238A9" w:rsidRPr="00E465A1" w:rsidRDefault="008238A9" w:rsidP="008238A9">
            <w:pPr>
              <w:spacing w:line="246" w:lineRule="exact"/>
              <w:jc w:val="right"/>
              <w:rPr>
                <w:rFonts w:cstheme="minorHAnsi"/>
                <w:b/>
                <w:iCs/>
                <w:color w:val="262626" w:themeColor="text1" w:themeTint="D9"/>
                <w:szCs w:val="19"/>
              </w:rPr>
            </w:pPr>
            <w:r w:rsidRPr="00E465A1">
              <w:rPr>
                <w:rFonts w:cstheme="minorHAnsi"/>
                <w:b/>
                <w:iCs/>
                <w:color w:val="262626" w:themeColor="text1" w:themeTint="D9"/>
                <w:szCs w:val="19"/>
              </w:rPr>
              <w:t>2,780</w:t>
            </w:r>
          </w:p>
        </w:tc>
      </w:tr>
    </w:tbl>
    <w:p w:rsidR="00532407" w:rsidRPr="00E465A1" w:rsidRDefault="00532407" w:rsidP="00532407">
      <w:pPr>
        <w:pStyle w:val="Normal1stpara"/>
        <w:rPr>
          <w:color w:val="262626" w:themeColor="text1" w:themeTint="D9"/>
        </w:rPr>
      </w:pPr>
    </w:p>
    <w:p w:rsidR="002D1D9A" w:rsidRPr="00E465A1" w:rsidRDefault="002D1D9A" w:rsidP="002D1D9A">
      <w:pPr>
        <w:pStyle w:val="Normalhanginglist105pt"/>
        <w:ind w:left="567" w:hanging="113"/>
        <w:rPr>
          <w:color w:val="262626" w:themeColor="text1" w:themeTint="D9"/>
        </w:rPr>
      </w:pPr>
      <w:r w:rsidRPr="00E465A1">
        <w:rPr>
          <w:i/>
          <w:color w:val="262626" w:themeColor="text1" w:themeTint="D9"/>
        </w:rPr>
        <w:t>Market</w:t>
      </w:r>
      <w:r w:rsidRPr="00E465A1">
        <w:rPr>
          <w:color w:val="262626" w:themeColor="text1" w:themeTint="D9"/>
        </w:rPr>
        <w:t xml:space="preserve"> </w:t>
      </w:r>
      <w:r w:rsidRPr="00E465A1">
        <w:rPr>
          <w:i/>
          <w:color w:val="262626" w:themeColor="text1" w:themeTint="D9"/>
        </w:rPr>
        <w:t>Risk</w:t>
      </w:r>
    </w:p>
    <w:p w:rsidR="002D1D9A" w:rsidRPr="00E465A1" w:rsidRDefault="002D1D9A" w:rsidP="002D1D9A">
      <w:pPr>
        <w:pStyle w:val="Normalindent1stpara"/>
        <w:rPr>
          <w:color w:val="262626" w:themeColor="text1" w:themeTint="D9"/>
        </w:rPr>
      </w:pPr>
      <w:r w:rsidRPr="00E465A1">
        <w:rPr>
          <w:color w:val="262626" w:themeColor="text1" w:themeTint="D9"/>
        </w:rPr>
        <w:t xml:space="preserve">Market risks refers to the risk that the fair value or future cash flows of a financial instrument will fluctuate because of changes in market prices. Market risk comprises three types of risk: currency risk, interest rate risk and other price risk. </w:t>
      </w:r>
    </w:p>
    <w:p w:rsidR="002D1D9A" w:rsidRPr="00E465A1" w:rsidRDefault="002D1D9A" w:rsidP="002D1D9A">
      <w:pPr>
        <w:pStyle w:val="Normalindent1stpara"/>
        <w:rPr>
          <w:color w:val="262626" w:themeColor="text1" w:themeTint="D9"/>
        </w:rPr>
      </w:pPr>
      <w:r w:rsidRPr="00E465A1">
        <w:rPr>
          <w:color w:val="262626" w:themeColor="text1" w:themeTint="D9"/>
        </w:rPr>
        <w:t xml:space="preserve">The CCC does not trade in foreign currency. It manages price risk and interest rate risk through its liquidity management strategy and by ensuring that expenditure is within funding levels. </w:t>
      </w:r>
    </w:p>
    <w:p w:rsidR="002D1D9A" w:rsidRPr="00E465A1" w:rsidRDefault="002D1D9A" w:rsidP="002D1D9A">
      <w:pPr>
        <w:pStyle w:val="Normalindent1stpara"/>
        <w:rPr>
          <w:color w:val="262626" w:themeColor="text1" w:themeTint="D9"/>
        </w:rPr>
      </w:pPr>
    </w:p>
    <w:p w:rsidR="002D1D9A" w:rsidRPr="00E465A1" w:rsidRDefault="002D1D9A" w:rsidP="002D1D9A">
      <w:pPr>
        <w:pStyle w:val="NormalIndent1"/>
        <w:rPr>
          <w:color w:val="262626" w:themeColor="text1" w:themeTint="D9"/>
        </w:rPr>
      </w:pPr>
      <w:r w:rsidRPr="00E465A1">
        <w:rPr>
          <w:color w:val="262626" w:themeColor="text1" w:themeTint="D9"/>
        </w:rPr>
        <w:t xml:space="preserve">Exposure to interest rate risk is limited to cash assets bearing variable interest rates. The CCC minimises risk by investing in secure short–term investments, mainly fixed deposits, in accordance with Part 6 of the </w:t>
      </w:r>
      <w:r w:rsidRPr="00E465A1">
        <w:rPr>
          <w:i/>
          <w:color w:val="262626" w:themeColor="text1" w:themeTint="D9"/>
        </w:rPr>
        <w:t>Statutory Bodies Financial Arrangements Act 1982</w:t>
      </w:r>
      <w:r w:rsidRPr="00E465A1">
        <w:rPr>
          <w:color w:val="262626" w:themeColor="text1" w:themeTint="D9"/>
        </w:rPr>
        <w:t>.</w:t>
      </w:r>
    </w:p>
    <w:p w:rsidR="00247C11" w:rsidRPr="00E465A1" w:rsidRDefault="00247C11" w:rsidP="002D1D9A">
      <w:pPr>
        <w:pStyle w:val="NormalIndent1"/>
        <w:rPr>
          <w:color w:val="262626" w:themeColor="text1" w:themeTint="D9"/>
        </w:rPr>
      </w:pPr>
    </w:p>
    <w:p w:rsidR="00BD6688" w:rsidRPr="00E465A1" w:rsidRDefault="002D1D9A" w:rsidP="00BD6688">
      <w:pPr>
        <w:pStyle w:val="Normalhanginglist105pt"/>
        <w:rPr>
          <w:color w:val="262626" w:themeColor="text1" w:themeTint="D9"/>
        </w:rPr>
      </w:pPr>
      <w:r w:rsidRPr="00E465A1">
        <w:rPr>
          <w:color w:val="262626" w:themeColor="text1" w:themeTint="D9"/>
        </w:rPr>
        <w:t xml:space="preserve"> </w:t>
      </w:r>
      <w:r w:rsidR="00276E72" w:rsidRPr="00E465A1">
        <w:rPr>
          <w:color w:val="262626" w:themeColor="text1" w:themeTint="D9"/>
        </w:rPr>
        <w:t>(</w:t>
      </w:r>
      <w:r w:rsidR="00D75870" w:rsidRPr="00E465A1">
        <w:rPr>
          <w:color w:val="262626" w:themeColor="text1" w:themeTint="D9"/>
        </w:rPr>
        <w:t>c</w:t>
      </w:r>
      <w:r w:rsidR="00276E72" w:rsidRPr="00E465A1">
        <w:rPr>
          <w:color w:val="262626" w:themeColor="text1" w:themeTint="D9"/>
        </w:rPr>
        <w:t>)</w:t>
      </w:r>
      <w:r w:rsidR="00276E72" w:rsidRPr="00E465A1">
        <w:rPr>
          <w:color w:val="262626" w:themeColor="text1" w:themeTint="D9"/>
        </w:rPr>
        <w:tab/>
        <w:t>Fair Value</w:t>
      </w:r>
    </w:p>
    <w:p w:rsidR="00E23228" w:rsidRPr="00E465A1" w:rsidRDefault="00BD6688" w:rsidP="00A24D12">
      <w:pPr>
        <w:pStyle w:val="Normalindent1stpara"/>
        <w:rPr>
          <w:color w:val="262626" w:themeColor="text1" w:themeTint="D9"/>
        </w:rPr>
      </w:pPr>
      <w:r w:rsidRPr="00E465A1">
        <w:rPr>
          <w:color w:val="262626" w:themeColor="text1" w:themeTint="D9"/>
        </w:rPr>
        <w:t xml:space="preserve">The fair value of receivables and payables is the transaction cost or the face value. </w:t>
      </w:r>
      <w:r w:rsidR="00276E72" w:rsidRPr="00E465A1">
        <w:rPr>
          <w:color w:val="262626" w:themeColor="text1" w:themeTint="D9"/>
        </w:rPr>
        <w:t xml:space="preserve">The </w:t>
      </w:r>
      <w:r w:rsidR="00EC2665" w:rsidRPr="00E465A1">
        <w:rPr>
          <w:color w:val="262626" w:themeColor="text1" w:themeTint="D9"/>
        </w:rPr>
        <w:t>CCC</w:t>
      </w:r>
      <w:r w:rsidR="00276E72" w:rsidRPr="00E465A1">
        <w:rPr>
          <w:color w:val="262626" w:themeColor="text1" w:themeTint="D9"/>
        </w:rPr>
        <w:t xml:space="preserve"> considers that the carrying amount of receivables and payables </w:t>
      </w:r>
      <w:r w:rsidR="00AF10EF" w:rsidRPr="00E465A1">
        <w:rPr>
          <w:color w:val="262626" w:themeColor="text1" w:themeTint="D9"/>
        </w:rPr>
        <w:t>represent fair value at the balance date</w:t>
      </w:r>
      <w:r w:rsidR="00276E72" w:rsidRPr="00E465A1">
        <w:rPr>
          <w:color w:val="262626" w:themeColor="text1" w:themeTint="D9"/>
        </w:rPr>
        <w:t xml:space="preserve"> because of the short-term nature of the financial instruments and the expectation </w:t>
      </w:r>
      <w:r w:rsidR="00AF5C25" w:rsidRPr="00E465A1">
        <w:rPr>
          <w:color w:val="262626" w:themeColor="text1" w:themeTint="D9"/>
        </w:rPr>
        <w:t>that they will be paid in full.</w:t>
      </w:r>
    </w:p>
    <w:p w:rsidR="00F47F60" w:rsidRPr="00E465A1" w:rsidRDefault="00F47F60" w:rsidP="00465C60">
      <w:pPr>
        <w:pStyle w:val="Normal115pttext"/>
        <w:rPr>
          <w:color w:val="262626" w:themeColor="text1" w:themeTint="D9"/>
        </w:rPr>
      </w:pPr>
    </w:p>
    <w:p w:rsidR="00526408" w:rsidRPr="00E465A1" w:rsidRDefault="00276E72" w:rsidP="00465C60">
      <w:pPr>
        <w:pStyle w:val="Normal115pttext"/>
        <w:rPr>
          <w:color w:val="262626" w:themeColor="text1" w:themeTint="D9"/>
        </w:rPr>
      </w:pPr>
      <w:r w:rsidRPr="00E465A1">
        <w:rPr>
          <w:color w:val="262626" w:themeColor="text1" w:themeTint="D9"/>
        </w:rPr>
        <w:t xml:space="preserve">Note </w:t>
      </w:r>
      <w:r w:rsidR="0014516F" w:rsidRPr="00E465A1">
        <w:rPr>
          <w:color w:val="262626" w:themeColor="text1" w:themeTint="D9"/>
        </w:rPr>
        <w:t>20</w:t>
      </w:r>
      <w:r w:rsidRPr="00E465A1">
        <w:rPr>
          <w:color w:val="262626" w:themeColor="text1" w:themeTint="D9"/>
        </w:rPr>
        <w:t>:  Trust Tr</w:t>
      </w:r>
      <w:r w:rsidR="004520BF" w:rsidRPr="00E465A1">
        <w:rPr>
          <w:color w:val="262626" w:themeColor="text1" w:themeTint="D9"/>
        </w:rPr>
        <w:t>ansactions and Balances</w:t>
      </w:r>
    </w:p>
    <w:p w:rsidR="008635B7" w:rsidRPr="00E465A1" w:rsidRDefault="008635B7" w:rsidP="00532407">
      <w:pPr>
        <w:rPr>
          <w:b/>
          <w:color w:val="262626" w:themeColor="text1" w:themeTint="D9"/>
        </w:rPr>
      </w:pPr>
      <w:r w:rsidRPr="00E465A1">
        <w:rPr>
          <w:b/>
          <w:color w:val="262626" w:themeColor="text1" w:themeTint="D9"/>
        </w:rPr>
        <w:t>Operational Activities</w:t>
      </w:r>
    </w:p>
    <w:p w:rsidR="00AD4D61" w:rsidRPr="00E465A1" w:rsidRDefault="00AD4D61" w:rsidP="00AD4D61">
      <w:pPr>
        <w:pStyle w:val="Normal1stpara"/>
        <w:rPr>
          <w:color w:val="262626" w:themeColor="text1" w:themeTint="D9"/>
        </w:rPr>
      </w:pPr>
      <w:r w:rsidRPr="00E465A1">
        <w:rPr>
          <w:color w:val="262626" w:themeColor="text1" w:themeTint="D9"/>
          <w:lang w:eastAsia="en-AU"/>
        </w:rPr>
        <w:t xml:space="preserve">The CCC undertakes certain trustee transactions on behalf </w:t>
      </w:r>
      <w:r w:rsidRPr="00E465A1">
        <w:rPr>
          <w:color w:val="262626" w:themeColor="text1" w:themeTint="D9"/>
        </w:rPr>
        <w:t>o</w:t>
      </w:r>
      <w:r w:rsidRPr="00E465A1">
        <w:rPr>
          <w:color w:val="262626" w:themeColor="text1" w:themeTint="D9"/>
          <w:lang w:eastAsia="en-AU"/>
        </w:rPr>
        <w:t xml:space="preserve">f individuals as a result of operational activities.  </w:t>
      </w:r>
      <w:r w:rsidRPr="00E465A1">
        <w:rPr>
          <w:color w:val="262626" w:themeColor="text1" w:themeTint="D9"/>
        </w:rPr>
        <w:t>As the CCC acts only in a custodial role in respect of these transactions and balances, they are not recognised in the financial statements but are disclosed separately under this note.</w:t>
      </w:r>
    </w:p>
    <w:p w:rsidR="00526408" w:rsidRPr="00E465A1" w:rsidRDefault="007A69D9" w:rsidP="00A24D12">
      <w:pPr>
        <w:pStyle w:val="Normal1stpara"/>
        <w:rPr>
          <w:color w:val="262626" w:themeColor="text1" w:themeTint="D9"/>
        </w:rPr>
      </w:pPr>
      <w:r w:rsidRPr="00E465A1">
        <w:rPr>
          <w:color w:val="262626" w:themeColor="text1" w:themeTint="D9"/>
        </w:rPr>
        <w:t xml:space="preserve">At 30 </w:t>
      </w:r>
      <w:r w:rsidR="00055403" w:rsidRPr="00E465A1">
        <w:rPr>
          <w:color w:val="262626" w:themeColor="text1" w:themeTint="D9"/>
        </w:rPr>
        <w:t>June</w:t>
      </w:r>
      <w:r w:rsidR="00276E72" w:rsidRPr="00E465A1">
        <w:rPr>
          <w:color w:val="262626" w:themeColor="text1" w:themeTint="D9"/>
        </w:rPr>
        <w:t xml:space="preserve"> </w:t>
      </w:r>
      <w:r w:rsidR="003D302E" w:rsidRPr="00E465A1">
        <w:rPr>
          <w:color w:val="262626" w:themeColor="text1" w:themeTint="D9"/>
        </w:rPr>
        <w:t>201</w:t>
      </w:r>
      <w:r w:rsidR="00164A96" w:rsidRPr="00E465A1">
        <w:rPr>
          <w:color w:val="262626" w:themeColor="text1" w:themeTint="D9"/>
        </w:rPr>
        <w:t>8</w:t>
      </w:r>
      <w:r w:rsidR="00276E72" w:rsidRPr="00E465A1">
        <w:rPr>
          <w:color w:val="262626" w:themeColor="text1" w:themeTint="D9"/>
        </w:rPr>
        <w:t xml:space="preserve">, the </w:t>
      </w:r>
      <w:r w:rsidR="00EC2665" w:rsidRPr="00E465A1">
        <w:rPr>
          <w:color w:val="262626" w:themeColor="text1" w:themeTint="D9"/>
        </w:rPr>
        <w:t>CCC</w:t>
      </w:r>
      <w:r w:rsidR="00276E72" w:rsidRPr="00E465A1">
        <w:rPr>
          <w:color w:val="262626" w:themeColor="text1" w:themeTint="D9"/>
        </w:rPr>
        <w:t xml:space="preserve"> held </w:t>
      </w:r>
      <w:r w:rsidR="00F42D9B" w:rsidRPr="00E465A1">
        <w:rPr>
          <w:color w:val="262626" w:themeColor="text1" w:themeTint="D9"/>
        </w:rPr>
        <w:t>$</w:t>
      </w:r>
      <w:r w:rsidR="00387E04" w:rsidRPr="00E465A1">
        <w:rPr>
          <w:color w:val="262626" w:themeColor="text1" w:themeTint="D9"/>
        </w:rPr>
        <w:t>81</w:t>
      </w:r>
      <w:r w:rsidR="00020F7B" w:rsidRPr="00E465A1">
        <w:rPr>
          <w:color w:val="262626" w:themeColor="text1" w:themeTint="D9"/>
        </w:rPr>
        <w:t>,540.70</w:t>
      </w:r>
      <w:r w:rsidR="00276E72" w:rsidRPr="00E465A1">
        <w:rPr>
          <w:color w:val="262626" w:themeColor="text1" w:themeTint="D9"/>
        </w:rPr>
        <w:t xml:space="preserve"> (</w:t>
      </w:r>
      <w:r w:rsidR="003D302E" w:rsidRPr="00E465A1">
        <w:rPr>
          <w:color w:val="262626" w:themeColor="text1" w:themeTint="D9"/>
        </w:rPr>
        <w:t>201</w:t>
      </w:r>
      <w:r w:rsidR="00164A96" w:rsidRPr="00E465A1">
        <w:rPr>
          <w:color w:val="262626" w:themeColor="text1" w:themeTint="D9"/>
        </w:rPr>
        <w:t>7</w:t>
      </w:r>
      <w:r w:rsidR="00276E72" w:rsidRPr="00E465A1">
        <w:rPr>
          <w:color w:val="262626" w:themeColor="text1" w:themeTint="D9"/>
        </w:rPr>
        <w:t>: $</w:t>
      </w:r>
      <w:r w:rsidR="00164A96" w:rsidRPr="00E465A1">
        <w:rPr>
          <w:color w:val="262626" w:themeColor="text1" w:themeTint="D9"/>
        </w:rPr>
        <w:t>41,920.70</w:t>
      </w:r>
      <w:r w:rsidR="00276E72" w:rsidRPr="00E465A1">
        <w:rPr>
          <w:color w:val="262626" w:themeColor="text1" w:themeTint="D9"/>
        </w:rPr>
        <w:t>) in trust for a number of benefactors as a result of operational activities.</w:t>
      </w:r>
      <w:r w:rsidR="008635B7" w:rsidRPr="00E465A1">
        <w:rPr>
          <w:color w:val="262626" w:themeColor="text1" w:themeTint="D9"/>
        </w:rPr>
        <w:t xml:space="preserve"> </w:t>
      </w:r>
      <w:r w:rsidR="00276E72" w:rsidRPr="00E465A1">
        <w:rPr>
          <w:color w:val="262626" w:themeColor="text1" w:themeTint="D9"/>
        </w:rPr>
        <w:t>The Queensland Audit</w:t>
      </w:r>
      <w:r w:rsidR="00526A9A" w:rsidRPr="00E465A1">
        <w:rPr>
          <w:color w:val="262626" w:themeColor="text1" w:themeTint="D9"/>
        </w:rPr>
        <w:t xml:space="preserve"> Office</w:t>
      </w:r>
      <w:r w:rsidR="00276E72" w:rsidRPr="00E465A1">
        <w:rPr>
          <w:color w:val="262626" w:themeColor="text1" w:themeTint="D9"/>
        </w:rPr>
        <w:t xml:space="preserve"> performed </w:t>
      </w:r>
      <w:r w:rsidR="0019360E" w:rsidRPr="00E465A1">
        <w:rPr>
          <w:color w:val="262626" w:themeColor="text1" w:themeTint="D9"/>
        </w:rPr>
        <w:t>a</w:t>
      </w:r>
      <w:r w:rsidR="00276E72" w:rsidRPr="00E465A1">
        <w:rPr>
          <w:color w:val="262626" w:themeColor="text1" w:themeTint="D9"/>
        </w:rPr>
        <w:t xml:space="preserve"> </w:t>
      </w:r>
      <w:r w:rsidR="0019360E" w:rsidRPr="00E465A1">
        <w:rPr>
          <w:color w:val="262626" w:themeColor="text1" w:themeTint="D9"/>
        </w:rPr>
        <w:t>review</w:t>
      </w:r>
      <w:r w:rsidR="00276E72" w:rsidRPr="00E465A1">
        <w:rPr>
          <w:color w:val="262626" w:themeColor="text1" w:themeTint="D9"/>
        </w:rPr>
        <w:t xml:space="preserve"> of the </w:t>
      </w:r>
      <w:r w:rsidR="00EC2665" w:rsidRPr="00E465A1">
        <w:rPr>
          <w:color w:val="262626" w:themeColor="text1" w:themeTint="D9"/>
        </w:rPr>
        <w:t>CCC</w:t>
      </w:r>
      <w:r w:rsidR="000C4AA9" w:rsidRPr="00E465A1">
        <w:rPr>
          <w:color w:val="262626" w:themeColor="text1" w:themeTint="D9"/>
        </w:rPr>
        <w:t>’s trust transactions</w:t>
      </w:r>
      <w:r w:rsidR="0019360E" w:rsidRPr="00E465A1">
        <w:rPr>
          <w:color w:val="262626" w:themeColor="text1" w:themeTint="D9"/>
        </w:rPr>
        <w:t xml:space="preserve"> </w:t>
      </w:r>
      <w:r w:rsidR="0068402B" w:rsidRPr="00E465A1">
        <w:rPr>
          <w:color w:val="262626" w:themeColor="text1" w:themeTint="D9"/>
        </w:rPr>
        <w:t xml:space="preserve">for operational activities </w:t>
      </w:r>
      <w:r w:rsidR="0019360E" w:rsidRPr="00E465A1">
        <w:rPr>
          <w:color w:val="262626" w:themeColor="text1" w:themeTint="D9"/>
        </w:rPr>
        <w:t xml:space="preserve">for </w:t>
      </w:r>
      <w:r w:rsidR="003D302E" w:rsidRPr="00E465A1">
        <w:rPr>
          <w:color w:val="262626" w:themeColor="text1" w:themeTint="D9"/>
        </w:rPr>
        <w:t>201</w:t>
      </w:r>
      <w:r w:rsidR="00C96061" w:rsidRPr="00E465A1">
        <w:rPr>
          <w:color w:val="262626" w:themeColor="text1" w:themeTint="D9"/>
        </w:rPr>
        <w:t>7-18</w:t>
      </w:r>
      <w:r w:rsidR="00EA65FC" w:rsidRPr="00E465A1">
        <w:rPr>
          <w:color w:val="262626" w:themeColor="text1" w:themeTint="D9"/>
        </w:rPr>
        <w:t xml:space="preserve"> as part of the 2017-18 external audit of the CCC.</w:t>
      </w:r>
    </w:p>
    <w:p w:rsidR="00D75870" w:rsidRPr="00E465A1" w:rsidRDefault="00D75870" w:rsidP="00D75870">
      <w:pPr>
        <w:pStyle w:val="Normal115pttext"/>
        <w:rPr>
          <w:color w:val="262626" w:themeColor="text1" w:themeTint="D9"/>
        </w:rPr>
      </w:pPr>
      <w:r w:rsidRPr="00E465A1">
        <w:rPr>
          <w:color w:val="262626" w:themeColor="text1" w:themeTint="D9"/>
        </w:rPr>
        <w:lastRenderedPageBreak/>
        <w:t>Note 2</w:t>
      </w:r>
      <w:r w:rsidR="0014516F" w:rsidRPr="00E465A1">
        <w:rPr>
          <w:color w:val="262626" w:themeColor="text1" w:themeTint="D9"/>
        </w:rPr>
        <w:t>1</w:t>
      </w:r>
      <w:r w:rsidRPr="00E465A1">
        <w:rPr>
          <w:color w:val="262626" w:themeColor="text1" w:themeTint="D9"/>
        </w:rPr>
        <w:t xml:space="preserve">:  </w:t>
      </w:r>
      <w:r w:rsidR="00CD0BA8" w:rsidRPr="00E465A1">
        <w:rPr>
          <w:color w:val="262626" w:themeColor="text1" w:themeTint="D9"/>
        </w:rPr>
        <w:t xml:space="preserve">Explanation of </w:t>
      </w:r>
      <w:r w:rsidR="00980ED6" w:rsidRPr="00E465A1">
        <w:rPr>
          <w:color w:val="262626" w:themeColor="text1" w:themeTint="D9"/>
        </w:rPr>
        <w:t>M</w:t>
      </w:r>
      <w:r w:rsidR="00CD0BA8" w:rsidRPr="00E465A1">
        <w:rPr>
          <w:color w:val="262626" w:themeColor="text1" w:themeTint="D9"/>
        </w:rPr>
        <w:t xml:space="preserve">ajor </w:t>
      </w:r>
      <w:r w:rsidR="00980ED6" w:rsidRPr="00E465A1">
        <w:rPr>
          <w:color w:val="262626" w:themeColor="text1" w:themeTint="D9"/>
        </w:rPr>
        <w:t>V</w:t>
      </w:r>
      <w:r w:rsidR="00CD0BA8" w:rsidRPr="00E465A1">
        <w:rPr>
          <w:color w:val="262626" w:themeColor="text1" w:themeTint="D9"/>
        </w:rPr>
        <w:t>ariances</w:t>
      </w:r>
    </w:p>
    <w:p w:rsidR="00D75870" w:rsidRPr="00E465A1" w:rsidRDefault="00B75485" w:rsidP="00D75870">
      <w:pPr>
        <w:pStyle w:val="Normalhanginglist105pt"/>
        <w:rPr>
          <w:color w:val="262626" w:themeColor="text1" w:themeTint="D9"/>
        </w:rPr>
      </w:pPr>
      <w:r w:rsidRPr="00E465A1">
        <w:rPr>
          <w:color w:val="262626" w:themeColor="text1" w:themeTint="D9"/>
        </w:rPr>
        <w:t>Note 2</w:t>
      </w:r>
      <w:r w:rsidR="0014516F" w:rsidRPr="00E465A1">
        <w:rPr>
          <w:color w:val="262626" w:themeColor="text1" w:themeTint="D9"/>
        </w:rPr>
        <w:t>1</w:t>
      </w:r>
      <w:r w:rsidRPr="00E465A1">
        <w:rPr>
          <w:color w:val="262626" w:themeColor="text1" w:themeTint="D9"/>
        </w:rPr>
        <w:t>A:</w:t>
      </w:r>
      <w:r w:rsidR="00D75870" w:rsidRPr="00E465A1">
        <w:rPr>
          <w:color w:val="262626" w:themeColor="text1" w:themeTint="D9"/>
        </w:rPr>
        <w:tab/>
      </w:r>
      <w:r w:rsidR="00CD0BA8" w:rsidRPr="00E465A1">
        <w:rPr>
          <w:color w:val="262626" w:themeColor="text1" w:themeTint="D9"/>
        </w:rPr>
        <w:t xml:space="preserve">Explanation of </w:t>
      </w:r>
      <w:r w:rsidR="00980ED6" w:rsidRPr="00E465A1">
        <w:rPr>
          <w:color w:val="262626" w:themeColor="text1" w:themeTint="D9"/>
        </w:rPr>
        <w:t>M</w:t>
      </w:r>
      <w:r w:rsidR="00CD0BA8" w:rsidRPr="00E465A1">
        <w:rPr>
          <w:color w:val="262626" w:themeColor="text1" w:themeTint="D9"/>
        </w:rPr>
        <w:t xml:space="preserve">ajor </w:t>
      </w:r>
      <w:r w:rsidR="00980ED6" w:rsidRPr="00E465A1">
        <w:rPr>
          <w:color w:val="262626" w:themeColor="text1" w:themeTint="D9"/>
        </w:rPr>
        <w:t>V</w:t>
      </w:r>
      <w:r w:rsidR="00CD0BA8" w:rsidRPr="00E465A1">
        <w:rPr>
          <w:color w:val="262626" w:themeColor="text1" w:themeTint="D9"/>
        </w:rPr>
        <w:t xml:space="preserve">ariances – Statement of </w:t>
      </w:r>
      <w:r w:rsidR="00980ED6" w:rsidRPr="00E465A1">
        <w:rPr>
          <w:color w:val="262626" w:themeColor="text1" w:themeTint="D9"/>
        </w:rPr>
        <w:t>C</w:t>
      </w:r>
      <w:r w:rsidR="00CD0BA8" w:rsidRPr="00E465A1">
        <w:rPr>
          <w:color w:val="262626" w:themeColor="text1" w:themeTint="D9"/>
        </w:rPr>
        <w:t xml:space="preserve">omprehensive </w:t>
      </w:r>
      <w:r w:rsidR="00980ED6" w:rsidRPr="00E465A1">
        <w:rPr>
          <w:color w:val="262626" w:themeColor="text1" w:themeTint="D9"/>
        </w:rPr>
        <w:t>I</w:t>
      </w:r>
      <w:r w:rsidR="00CD0BA8" w:rsidRPr="00E465A1">
        <w:rPr>
          <w:color w:val="262626" w:themeColor="text1" w:themeTint="D9"/>
        </w:rPr>
        <w:t>ncome</w:t>
      </w:r>
    </w:p>
    <w:p w:rsidR="00532407" w:rsidRPr="00E465A1" w:rsidRDefault="00532407" w:rsidP="00C91E63">
      <w:pPr>
        <w:pStyle w:val="Normal1stpara"/>
        <w:rPr>
          <w:color w:val="262626" w:themeColor="text1" w:themeTint="D9"/>
        </w:rPr>
      </w:pPr>
    </w:p>
    <w:tbl>
      <w:tblPr>
        <w:tblStyle w:val="Table3Deffects1"/>
        <w:tblW w:w="10484" w:type="dxa"/>
        <w:tblLook w:val="04A0" w:firstRow="1" w:lastRow="0" w:firstColumn="1" w:lastColumn="0" w:noHBand="0" w:noVBand="1"/>
      </w:tblPr>
      <w:tblGrid>
        <w:gridCol w:w="2835"/>
        <w:gridCol w:w="7649"/>
      </w:tblGrid>
      <w:tr w:rsidR="00E465A1" w:rsidRPr="00E465A1" w:rsidTr="00980E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shd w:val="clear" w:color="auto" w:fill="auto"/>
          </w:tcPr>
          <w:p w:rsidR="00980ED6" w:rsidRPr="00E465A1" w:rsidRDefault="00980ED6" w:rsidP="00C91E63">
            <w:pPr>
              <w:pStyle w:val="Normal1stpara"/>
              <w:rPr>
                <w:b w:val="0"/>
                <w:i/>
                <w:color w:val="262626" w:themeColor="text1" w:themeTint="D9"/>
              </w:rPr>
            </w:pPr>
            <w:r w:rsidRPr="00E465A1">
              <w:rPr>
                <w:b w:val="0"/>
                <w:i/>
                <w:color w:val="262626" w:themeColor="text1" w:themeTint="D9"/>
              </w:rPr>
              <w:t>Grants and other contributions:</w:t>
            </w:r>
          </w:p>
        </w:tc>
        <w:tc>
          <w:tcPr>
            <w:tcW w:w="7649" w:type="dxa"/>
            <w:shd w:val="clear" w:color="auto" w:fill="auto"/>
          </w:tcPr>
          <w:p w:rsidR="00980ED6" w:rsidRPr="00E465A1" w:rsidRDefault="00980ED6" w:rsidP="00C91E63">
            <w:pPr>
              <w:pStyle w:val="Normal1stpara"/>
              <w:cnfStyle w:val="100000000000" w:firstRow="1" w:lastRow="0" w:firstColumn="0" w:lastColumn="0" w:oddVBand="0" w:evenVBand="0" w:oddHBand="0" w:evenHBand="0" w:firstRowFirstColumn="0" w:firstRowLastColumn="0" w:lastRowFirstColumn="0" w:lastRowLastColumn="0"/>
              <w:rPr>
                <w:b w:val="0"/>
                <w:color w:val="262626" w:themeColor="text1" w:themeTint="D9"/>
              </w:rPr>
            </w:pPr>
            <w:r w:rsidRPr="00E465A1">
              <w:rPr>
                <w:b w:val="0"/>
                <w:color w:val="262626" w:themeColor="text1" w:themeTint="D9"/>
              </w:rPr>
              <w:t xml:space="preserve">The increase is mainly due to an equity to output swap </w:t>
            </w:r>
            <w:r w:rsidR="00643459" w:rsidRPr="00E465A1">
              <w:rPr>
                <w:b w:val="0"/>
                <w:color w:val="262626" w:themeColor="text1" w:themeTint="D9"/>
              </w:rPr>
              <w:t xml:space="preserve">of $1.339m </w:t>
            </w:r>
            <w:r w:rsidRPr="00E465A1">
              <w:rPr>
                <w:b w:val="0"/>
                <w:color w:val="262626" w:themeColor="text1" w:themeTint="D9"/>
              </w:rPr>
              <w:t xml:space="preserve">in relation to </w:t>
            </w:r>
            <w:r w:rsidR="00643459" w:rsidRPr="00E465A1">
              <w:rPr>
                <w:b w:val="0"/>
                <w:color w:val="262626" w:themeColor="text1" w:themeTint="D9"/>
              </w:rPr>
              <w:t xml:space="preserve">the development of the new </w:t>
            </w:r>
            <w:proofErr w:type="spellStart"/>
            <w:r w:rsidR="00643459" w:rsidRPr="00E465A1">
              <w:rPr>
                <w:b w:val="0"/>
                <w:color w:val="262626" w:themeColor="text1" w:themeTint="D9"/>
              </w:rPr>
              <w:t>ICMS</w:t>
            </w:r>
            <w:proofErr w:type="spellEnd"/>
            <w:r w:rsidR="00643459" w:rsidRPr="00E465A1">
              <w:rPr>
                <w:b w:val="0"/>
                <w:color w:val="262626" w:themeColor="text1" w:themeTint="D9"/>
              </w:rPr>
              <w:t xml:space="preserve"> partially offset by a $0.407m reprioritisation adjustment that was returned to T</w:t>
            </w:r>
            <w:r w:rsidR="00107C12" w:rsidRPr="00E465A1">
              <w:rPr>
                <w:b w:val="0"/>
                <w:color w:val="262626" w:themeColor="text1" w:themeTint="D9"/>
              </w:rPr>
              <w:t xml:space="preserve">reasury resulting from the 2017-18 </w:t>
            </w:r>
            <w:r w:rsidR="00594443" w:rsidRPr="00E465A1">
              <w:rPr>
                <w:b w:val="0"/>
                <w:color w:val="262626" w:themeColor="text1" w:themeTint="D9"/>
              </w:rPr>
              <w:t>Mid-Year Fiscal and Economic Review (</w:t>
            </w:r>
            <w:proofErr w:type="spellStart"/>
            <w:r w:rsidR="00107C12" w:rsidRPr="00E465A1">
              <w:rPr>
                <w:b w:val="0"/>
                <w:color w:val="262626" w:themeColor="text1" w:themeTint="D9"/>
              </w:rPr>
              <w:t>MYFER</w:t>
            </w:r>
            <w:proofErr w:type="spellEnd"/>
            <w:r w:rsidR="00594443" w:rsidRPr="00E465A1">
              <w:rPr>
                <w:b w:val="0"/>
                <w:color w:val="262626" w:themeColor="text1" w:themeTint="D9"/>
              </w:rPr>
              <w:t>)</w:t>
            </w:r>
            <w:r w:rsidR="00107C12" w:rsidRPr="00E465A1">
              <w:rPr>
                <w:b w:val="0"/>
                <w:color w:val="262626" w:themeColor="text1" w:themeTint="D9"/>
              </w:rPr>
              <w:t xml:space="preserve"> process.</w:t>
            </w:r>
          </w:p>
        </w:tc>
      </w:tr>
      <w:tr w:rsidR="00E465A1" w:rsidRPr="00E465A1" w:rsidTr="00980ED6">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980ED6" w:rsidRPr="00E465A1" w:rsidRDefault="00980ED6" w:rsidP="00C91E63">
            <w:pPr>
              <w:pStyle w:val="Normal1stpara"/>
              <w:rPr>
                <w:b w:val="0"/>
                <w:i/>
                <w:color w:val="262626" w:themeColor="text1" w:themeTint="D9"/>
              </w:rPr>
            </w:pPr>
            <w:r w:rsidRPr="00E465A1">
              <w:rPr>
                <w:b w:val="0"/>
                <w:i/>
                <w:color w:val="262626" w:themeColor="text1" w:themeTint="D9"/>
              </w:rPr>
              <w:t>Other revenue:</w:t>
            </w:r>
          </w:p>
        </w:tc>
        <w:tc>
          <w:tcPr>
            <w:tcW w:w="7649" w:type="dxa"/>
            <w:shd w:val="clear" w:color="auto" w:fill="auto"/>
          </w:tcPr>
          <w:p w:rsidR="00980ED6" w:rsidRPr="00E465A1" w:rsidRDefault="00980ED6" w:rsidP="00C91E63">
            <w:pPr>
              <w:pStyle w:val="Normal1stpara"/>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E465A1">
              <w:rPr>
                <w:color w:val="262626" w:themeColor="text1" w:themeTint="D9"/>
              </w:rPr>
              <w:t xml:space="preserve">The increase is mainly due to cost savings in make good costs associated with an old accommodation lease </w:t>
            </w:r>
            <w:r w:rsidR="00107C12" w:rsidRPr="00E465A1">
              <w:rPr>
                <w:color w:val="262626" w:themeColor="text1" w:themeTint="D9"/>
              </w:rPr>
              <w:t>of $0.133m and the receipt of $0.164m</w:t>
            </w:r>
            <w:r w:rsidRPr="00E465A1">
              <w:rPr>
                <w:color w:val="262626" w:themeColor="text1" w:themeTint="D9"/>
              </w:rPr>
              <w:t xml:space="preserve"> from ICAC for the CCC’s entitlement in connection with the 2017 APSACC. (Refer to Note 3)</w:t>
            </w:r>
          </w:p>
        </w:tc>
      </w:tr>
      <w:tr w:rsidR="00E465A1" w:rsidRPr="00E465A1" w:rsidTr="00980ED6">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980ED6" w:rsidRPr="00E465A1" w:rsidRDefault="00980ED6" w:rsidP="00C91E63">
            <w:pPr>
              <w:pStyle w:val="Normal1stpara"/>
              <w:rPr>
                <w:b w:val="0"/>
                <w:i/>
                <w:color w:val="262626" w:themeColor="text1" w:themeTint="D9"/>
              </w:rPr>
            </w:pPr>
            <w:r w:rsidRPr="00E465A1">
              <w:rPr>
                <w:b w:val="0"/>
                <w:i/>
                <w:color w:val="262626" w:themeColor="text1" w:themeTint="D9"/>
              </w:rPr>
              <w:t>Employee expenses:</w:t>
            </w:r>
          </w:p>
        </w:tc>
        <w:tc>
          <w:tcPr>
            <w:tcW w:w="7649" w:type="dxa"/>
            <w:shd w:val="clear" w:color="auto" w:fill="auto"/>
          </w:tcPr>
          <w:p w:rsidR="00980ED6" w:rsidRPr="00E465A1" w:rsidRDefault="00980ED6" w:rsidP="00C91E63">
            <w:pPr>
              <w:pStyle w:val="Normal1stpara"/>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E465A1">
              <w:rPr>
                <w:color w:val="262626" w:themeColor="text1" w:themeTint="D9"/>
              </w:rPr>
              <w:t>The decrease is mainly due to the use of contractors to backfill vacant positions temporarily.</w:t>
            </w:r>
            <w:r w:rsidR="004E7285" w:rsidRPr="00E465A1">
              <w:rPr>
                <w:color w:val="262626" w:themeColor="text1" w:themeTint="D9"/>
              </w:rPr>
              <w:t xml:space="preserve"> (Refer to Note 6)</w:t>
            </w:r>
          </w:p>
        </w:tc>
      </w:tr>
      <w:tr w:rsidR="00E465A1" w:rsidRPr="00E465A1" w:rsidTr="00980ED6">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980ED6" w:rsidRPr="00E465A1" w:rsidRDefault="00980ED6" w:rsidP="00980ED6">
            <w:pPr>
              <w:pStyle w:val="Normal1stpara"/>
              <w:rPr>
                <w:b w:val="0"/>
                <w:i/>
                <w:color w:val="262626" w:themeColor="text1" w:themeTint="D9"/>
              </w:rPr>
            </w:pPr>
            <w:r w:rsidRPr="00E465A1">
              <w:rPr>
                <w:b w:val="0"/>
                <w:i/>
                <w:color w:val="262626" w:themeColor="text1" w:themeTint="D9"/>
              </w:rPr>
              <w:t>Supplies and services:</w:t>
            </w:r>
          </w:p>
        </w:tc>
        <w:tc>
          <w:tcPr>
            <w:tcW w:w="7649" w:type="dxa"/>
            <w:shd w:val="clear" w:color="auto" w:fill="auto"/>
          </w:tcPr>
          <w:p w:rsidR="00980ED6" w:rsidRPr="00E465A1" w:rsidRDefault="00980ED6" w:rsidP="00980ED6">
            <w:pPr>
              <w:pStyle w:val="Variences"/>
              <w:spacing w:before="60"/>
              <w:ind w:left="0" w:firstLine="0"/>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E465A1">
              <w:rPr>
                <w:color w:val="262626" w:themeColor="text1" w:themeTint="D9"/>
              </w:rPr>
              <w:t>The increase is mainly due to an equity to output swap</w:t>
            </w:r>
            <w:r w:rsidR="00107C12" w:rsidRPr="00E465A1">
              <w:rPr>
                <w:color w:val="262626" w:themeColor="text1" w:themeTint="D9"/>
              </w:rPr>
              <w:t xml:space="preserve"> of $1.339m</w:t>
            </w:r>
            <w:r w:rsidRPr="00E465A1">
              <w:rPr>
                <w:color w:val="262626" w:themeColor="text1" w:themeTint="D9"/>
              </w:rPr>
              <w:t xml:space="preserve"> in relation to the development of the new </w:t>
            </w:r>
            <w:proofErr w:type="spellStart"/>
            <w:r w:rsidRPr="00E465A1">
              <w:rPr>
                <w:color w:val="262626" w:themeColor="text1" w:themeTint="D9"/>
              </w:rPr>
              <w:t>ICMS</w:t>
            </w:r>
            <w:proofErr w:type="spellEnd"/>
            <w:r w:rsidRPr="00E465A1">
              <w:rPr>
                <w:color w:val="262626" w:themeColor="text1" w:themeTint="D9"/>
              </w:rPr>
              <w:t xml:space="preserve"> coupled with a higher use of contractors than was budgeted to backfill positions temporarily.</w:t>
            </w:r>
          </w:p>
        </w:tc>
      </w:tr>
      <w:tr w:rsidR="00E465A1" w:rsidRPr="00E465A1" w:rsidTr="00980ED6">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980ED6" w:rsidRPr="00E465A1" w:rsidRDefault="00980ED6" w:rsidP="00980ED6">
            <w:pPr>
              <w:pStyle w:val="Normal1stpara"/>
              <w:rPr>
                <w:b w:val="0"/>
                <w:i/>
                <w:color w:val="262626" w:themeColor="text1" w:themeTint="D9"/>
              </w:rPr>
            </w:pPr>
            <w:r w:rsidRPr="00E465A1">
              <w:rPr>
                <w:b w:val="0"/>
                <w:i/>
                <w:color w:val="262626" w:themeColor="text1" w:themeTint="D9"/>
              </w:rPr>
              <w:t>Depreciation and amortisation:</w:t>
            </w:r>
          </w:p>
        </w:tc>
        <w:tc>
          <w:tcPr>
            <w:tcW w:w="7649" w:type="dxa"/>
            <w:shd w:val="clear" w:color="auto" w:fill="auto"/>
          </w:tcPr>
          <w:p w:rsidR="00980ED6" w:rsidRPr="00E465A1" w:rsidRDefault="00980ED6" w:rsidP="00980ED6">
            <w:pPr>
              <w:pStyle w:val="Normal1stpara"/>
              <w:cnfStyle w:val="000000000000" w:firstRow="0" w:lastRow="0" w:firstColumn="0" w:lastColumn="0" w:oddVBand="0" w:evenVBand="0" w:oddHBand="0" w:evenHBand="0" w:firstRowFirstColumn="0" w:firstRowLastColumn="0" w:lastRowFirstColumn="0" w:lastRowLastColumn="0"/>
              <w:rPr>
                <w:color w:val="262626" w:themeColor="text1" w:themeTint="D9"/>
              </w:rPr>
            </w:pPr>
            <w:r w:rsidRPr="00E465A1">
              <w:rPr>
                <w:color w:val="262626" w:themeColor="text1" w:themeTint="D9"/>
              </w:rPr>
              <w:t>The decrease is due to a smaller capital program than was budgeted.</w:t>
            </w:r>
          </w:p>
        </w:tc>
      </w:tr>
    </w:tbl>
    <w:p w:rsidR="00980ED6" w:rsidRPr="00E465A1" w:rsidRDefault="00980ED6" w:rsidP="00C91E63">
      <w:pPr>
        <w:pStyle w:val="Normal1stpara"/>
        <w:rPr>
          <w:color w:val="262626" w:themeColor="text1" w:themeTint="D9"/>
        </w:rPr>
      </w:pPr>
    </w:p>
    <w:p w:rsidR="00D72154" w:rsidRPr="00E465A1" w:rsidRDefault="00686591" w:rsidP="00686591">
      <w:pPr>
        <w:pStyle w:val="Normalhanginglist105pt"/>
        <w:rPr>
          <w:color w:val="262626" w:themeColor="text1" w:themeTint="D9"/>
        </w:rPr>
      </w:pPr>
      <w:r w:rsidRPr="00E465A1">
        <w:rPr>
          <w:color w:val="262626" w:themeColor="text1" w:themeTint="D9"/>
        </w:rPr>
        <w:t>Note 2</w:t>
      </w:r>
      <w:r w:rsidR="0014516F" w:rsidRPr="00E465A1">
        <w:rPr>
          <w:color w:val="262626" w:themeColor="text1" w:themeTint="D9"/>
        </w:rPr>
        <w:t>1</w:t>
      </w:r>
      <w:r w:rsidRPr="00E465A1">
        <w:rPr>
          <w:color w:val="262626" w:themeColor="text1" w:themeTint="D9"/>
        </w:rPr>
        <w:t>B:</w:t>
      </w:r>
      <w:r w:rsidRPr="00E465A1">
        <w:rPr>
          <w:color w:val="262626" w:themeColor="text1" w:themeTint="D9"/>
        </w:rPr>
        <w:tab/>
      </w:r>
      <w:r w:rsidR="00980ED6" w:rsidRPr="00E465A1">
        <w:rPr>
          <w:color w:val="262626" w:themeColor="text1" w:themeTint="D9"/>
        </w:rPr>
        <w:t xml:space="preserve">Explanation of Major Variances – </w:t>
      </w:r>
      <w:r w:rsidRPr="00E465A1">
        <w:rPr>
          <w:color w:val="262626" w:themeColor="text1" w:themeTint="D9"/>
        </w:rPr>
        <w:t xml:space="preserve">Statement of </w:t>
      </w:r>
      <w:r w:rsidR="00980ED6" w:rsidRPr="00E465A1">
        <w:rPr>
          <w:color w:val="262626" w:themeColor="text1" w:themeTint="D9"/>
        </w:rPr>
        <w:t>F</w:t>
      </w:r>
      <w:r w:rsidRPr="00E465A1">
        <w:rPr>
          <w:color w:val="262626" w:themeColor="text1" w:themeTint="D9"/>
        </w:rPr>
        <w:t xml:space="preserve">inancial </w:t>
      </w:r>
      <w:r w:rsidR="00980ED6" w:rsidRPr="00E465A1">
        <w:rPr>
          <w:color w:val="262626" w:themeColor="text1" w:themeTint="D9"/>
        </w:rPr>
        <w:t>P</w:t>
      </w:r>
      <w:r w:rsidRPr="00E465A1">
        <w:rPr>
          <w:color w:val="262626" w:themeColor="text1" w:themeTint="D9"/>
        </w:rPr>
        <w:t>osition</w:t>
      </w:r>
    </w:p>
    <w:p w:rsidR="00D72154" w:rsidRPr="00E465A1" w:rsidRDefault="00D72154" w:rsidP="00CB16C2">
      <w:pPr>
        <w:pStyle w:val="Normal1stpara"/>
        <w:rPr>
          <w:color w:val="262626" w:themeColor="text1" w:themeTint="D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224"/>
      </w:tblGrid>
      <w:tr w:rsidR="00E465A1" w:rsidRPr="00E465A1" w:rsidTr="00987A6C">
        <w:tc>
          <w:tcPr>
            <w:tcW w:w="2972" w:type="dxa"/>
          </w:tcPr>
          <w:p w:rsidR="00987A6C" w:rsidRPr="00E465A1" w:rsidRDefault="00987A6C" w:rsidP="00F049D5">
            <w:pPr>
              <w:pStyle w:val="Normal1stpara"/>
              <w:rPr>
                <w:i/>
                <w:color w:val="262626" w:themeColor="text1" w:themeTint="D9"/>
              </w:rPr>
            </w:pPr>
            <w:r w:rsidRPr="00E465A1">
              <w:rPr>
                <w:i/>
                <w:color w:val="262626" w:themeColor="text1" w:themeTint="D9"/>
              </w:rPr>
              <w:t>Cash and cash equivalents:</w:t>
            </w:r>
          </w:p>
        </w:tc>
        <w:tc>
          <w:tcPr>
            <w:tcW w:w="7224" w:type="dxa"/>
          </w:tcPr>
          <w:p w:rsidR="00987A6C" w:rsidRPr="00E465A1" w:rsidRDefault="00987A6C" w:rsidP="00987A6C">
            <w:pPr>
              <w:pStyle w:val="Normal1stpara"/>
              <w:ind w:left="-103"/>
              <w:rPr>
                <w:color w:val="262626" w:themeColor="text1" w:themeTint="D9"/>
              </w:rPr>
            </w:pPr>
            <w:r w:rsidRPr="00E465A1">
              <w:rPr>
                <w:color w:val="262626" w:themeColor="text1" w:themeTint="D9"/>
              </w:rPr>
              <w:t>The increase in cash assets is mainly due to a lower level of capital spend</w:t>
            </w:r>
            <w:r w:rsidR="004E7285" w:rsidRPr="00E465A1">
              <w:rPr>
                <w:color w:val="262626" w:themeColor="text1" w:themeTint="D9"/>
              </w:rPr>
              <w:t xml:space="preserve"> of $4.478m</w:t>
            </w:r>
            <w:r w:rsidRPr="00E465A1">
              <w:rPr>
                <w:color w:val="262626" w:themeColor="text1" w:themeTint="D9"/>
              </w:rPr>
              <w:t xml:space="preserve"> during 2017-18 than was budgeted.</w:t>
            </w:r>
          </w:p>
        </w:tc>
      </w:tr>
      <w:tr w:rsidR="00E465A1" w:rsidRPr="00E465A1" w:rsidTr="00987A6C">
        <w:tc>
          <w:tcPr>
            <w:tcW w:w="2972" w:type="dxa"/>
          </w:tcPr>
          <w:p w:rsidR="00987A6C" w:rsidRPr="00E465A1" w:rsidRDefault="00987A6C" w:rsidP="00F049D5">
            <w:pPr>
              <w:pStyle w:val="Normal1stpara"/>
              <w:rPr>
                <w:i/>
                <w:color w:val="262626" w:themeColor="text1" w:themeTint="D9"/>
              </w:rPr>
            </w:pPr>
            <w:r w:rsidRPr="00E465A1">
              <w:rPr>
                <w:i/>
                <w:color w:val="262626" w:themeColor="text1" w:themeTint="D9"/>
              </w:rPr>
              <w:t>Intangible assets:</w:t>
            </w:r>
          </w:p>
        </w:tc>
        <w:tc>
          <w:tcPr>
            <w:tcW w:w="7224" w:type="dxa"/>
          </w:tcPr>
          <w:p w:rsidR="00987A6C" w:rsidRPr="00E465A1" w:rsidRDefault="00987A6C" w:rsidP="00987A6C">
            <w:pPr>
              <w:pStyle w:val="Normal1stpara"/>
              <w:ind w:left="-103"/>
              <w:rPr>
                <w:color w:val="262626" w:themeColor="text1" w:themeTint="D9"/>
              </w:rPr>
            </w:pPr>
            <w:r w:rsidRPr="00E465A1">
              <w:rPr>
                <w:color w:val="262626" w:themeColor="text1" w:themeTint="D9"/>
              </w:rPr>
              <w:t xml:space="preserve">The decrease in intangibles is mainly due to a longer than expected tender evaluation process for the new </w:t>
            </w:r>
            <w:proofErr w:type="spellStart"/>
            <w:r w:rsidRPr="00E465A1">
              <w:rPr>
                <w:color w:val="262626" w:themeColor="text1" w:themeTint="D9"/>
              </w:rPr>
              <w:t>ICMS</w:t>
            </w:r>
            <w:proofErr w:type="spellEnd"/>
            <w:r w:rsidRPr="00E465A1">
              <w:rPr>
                <w:color w:val="262626" w:themeColor="text1" w:themeTint="D9"/>
              </w:rPr>
              <w:t xml:space="preserve"> thus resulting in deferral of expenditure to 2018-19.</w:t>
            </w:r>
          </w:p>
        </w:tc>
      </w:tr>
      <w:tr w:rsidR="00E465A1" w:rsidRPr="00E465A1" w:rsidTr="00987A6C">
        <w:tc>
          <w:tcPr>
            <w:tcW w:w="2972" w:type="dxa"/>
          </w:tcPr>
          <w:p w:rsidR="00987A6C" w:rsidRPr="00E465A1" w:rsidRDefault="00987A6C" w:rsidP="00F049D5">
            <w:pPr>
              <w:pStyle w:val="Normal1stpara"/>
              <w:rPr>
                <w:i/>
                <w:color w:val="262626" w:themeColor="text1" w:themeTint="D9"/>
              </w:rPr>
            </w:pPr>
            <w:r w:rsidRPr="00E465A1">
              <w:rPr>
                <w:i/>
                <w:color w:val="262626" w:themeColor="text1" w:themeTint="D9"/>
              </w:rPr>
              <w:t>Payables:</w:t>
            </w:r>
          </w:p>
        </w:tc>
        <w:tc>
          <w:tcPr>
            <w:tcW w:w="7224" w:type="dxa"/>
          </w:tcPr>
          <w:p w:rsidR="00987A6C" w:rsidRPr="00E465A1" w:rsidRDefault="00987A6C" w:rsidP="00987A6C">
            <w:pPr>
              <w:pStyle w:val="Normal1stpara"/>
              <w:ind w:left="-103"/>
              <w:rPr>
                <w:color w:val="262626" w:themeColor="text1" w:themeTint="D9"/>
              </w:rPr>
            </w:pPr>
            <w:r w:rsidRPr="00E465A1">
              <w:rPr>
                <w:color w:val="262626" w:themeColor="text1" w:themeTint="D9"/>
              </w:rPr>
              <w:t xml:space="preserve">The increase in payables is mainly due to </w:t>
            </w:r>
            <w:r w:rsidR="004E7285" w:rsidRPr="00E465A1">
              <w:rPr>
                <w:color w:val="262626" w:themeColor="text1" w:themeTint="D9"/>
              </w:rPr>
              <w:t>$1.6m in</w:t>
            </w:r>
            <w:r w:rsidRPr="00E465A1">
              <w:rPr>
                <w:color w:val="262626" w:themeColor="text1" w:themeTint="D9"/>
              </w:rPr>
              <w:t xml:space="preserve"> ICT </w:t>
            </w:r>
            <w:r w:rsidR="004E7285" w:rsidRPr="00E465A1">
              <w:rPr>
                <w:color w:val="262626" w:themeColor="text1" w:themeTint="D9"/>
              </w:rPr>
              <w:t xml:space="preserve">capital </w:t>
            </w:r>
            <w:r w:rsidRPr="00E465A1">
              <w:rPr>
                <w:color w:val="262626" w:themeColor="text1" w:themeTint="D9"/>
              </w:rPr>
              <w:t>spend close to balance d</w:t>
            </w:r>
            <w:r w:rsidR="004E7285" w:rsidRPr="00E465A1">
              <w:rPr>
                <w:color w:val="262626" w:themeColor="text1" w:themeTint="D9"/>
              </w:rPr>
              <w:t>ate</w:t>
            </w:r>
            <w:r w:rsidRPr="00E465A1">
              <w:rPr>
                <w:color w:val="262626" w:themeColor="text1" w:themeTint="D9"/>
              </w:rPr>
              <w:t>.</w:t>
            </w:r>
            <w:r w:rsidR="004E7285" w:rsidRPr="00E465A1">
              <w:rPr>
                <w:color w:val="262626" w:themeColor="text1" w:themeTint="D9"/>
              </w:rPr>
              <w:t xml:space="preserve"> (Refer to Note 10)   </w:t>
            </w:r>
          </w:p>
        </w:tc>
      </w:tr>
      <w:tr w:rsidR="00E465A1" w:rsidRPr="00E465A1" w:rsidTr="00987A6C">
        <w:tc>
          <w:tcPr>
            <w:tcW w:w="2972" w:type="dxa"/>
          </w:tcPr>
          <w:p w:rsidR="00987A6C" w:rsidRPr="00E465A1" w:rsidRDefault="00987A6C" w:rsidP="00F049D5">
            <w:pPr>
              <w:pStyle w:val="Normal1stpara"/>
              <w:rPr>
                <w:i/>
                <w:color w:val="262626" w:themeColor="text1" w:themeTint="D9"/>
              </w:rPr>
            </w:pPr>
            <w:r w:rsidRPr="00E465A1">
              <w:rPr>
                <w:i/>
                <w:color w:val="262626" w:themeColor="text1" w:themeTint="D9"/>
              </w:rPr>
              <w:t>Accrued employee benefits:</w:t>
            </w:r>
          </w:p>
        </w:tc>
        <w:tc>
          <w:tcPr>
            <w:tcW w:w="7224" w:type="dxa"/>
          </w:tcPr>
          <w:p w:rsidR="00987A6C" w:rsidRPr="00E465A1" w:rsidRDefault="00987A6C" w:rsidP="00987A6C">
            <w:pPr>
              <w:pStyle w:val="Normal1stpara"/>
              <w:ind w:left="-103"/>
              <w:rPr>
                <w:color w:val="262626" w:themeColor="text1" w:themeTint="D9"/>
              </w:rPr>
            </w:pPr>
            <w:r w:rsidRPr="00E465A1">
              <w:rPr>
                <w:color w:val="262626" w:themeColor="text1" w:themeTint="D9"/>
              </w:rPr>
              <w:t>The decrease is mainly due to a lower level of salaries and wages owing at 30 June 2018 resulting from the cut-off of the year end payroll.</w:t>
            </w:r>
          </w:p>
        </w:tc>
      </w:tr>
      <w:tr w:rsidR="00E465A1" w:rsidRPr="00E465A1" w:rsidTr="00987A6C">
        <w:tc>
          <w:tcPr>
            <w:tcW w:w="2972" w:type="dxa"/>
          </w:tcPr>
          <w:p w:rsidR="00987A6C" w:rsidRPr="00E465A1" w:rsidRDefault="00987A6C" w:rsidP="00F049D5">
            <w:pPr>
              <w:pStyle w:val="Normal1stpara"/>
              <w:rPr>
                <w:i/>
                <w:color w:val="262626" w:themeColor="text1" w:themeTint="D9"/>
              </w:rPr>
            </w:pPr>
            <w:r w:rsidRPr="00E465A1">
              <w:rPr>
                <w:i/>
                <w:color w:val="262626" w:themeColor="text1" w:themeTint="D9"/>
              </w:rPr>
              <w:t>Other liabilities:</w:t>
            </w:r>
          </w:p>
        </w:tc>
        <w:tc>
          <w:tcPr>
            <w:tcW w:w="7224" w:type="dxa"/>
          </w:tcPr>
          <w:p w:rsidR="00987A6C" w:rsidRPr="00E465A1" w:rsidRDefault="00987A6C" w:rsidP="00987A6C">
            <w:pPr>
              <w:pStyle w:val="Normal1stpara"/>
              <w:ind w:left="-103"/>
              <w:rPr>
                <w:color w:val="262626" w:themeColor="text1" w:themeTint="D9"/>
              </w:rPr>
            </w:pPr>
            <w:r w:rsidRPr="00E465A1">
              <w:rPr>
                <w:color w:val="262626" w:themeColor="text1" w:themeTint="D9"/>
              </w:rPr>
              <w:t xml:space="preserve">The increase is mainly due to the deferral of </w:t>
            </w:r>
            <w:r w:rsidR="004E7285" w:rsidRPr="00E465A1">
              <w:rPr>
                <w:color w:val="262626" w:themeColor="text1" w:themeTint="D9"/>
              </w:rPr>
              <w:t xml:space="preserve">$0.7m in </w:t>
            </w:r>
            <w:r w:rsidRPr="00E465A1">
              <w:rPr>
                <w:color w:val="262626" w:themeColor="text1" w:themeTint="D9"/>
              </w:rPr>
              <w:t xml:space="preserve">operational funding for the new </w:t>
            </w:r>
            <w:proofErr w:type="spellStart"/>
            <w:r w:rsidRPr="00E465A1">
              <w:rPr>
                <w:color w:val="262626" w:themeColor="text1" w:themeTint="D9"/>
              </w:rPr>
              <w:t>ICMS</w:t>
            </w:r>
            <w:proofErr w:type="spellEnd"/>
            <w:r w:rsidRPr="00E465A1">
              <w:rPr>
                <w:color w:val="262626" w:themeColor="text1" w:themeTint="D9"/>
              </w:rPr>
              <w:t xml:space="preserve"> to the 2018-19 financial year.</w:t>
            </w:r>
          </w:p>
        </w:tc>
      </w:tr>
      <w:tr w:rsidR="00987A6C" w:rsidRPr="00E465A1" w:rsidTr="00987A6C">
        <w:tc>
          <w:tcPr>
            <w:tcW w:w="2972" w:type="dxa"/>
          </w:tcPr>
          <w:p w:rsidR="00987A6C" w:rsidRPr="00E465A1" w:rsidRDefault="00987A6C" w:rsidP="00F049D5">
            <w:pPr>
              <w:pStyle w:val="Normal1stpara"/>
              <w:rPr>
                <w:i/>
                <w:color w:val="262626" w:themeColor="text1" w:themeTint="D9"/>
              </w:rPr>
            </w:pPr>
            <w:r w:rsidRPr="00E465A1">
              <w:rPr>
                <w:i/>
                <w:color w:val="262626" w:themeColor="text1" w:themeTint="D9"/>
              </w:rPr>
              <w:t>Total equity:</w:t>
            </w:r>
          </w:p>
        </w:tc>
        <w:tc>
          <w:tcPr>
            <w:tcW w:w="7224" w:type="dxa"/>
          </w:tcPr>
          <w:p w:rsidR="00987A6C" w:rsidRPr="00E465A1" w:rsidRDefault="00987A6C" w:rsidP="00182F42">
            <w:pPr>
              <w:pStyle w:val="Normal1stpara"/>
              <w:ind w:left="-103"/>
              <w:rPr>
                <w:color w:val="262626" w:themeColor="text1" w:themeTint="D9"/>
              </w:rPr>
            </w:pPr>
            <w:r w:rsidRPr="00E465A1">
              <w:rPr>
                <w:color w:val="262626" w:themeColor="text1" w:themeTint="D9"/>
              </w:rPr>
              <w:t xml:space="preserve">The decrease is </w:t>
            </w:r>
            <w:r w:rsidR="00182F42" w:rsidRPr="00E465A1">
              <w:rPr>
                <w:color w:val="262626" w:themeColor="text1" w:themeTint="D9"/>
              </w:rPr>
              <w:t xml:space="preserve">mainly due to the </w:t>
            </w:r>
            <w:r w:rsidRPr="00E465A1">
              <w:rPr>
                <w:color w:val="262626" w:themeColor="text1" w:themeTint="D9"/>
              </w:rPr>
              <w:t xml:space="preserve">deferral of </w:t>
            </w:r>
            <w:r w:rsidR="00182F42" w:rsidRPr="00E465A1">
              <w:rPr>
                <w:color w:val="262626" w:themeColor="text1" w:themeTint="D9"/>
              </w:rPr>
              <w:t xml:space="preserve">$1.598m in equity injections for the new </w:t>
            </w:r>
            <w:proofErr w:type="spellStart"/>
            <w:r w:rsidR="00182F42" w:rsidRPr="00E465A1">
              <w:rPr>
                <w:color w:val="262626" w:themeColor="text1" w:themeTint="D9"/>
              </w:rPr>
              <w:t>ICMS</w:t>
            </w:r>
            <w:proofErr w:type="spellEnd"/>
            <w:r w:rsidR="00182F42" w:rsidRPr="00E465A1">
              <w:rPr>
                <w:color w:val="262626" w:themeColor="text1" w:themeTint="D9"/>
              </w:rPr>
              <w:t xml:space="preserve"> to 2018-19 and a change in expenditure classification of $1.339m from capital to operating in connection with the new </w:t>
            </w:r>
            <w:proofErr w:type="spellStart"/>
            <w:r w:rsidR="00182F42" w:rsidRPr="00E465A1">
              <w:rPr>
                <w:color w:val="262626" w:themeColor="text1" w:themeTint="D9"/>
              </w:rPr>
              <w:t>ICMS</w:t>
            </w:r>
            <w:proofErr w:type="spellEnd"/>
            <w:r w:rsidR="00182F42" w:rsidRPr="00E465A1">
              <w:rPr>
                <w:color w:val="262626" w:themeColor="text1" w:themeTint="D9"/>
              </w:rPr>
              <w:t xml:space="preserve">. </w:t>
            </w:r>
          </w:p>
        </w:tc>
      </w:tr>
    </w:tbl>
    <w:p w:rsidR="00987A6C" w:rsidRPr="00E465A1" w:rsidRDefault="00987A6C" w:rsidP="00686591">
      <w:pPr>
        <w:pStyle w:val="Normalhanginglist105pt"/>
        <w:rPr>
          <w:color w:val="262626" w:themeColor="text1" w:themeTint="D9"/>
        </w:rPr>
      </w:pPr>
    </w:p>
    <w:p w:rsidR="00C41EAB" w:rsidRPr="00E465A1" w:rsidRDefault="00686591" w:rsidP="00686591">
      <w:pPr>
        <w:pStyle w:val="Normalhanginglist105pt"/>
        <w:rPr>
          <w:b w:val="0"/>
          <w:color w:val="262626" w:themeColor="text1" w:themeTint="D9"/>
          <w:sz w:val="20"/>
        </w:rPr>
      </w:pPr>
      <w:r w:rsidRPr="00E465A1">
        <w:rPr>
          <w:color w:val="262626" w:themeColor="text1" w:themeTint="D9"/>
        </w:rPr>
        <w:t>Note 2</w:t>
      </w:r>
      <w:r w:rsidR="0014516F" w:rsidRPr="00E465A1">
        <w:rPr>
          <w:color w:val="262626" w:themeColor="text1" w:themeTint="D9"/>
        </w:rPr>
        <w:t>1</w:t>
      </w:r>
      <w:r w:rsidRPr="00E465A1">
        <w:rPr>
          <w:color w:val="262626" w:themeColor="text1" w:themeTint="D9"/>
        </w:rPr>
        <w:t>C:</w:t>
      </w:r>
      <w:r w:rsidRPr="00E465A1">
        <w:rPr>
          <w:color w:val="262626" w:themeColor="text1" w:themeTint="D9"/>
        </w:rPr>
        <w:tab/>
      </w:r>
      <w:r w:rsidR="00980ED6" w:rsidRPr="00E465A1">
        <w:rPr>
          <w:color w:val="262626" w:themeColor="text1" w:themeTint="D9"/>
        </w:rPr>
        <w:t>Explanation of Major Variances – Statement of Cash Flows</w:t>
      </w:r>
    </w:p>
    <w:p w:rsidR="000846A2" w:rsidRPr="00E465A1" w:rsidRDefault="000846A2" w:rsidP="005C1ED4">
      <w:pPr>
        <w:pStyle w:val="Normal1stpara"/>
        <w:rPr>
          <w:color w:val="262626" w:themeColor="text1" w:themeTint="D9"/>
        </w:rPr>
      </w:pPr>
    </w:p>
    <w:tbl>
      <w:tblPr>
        <w:tblStyle w:val="TableGrid"/>
        <w:tblW w:w="1006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229"/>
      </w:tblGrid>
      <w:tr w:rsidR="00E465A1" w:rsidRPr="00E465A1" w:rsidTr="00987A6C">
        <w:tc>
          <w:tcPr>
            <w:tcW w:w="2835" w:type="dxa"/>
          </w:tcPr>
          <w:p w:rsidR="00987A6C" w:rsidRPr="00E465A1" w:rsidRDefault="00987A6C" w:rsidP="00462A24">
            <w:pPr>
              <w:pStyle w:val="Variences"/>
              <w:ind w:left="0" w:firstLine="0"/>
              <w:rPr>
                <w:i/>
                <w:color w:val="262626" w:themeColor="text1" w:themeTint="D9"/>
              </w:rPr>
            </w:pPr>
            <w:r w:rsidRPr="00E465A1">
              <w:rPr>
                <w:i/>
                <w:color w:val="262626" w:themeColor="text1" w:themeTint="D9"/>
              </w:rPr>
              <w:t>Grants and other contributions:</w:t>
            </w:r>
          </w:p>
        </w:tc>
        <w:tc>
          <w:tcPr>
            <w:tcW w:w="7229" w:type="dxa"/>
          </w:tcPr>
          <w:p w:rsidR="00987A6C" w:rsidRPr="00E465A1" w:rsidRDefault="00987A6C" w:rsidP="004E7285">
            <w:pPr>
              <w:pStyle w:val="Variences"/>
              <w:ind w:left="-103" w:firstLine="0"/>
              <w:rPr>
                <w:color w:val="262626" w:themeColor="text1" w:themeTint="D9"/>
              </w:rPr>
            </w:pPr>
            <w:r w:rsidRPr="00E465A1">
              <w:rPr>
                <w:color w:val="262626" w:themeColor="text1" w:themeTint="D9"/>
              </w:rPr>
              <w:t xml:space="preserve">The increase is mainly due to an equity to output swap </w:t>
            </w:r>
            <w:r w:rsidR="004E7285" w:rsidRPr="00E465A1">
              <w:rPr>
                <w:color w:val="262626" w:themeColor="text1" w:themeTint="D9"/>
              </w:rPr>
              <w:t xml:space="preserve">of $1.339m in relation to the development of the new </w:t>
            </w:r>
            <w:proofErr w:type="spellStart"/>
            <w:r w:rsidR="004E7285" w:rsidRPr="00E465A1">
              <w:rPr>
                <w:color w:val="262626" w:themeColor="text1" w:themeTint="D9"/>
              </w:rPr>
              <w:t>ICMS</w:t>
            </w:r>
            <w:proofErr w:type="spellEnd"/>
            <w:r w:rsidR="004E7285" w:rsidRPr="00E465A1">
              <w:rPr>
                <w:color w:val="262626" w:themeColor="text1" w:themeTint="D9"/>
              </w:rPr>
              <w:t xml:space="preserve"> partially offset by a $0.407m reprioritisation adjustment that was returned to Treasury resulting from the 2017-18 </w:t>
            </w:r>
            <w:proofErr w:type="spellStart"/>
            <w:r w:rsidR="004E7285" w:rsidRPr="00E465A1">
              <w:rPr>
                <w:color w:val="262626" w:themeColor="text1" w:themeTint="D9"/>
              </w:rPr>
              <w:t>MYFER</w:t>
            </w:r>
            <w:proofErr w:type="spellEnd"/>
            <w:r w:rsidR="004E7285" w:rsidRPr="00E465A1">
              <w:rPr>
                <w:color w:val="262626" w:themeColor="text1" w:themeTint="D9"/>
              </w:rPr>
              <w:t xml:space="preserve"> process.</w:t>
            </w:r>
          </w:p>
        </w:tc>
      </w:tr>
      <w:tr w:rsidR="00E465A1" w:rsidRPr="00E465A1" w:rsidTr="00987A6C">
        <w:tc>
          <w:tcPr>
            <w:tcW w:w="2835" w:type="dxa"/>
          </w:tcPr>
          <w:p w:rsidR="00987A6C" w:rsidRPr="00E465A1" w:rsidRDefault="00987A6C" w:rsidP="00462A24">
            <w:pPr>
              <w:pStyle w:val="Variences"/>
              <w:ind w:left="0" w:firstLine="0"/>
              <w:rPr>
                <w:i/>
                <w:color w:val="262626" w:themeColor="text1" w:themeTint="D9"/>
              </w:rPr>
            </w:pPr>
            <w:r w:rsidRPr="00E465A1">
              <w:rPr>
                <w:i/>
                <w:color w:val="262626" w:themeColor="text1" w:themeTint="D9"/>
              </w:rPr>
              <w:t>Payments for intangibles</w:t>
            </w:r>
            <w:r w:rsidR="00F22773" w:rsidRPr="00E465A1">
              <w:rPr>
                <w:i/>
                <w:color w:val="262626" w:themeColor="text1" w:themeTint="D9"/>
              </w:rPr>
              <w:t xml:space="preserve"> and property, plant and equipment</w:t>
            </w:r>
            <w:r w:rsidRPr="00E465A1">
              <w:rPr>
                <w:i/>
                <w:color w:val="262626" w:themeColor="text1" w:themeTint="D9"/>
              </w:rPr>
              <w:t>:</w:t>
            </w:r>
          </w:p>
        </w:tc>
        <w:tc>
          <w:tcPr>
            <w:tcW w:w="7229" w:type="dxa"/>
          </w:tcPr>
          <w:p w:rsidR="00987A6C" w:rsidRPr="00E465A1" w:rsidRDefault="00A1560E" w:rsidP="00A1560E">
            <w:pPr>
              <w:pStyle w:val="Variences"/>
              <w:ind w:left="-103" w:firstLine="0"/>
              <w:rPr>
                <w:color w:val="262626" w:themeColor="text1" w:themeTint="D9"/>
              </w:rPr>
            </w:pPr>
            <w:r w:rsidRPr="00E465A1">
              <w:rPr>
                <w:color w:val="262626" w:themeColor="text1" w:themeTint="D9"/>
              </w:rPr>
              <w:t xml:space="preserve">The decrease is due to deferrals of IT infrastructure replacement </w:t>
            </w:r>
            <w:r w:rsidR="00F22773" w:rsidRPr="00E465A1">
              <w:rPr>
                <w:color w:val="262626" w:themeColor="text1" w:themeTint="D9"/>
              </w:rPr>
              <w:t xml:space="preserve">of $1m </w:t>
            </w:r>
            <w:r w:rsidRPr="00E465A1">
              <w:rPr>
                <w:color w:val="262626" w:themeColor="text1" w:themeTint="D9"/>
              </w:rPr>
              <w:t xml:space="preserve">and the new </w:t>
            </w:r>
            <w:proofErr w:type="spellStart"/>
            <w:r w:rsidRPr="00E465A1">
              <w:rPr>
                <w:color w:val="262626" w:themeColor="text1" w:themeTint="D9"/>
              </w:rPr>
              <w:t>ICMS</w:t>
            </w:r>
            <w:proofErr w:type="spellEnd"/>
            <w:r w:rsidRPr="00E465A1">
              <w:rPr>
                <w:color w:val="262626" w:themeColor="text1" w:themeTint="D9"/>
              </w:rPr>
              <w:t xml:space="preserve"> development costs from 2017-18 to 2018-19.</w:t>
            </w:r>
          </w:p>
        </w:tc>
      </w:tr>
      <w:tr w:rsidR="00987A6C" w:rsidRPr="00E465A1" w:rsidTr="00987A6C">
        <w:tc>
          <w:tcPr>
            <w:tcW w:w="2835" w:type="dxa"/>
          </w:tcPr>
          <w:p w:rsidR="00987A6C" w:rsidRPr="00E465A1" w:rsidRDefault="00987A6C" w:rsidP="00462A24">
            <w:pPr>
              <w:pStyle w:val="Variences"/>
              <w:ind w:left="0" w:firstLine="0"/>
              <w:rPr>
                <w:i/>
                <w:color w:val="262626" w:themeColor="text1" w:themeTint="D9"/>
              </w:rPr>
            </w:pPr>
            <w:r w:rsidRPr="00E465A1">
              <w:rPr>
                <w:i/>
                <w:color w:val="262626" w:themeColor="text1" w:themeTint="D9"/>
              </w:rPr>
              <w:t xml:space="preserve">Equity injections: </w:t>
            </w:r>
          </w:p>
        </w:tc>
        <w:tc>
          <w:tcPr>
            <w:tcW w:w="7229" w:type="dxa"/>
          </w:tcPr>
          <w:p w:rsidR="00987A6C" w:rsidRPr="00E465A1" w:rsidRDefault="00A1560E" w:rsidP="00A1560E">
            <w:pPr>
              <w:pStyle w:val="Variences"/>
              <w:ind w:left="-103" w:firstLine="0"/>
              <w:rPr>
                <w:color w:val="262626" w:themeColor="text1" w:themeTint="D9"/>
              </w:rPr>
            </w:pPr>
            <w:r w:rsidRPr="00E465A1">
              <w:rPr>
                <w:color w:val="262626" w:themeColor="text1" w:themeTint="D9"/>
              </w:rPr>
              <w:t xml:space="preserve">The decrease in equity injections is due to a longer than expected tender evaluation process for the new </w:t>
            </w:r>
            <w:proofErr w:type="spellStart"/>
            <w:r w:rsidRPr="00E465A1">
              <w:rPr>
                <w:color w:val="262626" w:themeColor="text1" w:themeTint="D9"/>
              </w:rPr>
              <w:t>ICMS</w:t>
            </w:r>
            <w:proofErr w:type="spellEnd"/>
            <w:r w:rsidRPr="00E465A1">
              <w:rPr>
                <w:color w:val="262626" w:themeColor="text1" w:themeTint="D9"/>
              </w:rPr>
              <w:t xml:space="preserve"> and a change in expenditure classification from capital to operating </w:t>
            </w:r>
            <w:r w:rsidR="00F22773" w:rsidRPr="00E465A1">
              <w:rPr>
                <w:color w:val="262626" w:themeColor="text1" w:themeTint="D9"/>
              </w:rPr>
              <w:t xml:space="preserve">of $1.339m </w:t>
            </w:r>
            <w:r w:rsidRPr="00E465A1">
              <w:rPr>
                <w:color w:val="262626" w:themeColor="text1" w:themeTint="D9"/>
              </w:rPr>
              <w:t xml:space="preserve">in connection with the new </w:t>
            </w:r>
            <w:proofErr w:type="spellStart"/>
            <w:r w:rsidRPr="00E465A1">
              <w:rPr>
                <w:color w:val="262626" w:themeColor="text1" w:themeTint="D9"/>
              </w:rPr>
              <w:t>ICMS</w:t>
            </w:r>
            <w:proofErr w:type="spellEnd"/>
            <w:r w:rsidRPr="00E465A1">
              <w:rPr>
                <w:color w:val="262626" w:themeColor="text1" w:themeTint="D9"/>
              </w:rPr>
              <w:t>.</w:t>
            </w:r>
          </w:p>
        </w:tc>
      </w:tr>
    </w:tbl>
    <w:p w:rsidR="00E9253C" w:rsidRPr="00E465A1" w:rsidRDefault="00E9253C" w:rsidP="00346814">
      <w:pPr>
        <w:pStyle w:val="Variences"/>
        <w:ind w:left="0" w:firstLine="0"/>
        <w:rPr>
          <w:color w:val="262626" w:themeColor="text1" w:themeTint="D9"/>
          <w:highlight w:val="yellow"/>
        </w:rPr>
      </w:pPr>
    </w:p>
    <w:p w:rsidR="00DC585C" w:rsidRPr="00E465A1" w:rsidRDefault="00DC585C" w:rsidP="00735E83">
      <w:pPr>
        <w:spacing w:before="0" w:line="240" w:lineRule="auto"/>
        <w:rPr>
          <w:color w:val="262626" w:themeColor="text1" w:themeTint="D9"/>
        </w:rPr>
        <w:sectPr w:rsidR="00DC585C" w:rsidRPr="00E465A1" w:rsidSect="00DE3D71">
          <w:headerReference w:type="default" r:id="rId32"/>
          <w:pgSz w:w="11907" w:h="16840" w:code="9"/>
          <w:pgMar w:top="2268" w:right="850" w:bottom="1418" w:left="851" w:header="567" w:footer="567" w:gutter="0"/>
          <w:cols w:space="720"/>
          <w:noEndnote/>
          <w:docGrid w:linePitch="360"/>
        </w:sectPr>
      </w:pPr>
    </w:p>
    <w:p w:rsidR="00E90988" w:rsidRPr="00E465A1" w:rsidRDefault="00D72154" w:rsidP="00735E83">
      <w:pPr>
        <w:spacing w:before="0" w:line="240" w:lineRule="auto"/>
        <w:rPr>
          <w:color w:val="262626" w:themeColor="text1" w:themeTint="D9"/>
        </w:rPr>
      </w:pPr>
      <w:r w:rsidRPr="00E465A1">
        <w:rPr>
          <w:color w:val="262626" w:themeColor="text1" w:themeTint="D9"/>
        </w:rPr>
        <w:lastRenderedPageBreak/>
        <w:t>T</w:t>
      </w:r>
      <w:r w:rsidR="00276E72" w:rsidRPr="00E465A1">
        <w:rPr>
          <w:color w:val="262626" w:themeColor="text1" w:themeTint="D9"/>
        </w:rPr>
        <w:t xml:space="preserve">hese general purpose financial statements have been prepared pursuant to Section 62(1) of the </w:t>
      </w:r>
      <w:r w:rsidR="00276E72" w:rsidRPr="00E465A1">
        <w:rPr>
          <w:i/>
          <w:color w:val="262626" w:themeColor="text1" w:themeTint="D9"/>
        </w:rPr>
        <w:t xml:space="preserve">Financial Accountability Act 2009 </w:t>
      </w:r>
      <w:r w:rsidR="00276E72" w:rsidRPr="00E465A1">
        <w:rPr>
          <w:color w:val="262626" w:themeColor="text1" w:themeTint="D9"/>
        </w:rPr>
        <w:t xml:space="preserve">(the Act), relevant sections of the </w:t>
      </w:r>
      <w:r w:rsidR="00276E72" w:rsidRPr="00E465A1">
        <w:rPr>
          <w:i/>
          <w:color w:val="262626" w:themeColor="text1" w:themeTint="D9"/>
        </w:rPr>
        <w:t>Financial and Performance Management Standard 2009</w:t>
      </w:r>
      <w:r w:rsidR="00276E72" w:rsidRPr="00E465A1">
        <w:rPr>
          <w:color w:val="262626" w:themeColor="text1" w:themeTint="D9"/>
        </w:rPr>
        <w:t xml:space="preserve"> and other prescribed requirements. In accordance with Section 62(1</w:t>
      </w:r>
      <w:proofErr w:type="gramStart"/>
      <w:r w:rsidR="00276E72" w:rsidRPr="00E465A1">
        <w:rPr>
          <w:color w:val="262626" w:themeColor="text1" w:themeTint="D9"/>
        </w:rPr>
        <w:t>)(</w:t>
      </w:r>
      <w:proofErr w:type="gramEnd"/>
      <w:r w:rsidR="00276E72" w:rsidRPr="00E465A1">
        <w:rPr>
          <w:color w:val="262626" w:themeColor="text1" w:themeTint="D9"/>
        </w:rPr>
        <w:t>b) of the Act we certify that in our opinion:</w:t>
      </w:r>
    </w:p>
    <w:p w:rsidR="00E90988" w:rsidRPr="00E465A1" w:rsidRDefault="00276E72" w:rsidP="000906E6">
      <w:pPr>
        <w:pStyle w:val="Normalhanginglist"/>
        <w:rPr>
          <w:color w:val="262626" w:themeColor="text1" w:themeTint="D9"/>
        </w:rPr>
      </w:pPr>
      <w:r w:rsidRPr="00E465A1">
        <w:rPr>
          <w:color w:val="262626" w:themeColor="text1" w:themeTint="D9"/>
        </w:rPr>
        <w:t>(a)</w:t>
      </w:r>
      <w:r w:rsidRPr="00E465A1">
        <w:rPr>
          <w:color w:val="262626" w:themeColor="text1" w:themeTint="D9"/>
        </w:rPr>
        <w:tab/>
      </w:r>
      <w:proofErr w:type="gramStart"/>
      <w:r w:rsidRPr="00E465A1">
        <w:rPr>
          <w:color w:val="262626" w:themeColor="text1" w:themeTint="D9"/>
        </w:rPr>
        <w:t>the</w:t>
      </w:r>
      <w:proofErr w:type="gramEnd"/>
      <w:r w:rsidRPr="00E465A1">
        <w:rPr>
          <w:color w:val="262626" w:themeColor="text1" w:themeTint="D9"/>
        </w:rPr>
        <w:t xml:space="preserve"> prescribed requirements for establishing and keeping the accounts have been complied with in all material respects; </w:t>
      </w:r>
    </w:p>
    <w:p w:rsidR="00E90988" w:rsidRPr="00E465A1" w:rsidRDefault="00276E72" w:rsidP="000906E6">
      <w:pPr>
        <w:pStyle w:val="Normalhanginglist"/>
        <w:rPr>
          <w:color w:val="262626" w:themeColor="text1" w:themeTint="D9"/>
        </w:rPr>
      </w:pPr>
      <w:r w:rsidRPr="00E465A1">
        <w:rPr>
          <w:color w:val="262626" w:themeColor="text1" w:themeTint="D9"/>
        </w:rPr>
        <w:t>(b)</w:t>
      </w:r>
      <w:r w:rsidRPr="00E465A1">
        <w:rPr>
          <w:color w:val="262626" w:themeColor="text1" w:themeTint="D9"/>
        </w:rPr>
        <w:tab/>
        <w:t xml:space="preserve">the </w:t>
      </w:r>
      <w:r w:rsidR="00F632CD" w:rsidRPr="00E465A1">
        <w:rPr>
          <w:color w:val="262626" w:themeColor="text1" w:themeTint="D9"/>
        </w:rPr>
        <w:t xml:space="preserve">financial </w:t>
      </w:r>
      <w:r w:rsidRPr="00E465A1">
        <w:rPr>
          <w:color w:val="262626" w:themeColor="text1" w:themeTint="D9"/>
        </w:rPr>
        <w:t xml:space="preserve">statements have been drawn up to present a true and fair view, in accordance with prescribed accounting </w:t>
      </w:r>
      <w:r w:rsidRPr="00E465A1">
        <w:rPr>
          <w:color w:val="262626" w:themeColor="text1" w:themeTint="D9"/>
          <w:spacing w:val="-2"/>
        </w:rPr>
        <w:t xml:space="preserve">standards, of the transactions of the </w:t>
      </w:r>
      <w:r w:rsidR="00EC2665" w:rsidRPr="00E465A1">
        <w:rPr>
          <w:color w:val="262626" w:themeColor="text1" w:themeTint="D9"/>
          <w:spacing w:val="-2"/>
        </w:rPr>
        <w:t>CCC</w:t>
      </w:r>
      <w:r w:rsidRPr="00E465A1">
        <w:rPr>
          <w:color w:val="262626" w:themeColor="text1" w:themeTint="D9"/>
          <w:spacing w:val="-2"/>
        </w:rPr>
        <w:t xml:space="preserve"> for the financial year ended 30 June </w:t>
      </w:r>
      <w:r w:rsidR="003D302E" w:rsidRPr="00E465A1">
        <w:rPr>
          <w:color w:val="262626" w:themeColor="text1" w:themeTint="D9"/>
          <w:spacing w:val="-2"/>
        </w:rPr>
        <w:t>201</w:t>
      </w:r>
      <w:r w:rsidR="006C1A3C" w:rsidRPr="00E465A1">
        <w:rPr>
          <w:color w:val="262626" w:themeColor="text1" w:themeTint="D9"/>
          <w:spacing w:val="-2"/>
        </w:rPr>
        <w:t>8</w:t>
      </w:r>
      <w:r w:rsidRPr="00E465A1">
        <w:rPr>
          <w:color w:val="262626" w:themeColor="text1" w:themeTint="D9"/>
        </w:rPr>
        <w:t xml:space="preserve"> and of the financial position of the </w:t>
      </w:r>
      <w:r w:rsidR="00EC2665" w:rsidRPr="00E465A1">
        <w:rPr>
          <w:color w:val="262626" w:themeColor="text1" w:themeTint="D9"/>
        </w:rPr>
        <w:t>CCC</w:t>
      </w:r>
      <w:r w:rsidRPr="00E465A1">
        <w:rPr>
          <w:color w:val="262626" w:themeColor="text1" w:themeTint="D9"/>
        </w:rPr>
        <w:t xml:space="preserve"> at the end of that year</w:t>
      </w:r>
      <w:r w:rsidR="000C42E4" w:rsidRPr="00E465A1">
        <w:rPr>
          <w:color w:val="262626" w:themeColor="text1" w:themeTint="D9"/>
        </w:rPr>
        <w:t>; and</w:t>
      </w:r>
    </w:p>
    <w:p w:rsidR="006D6995" w:rsidRPr="00E465A1" w:rsidRDefault="006D6995" w:rsidP="000906E6">
      <w:pPr>
        <w:pStyle w:val="Normalhanginglist"/>
        <w:rPr>
          <w:color w:val="262626" w:themeColor="text1" w:themeTint="D9"/>
        </w:rPr>
      </w:pPr>
      <w:r w:rsidRPr="00E465A1">
        <w:rPr>
          <w:color w:val="262626" w:themeColor="text1" w:themeTint="D9"/>
        </w:rPr>
        <w:t>(c)</w:t>
      </w:r>
      <w:r w:rsidRPr="00E465A1">
        <w:rPr>
          <w:color w:val="262626" w:themeColor="text1" w:themeTint="D9"/>
        </w:rPr>
        <w:tab/>
      </w:r>
      <w:proofErr w:type="gramStart"/>
      <w:r w:rsidRPr="00E465A1">
        <w:rPr>
          <w:color w:val="262626" w:themeColor="text1" w:themeTint="D9"/>
        </w:rPr>
        <w:t>these</w:t>
      </w:r>
      <w:proofErr w:type="gramEnd"/>
      <w:r w:rsidRPr="00E465A1">
        <w:rPr>
          <w:color w:val="262626" w:themeColor="text1" w:themeTint="D9"/>
        </w:rPr>
        <w:t xml:space="preserve"> assertions are based on an appropriate system of internal controls and risk management processes being effective, in all material aspects, with respect to financial reporting throughout the reporting period.</w:t>
      </w:r>
    </w:p>
    <w:p w:rsidR="00E90988" w:rsidRPr="00E465A1" w:rsidRDefault="00E90988" w:rsidP="00DF0FDB">
      <w:pPr>
        <w:rPr>
          <w:rFonts w:cs="Arial"/>
          <w:color w:val="262626" w:themeColor="text1" w:themeTint="D9"/>
          <w:szCs w:val="18"/>
        </w:rPr>
      </w:pPr>
    </w:p>
    <w:p w:rsidR="00C96FA1" w:rsidRPr="00E465A1" w:rsidRDefault="00C96FA1" w:rsidP="00DF0FDB">
      <w:pPr>
        <w:rPr>
          <w:rFonts w:cs="Arial"/>
          <w:color w:val="262626" w:themeColor="text1" w:themeTint="D9"/>
          <w:szCs w:val="18"/>
        </w:rPr>
      </w:pPr>
    </w:p>
    <w:p w:rsidR="00C96FA1" w:rsidRPr="00E465A1" w:rsidRDefault="00C96FA1" w:rsidP="00DF0FDB">
      <w:pPr>
        <w:rPr>
          <w:rFonts w:cs="Arial"/>
          <w:color w:val="262626" w:themeColor="text1" w:themeTint="D9"/>
          <w:szCs w:val="18"/>
        </w:rPr>
      </w:pPr>
    </w:p>
    <w:p w:rsidR="00E90988" w:rsidRPr="00E465A1" w:rsidRDefault="00E90988" w:rsidP="00DF0FDB">
      <w:pPr>
        <w:rPr>
          <w:rFonts w:cs="Arial"/>
          <w:color w:val="262626" w:themeColor="text1" w:themeTint="D9"/>
          <w:szCs w:val="18"/>
        </w:rPr>
      </w:pPr>
    </w:p>
    <w:p w:rsidR="00435158" w:rsidRPr="00E465A1" w:rsidRDefault="00435158" w:rsidP="00DF0FDB">
      <w:pPr>
        <w:rPr>
          <w:rFonts w:cs="Arial"/>
          <w:color w:val="262626" w:themeColor="text1" w:themeTint="D9"/>
          <w:szCs w:val="18"/>
        </w:rPr>
      </w:pPr>
    </w:p>
    <w:p w:rsidR="000D3755" w:rsidRPr="00E465A1" w:rsidRDefault="000D3755" w:rsidP="000D3755">
      <w:pPr>
        <w:tabs>
          <w:tab w:val="center" w:pos="1080"/>
          <w:tab w:val="center" w:pos="4500"/>
        </w:tabs>
        <w:spacing w:line="260" w:lineRule="exact"/>
        <w:rPr>
          <w:rFonts w:ascii="Arial" w:hAnsi="Arial" w:cs="Arial"/>
          <w:color w:val="262626" w:themeColor="text1" w:themeTint="D9"/>
          <w:sz w:val="18"/>
          <w:szCs w:val="18"/>
        </w:rPr>
      </w:pPr>
    </w:p>
    <w:p w:rsidR="000D3755" w:rsidRPr="00E465A1" w:rsidRDefault="000D3755" w:rsidP="000D3755">
      <w:pPr>
        <w:tabs>
          <w:tab w:val="center" w:pos="1080"/>
          <w:tab w:val="center" w:pos="4500"/>
        </w:tabs>
        <w:spacing w:line="260" w:lineRule="exact"/>
        <w:rPr>
          <w:rFonts w:ascii="Arial" w:hAnsi="Arial" w:cs="Arial"/>
          <w:color w:val="262626" w:themeColor="text1" w:themeTint="D9"/>
          <w:sz w:val="18"/>
          <w:szCs w:val="18"/>
        </w:rPr>
      </w:pPr>
    </w:p>
    <w:p w:rsidR="000D3755" w:rsidRPr="00E465A1" w:rsidRDefault="000D3755" w:rsidP="000D3755">
      <w:pPr>
        <w:tabs>
          <w:tab w:val="center" w:pos="1080"/>
          <w:tab w:val="center" w:pos="4500"/>
        </w:tabs>
        <w:spacing w:line="260" w:lineRule="exact"/>
        <w:rPr>
          <w:rFonts w:ascii="Arial" w:hAnsi="Arial" w:cs="Arial"/>
          <w:color w:val="262626" w:themeColor="text1" w:themeTint="D9"/>
          <w:sz w:val="18"/>
          <w:szCs w:val="18"/>
        </w:rPr>
      </w:pPr>
    </w:p>
    <w:p w:rsidR="00406FD5" w:rsidRPr="00E465A1" w:rsidRDefault="006F6BFC" w:rsidP="000D3755">
      <w:pPr>
        <w:tabs>
          <w:tab w:val="center" w:pos="1080"/>
          <w:tab w:val="center" w:pos="4500"/>
        </w:tabs>
        <w:spacing w:line="260" w:lineRule="exact"/>
        <w:rPr>
          <w:rFonts w:ascii="Arial" w:hAnsi="Arial" w:cs="Arial"/>
          <w:color w:val="262626" w:themeColor="text1" w:themeTint="D9"/>
          <w:sz w:val="18"/>
          <w:szCs w:val="18"/>
        </w:rPr>
      </w:pPr>
      <w:r w:rsidRPr="00E465A1">
        <w:rPr>
          <w:rFonts w:ascii="Arial" w:hAnsi="Arial" w:cs="Arial"/>
          <w:color w:val="262626" w:themeColor="text1" w:themeTint="D9"/>
          <w:sz w:val="18"/>
          <w:szCs w:val="18"/>
        </w:rPr>
        <w:t>Alan MacSporran QC</w:t>
      </w:r>
      <w:r w:rsidR="00FC4BC0" w:rsidRPr="00E465A1">
        <w:rPr>
          <w:rFonts w:ascii="Arial" w:hAnsi="Arial" w:cs="Arial"/>
          <w:color w:val="262626" w:themeColor="text1" w:themeTint="D9"/>
          <w:sz w:val="18"/>
          <w:szCs w:val="18"/>
        </w:rPr>
        <w:tab/>
      </w:r>
      <w:r w:rsidR="00FC4BC0" w:rsidRPr="00E465A1">
        <w:rPr>
          <w:rFonts w:ascii="Arial" w:hAnsi="Arial" w:cs="Arial"/>
          <w:color w:val="262626" w:themeColor="text1" w:themeTint="D9"/>
          <w:sz w:val="18"/>
          <w:szCs w:val="18"/>
        </w:rPr>
        <w:tab/>
      </w:r>
      <w:r w:rsidR="00FC4BC0" w:rsidRPr="00E465A1">
        <w:rPr>
          <w:rFonts w:ascii="Arial" w:hAnsi="Arial" w:cs="Arial"/>
          <w:color w:val="262626" w:themeColor="text1" w:themeTint="D9"/>
          <w:sz w:val="18"/>
          <w:szCs w:val="18"/>
        </w:rPr>
        <w:tab/>
      </w:r>
      <w:r w:rsidR="00FC4BC0" w:rsidRPr="00E465A1">
        <w:rPr>
          <w:rFonts w:ascii="Arial" w:hAnsi="Arial" w:cs="Arial"/>
          <w:color w:val="262626" w:themeColor="text1" w:themeTint="D9"/>
          <w:sz w:val="18"/>
          <w:szCs w:val="18"/>
        </w:rPr>
        <w:tab/>
      </w:r>
      <w:r w:rsidR="004A08F7" w:rsidRPr="00E465A1">
        <w:rPr>
          <w:rFonts w:ascii="Arial" w:hAnsi="Arial" w:cs="Arial"/>
          <w:color w:val="262626" w:themeColor="text1" w:themeTint="D9"/>
          <w:sz w:val="18"/>
          <w:szCs w:val="18"/>
        </w:rPr>
        <w:t>Jen O’Farrell</w:t>
      </w:r>
    </w:p>
    <w:p w:rsidR="000D3755" w:rsidRPr="00E465A1" w:rsidRDefault="006F6BFC" w:rsidP="000D3755">
      <w:pPr>
        <w:tabs>
          <w:tab w:val="center" w:pos="1080"/>
          <w:tab w:val="center" w:pos="4500"/>
        </w:tabs>
        <w:spacing w:line="260" w:lineRule="exact"/>
        <w:rPr>
          <w:rFonts w:ascii="Arial" w:hAnsi="Arial" w:cs="Arial"/>
          <w:color w:val="262626" w:themeColor="text1" w:themeTint="D9"/>
          <w:sz w:val="18"/>
          <w:szCs w:val="18"/>
        </w:rPr>
      </w:pPr>
      <w:r w:rsidRPr="00E465A1">
        <w:rPr>
          <w:rFonts w:ascii="Arial" w:hAnsi="Arial" w:cs="Arial"/>
          <w:color w:val="262626" w:themeColor="text1" w:themeTint="D9"/>
          <w:sz w:val="18"/>
          <w:szCs w:val="18"/>
        </w:rPr>
        <w:t>Chairperson</w:t>
      </w:r>
      <w:r w:rsidR="000D3755" w:rsidRPr="00E465A1">
        <w:rPr>
          <w:rFonts w:ascii="Arial" w:hAnsi="Arial" w:cs="Arial"/>
          <w:color w:val="262626" w:themeColor="text1" w:themeTint="D9"/>
          <w:sz w:val="18"/>
          <w:szCs w:val="18"/>
        </w:rPr>
        <w:tab/>
      </w:r>
      <w:r w:rsidR="000D3755" w:rsidRPr="00E465A1">
        <w:rPr>
          <w:rFonts w:ascii="Arial" w:hAnsi="Arial" w:cs="Arial"/>
          <w:color w:val="262626" w:themeColor="text1" w:themeTint="D9"/>
          <w:sz w:val="18"/>
          <w:szCs w:val="18"/>
        </w:rPr>
        <w:tab/>
      </w:r>
      <w:r w:rsidR="000D3755" w:rsidRPr="00E465A1">
        <w:rPr>
          <w:rFonts w:ascii="Arial" w:hAnsi="Arial" w:cs="Arial"/>
          <w:color w:val="262626" w:themeColor="text1" w:themeTint="D9"/>
          <w:sz w:val="18"/>
          <w:szCs w:val="18"/>
        </w:rPr>
        <w:tab/>
      </w:r>
      <w:r w:rsidR="00945DDE"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r>
      <w:r w:rsidR="004A08F7" w:rsidRPr="00E465A1">
        <w:rPr>
          <w:rFonts w:ascii="Arial" w:hAnsi="Arial" w:cs="Arial"/>
          <w:color w:val="262626" w:themeColor="text1" w:themeTint="D9"/>
          <w:sz w:val="18"/>
          <w:szCs w:val="18"/>
        </w:rPr>
        <w:t xml:space="preserve">Acting </w:t>
      </w:r>
      <w:r w:rsidR="000D3755" w:rsidRPr="00E465A1">
        <w:rPr>
          <w:rFonts w:ascii="Arial" w:hAnsi="Arial" w:cs="Arial"/>
          <w:color w:val="262626" w:themeColor="text1" w:themeTint="D9"/>
          <w:sz w:val="18"/>
          <w:szCs w:val="18"/>
        </w:rPr>
        <w:t>Chief Executive Officer</w:t>
      </w:r>
    </w:p>
    <w:p w:rsidR="000D3755" w:rsidRPr="00E465A1" w:rsidRDefault="000D3755" w:rsidP="000D3755">
      <w:pPr>
        <w:tabs>
          <w:tab w:val="center" w:pos="1080"/>
          <w:tab w:val="center" w:pos="4500"/>
        </w:tabs>
        <w:spacing w:line="260" w:lineRule="exact"/>
        <w:rPr>
          <w:rFonts w:ascii="Arial" w:hAnsi="Arial" w:cs="Arial"/>
          <w:color w:val="262626" w:themeColor="text1" w:themeTint="D9"/>
          <w:sz w:val="18"/>
          <w:szCs w:val="18"/>
        </w:rPr>
      </w:pPr>
      <w:r w:rsidRPr="00E465A1">
        <w:rPr>
          <w:rFonts w:ascii="Arial" w:hAnsi="Arial" w:cs="Arial"/>
          <w:color w:val="262626" w:themeColor="text1" w:themeTint="D9"/>
          <w:sz w:val="18"/>
          <w:szCs w:val="18"/>
        </w:rPr>
        <w:t>Crime and Corruption Commission</w:t>
      </w:r>
      <w:r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t>Crime and Corruption Commission</w:t>
      </w:r>
    </w:p>
    <w:p w:rsidR="000D3755" w:rsidRPr="00E465A1" w:rsidRDefault="000D3755" w:rsidP="000D3755">
      <w:pPr>
        <w:tabs>
          <w:tab w:val="center" w:pos="1080"/>
          <w:tab w:val="center" w:pos="4500"/>
        </w:tabs>
        <w:spacing w:line="260" w:lineRule="exact"/>
        <w:rPr>
          <w:rFonts w:ascii="Arial" w:hAnsi="Arial" w:cs="Arial"/>
          <w:color w:val="262626" w:themeColor="text1" w:themeTint="D9"/>
          <w:sz w:val="18"/>
          <w:szCs w:val="18"/>
        </w:rPr>
      </w:pPr>
    </w:p>
    <w:p w:rsidR="000D3755" w:rsidRPr="00E465A1" w:rsidRDefault="000D3755" w:rsidP="000D3755">
      <w:pPr>
        <w:tabs>
          <w:tab w:val="center" w:pos="1080"/>
          <w:tab w:val="center" w:pos="4500"/>
        </w:tabs>
        <w:spacing w:line="260" w:lineRule="exact"/>
        <w:rPr>
          <w:rFonts w:ascii="Arial" w:hAnsi="Arial" w:cs="Arial"/>
          <w:color w:val="262626" w:themeColor="text1" w:themeTint="D9"/>
          <w:sz w:val="18"/>
          <w:szCs w:val="18"/>
        </w:rPr>
      </w:pPr>
      <w:r w:rsidRPr="00E465A1">
        <w:rPr>
          <w:rFonts w:ascii="Arial" w:hAnsi="Arial" w:cs="Arial"/>
          <w:color w:val="262626" w:themeColor="text1" w:themeTint="D9"/>
          <w:sz w:val="18"/>
          <w:szCs w:val="18"/>
        </w:rPr>
        <w:t>Date</w:t>
      </w:r>
      <w:r w:rsidR="00DC585C" w:rsidRPr="00E465A1">
        <w:rPr>
          <w:rFonts w:ascii="Arial" w:hAnsi="Arial" w:cs="Arial"/>
          <w:color w:val="262626" w:themeColor="text1" w:themeTint="D9"/>
          <w:sz w:val="18"/>
          <w:szCs w:val="18"/>
        </w:rPr>
        <w:t xml:space="preserve">: </w:t>
      </w:r>
      <w:r w:rsidR="00FB1CB1" w:rsidRPr="00E465A1">
        <w:rPr>
          <w:rFonts w:ascii="Arial" w:hAnsi="Arial" w:cs="Arial"/>
          <w:color w:val="262626" w:themeColor="text1" w:themeTint="D9"/>
          <w:sz w:val="18"/>
          <w:szCs w:val="18"/>
        </w:rPr>
        <w:t>20 August 2018</w:t>
      </w:r>
      <w:r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t xml:space="preserve">Date: </w:t>
      </w:r>
      <w:r w:rsidR="00FB1CB1" w:rsidRPr="00E465A1">
        <w:rPr>
          <w:rFonts w:ascii="Arial" w:hAnsi="Arial" w:cs="Arial"/>
          <w:color w:val="262626" w:themeColor="text1" w:themeTint="D9"/>
          <w:sz w:val="18"/>
          <w:szCs w:val="18"/>
        </w:rPr>
        <w:t>20 August 2018</w:t>
      </w:r>
    </w:p>
    <w:p w:rsidR="00435158" w:rsidRPr="00E465A1" w:rsidRDefault="00435158" w:rsidP="00DF0FDB">
      <w:pPr>
        <w:rPr>
          <w:rFonts w:cs="Arial"/>
          <w:color w:val="262626" w:themeColor="text1" w:themeTint="D9"/>
          <w:szCs w:val="18"/>
        </w:rPr>
      </w:pPr>
    </w:p>
    <w:p w:rsidR="00EF2B19" w:rsidRPr="00E465A1" w:rsidRDefault="00EF2B19" w:rsidP="00DF0FDB">
      <w:pPr>
        <w:rPr>
          <w:rFonts w:cs="Arial"/>
          <w:color w:val="262626" w:themeColor="text1" w:themeTint="D9"/>
          <w:szCs w:val="18"/>
        </w:rPr>
      </w:pPr>
    </w:p>
    <w:p w:rsidR="00EF2B19" w:rsidRPr="00E465A1" w:rsidRDefault="00EF2B19" w:rsidP="00DF0FDB">
      <w:pPr>
        <w:rPr>
          <w:rFonts w:cs="Arial"/>
          <w:color w:val="262626" w:themeColor="text1" w:themeTint="D9"/>
          <w:szCs w:val="18"/>
        </w:rPr>
      </w:pPr>
    </w:p>
    <w:p w:rsidR="00EF2B19" w:rsidRPr="00E465A1" w:rsidRDefault="00EF2B19" w:rsidP="00DF0FDB">
      <w:pPr>
        <w:rPr>
          <w:rFonts w:cs="Arial"/>
          <w:color w:val="262626" w:themeColor="text1" w:themeTint="D9"/>
          <w:szCs w:val="18"/>
        </w:rPr>
      </w:pPr>
    </w:p>
    <w:p w:rsidR="00EF2B19" w:rsidRPr="00E465A1" w:rsidRDefault="00EF2B19" w:rsidP="00DF0FDB">
      <w:pPr>
        <w:rPr>
          <w:rFonts w:cs="Arial"/>
          <w:color w:val="262626" w:themeColor="text1" w:themeTint="D9"/>
          <w:szCs w:val="18"/>
        </w:rPr>
      </w:pPr>
    </w:p>
    <w:p w:rsidR="00EF2B19" w:rsidRPr="00E465A1" w:rsidRDefault="00EF2B19" w:rsidP="00DF0FDB">
      <w:pPr>
        <w:rPr>
          <w:rFonts w:cs="Arial"/>
          <w:color w:val="262626" w:themeColor="text1" w:themeTint="D9"/>
          <w:szCs w:val="18"/>
        </w:rPr>
      </w:pPr>
    </w:p>
    <w:p w:rsidR="00EF2B19" w:rsidRPr="00E465A1" w:rsidRDefault="00EF2B19" w:rsidP="00DF0FDB">
      <w:pPr>
        <w:rPr>
          <w:rFonts w:cs="Arial"/>
          <w:color w:val="262626" w:themeColor="text1" w:themeTint="D9"/>
          <w:szCs w:val="18"/>
        </w:rPr>
      </w:pPr>
    </w:p>
    <w:p w:rsidR="00EF2B19" w:rsidRPr="00E465A1" w:rsidRDefault="00EF2B19" w:rsidP="00DF0FDB">
      <w:pPr>
        <w:rPr>
          <w:rFonts w:cs="Arial"/>
          <w:color w:val="262626" w:themeColor="text1" w:themeTint="D9"/>
          <w:szCs w:val="18"/>
        </w:rPr>
      </w:pPr>
    </w:p>
    <w:p w:rsidR="00EF2B19" w:rsidRPr="00E465A1" w:rsidRDefault="00EF2B19" w:rsidP="00EF2B19">
      <w:pPr>
        <w:tabs>
          <w:tab w:val="center" w:pos="1080"/>
          <w:tab w:val="center" w:pos="4500"/>
        </w:tabs>
        <w:spacing w:line="260" w:lineRule="exact"/>
        <w:rPr>
          <w:rFonts w:ascii="Arial" w:hAnsi="Arial" w:cs="Arial"/>
          <w:color w:val="262626" w:themeColor="text1" w:themeTint="D9"/>
          <w:sz w:val="18"/>
          <w:szCs w:val="18"/>
        </w:rPr>
      </w:pPr>
      <w:r w:rsidRPr="00E465A1">
        <w:rPr>
          <w:rFonts w:ascii="Arial" w:hAnsi="Arial" w:cs="Arial"/>
          <w:color w:val="262626" w:themeColor="text1" w:themeTint="D9"/>
          <w:sz w:val="18"/>
          <w:szCs w:val="18"/>
        </w:rPr>
        <w:t xml:space="preserve">Richard </w:t>
      </w:r>
      <w:r w:rsidR="00C2658B" w:rsidRPr="00E465A1">
        <w:rPr>
          <w:rFonts w:ascii="Arial" w:hAnsi="Arial" w:cs="Arial"/>
          <w:color w:val="262626" w:themeColor="text1" w:themeTint="D9"/>
          <w:sz w:val="18"/>
          <w:szCs w:val="18"/>
        </w:rPr>
        <w:t>Bosanquet CPA</w:t>
      </w:r>
    </w:p>
    <w:p w:rsidR="00EF2B19" w:rsidRPr="00E465A1" w:rsidRDefault="00F233F1" w:rsidP="00EF2B19">
      <w:pPr>
        <w:tabs>
          <w:tab w:val="center" w:pos="1080"/>
          <w:tab w:val="center" w:pos="4500"/>
        </w:tabs>
        <w:spacing w:line="260" w:lineRule="exact"/>
        <w:rPr>
          <w:rFonts w:ascii="Arial" w:hAnsi="Arial" w:cs="Arial"/>
          <w:color w:val="262626" w:themeColor="text1" w:themeTint="D9"/>
          <w:sz w:val="18"/>
          <w:szCs w:val="18"/>
        </w:rPr>
      </w:pPr>
      <w:r w:rsidRPr="00E465A1">
        <w:rPr>
          <w:rFonts w:ascii="Arial" w:hAnsi="Arial" w:cs="Arial"/>
          <w:color w:val="262626" w:themeColor="text1" w:themeTint="D9"/>
          <w:sz w:val="18"/>
          <w:szCs w:val="18"/>
        </w:rPr>
        <w:t>Chief Finance Officer</w:t>
      </w:r>
      <w:r w:rsidR="00EF2B19" w:rsidRPr="00E465A1">
        <w:rPr>
          <w:rFonts w:ascii="Arial" w:hAnsi="Arial" w:cs="Arial"/>
          <w:color w:val="262626" w:themeColor="text1" w:themeTint="D9"/>
          <w:sz w:val="18"/>
          <w:szCs w:val="18"/>
        </w:rPr>
        <w:tab/>
      </w:r>
      <w:r w:rsidR="00EF2B19" w:rsidRPr="00E465A1">
        <w:rPr>
          <w:rFonts w:ascii="Arial" w:hAnsi="Arial" w:cs="Arial"/>
          <w:color w:val="262626" w:themeColor="text1" w:themeTint="D9"/>
          <w:sz w:val="18"/>
          <w:szCs w:val="18"/>
        </w:rPr>
        <w:tab/>
      </w:r>
      <w:r w:rsidR="00EF2B19" w:rsidRPr="00E465A1">
        <w:rPr>
          <w:rFonts w:ascii="Arial" w:hAnsi="Arial" w:cs="Arial"/>
          <w:color w:val="262626" w:themeColor="text1" w:themeTint="D9"/>
          <w:sz w:val="18"/>
          <w:szCs w:val="18"/>
        </w:rPr>
        <w:tab/>
      </w:r>
      <w:r w:rsidR="00EF2B19" w:rsidRPr="00E465A1">
        <w:rPr>
          <w:rFonts w:ascii="Arial" w:hAnsi="Arial" w:cs="Arial"/>
          <w:color w:val="262626" w:themeColor="text1" w:themeTint="D9"/>
          <w:sz w:val="18"/>
          <w:szCs w:val="18"/>
        </w:rPr>
        <w:tab/>
      </w:r>
    </w:p>
    <w:p w:rsidR="00EF2B19" w:rsidRPr="00E465A1" w:rsidRDefault="00EF2B19" w:rsidP="00EF2B19">
      <w:pPr>
        <w:tabs>
          <w:tab w:val="center" w:pos="1080"/>
          <w:tab w:val="center" w:pos="4500"/>
        </w:tabs>
        <w:spacing w:line="260" w:lineRule="exact"/>
        <w:rPr>
          <w:rFonts w:ascii="Arial" w:hAnsi="Arial" w:cs="Arial"/>
          <w:color w:val="262626" w:themeColor="text1" w:themeTint="D9"/>
          <w:sz w:val="18"/>
          <w:szCs w:val="18"/>
        </w:rPr>
      </w:pPr>
      <w:r w:rsidRPr="00E465A1">
        <w:rPr>
          <w:rFonts w:ascii="Arial" w:hAnsi="Arial" w:cs="Arial"/>
          <w:color w:val="262626" w:themeColor="text1" w:themeTint="D9"/>
          <w:sz w:val="18"/>
          <w:szCs w:val="18"/>
        </w:rPr>
        <w:t>Crime and Corruption Commission</w:t>
      </w:r>
      <w:r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r>
      <w:r w:rsidRPr="00E465A1">
        <w:rPr>
          <w:rFonts w:ascii="Arial" w:hAnsi="Arial" w:cs="Arial"/>
          <w:color w:val="262626" w:themeColor="text1" w:themeTint="D9"/>
          <w:sz w:val="18"/>
          <w:szCs w:val="18"/>
        </w:rPr>
        <w:tab/>
      </w:r>
    </w:p>
    <w:p w:rsidR="00EF2B19" w:rsidRPr="00E465A1" w:rsidRDefault="00EF2B19" w:rsidP="00EF2B19">
      <w:pPr>
        <w:tabs>
          <w:tab w:val="center" w:pos="1080"/>
          <w:tab w:val="center" w:pos="4500"/>
        </w:tabs>
        <w:spacing w:line="260" w:lineRule="exact"/>
        <w:rPr>
          <w:rFonts w:ascii="Arial" w:hAnsi="Arial" w:cs="Arial"/>
          <w:color w:val="262626" w:themeColor="text1" w:themeTint="D9"/>
          <w:sz w:val="18"/>
          <w:szCs w:val="18"/>
        </w:rPr>
      </w:pPr>
    </w:p>
    <w:p w:rsidR="00EF2B19" w:rsidRPr="00E465A1" w:rsidRDefault="00F233F1" w:rsidP="00EF2B19">
      <w:pPr>
        <w:tabs>
          <w:tab w:val="center" w:pos="1080"/>
          <w:tab w:val="center" w:pos="4500"/>
        </w:tabs>
        <w:spacing w:line="260" w:lineRule="exact"/>
        <w:rPr>
          <w:rFonts w:ascii="Arial" w:hAnsi="Arial" w:cs="Arial"/>
          <w:color w:val="262626" w:themeColor="text1" w:themeTint="D9"/>
          <w:sz w:val="18"/>
          <w:szCs w:val="18"/>
        </w:rPr>
      </w:pPr>
      <w:r w:rsidRPr="00E465A1">
        <w:rPr>
          <w:rFonts w:ascii="Arial" w:hAnsi="Arial" w:cs="Arial"/>
          <w:color w:val="262626" w:themeColor="text1" w:themeTint="D9"/>
          <w:sz w:val="18"/>
          <w:szCs w:val="18"/>
        </w:rPr>
        <w:t xml:space="preserve">Date:  </w:t>
      </w:r>
      <w:r w:rsidR="00FB1CB1" w:rsidRPr="00E465A1">
        <w:rPr>
          <w:rFonts w:ascii="Arial" w:hAnsi="Arial" w:cs="Arial"/>
          <w:color w:val="262626" w:themeColor="text1" w:themeTint="D9"/>
          <w:sz w:val="18"/>
          <w:szCs w:val="18"/>
        </w:rPr>
        <w:t>20 August 2018</w:t>
      </w:r>
      <w:r w:rsidR="00EF2B19" w:rsidRPr="00E465A1">
        <w:rPr>
          <w:rFonts w:ascii="Arial" w:hAnsi="Arial" w:cs="Arial"/>
          <w:color w:val="262626" w:themeColor="text1" w:themeTint="D9"/>
          <w:sz w:val="18"/>
          <w:szCs w:val="18"/>
        </w:rPr>
        <w:tab/>
      </w:r>
      <w:r w:rsidR="00EF2B19" w:rsidRPr="00E465A1">
        <w:rPr>
          <w:rFonts w:ascii="Arial" w:hAnsi="Arial" w:cs="Arial"/>
          <w:color w:val="262626" w:themeColor="text1" w:themeTint="D9"/>
          <w:sz w:val="18"/>
          <w:szCs w:val="18"/>
        </w:rPr>
        <w:tab/>
      </w:r>
      <w:r w:rsidR="00EF2B19" w:rsidRPr="00E465A1">
        <w:rPr>
          <w:rFonts w:ascii="Arial" w:hAnsi="Arial" w:cs="Arial"/>
          <w:color w:val="262626" w:themeColor="text1" w:themeTint="D9"/>
          <w:sz w:val="18"/>
          <w:szCs w:val="18"/>
        </w:rPr>
        <w:tab/>
      </w:r>
      <w:r w:rsidR="00EF2B19" w:rsidRPr="00E465A1">
        <w:rPr>
          <w:rFonts w:ascii="Arial" w:hAnsi="Arial" w:cs="Arial"/>
          <w:color w:val="262626" w:themeColor="text1" w:themeTint="D9"/>
          <w:sz w:val="18"/>
          <w:szCs w:val="18"/>
        </w:rPr>
        <w:tab/>
      </w:r>
    </w:p>
    <w:p w:rsidR="00EF2B19" w:rsidRPr="00E465A1" w:rsidRDefault="00EF2B19" w:rsidP="00DF0FDB">
      <w:pPr>
        <w:rPr>
          <w:rFonts w:cs="Arial"/>
          <w:color w:val="262626" w:themeColor="text1" w:themeTint="D9"/>
          <w:szCs w:val="18"/>
        </w:rPr>
      </w:pPr>
    </w:p>
    <w:sectPr w:rsidR="00EF2B19" w:rsidRPr="00E465A1" w:rsidSect="0093233E">
      <w:headerReference w:type="default" r:id="rId33"/>
      <w:pgSz w:w="11907" w:h="16840" w:code="9"/>
      <w:pgMar w:top="2268" w:right="992" w:bottom="1418" w:left="851"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DEF" w:rsidRDefault="00A24DEF">
      <w:r>
        <w:separator/>
      </w:r>
    </w:p>
  </w:endnote>
  <w:endnote w:type="continuationSeparator" w:id="0">
    <w:p w:rsidR="00A24DEF" w:rsidRDefault="00A2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pPr>
      <w:pStyle w:val="Footer"/>
      <w:tabs>
        <w:tab w:val="clear" w:pos="4153"/>
        <w:tab w:val="clear" w:pos="8306"/>
        <w:tab w:val="right" w:pos="9180"/>
      </w:tabs>
      <w:rPr>
        <w:szCs w:val="16"/>
      </w:rPr>
    </w:pPr>
    <w:r>
      <w:rPr>
        <w:szCs w:val="16"/>
      </w:rPr>
      <w:tab/>
      <w:t xml:space="preserve">Financial statements page </w:t>
    </w:r>
    <w:r>
      <w:rPr>
        <w:szCs w:val="16"/>
      </w:rPr>
      <w:fldChar w:fldCharType="begin"/>
    </w:r>
    <w:r>
      <w:rPr>
        <w:szCs w:val="16"/>
      </w:rPr>
      <w:instrText xml:space="preserve"> PAGE </w:instrText>
    </w:r>
    <w:r>
      <w:rPr>
        <w:szCs w:val="16"/>
      </w:rPr>
      <w:fldChar w:fldCharType="separate"/>
    </w:r>
    <w:r>
      <w:rPr>
        <w:noProof/>
        <w:szCs w:val="16"/>
      </w:rPr>
      <w:t>3</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33</w:t>
    </w:r>
    <w:r>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Pr="00266547" w:rsidRDefault="00A24DEF" w:rsidP="00266547">
    <w:pPr>
      <w:pStyle w:val="Footer"/>
      <w:tabs>
        <w:tab w:val="clear" w:pos="4153"/>
        <w:tab w:val="clear" w:pos="8306"/>
      </w:tabs>
      <w:jc w:val="right"/>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Pr="00266547" w:rsidRDefault="00A24DEF" w:rsidP="00266547">
    <w:pPr>
      <w:pStyle w:val="Footer"/>
      <w:tabs>
        <w:tab w:val="clear" w:pos="4153"/>
        <w:tab w:val="clear" w:pos="8306"/>
      </w:tabs>
      <w:jc w:val="right"/>
      <w:rPr>
        <w:szCs w:val="16"/>
      </w:rPr>
    </w:pPr>
    <w:r>
      <w:rPr>
        <w:szCs w:val="16"/>
      </w:rPr>
      <w:t xml:space="preserve">Financial statements page </w:t>
    </w:r>
    <w:r>
      <w:rPr>
        <w:szCs w:val="16"/>
      </w:rPr>
      <w:fldChar w:fldCharType="begin"/>
    </w:r>
    <w:r>
      <w:rPr>
        <w:szCs w:val="16"/>
      </w:rPr>
      <w:instrText xml:space="preserve"> PAGE </w:instrText>
    </w:r>
    <w:r>
      <w:rPr>
        <w:szCs w:val="16"/>
      </w:rPr>
      <w:fldChar w:fldCharType="separate"/>
    </w:r>
    <w:r w:rsidR="0006121D">
      <w:rPr>
        <w:noProof/>
        <w:szCs w:val="16"/>
      </w:rPr>
      <w:t>2</w:t>
    </w:r>
    <w:r>
      <w:rPr>
        <w:szCs w:val="16"/>
      </w:rPr>
      <w:fldChar w:fldCharType="end"/>
    </w:r>
    <w:r>
      <w:rPr>
        <w:szCs w:val="16"/>
      </w:rPr>
      <w:t xml:space="preserve"> of 33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B435A1">
    <w:pPr>
      <w:pStyle w:val="Footer"/>
      <w:tabs>
        <w:tab w:val="clear" w:pos="4153"/>
        <w:tab w:val="clear" w:pos="8306"/>
      </w:tabs>
      <w:jc w:val="right"/>
      <w:rPr>
        <w:szCs w:val="16"/>
      </w:rPr>
    </w:pPr>
    <w:r>
      <w:rPr>
        <w:szCs w:val="16"/>
      </w:rPr>
      <w:t xml:space="preserve">Financial statements page </w:t>
    </w:r>
    <w:r>
      <w:rPr>
        <w:szCs w:val="16"/>
      </w:rPr>
      <w:fldChar w:fldCharType="begin"/>
    </w:r>
    <w:r>
      <w:rPr>
        <w:szCs w:val="16"/>
      </w:rPr>
      <w:instrText xml:space="preserve"> PAGE </w:instrText>
    </w:r>
    <w:r>
      <w:rPr>
        <w:szCs w:val="16"/>
      </w:rPr>
      <w:fldChar w:fldCharType="separate"/>
    </w:r>
    <w:r w:rsidR="0006121D">
      <w:rPr>
        <w:noProof/>
        <w:szCs w:val="16"/>
      </w:rPr>
      <w:t>4</w:t>
    </w:r>
    <w:r>
      <w:rPr>
        <w:szCs w:val="16"/>
      </w:rPr>
      <w:fldChar w:fldCharType="end"/>
    </w:r>
    <w:r>
      <w:rPr>
        <w:szCs w:val="16"/>
      </w:rPr>
      <w:t xml:space="preserve"> of 33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A37796">
    <w:pPr>
      <w:pStyle w:val="Footer"/>
      <w:jc w:val="right"/>
    </w:pPr>
    <w:r>
      <w:rPr>
        <w:szCs w:val="16"/>
      </w:rPr>
      <w:t xml:space="preserve">Financial statements page </w:t>
    </w:r>
    <w:r>
      <w:rPr>
        <w:szCs w:val="16"/>
      </w:rPr>
      <w:fldChar w:fldCharType="begin"/>
    </w:r>
    <w:r>
      <w:rPr>
        <w:szCs w:val="16"/>
      </w:rPr>
      <w:instrText xml:space="preserve"> PAGE </w:instrText>
    </w:r>
    <w:r>
      <w:rPr>
        <w:szCs w:val="16"/>
      </w:rPr>
      <w:fldChar w:fldCharType="separate"/>
    </w:r>
    <w:r w:rsidR="0006121D">
      <w:rPr>
        <w:noProof/>
        <w:szCs w:val="16"/>
      </w:rPr>
      <w:t>7</w:t>
    </w:r>
    <w:r>
      <w:rPr>
        <w:szCs w:val="16"/>
      </w:rPr>
      <w:fldChar w:fldCharType="end"/>
    </w:r>
    <w:r>
      <w:rPr>
        <w:szCs w:val="16"/>
      </w:rPr>
      <w:t xml:space="preserve"> of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DEF" w:rsidRDefault="00A24DEF">
      <w:r>
        <w:separator/>
      </w:r>
    </w:p>
  </w:footnote>
  <w:footnote w:type="continuationSeparator" w:id="0">
    <w:p w:rsidR="00A24DEF" w:rsidRDefault="00A24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C355F9">
    <w:pPr>
      <w:pStyle w:val="Header"/>
      <w:spacing w:line="360" w:lineRule="auto"/>
      <w:rPr>
        <w:rFonts w:cs="Arial"/>
        <w:b/>
        <w:sz w:val="28"/>
        <w:szCs w:val="28"/>
      </w:rPr>
    </w:pPr>
    <w:r>
      <w:rPr>
        <w:rFonts w:cs="Arial"/>
        <w:b/>
        <w:sz w:val="28"/>
        <w:szCs w:val="28"/>
      </w:rPr>
      <w:t>CRIME AND CORRUPTION COMMISSION</w:t>
    </w:r>
  </w:p>
  <w:p w:rsidR="00A24DEF" w:rsidRPr="009873AE" w:rsidRDefault="00A24DEF" w:rsidP="00C355F9">
    <w:pPr>
      <w:pStyle w:val="Header"/>
      <w:spacing w:line="360" w:lineRule="auto"/>
      <w:rPr>
        <w:rFonts w:cs="Arial"/>
        <w:b/>
        <w:sz w:val="28"/>
        <w:szCs w:val="28"/>
      </w:rPr>
    </w:pPr>
    <w:r>
      <w:rPr>
        <w:rFonts w:cs="Arial"/>
        <w:b/>
        <w:sz w:val="24"/>
        <w:szCs w:val="24"/>
      </w:rPr>
      <w:t xml:space="preserve">Statement of Comprehensive Income </w:t>
    </w:r>
    <w:r>
      <w:rPr>
        <w:rFonts w:cs="Arial"/>
        <w:b/>
        <w:sz w:val="24"/>
        <w:szCs w:val="24"/>
      </w:rPr>
      <w:br/>
      <w:t>for the year ended 30 June 2011</w:t>
    </w:r>
  </w:p>
  <w:p w:rsidR="00A24DEF" w:rsidRDefault="00A24DEF" w:rsidP="00C355F9">
    <w:pPr>
      <w:pStyle w:val="Header"/>
      <w:spacing w:line="360" w:lineRule="auto"/>
      <w:rPr>
        <w:rFonts w:cs="Arial"/>
        <w:b/>
        <w:sz w:val="24"/>
        <w:szCs w:val="24"/>
      </w:rPr>
    </w:pPr>
  </w:p>
  <w:p w:rsidR="00A24DEF" w:rsidRDefault="00A24DEF" w:rsidP="00C355F9">
    <w:pPr>
      <w:pStyle w:val="Header"/>
      <w:spacing w:line="360" w:lineRule="auto"/>
      <w:rPr>
        <w:rFonts w:cs="Arial"/>
        <w:b/>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D52638">
    <w:pPr>
      <w:pStyle w:val="CrimeandCorruptionCommission"/>
    </w:pPr>
    <w:r>
      <w:t>CRIME AND CORRUPTION COMMISSION</w:t>
    </w:r>
  </w:p>
  <w:p w:rsidR="00A24DEF" w:rsidRPr="00F83A7B" w:rsidRDefault="00A24DEF" w:rsidP="00D52638">
    <w:pPr>
      <w:pStyle w:val="Headersubtext"/>
      <w:rPr>
        <w:vanish/>
      </w:rPr>
    </w:pPr>
    <w:r>
      <w:t xml:space="preserve">Statement of Changes in Equity </w:t>
    </w:r>
    <w:r>
      <w:br/>
      <w:t>for the year ended 30 June 2018</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2D78E3">
    <w:pPr>
      <w:pStyle w:val="Header"/>
      <w:spacing w:line="360" w:lineRule="auto"/>
      <w:rPr>
        <w:b/>
        <w:sz w:val="28"/>
        <w:szCs w:val="28"/>
      </w:rPr>
    </w:pPr>
    <w:r>
      <w:rPr>
        <w:b/>
        <w:sz w:val="28"/>
        <w:szCs w:val="28"/>
      </w:rPr>
      <w:t>CRIME AND CORRUPTION COMMISSION</w:t>
    </w:r>
  </w:p>
  <w:p w:rsidR="00A24DEF" w:rsidRDefault="00A24DEF" w:rsidP="002D78E3">
    <w:pPr>
      <w:pStyle w:val="Header"/>
      <w:spacing w:line="360" w:lineRule="auto"/>
      <w:rPr>
        <w:b/>
        <w:sz w:val="24"/>
        <w:szCs w:val="24"/>
      </w:rPr>
    </w:pPr>
    <w:r>
      <w:rPr>
        <w:b/>
        <w:sz w:val="24"/>
        <w:szCs w:val="24"/>
      </w:rPr>
      <w:t>NOTES TO AND FORMING PART OF THE FINANCIAL STATEMENTS 2010-11</w:t>
    </w:r>
  </w:p>
  <w:p w:rsidR="00A24DEF" w:rsidRDefault="00A24DEF" w:rsidP="00C355F9">
    <w:pPr>
      <w:pStyle w:val="Header"/>
      <w:spacing w:line="360" w:lineRule="auto"/>
      <w:rPr>
        <w:rFonts w:cs="Arial"/>
        <w:b/>
        <w:sz w:val="28"/>
        <w:szCs w:val="28"/>
      </w:rPr>
    </w:pPr>
  </w:p>
  <w:p w:rsidR="00A24DEF" w:rsidRDefault="00A24DEF" w:rsidP="00C355F9">
    <w:pPr>
      <w:pStyle w:val="Header"/>
      <w:spacing w:line="360" w:lineRule="auto"/>
      <w:rPr>
        <w:rFonts w:cs="Arial"/>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D52638">
    <w:pPr>
      <w:pStyle w:val="CrimeandCorruptionCommission"/>
    </w:pPr>
    <w:r>
      <w:t>CRIME AND CORRUPTION COMMISSION</w:t>
    </w:r>
  </w:p>
  <w:p w:rsidR="00A24DEF" w:rsidRDefault="00A24DEF" w:rsidP="00D52638">
    <w:pPr>
      <w:pStyle w:val="Headersubtext"/>
    </w:pPr>
    <w:r>
      <w:t xml:space="preserve">Statement of Cash Flows </w:t>
    </w:r>
    <w:r>
      <w:br/>
      <w:t>for the year ended 30 June 2018</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C355F9">
    <w:pPr>
      <w:pStyle w:val="Header"/>
      <w:spacing w:line="360" w:lineRule="auto"/>
      <w:rPr>
        <w:b/>
        <w:sz w:val="28"/>
        <w:szCs w:val="28"/>
      </w:rPr>
    </w:pPr>
    <w:r>
      <w:rPr>
        <w:b/>
        <w:sz w:val="28"/>
        <w:szCs w:val="28"/>
      </w:rPr>
      <w:t>CRIME AND CORRUPTION COMMISSION</w:t>
    </w:r>
  </w:p>
  <w:p w:rsidR="00A24DEF" w:rsidRDefault="00A24DEF" w:rsidP="00C355F9">
    <w:pPr>
      <w:pStyle w:val="Header"/>
      <w:spacing w:line="360" w:lineRule="auto"/>
      <w:rPr>
        <w:b/>
        <w:sz w:val="24"/>
        <w:szCs w:val="24"/>
      </w:rPr>
    </w:pPr>
    <w:r>
      <w:rPr>
        <w:b/>
        <w:sz w:val="24"/>
        <w:szCs w:val="24"/>
      </w:rPr>
      <w:t>NOTES TO AND FORMING PART OF THE FINANCIAL STATEMENTS 2009-10</w:t>
    </w:r>
  </w:p>
  <w:p w:rsidR="00A24DEF" w:rsidRPr="00C355F9" w:rsidRDefault="00A24DEF" w:rsidP="00C355F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Pr="00805F53" w:rsidRDefault="00A24DEF" w:rsidP="00D52638">
    <w:pPr>
      <w:pStyle w:val="CrimeandCorruptionCommission"/>
    </w:pPr>
    <w:r w:rsidRPr="00805F53">
      <w:t xml:space="preserve">CRIME AND </w:t>
    </w:r>
    <w:r>
      <w:t>CORRUPTION</w:t>
    </w:r>
    <w:r w:rsidRPr="00805F53">
      <w:t xml:space="preserve"> COMMISSION</w:t>
    </w:r>
  </w:p>
  <w:p w:rsidR="00A24DEF" w:rsidRPr="00BD5988" w:rsidRDefault="00A24DEF" w:rsidP="00BD5988">
    <w:pPr>
      <w:pStyle w:val="Headersubtext"/>
    </w:pPr>
    <w:r>
      <w:t>Notes to and forming part of the Financial Statements 2017-18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D52638">
    <w:pPr>
      <w:pStyle w:val="CrimeandCorruptionCommission"/>
    </w:pPr>
    <w:r>
      <w:t>CRIME AND CORRUPTION COMMISSION</w:t>
    </w:r>
  </w:p>
  <w:p w:rsidR="00A24DEF" w:rsidRPr="00BD5988" w:rsidRDefault="00A24DEF" w:rsidP="00BD5988">
    <w:pPr>
      <w:pStyle w:val="Headersubtext"/>
    </w:pPr>
    <w:bookmarkStart w:id="14" w:name="OLE_LINK37"/>
    <w:bookmarkStart w:id="15" w:name="OLE_LINK38"/>
    <w:r>
      <w:t>Notes to and forming part of the Financial Statements 2017–1</w:t>
    </w:r>
    <w:bookmarkEnd w:id="14"/>
    <w:bookmarkEnd w:id="15"/>
    <w:r>
      <w:t>8</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7218F1">
    <w:pPr>
      <w:pStyle w:val="Header"/>
      <w:spacing w:line="360" w:lineRule="auto"/>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Pr="00E465A1" w:rsidRDefault="00A24DEF" w:rsidP="00DC585C">
    <w:pPr>
      <w:pStyle w:val="CrimeandCorruptionCommission"/>
      <w:rPr>
        <w:color w:val="262626" w:themeColor="text1" w:themeTint="D9"/>
      </w:rPr>
    </w:pPr>
    <w:r w:rsidRPr="00E465A1">
      <w:rPr>
        <w:color w:val="262626" w:themeColor="text1" w:themeTint="D9"/>
      </w:rPr>
      <w:t>CRIME AND CORRUPTION COMMISSION</w:t>
    </w:r>
  </w:p>
  <w:p w:rsidR="00A24DEF" w:rsidRPr="00E465A1" w:rsidRDefault="00A24DEF" w:rsidP="00DC585C">
    <w:pPr>
      <w:pStyle w:val="Headersubtext"/>
      <w:rPr>
        <w:color w:val="262626" w:themeColor="text1" w:themeTint="D9"/>
      </w:rPr>
    </w:pPr>
    <w:r w:rsidRPr="00E465A1">
      <w:rPr>
        <w:color w:val="262626" w:themeColor="text1" w:themeTint="D9"/>
      </w:rPr>
      <w:t>Notes to and forming part of the Financial Statements 2017-18</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Pr="00E465A1" w:rsidRDefault="00A24DEF" w:rsidP="00ED0057">
    <w:pPr>
      <w:pStyle w:val="CrimeandCorruptionCommission"/>
      <w:rPr>
        <w:color w:val="262626" w:themeColor="text1" w:themeTint="D9"/>
      </w:rPr>
    </w:pPr>
    <w:r w:rsidRPr="00E465A1">
      <w:rPr>
        <w:color w:val="262626" w:themeColor="text1" w:themeTint="D9"/>
      </w:rPr>
      <w:t>CRIME AND CORRUPTION COMMISSION</w:t>
    </w:r>
  </w:p>
  <w:p w:rsidR="00A24DEF" w:rsidRPr="00E465A1" w:rsidRDefault="00A24DEF" w:rsidP="00D52638">
    <w:pPr>
      <w:pStyle w:val="Headersubtext"/>
      <w:rPr>
        <w:color w:val="262626" w:themeColor="text1" w:themeTint="D9"/>
      </w:rPr>
    </w:pPr>
    <w:r w:rsidRPr="00E465A1">
      <w:rPr>
        <w:color w:val="262626" w:themeColor="text1" w:themeTint="D9"/>
      </w:rPr>
      <w:t>Certificate of the Crime and Corruption Commission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Pr="00E465A1" w:rsidRDefault="00A24DEF" w:rsidP="00624439">
    <w:pPr>
      <w:pStyle w:val="CrimeandCorruptionCommission"/>
      <w:rPr>
        <w:color w:val="262626" w:themeColor="text1" w:themeTint="D9"/>
      </w:rPr>
    </w:pPr>
    <w:r w:rsidRPr="00E465A1">
      <w:rPr>
        <w:color w:val="262626" w:themeColor="text1" w:themeTint="D9"/>
      </w:rPr>
      <w:t>CRIME AND CORRUPTION COMMISSION</w:t>
    </w:r>
  </w:p>
  <w:p w:rsidR="00A24DEF" w:rsidRPr="00E465A1" w:rsidRDefault="00A24DEF" w:rsidP="00BD5988">
    <w:pPr>
      <w:pStyle w:val="Headersubtext"/>
      <w:rPr>
        <w:color w:val="262626" w:themeColor="text1" w:themeTint="D9"/>
      </w:rPr>
    </w:pPr>
    <w:r w:rsidRPr="00E465A1">
      <w:rPr>
        <w:color w:val="262626" w:themeColor="text1" w:themeTint="D9"/>
      </w:rPr>
      <w:t>Financial Statements for the financial year ended 30 June 2018</w:t>
    </w:r>
  </w:p>
  <w:p w:rsidR="00A24DEF" w:rsidRDefault="00A24DEF" w:rsidP="00BD5988">
    <w:pPr>
      <w:pStyle w:val="Headersubtex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Pr="00E465A1" w:rsidRDefault="00A24DEF" w:rsidP="00290D89">
    <w:pPr>
      <w:pStyle w:val="CrimeandCorruptionCommission"/>
      <w:rPr>
        <w:color w:val="262626" w:themeColor="text1" w:themeTint="D9"/>
      </w:rPr>
    </w:pPr>
    <w:r w:rsidRPr="00E465A1">
      <w:rPr>
        <w:color w:val="262626" w:themeColor="text1" w:themeTint="D9"/>
      </w:rPr>
      <w:t>CRIME AND CORRUPTION COMMISSION</w:t>
    </w:r>
  </w:p>
  <w:p w:rsidR="00A24DEF" w:rsidRPr="00E465A1" w:rsidRDefault="00A24DEF" w:rsidP="00BD5988">
    <w:pPr>
      <w:pStyle w:val="Headersubtext"/>
      <w:rPr>
        <w:color w:val="262626" w:themeColor="text1" w:themeTint="D9"/>
      </w:rPr>
    </w:pPr>
    <w:r w:rsidRPr="00E465A1">
      <w:rPr>
        <w:color w:val="262626" w:themeColor="text1" w:themeTint="D9"/>
      </w:rPr>
      <w:t>Statement of Comprehensive Income</w:t>
    </w:r>
    <w:r w:rsidRPr="00E465A1">
      <w:rPr>
        <w:color w:val="262626" w:themeColor="text1" w:themeTint="D9"/>
      </w:rPr>
      <w:br/>
      <w:t>for the year ended 30 June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Pr="00E465A1" w:rsidRDefault="00A24DEF" w:rsidP="00D52638">
    <w:pPr>
      <w:pStyle w:val="CrimeandCorruptionCommission"/>
      <w:rPr>
        <w:color w:val="262626" w:themeColor="text1" w:themeTint="D9"/>
      </w:rPr>
    </w:pPr>
    <w:r w:rsidRPr="00E465A1">
      <w:rPr>
        <w:color w:val="262626" w:themeColor="text1" w:themeTint="D9"/>
      </w:rPr>
      <w:t>CRIME AND CORRUPTION COMMISSION</w:t>
    </w:r>
  </w:p>
  <w:p w:rsidR="00A24DEF" w:rsidRPr="00E465A1" w:rsidRDefault="00A24DEF" w:rsidP="00BD5988">
    <w:pPr>
      <w:pStyle w:val="Headersubtext"/>
      <w:rPr>
        <w:color w:val="262626" w:themeColor="text1" w:themeTint="D9"/>
      </w:rPr>
    </w:pPr>
    <w:r w:rsidRPr="00E465A1">
      <w:rPr>
        <w:color w:val="262626" w:themeColor="text1" w:themeTint="D9"/>
      </w:rPr>
      <w:t>Statement of Financial Position</w:t>
    </w:r>
    <w:r w:rsidRPr="00E465A1">
      <w:rPr>
        <w:color w:val="262626" w:themeColor="text1" w:themeTint="D9"/>
      </w:rPr>
      <w:br/>
      <w:t>as at 30 June 2018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DEF" w:rsidRDefault="00A24DEF" w:rsidP="00C355F9">
    <w:pPr>
      <w:pStyle w:val="Header"/>
      <w:spacing w:line="360" w:lineRule="auto"/>
      <w:rPr>
        <w:rFonts w:cs="Arial"/>
        <w:b/>
        <w:sz w:val="28"/>
        <w:szCs w:val="28"/>
      </w:rPr>
    </w:pPr>
    <w:r>
      <w:rPr>
        <w:rFonts w:cs="Arial"/>
        <w:b/>
        <w:sz w:val="28"/>
        <w:szCs w:val="28"/>
      </w:rPr>
      <w:t>CRIME AND CORRUPTION COMMISSION</w:t>
    </w:r>
  </w:p>
  <w:p w:rsidR="00A24DEF" w:rsidRDefault="00A24DEF" w:rsidP="00C355F9">
    <w:pPr>
      <w:pStyle w:val="Header"/>
      <w:spacing w:line="360" w:lineRule="auto"/>
      <w:rPr>
        <w:rFonts w:cs="Arial"/>
        <w:b/>
        <w:sz w:val="24"/>
        <w:szCs w:val="24"/>
      </w:rPr>
    </w:pPr>
    <w:r>
      <w:rPr>
        <w:rFonts w:cs="Arial"/>
        <w:b/>
        <w:sz w:val="24"/>
        <w:szCs w:val="24"/>
      </w:rPr>
      <w:t xml:space="preserve">Statement of Cash Flows </w:t>
    </w:r>
  </w:p>
  <w:p w:rsidR="00A24DEF" w:rsidRDefault="00A24DEF" w:rsidP="00C355F9">
    <w:pPr>
      <w:pStyle w:val="Header"/>
      <w:spacing w:line="360" w:lineRule="auto"/>
      <w:rPr>
        <w:rFonts w:cs="Arial"/>
        <w:b/>
        <w:sz w:val="24"/>
        <w:szCs w:val="24"/>
      </w:rPr>
    </w:pPr>
    <w:proofErr w:type="gramStart"/>
    <w:r>
      <w:rPr>
        <w:rFonts w:cs="Arial"/>
        <w:b/>
        <w:sz w:val="24"/>
        <w:szCs w:val="24"/>
      </w:rPr>
      <w:t>for</w:t>
    </w:r>
    <w:proofErr w:type="gramEnd"/>
    <w:r>
      <w:rPr>
        <w:rFonts w:cs="Arial"/>
        <w:b/>
        <w:sz w:val="24"/>
        <w:szCs w:val="24"/>
      </w:rPr>
      <w:t xml:space="preserve"> the year ended 30 June 2015</w:t>
    </w:r>
  </w:p>
  <w:p w:rsidR="00A24DEF" w:rsidRDefault="00A24DEF" w:rsidP="00C355F9">
    <w:pPr>
      <w:pStyle w:val="Header"/>
      <w:spacing w:line="360" w:lineRule="auto"/>
      <w:rPr>
        <w:rFonts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301D"/>
    <w:multiLevelType w:val="hybridMultilevel"/>
    <w:tmpl w:val="558A081A"/>
    <w:lvl w:ilvl="0" w:tplc="18E8D5EE">
      <w:start w:val="1"/>
      <w:numFmt w:val="bullet"/>
      <w:pStyle w:val="NormalindentbulletsL1"/>
      <w:lvlText w:val=""/>
      <w:lvlJc w:val="left"/>
      <w:pPr>
        <w:ind w:left="1040" w:hanging="360"/>
      </w:pPr>
      <w:rPr>
        <w:rFonts w:ascii="Symbol" w:hAnsi="Symbol" w:hint="default"/>
      </w:rPr>
    </w:lvl>
    <w:lvl w:ilvl="1" w:tplc="0C090003">
      <w:start w:val="1"/>
      <w:numFmt w:val="bullet"/>
      <w:lvlText w:val="o"/>
      <w:lvlJc w:val="left"/>
      <w:pPr>
        <w:ind w:left="2125" w:hanging="360"/>
      </w:pPr>
      <w:rPr>
        <w:rFonts w:ascii="Courier New" w:hAnsi="Courier New" w:cs="Courier New" w:hint="default"/>
      </w:rPr>
    </w:lvl>
    <w:lvl w:ilvl="2" w:tplc="0C090005" w:tentative="1">
      <w:start w:val="1"/>
      <w:numFmt w:val="bullet"/>
      <w:lvlText w:val=""/>
      <w:lvlJc w:val="left"/>
      <w:pPr>
        <w:ind w:left="2845" w:hanging="360"/>
      </w:pPr>
      <w:rPr>
        <w:rFonts w:ascii="Wingdings" w:hAnsi="Wingdings" w:hint="default"/>
      </w:rPr>
    </w:lvl>
    <w:lvl w:ilvl="3" w:tplc="0C090001" w:tentative="1">
      <w:start w:val="1"/>
      <w:numFmt w:val="bullet"/>
      <w:lvlText w:val=""/>
      <w:lvlJc w:val="left"/>
      <w:pPr>
        <w:ind w:left="3565" w:hanging="360"/>
      </w:pPr>
      <w:rPr>
        <w:rFonts w:ascii="Symbol" w:hAnsi="Symbol" w:hint="default"/>
      </w:rPr>
    </w:lvl>
    <w:lvl w:ilvl="4" w:tplc="0C090003" w:tentative="1">
      <w:start w:val="1"/>
      <w:numFmt w:val="bullet"/>
      <w:lvlText w:val="o"/>
      <w:lvlJc w:val="left"/>
      <w:pPr>
        <w:ind w:left="4285" w:hanging="360"/>
      </w:pPr>
      <w:rPr>
        <w:rFonts w:ascii="Courier New" w:hAnsi="Courier New" w:cs="Courier New" w:hint="default"/>
      </w:rPr>
    </w:lvl>
    <w:lvl w:ilvl="5" w:tplc="0C090005" w:tentative="1">
      <w:start w:val="1"/>
      <w:numFmt w:val="bullet"/>
      <w:lvlText w:val=""/>
      <w:lvlJc w:val="left"/>
      <w:pPr>
        <w:ind w:left="5005" w:hanging="360"/>
      </w:pPr>
      <w:rPr>
        <w:rFonts w:ascii="Wingdings" w:hAnsi="Wingdings" w:hint="default"/>
      </w:rPr>
    </w:lvl>
    <w:lvl w:ilvl="6" w:tplc="0C090001" w:tentative="1">
      <w:start w:val="1"/>
      <w:numFmt w:val="bullet"/>
      <w:lvlText w:val=""/>
      <w:lvlJc w:val="left"/>
      <w:pPr>
        <w:ind w:left="5725" w:hanging="360"/>
      </w:pPr>
      <w:rPr>
        <w:rFonts w:ascii="Symbol" w:hAnsi="Symbol" w:hint="default"/>
      </w:rPr>
    </w:lvl>
    <w:lvl w:ilvl="7" w:tplc="0C090003" w:tentative="1">
      <w:start w:val="1"/>
      <w:numFmt w:val="bullet"/>
      <w:lvlText w:val="o"/>
      <w:lvlJc w:val="left"/>
      <w:pPr>
        <w:ind w:left="6445" w:hanging="360"/>
      </w:pPr>
      <w:rPr>
        <w:rFonts w:ascii="Courier New" w:hAnsi="Courier New" w:cs="Courier New" w:hint="default"/>
      </w:rPr>
    </w:lvl>
    <w:lvl w:ilvl="8" w:tplc="0C090005" w:tentative="1">
      <w:start w:val="1"/>
      <w:numFmt w:val="bullet"/>
      <w:lvlText w:val=""/>
      <w:lvlJc w:val="left"/>
      <w:pPr>
        <w:ind w:left="7165" w:hanging="360"/>
      </w:pPr>
      <w:rPr>
        <w:rFonts w:ascii="Wingdings" w:hAnsi="Wingdings" w:hint="default"/>
      </w:rPr>
    </w:lvl>
  </w:abstractNum>
  <w:abstractNum w:abstractNumId="1" w15:restartNumberingAfterBreak="0">
    <w:nsid w:val="08F71E29"/>
    <w:multiLevelType w:val="hybridMultilevel"/>
    <w:tmpl w:val="67465188"/>
    <w:lvl w:ilvl="0" w:tplc="5EAC7C32">
      <w:start w:val="1"/>
      <w:numFmt w:val="decimal"/>
      <w:pStyle w:val="Normal10ptnumberedlist"/>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62BC4"/>
    <w:multiLevelType w:val="hybridMultilevel"/>
    <w:tmpl w:val="8B06FDD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 w15:restartNumberingAfterBreak="0">
    <w:nsid w:val="32802654"/>
    <w:multiLevelType w:val="multilevel"/>
    <w:tmpl w:val="0C09001D"/>
    <w:styleLink w:val="DPEstimates"/>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ourier New" w:hAnsi="Courier New" w:hint="default"/>
        <w:sz w:val="32"/>
      </w:rPr>
    </w:lvl>
    <w:lvl w:ilvl="2">
      <w:start w:val="1"/>
      <w:numFmt w:val="bullet"/>
      <w:lvlText w:val=""/>
      <w:lvlJc w:val="left"/>
      <w:pPr>
        <w:tabs>
          <w:tab w:val="num" w:pos="1080"/>
        </w:tabs>
        <w:ind w:left="1080" w:hanging="360"/>
      </w:pPr>
      <w:rPr>
        <w:rFonts w:ascii="Wingdings" w:hAnsi="Wingdings" w:hint="default"/>
        <w:sz w:val="3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DC83240"/>
    <w:multiLevelType w:val="hybridMultilevel"/>
    <w:tmpl w:val="F9FAA658"/>
    <w:lvl w:ilvl="0" w:tplc="2D12758A">
      <w:start w:val="1"/>
      <w:numFmt w:val="bullet"/>
      <w:pStyle w:val="NormaltablebulletsL1"/>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006E2"/>
    <w:multiLevelType w:val="hybridMultilevel"/>
    <w:tmpl w:val="A2948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574306"/>
    <w:multiLevelType w:val="hybridMultilevel"/>
    <w:tmpl w:val="53622732"/>
    <w:lvl w:ilvl="0" w:tplc="7C36A598">
      <w:numFmt w:val="bullet"/>
      <w:lvlText w:val="•"/>
      <w:lvlJc w:val="left"/>
      <w:pPr>
        <w:ind w:left="700" w:hanging="360"/>
      </w:pPr>
      <w:rPr>
        <w:rFonts w:ascii="Arial" w:eastAsia="Times New Roman" w:hAnsi="Arial" w:cs="Arial" w:hint="default"/>
      </w:rPr>
    </w:lvl>
    <w:lvl w:ilvl="1" w:tplc="C2B05E42">
      <w:numFmt w:val="bullet"/>
      <w:pStyle w:val="NormalindentbulletsL2"/>
      <w:lvlText w:val="–"/>
      <w:lvlJc w:val="left"/>
      <w:pPr>
        <w:ind w:left="1420" w:hanging="360"/>
      </w:pPr>
      <w:rPr>
        <w:rFonts w:ascii="Arial" w:eastAsia="Times New Roman" w:hAnsi="Arial" w:cs="Arial" w:hint="default"/>
      </w:rPr>
    </w:lvl>
    <w:lvl w:ilvl="2" w:tplc="2D00E67A">
      <w:start w:val="1"/>
      <w:numFmt w:val="bullet"/>
      <w:lvlText w:val="-"/>
      <w:lvlJc w:val="left"/>
      <w:pPr>
        <w:ind w:left="2140" w:hanging="360"/>
      </w:pPr>
      <w:rPr>
        <w:rFonts w:ascii="Calibri" w:eastAsia="Times New Roman" w:hAnsi="Calibri" w:cs="Arial"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revisionView w:inkAnnotations="0"/>
  <w:documentProtection w:edit="readOnly" w:enforcement="1" w:cryptProviderType="rsaAES" w:cryptAlgorithmClass="hash" w:cryptAlgorithmType="typeAny" w:cryptAlgorithmSid="14" w:cryptSpinCount="100000" w:hash="oHW++yrcZdkoZS4liwhQWmgswIIWRlZt8ZGqNB2ym/Ki4yZUBW5zmpvhh3LbGKNrIaNPEBN3m0Fv8k/+BiTLBQ==" w:salt="leqSuqT2GirMkaxgIFxeJQ=="/>
  <w:defaultTabStop w:val="340"/>
  <w:drawingGridHorizontalSpacing w:val="95"/>
  <w:displayHorizontalDrawingGridEvery w:val="2"/>
  <w:noPunctuationKerning/>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B5"/>
    <w:rsid w:val="0000009F"/>
    <w:rsid w:val="000006C2"/>
    <w:rsid w:val="0000157F"/>
    <w:rsid w:val="0000179B"/>
    <w:rsid w:val="000017C1"/>
    <w:rsid w:val="00001921"/>
    <w:rsid w:val="00001A92"/>
    <w:rsid w:val="0000242F"/>
    <w:rsid w:val="00002BD3"/>
    <w:rsid w:val="00003048"/>
    <w:rsid w:val="000035FA"/>
    <w:rsid w:val="0000441B"/>
    <w:rsid w:val="00004DEF"/>
    <w:rsid w:val="00006827"/>
    <w:rsid w:val="000068CA"/>
    <w:rsid w:val="00007049"/>
    <w:rsid w:val="00007B20"/>
    <w:rsid w:val="00007F87"/>
    <w:rsid w:val="000100DA"/>
    <w:rsid w:val="000104BA"/>
    <w:rsid w:val="00010A2F"/>
    <w:rsid w:val="00010A47"/>
    <w:rsid w:val="00010B35"/>
    <w:rsid w:val="00010B68"/>
    <w:rsid w:val="00011A8C"/>
    <w:rsid w:val="00012208"/>
    <w:rsid w:val="00012485"/>
    <w:rsid w:val="0001296C"/>
    <w:rsid w:val="0001345C"/>
    <w:rsid w:val="00013525"/>
    <w:rsid w:val="00013550"/>
    <w:rsid w:val="00014CF1"/>
    <w:rsid w:val="00015421"/>
    <w:rsid w:val="00015522"/>
    <w:rsid w:val="0001629F"/>
    <w:rsid w:val="00016630"/>
    <w:rsid w:val="000166A3"/>
    <w:rsid w:val="000169C4"/>
    <w:rsid w:val="00016E51"/>
    <w:rsid w:val="00016F75"/>
    <w:rsid w:val="000171D4"/>
    <w:rsid w:val="00017471"/>
    <w:rsid w:val="0001789E"/>
    <w:rsid w:val="00017AB0"/>
    <w:rsid w:val="00017C0B"/>
    <w:rsid w:val="00017F2B"/>
    <w:rsid w:val="00020341"/>
    <w:rsid w:val="00020F7B"/>
    <w:rsid w:val="00021A25"/>
    <w:rsid w:val="00021A34"/>
    <w:rsid w:val="0002242D"/>
    <w:rsid w:val="00022477"/>
    <w:rsid w:val="000229DB"/>
    <w:rsid w:val="00022E8F"/>
    <w:rsid w:val="0002325C"/>
    <w:rsid w:val="00023809"/>
    <w:rsid w:val="00023B82"/>
    <w:rsid w:val="000242BA"/>
    <w:rsid w:val="00024BED"/>
    <w:rsid w:val="00024C54"/>
    <w:rsid w:val="00025225"/>
    <w:rsid w:val="000254D7"/>
    <w:rsid w:val="00025772"/>
    <w:rsid w:val="000258D4"/>
    <w:rsid w:val="00025DC0"/>
    <w:rsid w:val="00025EF1"/>
    <w:rsid w:val="0002602A"/>
    <w:rsid w:val="0002604C"/>
    <w:rsid w:val="000266B8"/>
    <w:rsid w:val="00027160"/>
    <w:rsid w:val="000278E1"/>
    <w:rsid w:val="00027B98"/>
    <w:rsid w:val="00027D6A"/>
    <w:rsid w:val="00030852"/>
    <w:rsid w:val="000309C5"/>
    <w:rsid w:val="00030AE3"/>
    <w:rsid w:val="00030D97"/>
    <w:rsid w:val="00030DC8"/>
    <w:rsid w:val="000313E2"/>
    <w:rsid w:val="000317F3"/>
    <w:rsid w:val="00031B67"/>
    <w:rsid w:val="000323AD"/>
    <w:rsid w:val="000325DE"/>
    <w:rsid w:val="000328B0"/>
    <w:rsid w:val="00032929"/>
    <w:rsid w:val="0003329D"/>
    <w:rsid w:val="00033AD8"/>
    <w:rsid w:val="00033E46"/>
    <w:rsid w:val="0003429A"/>
    <w:rsid w:val="000344D8"/>
    <w:rsid w:val="000347AF"/>
    <w:rsid w:val="00034867"/>
    <w:rsid w:val="00034DB9"/>
    <w:rsid w:val="00034E83"/>
    <w:rsid w:val="0003528E"/>
    <w:rsid w:val="00035D10"/>
    <w:rsid w:val="00036199"/>
    <w:rsid w:val="000362AD"/>
    <w:rsid w:val="000368C3"/>
    <w:rsid w:val="00037753"/>
    <w:rsid w:val="00037E2C"/>
    <w:rsid w:val="0004021C"/>
    <w:rsid w:val="00040548"/>
    <w:rsid w:val="0004066E"/>
    <w:rsid w:val="00040A63"/>
    <w:rsid w:val="00040D58"/>
    <w:rsid w:val="00040DE4"/>
    <w:rsid w:val="00040FE9"/>
    <w:rsid w:val="000414DA"/>
    <w:rsid w:val="00041540"/>
    <w:rsid w:val="000420D6"/>
    <w:rsid w:val="0004268E"/>
    <w:rsid w:val="00042B0A"/>
    <w:rsid w:val="00042BAC"/>
    <w:rsid w:val="00042C95"/>
    <w:rsid w:val="00042E35"/>
    <w:rsid w:val="00042F42"/>
    <w:rsid w:val="0004340F"/>
    <w:rsid w:val="000435E1"/>
    <w:rsid w:val="000438F1"/>
    <w:rsid w:val="00043BB3"/>
    <w:rsid w:val="00043F37"/>
    <w:rsid w:val="00043FA2"/>
    <w:rsid w:val="000440DC"/>
    <w:rsid w:val="00044268"/>
    <w:rsid w:val="000448B7"/>
    <w:rsid w:val="00044C14"/>
    <w:rsid w:val="00046B8A"/>
    <w:rsid w:val="000470D3"/>
    <w:rsid w:val="0004781B"/>
    <w:rsid w:val="00047AE7"/>
    <w:rsid w:val="00047D41"/>
    <w:rsid w:val="00050BB9"/>
    <w:rsid w:val="00050D10"/>
    <w:rsid w:val="0005125C"/>
    <w:rsid w:val="000512AC"/>
    <w:rsid w:val="00052CA6"/>
    <w:rsid w:val="0005306F"/>
    <w:rsid w:val="0005325F"/>
    <w:rsid w:val="00053555"/>
    <w:rsid w:val="000539A6"/>
    <w:rsid w:val="000539EF"/>
    <w:rsid w:val="00054381"/>
    <w:rsid w:val="00054720"/>
    <w:rsid w:val="000547B0"/>
    <w:rsid w:val="000549B3"/>
    <w:rsid w:val="00055403"/>
    <w:rsid w:val="000559A1"/>
    <w:rsid w:val="00055D85"/>
    <w:rsid w:val="000563BF"/>
    <w:rsid w:val="0005703E"/>
    <w:rsid w:val="000571ED"/>
    <w:rsid w:val="00057257"/>
    <w:rsid w:val="00057801"/>
    <w:rsid w:val="0005785D"/>
    <w:rsid w:val="00057AD3"/>
    <w:rsid w:val="00057E3D"/>
    <w:rsid w:val="00057EF0"/>
    <w:rsid w:val="00060062"/>
    <w:rsid w:val="0006014F"/>
    <w:rsid w:val="000606F4"/>
    <w:rsid w:val="00060AE7"/>
    <w:rsid w:val="00060DF5"/>
    <w:rsid w:val="0006121D"/>
    <w:rsid w:val="000613D1"/>
    <w:rsid w:val="0006161C"/>
    <w:rsid w:val="00061945"/>
    <w:rsid w:val="000626E6"/>
    <w:rsid w:val="00062755"/>
    <w:rsid w:val="00062775"/>
    <w:rsid w:val="00062F4D"/>
    <w:rsid w:val="00063796"/>
    <w:rsid w:val="00063C72"/>
    <w:rsid w:val="00064077"/>
    <w:rsid w:val="000643AF"/>
    <w:rsid w:val="0006458F"/>
    <w:rsid w:val="0006471E"/>
    <w:rsid w:val="00064731"/>
    <w:rsid w:val="00064B90"/>
    <w:rsid w:val="00064DB9"/>
    <w:rsid w:val="0006548B"/>
    <w:rsid w:val="00065A76"/>
    <w:rsid w:val="00065B05"/>
    <w:rsid w:val="00065DA7"/>
    <w:rsid w:val="00065DD3"/>
    <w:rsid w:val="00066662"/>
    <w:rsid w:val="00066FB4"/>
    <w:rsid w:val="00067291"/>
    <w:rsid w:val="00067C70"/>
    <w:rsid w:val="00067F08"/>
    <w:rsid w:val="000709B7"/>
    <w:rsid w:val="00071252"/>
    <w:rsid w:val="000713A8"/>
    <w:rsid w:val="00071DC4"/>
    <w:rsid w:val="00071DD5"/>
    <w:rsid w:val="00072268"/>
    <w:rsid w:val="00072699"/>
    <w:rsid w:val="000726D2"/>
    <w:rsid w:val="0007279D"/>
    <w:rsid w:val="00073B2B"/>
    <w:rsid w:val="00073D63"/>
    <w:rsid w:val="0007461D"/>
    <w:rsid w:val="00074B49"/>
    <w:rsid w:val="00074C1D"/>
    <w:rsid w:val="00074C24"/>
    <w:rsid w:val="00074DE8"/>
    <w:rsid w:val="0007518C"/>
    <w:rsid w:val="000751B0"/>
    <w:rsid w:val="0007531C"/>
    <w:rsid w:val="000755D6"/>
    <w:rsid w:val="00075E2A"/>
    <w:rsid w:val="000767C7"/>
    <w:rsid w:val="00076A7A"/>
    <w:rsid w:val="00076B64"/>
    <w:rsid w:val="00076F0D"/>
    <w:rsid w:val="00077013"/>
    <w:rsid w:val="00077053"/>
    <w:rsid w:val="0007726B"/>
    <w:rsid w:val="0008014C"/>
    <w:rsid w:val="00080209"/>
    <w:rsid w:val="000808FB"/>
    <w:rsid w:val="00081E6E"/>
    <w:rsid w:val="000820FE"/>
    <w:rsid w:val="00082936"/>
    <w:rsid w:val="00082B32"/>
    <w:rsid w:val="00082E44"/>
    <w:rsid w:val="000836C0"/>
    <w:rsid w:val="000846A2"/>
    <w:rsid w:val="000848C1"/>
    <w:rsid w:val="00084DAC"/>
    <w:rsid w:val="000850D2"/>
    <w:rsid w:val="0008521F"/>
    <w:rsid w:val="000853CC"/>
    <w:rsid w:val="00085A23"/>
    <w:rsid w:val="00085AEB"/>
    <w:rsid w:val="000869E6"/>
    <w:rsid w:val="00086AA8"/>
    <w:rsid w:val="000871C1"/>
    <w:rsid w:val="00087268"/>
    <w:rsid w:val="0008736E"/>
    <w:rsid w:val="000879B4"/>
    <w:rsid w:val="00087D95"/>
    <w:rsid w:val="000902DA"/>
    <w:rsid w:val="000906E6"/>
    <w:rsid w:val="00090C40"/>
    <w:rsid w:val="00090CC7"/>
    <w:rsid w:val="000914E7"/>
    <w:rsid w:val="00091CCF"/>
    <w:rsid w:val="000928A5"/>
    <w:rsid w:val="00092B08"/>
    <w:rsid w:val="00092B12"/>
    <w:rsid w:val="00092BDD"/>
    <w:rsid w:val="00092CFB"/>
    <w:rsid w:val="0009320F"/>
    <w:rsid w:val="00093C86"/>
    <w:rsid w:val="00093E47"/>
    <w:rsid w:val="0009428E"/>
    <w:rsid w:val="00094308"/>
    <w:rsid w:val="00094353"/>
    <w:rsid w:val="00094BC3"/>
    <w:rsid w:val="00094EB3"/>
    <w:rsid w:val="000950AE"/>
    <w:rsid w:val="00095156"/>
    <w:rsid w:val="00095ED8"/>
    <w:rsid w:val="000960D7"/>
    <w:rsid w:val="00096ED5"/>
    <w:rsid w:val="000975B5"/>
    <w:rsid w:val="000A0797"/>
    <w:rsid w:val="000A08E3"/>
    <w:rsid w:val="000A1330"/>
    <w:rsid w:val="000A1359"/>
    <w:rsid w:val="000A1753"/>
    <w:rsid w:val="000A1B7F"/>
    <w:rsid w:val="000A256A"/>
    <w:rsid w:val="000A27E6"/>
    <w:rsid w:val="000A2845"/>
    <w:rsid w:val="000A2ACE"/>
    <w:rsid w:val="000A2B25"/>
    <w:rsid w:val="000A2B6E"/>
    <w:rsid w:val="000A318F"/>
    <w:rsid w:val="000A356D"/>
    <w:rsid w:val="000A3FA2"/>
    <w:rsid w:val="000A4417"/>
    <w:rsid w:val="000A4649"/>
    <w:rsid w:val="000A4E98"/>
    <w:rsid w:val="000A4F28"/>
    <w:rsid w:val="000A5345"/>
    <w:rsid w:val="000A55B1"/>
    <w:rsid w:val="000A5882"/>
    <w:rsid w:val="000A5985"/>
    <w:rsid w:val="000A5D68"/>
    <w:rsid w:val="000A62ED"/>
    <w:rsid w:val="000A6409"/>
    <w:rsid w:val="000A67D4"/>
    <w:rsid w:val="000A6BB1"/>
    <w:rsid w:val="000A6BE4"/>
    <w:rsid w:val="000A6CC8"/>
    <w:rsid w:val="000A702E"/>
    <w:rsid w:val="000A709D"/>
    <w:rsid w:val="000A7848"/>
    <w:rsid w:val="000A7867"/>
    <w:rsid w:val="000A79B7"/>
    <w:rsid w:val="000A7D24"/>
    <w:rsid w:val="000A7F05"/>
    <w:rsid w:val="000B064B"/>
    <w:rsid w:val="000B0B6C"/>
    <w:rsid w:val="000B0C13"/>
    <w:rsid w:val="000B10FA"/>
    <w:rsid w:val="000B12D2"/>
    <w:rsid w:val="000B154F"/>
    <w:rsid w:val="000B1F23"/>
    <w:rsid w:val="000B2198"/>
    <w:rsid w:val="000B23EE"/>
    <w:rsid w:val="000B296A"/>
    <w:rsid w:val="000B2E77"/>
    <w:rsid w:val="000B3507"/>
    <w:rsid w:val="000B402A"/>
    <w:rsid w:val="000B411F"/>
    <w:rsid w:val="000B41C2"/>
    <w:rsid w:val="000B4A55"/>
    <w:rsid w:val="000B4D05"/>
    <w:rsid w:val="000B5543"/>
    <w:rsid w:val="000B5808"/>
    <w:rsid w:val="000B5977"/>
    <w:rsid w:val="000B5A8E"/>
    <w:rsid w:val="000B5AF8"/>
    <w:rsid w:val="000B666A"/>
    <w:rsid w:val="000B6687"/>
    <w:rsid w:val="000B7328"/>
    <w:rsid w:val="000B79E0"/>
    <w:rsid w:val="000B7A10"/>
    <w:rsid w:val="000B7A20"/>
    <w:rsid w:val="000C0437"/>
    <w:rsid w:val="000C04B0"/>
    <w:rsid w:val="000C06E8"/>
    <w:rsid w:val="000C07D8"/>
    <w:rsid w:val="000C0B0A"/>
    <w:rsid w:val="000C0D76"/>
    <w:rsid w:val="000C130A"/>
    <w:rsid w:val="000C148F"/>
    <w:rsid w:val="000C2463"/>
    <w:rsid w:val="000C2A08"/>
    <w:rsid w:val="000C2B4E"/>
    <w:rsid w:val="000C2D5F"/>
    <w:rsid w:val="000C3166"/>
    <w:rsid w:val="000C3744"/>
    <w:rsid w:val="000C3D7C"/>
    <w:rsid w:val="000C420B"/>
    <w:rsid w:val="000C42E4"/>
    <w:rsid w:val="000C4372"/>
    <w:rsid w:val="000C44AB"/>
    <w:rsid w:val="000C4AA9"/>
    <w:rsid w:val="000C4EA9"/>
    <w:rsid w:val="000C4F0F"/>
    <w:rsid w:val="000C52BD"/>
    <w:rsid w:val="000C5300"/>
    <w:rsid w:val="000C5FEA"/>
    <w:rsid w:val="000C6431"/>
    <w:rsid w:val="000C6813"/>
    <w:rsid w:val="000C69FB"/>
    <w:rsid w:val="000C6A6F"/>
    <w:rsid w:val="000C7CCA"/>
    <w:rsid w:val="000C7D6A"/>
    <w:rsid w:val="000C7F45"/>
    <w:rsid w:val="000D045E"/>
    <w:rsid w:val="000D0AB7"/>
    <w:rsid w:val="000D1450"/>
    <w:rsid w:val="000D1949"/>
    <w:rsid w:val="000D19C7"/>
    <w:rsid w:val="000D1B60"/>
    <w:rsid w:val="000D1DEF"/>
    <w:rsid w:val="000D2578"/>
    <w:rsid w:val="000D2729"/>
    <w:rsid w:val="000D273C"/>
    <w:rsid w:val="000D2940"/>
    <w:rsid w:val="000D2A47"/>
    <w:rsid w:val="000D309E"/>
    <w:rsid w:val="000D3162"/>
    <w:rsid w:val="000D348B"/>
    <w:rsid w:val="000D3755"/>
    <w:rsid w:val="000D375B"/>
    <w:rsid w:val="000D3A44"/>
    <w:rsid w:val="000D3E81"/>
    <w:rsid w:val="000D4367"/>
    <w:rsid w:val="000D459A"/>
    <w:rsid w:val="000D47CD"/>
    <w:rsid w:val="000D4808"/>
    <w:rsid w:val="000D4BB2"/>
    <w:rsid w:val="000D4C0D"/>
    <w:rsid w:val="000D531D"/>
    <w:rsid w:val="000D5960"/>
    <w:rsid w:val="000D6835"/>
    <w:rsid w:val="000D7549"/>
    <w:rsid w:val="000D7C30"/>
    <w:rsid w:val="000E02F1"/>
    <w:rsid w:val="000E0A70"/>
    <w:rsid w:val="000E0C0B"/>
    <w:rsid w:val="000E0D43"/>
    <w:rsid w:val="000E1196"/>
    <w:rsid w:val="000E1534"/>
    <w:rsid w:val="000E187C"/>
    <w:rsid w:val="000E18D9"/>
    <w:rsid w:val="000E1BE3"/>
    <w:rsid w:val="000E1BE8"/>
    <w:rsid w:val="000E21CE"/>
    <w:rsid w:val="000E21F1"/>
    <w:rsid w:val="000E23A6"/>
    <w:rsid w:val="000E2BA4"/>
    <w:rsid w:val="000E2F1A"/>
    <w:rsid w:val="000E45A8"/>
    <w:rsid w:val="000E4930"/>
    <w:rsid w:val="000E4B34"/>
    <w:rsid w:val="000E4ECC"/>
    <w:rsid w:val="000E52C4"/>
    <w:rsid w:val="000E53AD"/>
    <w:rsid w:val="000E5462"/>
    <w:rsid w:val="000E5581"/>
    <w:rsid w:val="000E569B"/>
    <w:rsid w:val="000E5AE1"/>
    <w:rsid w:val="000E61B8"/>
    <w:rsid w:val="000E61BA"/>
    <w:rsid w:val="000E6264"/>
    <w:rsid w:val="000E62A9"/>
    <w:rsid w:val="000E6324"/>
    <w:rsid w:val="000E6325"/>
    <w:rsid w:val="000E6F4D"/>
    <w:rsid w:val="000E746C"/>
    <w:rsid w:val="000E74E8"/>
    <w:rsid w:val="000E752A"/>
    <w:rsid w:val="000E798C"/>
    <w:rsid w:val="000E7A25"/>
    <w:rsid w:val="000E7AC2"/>
    <w:rsid w:val="000E7F57"/>
    <w:rsid w:val="000F0C35"/>
    <w:rsid w:val="000F0D54"/>
    <w:rsid w:val="000F0EC5"/>
    <w:rsid w:val="000F0F52"/>
    <w:rsid w:val="000F156E"/>
    <w:rsid w:val="000F1588"/>
    <w:rsid w:val="000F1CB8"/>
    <w:rsid w:val="000F2081"/>
    <w:rsid w:val="000F20C8"/>
    <w:rsid w:val="000F286B"/>
    <w:rsid w:val="000F316F"/>
    <w:rsid w:val="000F3453"/>
    <w:rsid w:val="000F3B2E"/>
    <w:rsid w:val="000F3C99"/>
    <w:rsid w:val="000F3D84"/>
    <w:rsid w:val="000F44FE"/>
    <w:rsid w:val="000F48F4"/>
    <w:rsid w:val="000F4BD1"/>
    <w:rsid w:val="000F4EF7"/>
    <w:rsid w:val="000F4F92"/>
    <w:rsid w:val="000F548F"/>
    <w:rsid w:val="000F54C4"/>
    <w:rsid w:val="000F56B6"/>
    <w:rsid w:val="000F57F5"/>
    <w:rsid w:val="000F5909"/>
    <w:rsid w:val="000F590C"/>
    <w:rsid w:val="000F5932"/>
    <w:rsid w:val="000F5A7D"/>
    <w:rsid w:val="000F66BA"/>
    <w:rsid w:val="000F6E3E"/>
    <w:rsid w:val="000F6F5E"/>
    <w:rsid w:val="000F6F70"/>
    <w:rsid w:val="000F7533"/>
    <w:rsid w:val="000F776F"/>
    <w:rsid w:val="000F7965"/>
    <w:rsid w:val="000F79B7"/>
    <w:rsid w:val="000F7B96"/>
    <w:rsid w:val="001001A4"/>
    <w:rsid w:val="00100658"/>
    <w:rsid w:val="00100EF3"/>
    <w:rsid w:val="001018D8"/>
    <w:rsid w:val="00101D0A"/>
    <w:rsid w:val="00102E69"/>
    <w:rsid w:val="0010306E"/>
    <w:rsid w:val="00103280"/>
    <w:rsid w:val="0010373D"/>
    <w:rsid w:val="0010457C"/>
    <w:rsid w:val="001049D0"/>
    <w:rsid w:val="00104C74"/>
    <w:rsid w:val="00104E76"/>
    <w:rsid w:val="0010509E"/>
    <w:rsid w:val="001051A8"/>
    <w:rsid w:val="001051EC"/>
    <w:rsid w:val="00105530"/>
    <w:rsid w:val="00105687"/>
    <w:rsid w:val="00105E73"/>
    <w:rsid w:val="001062BF"/>
    <w:rsid w:val="00106AAD"/>
    <w:rsid w:val="00106D3C"/>
    <w:rsid w:val="00107721"/>
    <w:rsid w:val="00107C12"/>
    <w:rsid w:val="00107DF3"/>
    <w:rsid w:val="00107F8F"/>
    <w:rsid w:val="001102DF"/>
    <w:rsid w:val="0011046C"/>
    <w:rsid w:val="00110A68"/>
    <w:rsid w:val="00110AB0"/>
    <w:rsid w:val="001113A5"/>
    <w:rsid w:val="001113F4"/>
    <w:rsid w:val="001119FC"/>
    <w:rsid w:val="00111B6B"/>
    <w:rsid w:val="00111D47"/>
    <w:rsid w:val="001120C9"/>
    <w:rsid w:val="00112226"/>
    <w:rsid w:val="001122D4"/>
    <w:rsid w:val="00112AFA"/>
    <w:rsid w:val="001136CF"/>
    <w:rsid w:val="00113D03"/>
    <w:rsid w:val="001140EA"/>
    <w:rsid w:val="00114FD5"/>
    <w:rsid w:val="00115197"/>
    <w:rsid w:val="001154F2"/>
    <w:rsid w:val="00115A5F"/>
    <w:rsid w:val="00115C15"/>
    <w:rsid w:val="00115DD9"/>
    <w:rsid w:val="00116F9C"/>
    <w:rsid w:val="001170BB"/>
    <w:rsid w:val="001173A3"/>
    <w:rsid w:val="00117C4B"/>
    <w:rsid w:val="001206EE"/>
    <w:rsid w:val="00120717"/>
    <w:rsid w:val="001207CF"/>
    <w:rsid w:val="00120C5B"/>
    <w:rsid w:val="00120DB1"/>
    <w:rsid w:val="00121183"/>
    <w:rsid w:val="00121C15"/>
    <w:rsid w:val="001221B7"/>
    <w:rsid w:val="0012266D"/>
    <w:rsid w:val="0012277D"/>
    <w:rsid w:val="00122D3A"/>
    <w:rsid w:val="001230E7"/>
    <w:rsid w:val="00123A88"/>
    <w:rsid w:val="00123EE0"/>
    <w:rsid w:val="00124832"/>
    <w:rsid w:val="00124AB1"/>
    <w:rsid w:val="00125B77"/>
    <w:rsid w:val="00125D5F"/>
    <w:rsid w:val="00125F55"/>
    <w:rsid w:val="00126255"/>
    <w:rsid w:val="001263AA"/>
    <w:rsid w:val="00126626"/>
    <w:rsid w:val="0012683B"/>
    <w:rsid w:val="00126AFB"/>
    <w:rsid w:val="00126E0F"/>
    <w:rsid w:val="00126F5D"/>
    <w:rsid w:val="00127505"/>
    <w:rsid w:val="00127550"/>
    <w:rsid w:val="00127C37"/>
    <w:rsid w:val="00127EE5"/>
    <w:rsid w:val="00127F43"/>
    <w:rsid w:val="001307F7"/>
    <w:rsid w:val="001308CD"/>
    <w:rsid w:val="001309EF"/>
    <w:rsid w:val="001314F0"/>
    <w:rsid w:val="00132935"/>
    <w:rsid w:val="00132F38"/>
    <w:rsid w:val="00132FB1"/>
    <w:rsid w:val="0013306E"/>
    <w:rsid w:val="0013321F"/>
    <w:rsid w:val="00133829"/>
    <w:rsid w:val="0013387A"/>
    <w:rsid w:val="00133BB6"/>
    <w:rsid w:val="00133BFE"/>
    <w:rsid w:val="00133D65"/>
    <w:rsid w:val="00133F8B"/>
    <w:rsid w:val="001342A0"/>
    <w:rsid w:val="0013437F"/>
    <w:rsid w:val="001344DC"/>
    <w:rsid w:val="001347E8"/>
    <w:rsid w:val="001348CD"/>
    <w:rsid w:val="00134B8E"/>
    <w:rsid w:val="001359D0"/>
    <w:rsid w:val="00135C4C"/>
    <w:rsid w:val="001363F0"/>
    <w:rsid w:val="00136693"/>
    <w:rsid w:val="0013673F"/>
    <w:rsid w:val="001369E9"/>
    <w:rsid w:val="00136A07"/>
    <w:rsid w:val="00136C42"/>
    <w:rsid w:val="00136D36"/>
    <w:rsid w:val="00137140"/>
    <w:rsid w:val="00137408"/>
    <w:rsid w:val="0014034C"/>
    <w:rsid w:val="00140394"/>
    <w:rsid w:val="001407EC"/>
    <w:rsid w:val="00140988"/>
    <w:rsid w:val="00140FA5"/>
    <w:rsid w:val="001410E9"/>
    <w:rsid w:val="00141119"/>
    <w:rsid w:val="001412EB"/>
    <w:rsid w:val="00141B13"/>
    <w:rsid w:val="00141CF8"/>
    <w:rsid w:val="00142235"/>
    <w:rsid w:val="0014249D"/>
    <w:rsid w:val="00142875"/>
    <w:rsid w:val="00142A1E"/>
    <w:rsid w:val="00142B66"/>
    <w:rsid w:val="00142F51"/>
    <w:rsid w:val="00143173"/>
    <w:rsid w:val="00144052"/>
    <w:rsid w:val="001444F7"/>
    <w:rsid w:val="0014479F"/>
    <w:rsid w:val="0014516F"/>
    <w:rsid w:val="0014580B"/>
    <w:rsid w:val="00145898"/>
    <w:rsid w:val="00145C29"/>
    <w:rsid w:val="00146169"/>
    <w:rsid w:val="00146180"/>
    <w:rsid w:val="00146236"/>
    <w:rsid w:val="001462EE"/>
    <w:rsid w:val="001463D0"/>
    <w:rsid w:val="0014672E"/>
    <w:rsid w:val="00146B47"/>
    <w:rsid w:val="00146D62"/>
    <w:rsid w:val="00147434"/>
    <w:rsid w:val="001476BA"/>
    <w:rsid w:val="0014777D"/>
    <w:rsid w:val="00147C41"/>
    <w:rsid w:val="00150A40"/>
    <w:rsid w:val="00150BC9"/>
    <w:rsid w:val="00150BF1"/>
    <w:rsid w:val="0015129A"/>
    <w:rsid w:val="00151DEB"/>
    <w:rsid w:val="00151F16"/>
    <w:rsid w:val="0015205E"/>
    <w:rsid w:val="00152067"/>
    <w:rsid w:val="00152265"/>
    <w:rsid w:val="00152640"/>
    <w:rsid w:val="00152847"/>
    <w:rsid w:val="00152968"/>
    <w:rsid w:val="00153CDE"/>
    <w:rsid w:val="00153D17"/>
    <w:rsid w:val="00153E41"/>
    <w:rsid w:val="00153E48"/>
    <w:rsid w:val="0015587C"/>
    <w:rsid w:val="00155A21"/>
    <w:rsid w:val="00155DD0"/>
    <w:rsid w:val="001577B2"/>
    <w:rsid w:val="001602CD"/>
    <w:rsid w:val="0016053A"/>
    <w:rsid w:val="001605D4"/>
    <w:rsid w:val="0016077F"/>
    <w:rsid w:val="001608C3"/>
    <w:rsid w:val="001609EA"/>
    <w:rsid w:val="00160F4A"/>
    <w:rsid w:val="001616AF"/>
    <w:rsid w:val="0016184F"/>
    <w:rsid w:val="00161C32"/>
    <w:rsid w:val="00162084"/>
    <w:rsid w:val="00162301"/>
    <w:rsid w:val="0016249A"/>
    <w:rsid w:val="0016317D"/>
    <w:rsid w:val="00163C2C"/>
    <w:rsid w:val="00163CD5"/>
    <w:rsid w:val="001644D4"/>
    <w:rsid w:val="0016459D"/>
    <w:rsid w:val="0016485C"/>
    <w:rsid w:val="001648BD"/>
    <w:rsid w:val="00164A96"/>
    <w:rsid w:val="00164B1A"/>
    <w:rsid w:val="00164C1E"/>
    <w:rsid w:val="00164C25"/>
    <w:rsid w:val="00165103"/>
    <w:rsid w:val="001659C4"/>
    <w:rsid w:val="00165BB8"/>
    <w:rsid w:val="00166031"/>
    <w:rsid w:val="001660AF"/>
    <w:rsid w:val="001660E2"/>
    <w:rsid w:val="001662C8"/>
    <w:rsid w:val="001663EE"/>
    <w:rsid w:val="001668DE"/>
    <w:rsid w:val="00166D05"/>
    <w:rsid w:val="00166E26"/>
    <w:rsid w:val="00167583"/>
    <w:rsid w:val="00167628"/>
    <w:rsid w:val="001678C3"/>
    <w:rsid w:val="00167FE1"/>
    <w:rsid w:val="0017001B"/>
    <w:rsid w:val="0017017B"/>
    <w:rsid w:val="001707A6"/>
    <w:rsid w:val="00170842"/>
    <w:rsid w:val="00170B45"/>
    <w:rsid w:val="0017125A"/>
    <w:rsid w:val="001714D1"/>
    <w:rsid w:val="00171645"/>
    <w:rsid w:val="00171775"/>
    <w:rsid w:val="00171963"/>
    <w:rsid w:val="00171997"/>
    <w:rsid w:val="001721DC"/>
    <w:rsid w:val="00172D5C"/>
    <w:rsid w:val="001731A0"/>
    <w:rsid w:val="00173439"/>
    <w:rsid w:val="001739F0"/>
    <w:rsid w:val="00173FA6"/>
    <w:rsid w:val="00175099"/>
    <w:rsid w:val="001751A1"/>
    <w:rsid w:val="00175A83"/>
    <w:rsid w:val="00175E75"/>
    <w:rsid w:val="001762E7"/>
    <w:rsid w:val="0017631B"/>
    <w:rsid w:val="001763BF"/>
    <w:rsid w:val="001768AC"/>
    <w:rsid w:val="00176AF4"/>
    <w:rsid w:val="00177049"/>
    <w:rsid w:val="0017718F"/>
    <w:rsid w:val="001776D8"/>
    <w:rsid w:val="00180087"/>
    <w:rsid w:val="001800DF"/>
    <w:rsid w:val="001802B5"/>
    <w:rsid w:val="0018116C"/>
    <w:rsid w:val="001813A0"/>
    <w:rsid w:val="001817CC"/>
    <w:rsid w:val="00181898"/>
    <w:rsid w:val="00181FE5"/>
    <w:rsid w:val="0018295D"/>
    <w:rsid w:val="00182E2A"/>
    <w:rsid w:val="00182F42"/>
    <w:rsid w:val="00183189"/>
    <w:rsid w:val="0018358A"/>
    <w:rsid w:val="0018379B"/>
    <w:rsid w:val="001838B9"/>
    <w:rsid w:val="00183ADD"/>
    <w:rsid w:val="00183C18"/>
    <w:rsid w:val="0018420C"/>
    <w:rsid w:val="00184860"/>
    <w:rsid w:val="00184B1A"/>
    <w:rsid w:val="00184E28"/>
    <w:rsid w:val="001853F2"/>
    <w:rsid w:val="0018649B"/>
    <w:rsid w:val="001902F7"/>
    <w:rsid w:val="0019046F"/>
    <w:rsid w:val="00191A3F"/>
    <w:rsid w:val="00191CDD"/>
    <w:rsid w:val="001920ED"/>
    <w:rsid w:val="001925E7"/>
    <w:rsid w:val="00192871"/>
    <w:rsid w:val="001933EF"/>
    <w:rsid w:val="0019360E"/>
    <w:rsid w:val="001936B8"/>
    <w:rsid w:val="00193964"/>
    <w:rsid w:val="00193ADF"/>
    <w:rsid w:val="00194090"/>
    <w:rsid w:val="001942A1"/>
    <w:rsid w:val="001942A5"/>
    <w:rsid w:val="00194BCE"/>
    <w:rsid w:val="00194F8C"/>
    <w:rsid w:val="001950FD"/>
    <w:rsid w:val="001952B2"/>
    <w:rsid w:val="00195770"/>
    <w:rsid w:val="0019588B"/>
    <w:rsid w:val="00195F79"/>
    <w:rsid w:val="00195FD3"/>
    <w:rsid w:val="00196AED"/>
    <w:rsid w:val="0019730E"/>
    <w:rsid w:val="00197344"/>
    <w:rsid w:val="00197347"/>
    <w:rsid w:val="001973DC"/>
    <w:rsid w:val="00197801"/>
    <w:rsid w:val="0019799C"/>
    <w:rsid w:val="00197E23"/>
    <w:rsid w:val="00197F79"/>
    <w:rsid w:val="001A0066"/>
    <w:rsid w:val="001A00FC"/>
    <w:rsid w:val="001A04B6"/>
    <w:rsid w:val="001A0818"/>
    <w:rsid w:val="001A0894"/>
    <w:rsid w:val="001A0C98"/>
    <w:rsid w:val="001A1396"/>
    <w:rsid w:val="001A1748"/>
    <w:rsid w:val="001A1791"/>
    <w:rsid w:val="001A1F47"/>
    <w:rsid w:val="001A2629"/>
    <w:rsid w:val="001A2703"/>
    <w:rsid w:val="001A2AE3"/>
    <w:rsid w:val="001A2B0E"/>
    <w:rsid w:val="001A2CF2"/>
    <w:rsid w:val="001A322A"/>
    <w:rsid w:val="001A363D"/>
    <w:rsid w:val="001A3C6F"/>
    <w:rsid w:val="001A3C85"/>
    <w:rsid w:val="001A4410"/>
    <w:rsid w:val="001A4679"/>
    <w:rsid w:val="001A4FE7"/>
    <w:rsid w:val="001A52C6"/>
    <w:rsid w:val="001A5312"/>
    <w:rsid w:val="001A5413"/>
    <w:rsid w:val="001A5424"/>
    <w:rsid w:val="001A5778"/>
    <w:rsid w:val="001A5A6A"/>
    <w:rsid w:val="001A5A90"/>
    <w:rsid w:val="001A613E"/>
    <w:rsid w:val="001A6384"/>
    <w:rsid w:val="001A6F12"/>
    <w:rsid w:val="001A6FAD"/>
    <w:rsid w:val="001A708D"/>
    <w:rsid w:val="001A741D"/>
    <w:rsid w:val="001A7529"/>
    <w:rsid w:val="001A773B"/>
    <w:rsid w:val="001A794E"/>
    <w:rsid w:val="001A7B7D"/>
    <w:rsid w:val="001A7C8E"/>
    <w:rsid w:val="001B0219"/>
    <w:rsid w:val="001B0CDE"/>
    <w:rsid w:val="001B0D41"/>
    <w:rsid w:val="001B0E3A"/>
    <w:rsid w:val="001B13D2"/>
    <w:rsid w:val="001B151F"/>
    <w:rsid w:val="001B1939"/>
    <w:rsid w:val="001B1CC1"/>
    <w:rsid w:val="001B1FBC"/>
    <w:rsid w:val="001B255F"/>
    <w:rsid w:val="001B2637"/>
    <w:rsid w:val="001B26AF"/>
    <w:rsid w:val="001B3B87"/>
    <w:rsid w:val="001B3F2F"/>
    <w:rsid w:val="001B441F"/>
    <w:rsid w:val="001B46C0"/>
    <w:rsid w:val="001B4743"/>
    <w:rsid w:val="001B48FE"/>
    <w:rsid w:val="001B4F6E"/>
    <w:rsid w:val="001B5032"/>
    <w:rsid w:val="001B5298"/>
    <w:rsid w:val="001B52F1"/>
    <w:rsid w:val="001B5532"/>
    <w:rsid w:val="001B5CA1"/>
    <w:rsid w:val="001B614A"/>
    <w:rsid w:val="001B6273"/>
    <w:rsid w:val="001B64F9"/>
    <w:rsid w:val="001B7ABD"/>
    <w:rsid w:val="001B7F1B"/>
    <w:rsid w:val="001C03FF"/>
    <w:rsid w:val="001C09C4"/>
    <w:rsid w:val="001C11B9"/>
    <w:rsid w:val="001C1F9A"/>
    <w:rsid w:val="001C208E"/>
    <w:rsid w:val="001C23DE"/>
    <w:rsid w:val="001C2993"/>
    <w:rsid w:val="001C2D39"/>
    <w:rsid w:val="001C312C"/>
    <w:rsid w:val="001C32EF"/>
    <w:rsid w:val="001C3599"/>
    <w:rsid w:val="001C3D6C"/>
    <w:rsid w:val="001C3D77"/>
    <w:rsid w:val="001C3E0E"/>
    <w:rsid w:val="001C4252"/>
    <w:rsid w:val="001C50B8"/>
    <w:rsid w:val="001C528F"/>
    <w:rsid w:val="001C546E"/>
    <w:rsid w:val="001C5C54"/>
    <w:rsid w:val="001C6872"/>
    <w:rsid w:val="001C69FA"/>
    <w:rsid w:val="001C7400"/>
    <w:rsid w:val="001C7561"/>
    <w:rsid w:val="001D0614"/>
    <w:rsid w:val="001D06CF"/>
    <w:rsid w:val="001D0A6F"/>
    <w:rsid w:val="001D0EF6"/>
    <w:rsid w:val="001D1364"/>
    <w:rsid w:val="001D16BF"/>
    <w:rsid w:val="001D173C"/>
    <w:rsid w:val="001D1813"/>
    <w:rsid w:val="001D1866"/>
    <w:rsid w:val="001D3586"/>
    <w:rsid w:val="001D3A2E"/>
    <w:rsid w:val="001D3E26"/>
    <w:rsid w:val="001D40B1"/>
    <w:rsid w:val="001D45B7"/>
    <w:rsid w:val="001D45D7"/>
    <w:rsid w:val="001D46D9"/>
    <w:rsid w:val="001D4728"/>
    <w:rsid w:val="001D508C"/>
    <w:rsid w:val="001D5B17"/>
    <w:rsid w:val="001D5DEE"/>
    <w:rsid w:val="001D6056"/>
    <w:rsid w:val="001D623F"/>
    <w:rsid w:val="001D686B"/>
    <w:rsid w:val="001D6C11"/>
    <w:rsid w:val="001D6EBD"/>
    <w:rsid w:val="001D7218"/>
    <w:rsid w:val="001D79EC"/>
    <w:rsid w:val="001D7ACB"/>
    <w:rsid w:val="001D7EC0"/>
    <w:rsid w:val="001E0A6E"/>
    <w:rsid w:val="001E1498"/>
    <w:rsid w:val="001E16AD"/>
    <w:rsid w:val="001E1A77"/>
    <w:rsid w:val="001E1CF1"/>
    <w:rsid w:val="001E1E71"/>
    <w:rsid w:val="001E2423"/>
    <w:rsid w:val="001E28C5"/>
    <w:rsid w:val="001E2B0E"/>
    <w:rsid w:val="001E37FB"/>
    <w:rsid w:val="001E3927"/>
    <w:rsid w:val="001E4339"/>
    <w:rsid w:val="001E48C4"/>
    <w:rsid w:val="001E4DE0"/>
    <w:rsid w:val="001E5287"/>
    <w:rsid w:val="001E7376"/>
    <w:rsid w:val="001E7A86"/>
    <w:rsid w:val="001E7A91"/>
    <w:rsid w:val="001E7F6E"/>
    <w:rsid w:val="001F060F"/>
    <w:rsid w:val="001F120A"/>
    <w:rsid w:val="001F22C0"/>
    <w:rsid w:val="001F22F1"/>
    <w:rsid w:val="001F23CA"/>
    <w:rsid w:val="001F252C"/>
    <w:rsid w:val="001F25AA"/>
    <w:rsid w:val="001F3527"/>
    <w:rsid w:val="001F3A97"/>
    <w:rsid w:val="001F3E2A"/>
    <w:rsid w:val="001F431D"/>
    <w:rsid w:val="001F46B7"/>
    <w:rsid w:val="001F4CBB"/>
    <w:rsid w:val="001F5271"/>
    <w:rsid w:val="001F5E55"/>
    <w:rsid w:val="001F5FB9"/>
    <w:rsid w:val="001F6196"/>
    <w:rsid w:val="001F629B"/>
    <w:rsid w:val="001F6810"/>
    <w:rsid w:val="001F6856"/>
    <w:rsid w:val="001F6A10"/>
    <w:rsid w:val="001F7B89"/>
    <w:rsid w:val="002001A0"/>
    <w:rsid w:val="00200A47"/>
    <w:rsid w:val="00200C52"/>
    <w:rsid w:val="00200E95"/>
    <w:rsid w:val="00200FB2"/>
    <w:rsid w:val="002017AD"/>
    <w:rsid w:val="00201850"/>
    <w:rsid w:val="00201981"/>
    <w:rsid w:val="00201CBB"/>
    <w:rsid w:val="00201ECF"/>
    <w:rsid w:val="00201F80"/>
    <w:rsid w:val="00202008"/>
    <w:rsid w:val="00203011"/>
    <w:rsid w:val="0020308B"/>
    <w:rsid w:val="002032B1"/>
    <w:rsid w:val="00203712"/>
    <w:rsid w:val="00203A99"/>
    <w:rsid w:val="00203D35"/>
    <w:rsid w:val="002040CE"/>
    <w:rsid w:val="00204648"/>
    <w:rsid w:val="002051D3"/>
    <w:rsid w:val="00205390"/>
    <w:rsid w:val="0020578C"/>
    <w:rsid w:val="00205F00"/>
    <w:rsid w:val="00205F2E"/>
    <w:rsid w:val="00206184"/>
    <w:rsid w:val="00206461"/>
    <w:rsid w:val="002067C8"/>
    <w:rsid w:val="00206915"/>
    <w:rsid w:val="00206A0D"/>
    <w:rsid w:val="00206E84"/>
    <w:rsid w:val="00206EBE"/>
    <w:rsid w:val="00206F82"/>
    <w:rsid w:val="002070DE"/>
    <w:rsid w:val="002073D4"/>
    <w:rsid w:val="00207C2D"/>
    <w:rsid w:val="002101D8"/>
    <w:rsid w:val="002102D1"/>
    <w:rsid w:val="0021038A"/>
    <w:rsid w:val="00210AB6"/>
    <w:rsid w:val="00210B97"/>
    <w:rsid w:val="00210CEE"/>
    <w:rsid w:val="00210E83"/>
    <w:rsid w:val="002122B4"/>
    <w:rsid w:val="002124A4"/>
    <w:rsid w:val="00212DA3"/>
    <w:rsid w:val="00212DC3"/>
    <w:rsid w:val="002133A3"/>
    <w:rsid w:val="002139CE"/>
    <w:rsid w:val="00213A11"/>
    <w:rsid w:val="00213D2C"/>
    <w:rsid w:val="00214350"/>
    <w:rsid w:val="0021492B"/>
    <w:rsid w:val="0021590E"/>
    <w:rsid w:val="00215D64"/>
    <w:rsid w:val="00215E33"/>
    <w:rsid w:val="00215F7A"/>
    <w:rsid w:val="002160FD"/>
    <w:rsid w:val="0021658D"/>
    <w:rsid w:val="002170CC"/>
    <w:rsid w:val="002171C4"/>
    <w:rsid w:val="002178FC"/>
    <w:rsid w:val="00217C87"/>
    <w:rsid w:val="00217D5A"/>
    <w:rsid w:val="002200D9"/>
    <w:rsid w:val="00220384"/>
    <w:rsid w:val="00220BF0"/>
    <w:rsid w:val="00220DB1"/>
    <w:rsid w:val="0022107F"/>
    <w:rsid w:val="002218B3"/>
    <w:rsid w:val="00221BED"/>
    <w:rsid w:val="0022206A"/>
    <w:rsid w:val="00222121"/>
    <w:rsid w:val="00222181"/>
    <w:rsid w:val="002227B6"/>
    <w:rsid w:val="002227CA"/>
    <w:rsid w:val="00222C26"/>
    <w:rsid w:val="00223135"/>
    <w:rsid w:val="002235A9"/>
    <w:rsid w:val="0022367D"/>
    <w:rsid w:val="0022441A"/>
    <w:rsid w:val="00224B13"/>
    <w:rsid w:val="00224E55"/>
    <w:rsid w:val="00224F6F"/>
    <w:rsid w:val="00225087"/>
    <w:rsid w:val="002250B9"/>
    <w:rsid w:val="0022512F"/>
    <w:rsid w:val="00225155"/>
    <w:rsid w:val="0022559E"/>
    <w:rsid w:val="00225A47"/>
    <w:rsid w:val="00225E66"/>
    <w:rsid w:val="002260FE"/>
    <w:rsid w:val="002261DA"/>
    <w:rsid w:val="00226242"/>
    <w:rsid w:val="00226E94"/>
    <w:rsid w:val="00227364"/>
    <w:rsid w:val="00227855"/>
    <w:rsid w:val="00227A5B"/>
    <w:rsid w:val="00227B59"/>
    <w:rsid w:val="00227E4A"/>
    <w:rsid w:val="00227ED7"/>
    <w:rsid w:val="00227F65"/>
    <w:rsid w:val="0023011A"/>
    <w:rsid w:val="002304E8"/>
    <w:rsid w:val="0023056B"/>
    <w:rsid w:val="00230833"/>
    <w:rsid w:val="00230A96"/>
    <w:rsid w:val="00230CD9"/>
    <w:rsid w:val="00231674"/>
    <w:rsid w:val="00231A0E"/>
    <w:rsid w:val="00231CF8"/>
    <w:rsid w:val="00231D08"/>
    <w:rsid w:val="00231D65"/>
    <w:rsid w:val="002329D2"/>
    <w:rsid w:val="0023343D"/>
    <w:rsid w:val="00233851"/>
    <w:rsid w:val="00233C4B"/>
    <w:rsid w:val="002349C6"/>
    <w:rsid w:val="00234C0F"/>
    <w:rsid w:val="00234C95"/>
    <w:rsid w:val="002353C0"/>
    <w:rsid w:val="00235991"/>
    <w:rsid w:val="00235C63"/>
    <w:rsid w:val="00236195"/>
    <w:rsid w:val="002366FF"/>
    <w:rsid w:val="0023679B"/>
    <w:rsid w:val="00236FA7"/>
    <w:rsid w:val="0023730C"/>
    <w:rsid w:val="00237600"/>
    <w:rsid w:val="00237615"/>
    <w:rsid w:val="0023763E"/>
    <w:rsid w:val="00237B4A"/>
    <w:rsid w:val="002402A1"/>
    <w:rsid w:val="002406CD"/>
    <w:rsid w:val="002409C8"/>
    <w:rsid w:val="00240F49"/>
    <w:rsid w:val="00241C51"/>
    <w:rsid w:val="002425FA"/>
    <w:rsid w:val="00242684"/>
    <w:rsid w:val="00242A86"/>
    <w:rsid w:val="00242E7B"/>
    <w:rsid w:val="00242EE8"/>
    <w:rsid w:val="002432D7"/>
    <w:rsid w:val="00243A96"/>
    <w:rsid w:val="00243ADD"/>
    <w:rsid w:val="00243EB4"/>
    <w:rsid w:val="0024432A"/>
    <w:rsid w:val="002449E2"/>
    <w:rsid w:val="00244D91"/>
    <w:rsid w:val="0024526B"/>
    <w:rsid w:val="002453CB"/>
    <w:rsid w:val="002456A8"/>
    <w:rsid w:val="00246482"/>
    <w:rsid w:val="0024663B"/>
    <w:rsid w:val="002467BF"/>
    <w:rsid w:val="00246ABB"/>
    <w:rsid w:val="00246C9F"/>
    <w:rsid w:val="00247377"/>
    <w:rsid w:val="0024771D"/>
    <w:rsid w:val="00247A73"/>
    <w:rsid w:val="00247C11"/>
    <w:rsid w:val="00247E31"/>
    <w:rsid w:val="0025009E"/>
    <w:rsid w:val="00250161"/>
    <w:rsid w:val="00250A83"/>
    <w:rsid w:val="00250ABE"/>
    <w:rsid w:val="00251097"/>
    <w:rsid w:val="00251254"/>
    <w:rsid w:val="00251309"/>
    <w:rsid w:val="00251792"/>
    <w:rsid w:val="00251815"/>
    <w:rsid w:val="0025181A"/>
    <w:rsid w:val="00251BED"/>
    <w:rsid w:val="00251D54"/>
    <w:rsid w:val="00251F8D"/>
    <w:rsid w:val="0025264F"/>
    <w:rsid w:val="00252737"/>
    <w:rsid w:val="002527D4"/>
    <w:rsid w:val="00252A95"/>
    <w:rsid w:val="00252D42"/>
    <w:rsid w:val="00252F27"/>
    <w:rsid w:val="0025337E"/>
    <w:rsid w:val="00253919"/>
    <w:rsid w:val="00253ECB"/>
    <w:rsid w:val="00254718"/>
    <w:rsid w:val="002547E2"/>
    <w:rsid w:val="00255179"/>
    <w:rsid w:val="002551AC"/>
    <w:rsid w:val="00255483"/>
    <w:rsid w:val="0025573A"/>
    <w:rsid w:val="002560DA"/>
    <w:rsid w:val="00256438"/>
    <w:rsid w:val="0025685D"/>
    <w:rsid w:val="002602BA"/>
    <w:rsid w:val="0026116F"/>
    <w:rsid w:val="002611B5"/>
    <w:rsid w:val="002617AA"/>
    <w:rsid w:val="00262E4E"/>
    <w:rsid w:val="00263895"/>
    <w:rsid w:val="00263992"/>
    <w:rsid w:val="00264A1B"/>
    <w:rsid w:val="00264B4C"/>
    <w:rsid w:val="00264C55"/>
    <w:rsid w:val="00264C72"/>
    <w:rsid w:val="002654FD"/>
    <w:rsid w:val="00265521"/>
    <w:rsid w:val="00265769"/>
    <w:rsid w:val="002657A1"/>
    <w:rsid w:val="00265BA0"/>
    <w:rsid w:val="00265CEA"/>
    <w:rsid w:val="00265DB9"/>
    <w:rsid w:val="002661B9"/>
    <w:rsid w:val="00266547"/>
    <w:rsid w:val="002667D6"/>
    <w:rsid w:val="00266F15"/>
    <w:rsid w:val="002676A6"/>
    <w:rsid w:val="002678CF"/>
    <w:rsid w:val="00270143"/>
    <w:rsid w:val="00270193"/>
    <w:rsid w:val="0027071E"/>
    <w:rsid w:val="00270B19"/>
    <w:rsid w:val="00270DBC"/>
    <w:rsid w:val="002724F2"/>
    <w:rsid w:val="00272516"/>
    <w:rsid w:val="0027316A"/>
    <w:rsid w:val="002732F8"/>
    <w:rsid w:val="002734EF"/>
    <w:rsid w:val="002736B6"/>
    <w:rsid w:val="0027381C"/>
    <w:rsid w:val="00273A06"/>
    <w:rsid w:val="00273A92"/>
    <w:rsid w:val="00273BBC"/>
    <w:rsid w:val="00273D25"/>
    <w:rsid w:val="00273D45"/>
    <w:rsid w:val="00273E3D"/>
    <w:rsid w:val="00274432"/>
    <w:rsid w:val="0027470C"/>
    <w:rsid w:val="002751EA"/>
    <w:rsid w:val="00275421"/>
    <w:rsid w:val="00275DA5"/>
    <w:rsid w:val="0027619B"/>
    <w:rsid w:val="002764D9"/>
    <w:rsid w:val="0027689F"/>
    <w:rsid w:val="00276AB7"/>
    <w:rsid w:val="00276ABD"/>
    <w:rsid w:val="00276E72"/>
    <w:rsid w:val="00276F4E"/>
    <w:rsid w:val="00276FD9"/>
    <w:rsid w:val="002771C8"/>
    <w:rsid w:val="002771CB"/>
    <w:rsid w:val="002775BE"/>
    <w:rsid w:val="00277B99"/>
    <w:rsid w:val="00277C13"/>
    <w:rsid w:val="00277CC0"/>
    <w:rsid w:val="00280E09"/>
    <w:rsid w:val="00280E9C"/>
    <w:rsid w:val="0028141C"/>
    <w:rsid w:val="0028172F"/>
    <w:rsid w:val="00281BBB"/>
    <w:rsid w:val="00281F24"/>
    <w:rsid w:val="00282075"/>
    <w:rsid w:val="002825EF"/>
    <w:rsid w:val="00282768"/>
    <w:rsid w:val="00282A6D"/>
    <w:rsid w:val="00283317"/>
    <w:rsid w:val="00283343"/>
    <w:rsid w:val="002833CF"/>
    <w:rsid w:val="0028412C"/>
    <w:rsid w:val="0028449A"/>
    <w:rsid w:val="002846C6"/>
    <w:rsid w:val="00284816"/>
    <w:rsid w:val="0028484A"/>
    <w:rsid w:val="00284906"/>
    <w:rsid w:val="002849A6"/>
    <w:rsid w:val="00285687"/>
    <w:rsid w:val="00285AF0"/>
    <w:rsid w:val="00286252"/>
    <w:rsid w:val="002863ED"/>
    <w:rsid w:val="00286952"/>
    <w:rsid w:val="002871DF"/>
    <w:rsid w:val="0028723E"/>
    <w:rsid w:val="00287547"/>
    <w:rsid w:val="00287A5C"/>
    <w:rsid w:val="00287B9C"/>
    <w:rsid w:val="00287C00"/>
    <w:rsid w:val="00287E2D"/>
    <w:rsid w:val="00287E71"/>
    <w:rsid w:val="002903AD"/>
    <w:rsid w:val="002908E8"/>
    <w:rsid w:val="00290C2F"/>
    <w:rsid w:val="00290D89"/>
    <w:rsid w:val="002910C8"/>
    <w:rsid w:val="002910DC"/>
    <w:rsid w:val="00291621"/>
    <w:rsid w:val="002916F1"/>
    <w:rsid w:val="00291A09"/>
    <w:rsid w:val="00291EED"/>
    <w:rsid w:val="002923B0"/>
    <w:rsid w:val="002925AC"/>
    <w:rsid w:val="0029271E"/>
    <w:rsid w:val="0029279F"/>
    <w:rsid w:val="002927FB"/>
    <w:rsid w:val="00292BCE"/>
    <w:rsid w:val="00292E3F"/>
    <w:rsid w:val="002931AA"/>
    <w:rsid w:val="002933AF"/>
    <w:rsid w:val="00293C83"/>
    <w:rsid w:val="00293C94"/>
    <w:rsid w:val="00293D50"/>
    <w:rsid w:val="00293EC2"/>
    <w:rsid w:val="00293FF5"/>
    <w:rsid w:val="002948E6"/>
    <w:rsid w:val="00294958"/>
    <w:rsid w:val="00294F0B"/>
    <w:rsid w:val="00294FA2"/>
    <w:rsid w:val="00295350"/>
    <w:rsid w:val="00296097"/>
    <w:rsid w:val="002960ED"/>
    <w:rsid w:val="00297C0C"/>
    <w:rsid w:val="00297F55"/>
    <w:rsid w:val="002A050F"/>
    <w:rsid w:val="002A0666"/>
    <w:rsid w:val="002A0995"/>
    <w:rsid w:val="002A0F6C"/>
    <w:rsid w:val="002A1887"/>
    <w:rsid w:val="002A1C62"/>
    <w:rsid w:val="002A1D15"/>
    <w:rsid w:val="002A2115"/>
    <w:rsid w:val="002A213B"/>
    <w:rsid w:val="002A2584"/>
    <w:rsid w:val="002A2720"/>
    <w:rsid w:val="002A28F9"/>
    <w:rsid w:val="002A2D83"/>
    <w:rsid w:val="002A30EE"/>
    <w:rsid w:val="002A339F"/>
    <w:rsid w:val="002A3A98"/>
    <w:rsid w:val="002A4057"/>
    <w:rsid w:val="002A50BD"/>
    <w:rsid w:val="002A598B"/>
    <w:rsid w:val="002A721A"/>
    <w:rsid w:val="002A737F"/>
    <w:rsid w:val="002A7463"/>
    <w:rsid w:val="002A74E1"/>
    <w:rsid w:val="002B001B"/>
    <w:rsid w:val="002B0208"/>
    <w:rsid w:val="002B07F9"/>
    <w:rsid w:val="002B1834"/>
    <w:rsid w:val="002B191E"/>
    <w:rsid w:val="002B1C95"/>
    <w:rsid w:val="002B22D5"/>
    <w:rsid w:val="002B29CB"/>
    <w:rsid w:val="002B32DA"/>
    <w:rsid w:val="002B3413"/>
    <w:rsid w:val="002B38EF"/>
    <w:rsid w:val="002B39AC"/>
    <w:rsid w:val="002B420D"/>
    <w:rsid w:val="002B43D7"/>
    <w:rsid w:val="002B4499"/>
    <w:rsid w:val="002B449B"/>
    <w:rsid w:val="002B450D"/>
    <w:rsid w:val="002B4660"/>
    <w:rsid w:val="002B4B75"/>
    <w:rsid w:val="002B4CC3"/>
    <w:rsid w:val="002B4D53"/>
    <w:rsid w:val="002B529F"/>
    <w:rsid w:val="002B5702"/>
    <w:rsid w:val="002B5B9F"/>
    <w:rsid w:val="002B5C5F"/>
    <w:rsid w:val="002B61B6"/>
    <w:rsid w:val="002B62F4"/>
    <w:rsid w:val="002B6AA3"/>
    <w:rsid w:val="002B6DE5"/>
    <w:rsid w:val="002B6E2E"/>
    <w:rsid w:val="002B7017"/>
    <w:rsid w:val="002B70B2"/>
    <w:rsid w:val="002B70B8"/>
    <w:rsid w:val="002B7139"/>
    <w:rsid w:val="002B7BE5"/>
    <w:rsid w:val="002C026A"/>
    <w:rsid w:val="002C0326"/>
    <w:rsid w:val="002C0511"/>
    <w:rsid w:val="002C08BF"/>
    <w:rsid w:val="002C0A1D"/>
    <w:rsid w:val="002C0AFB"/>
    <w:rsid w:val="002C1103"/>
    <w:rsid w:val="002C1506"/>
    <w:rsid w:val="002C1A55"/>
    <w:rsid w:val="002C1C2C"/>
    <w:rsid w:val="002C1EEB"/>
    <w:rsid w:val="002C209C"/>
    <w:rsid w:val="002C237C"/>
    <w:rsid w:val="002C293A"/>
    <w:rsid w:val="002C334A"/>
    <w:rsid w:val="002C3389"/>
    <w:rsid w:val="002C36BB"/>
    <w:rsid w:val="002C3A7C"/>
    <w:rsid w:val="002C3BBC"/>
    <w:rsid w:val="002C40DD"/>
    <w:rsid w:val="002C41AC"/>
    <w:rsid w:val="002C44A3"/>
    <w:rsid w:val="002C472B"/>
    <w:rsid w:val="002C50F8"/>
    <w:rsid w:val="002C56F1"/>
    <w:rsid w:val="002C5A85"/>
    <w:rsid w:val="002C6D57"/>
    <w:rsid w:val="002C7113"/>
    <w:rsid w:val="002C72EB"/>
    <w:rsid w:val="002C7571"/>
    <w:rsid w:val="002D011C"/>
    <w:rsid w:val="002D021C"/>
    <w:rsid w:val="002D0AEE"/>
    <w:rsid w:val="002D0BCF"/>
    <w:rsid w:val="002D144E"/>
    <w:rsid w:val="002D1D9A"/>
    <w:rsid w:val="002D2062"/>
    <w:rsid w:val="002D28D7"/>
    <w:rsid w:val="002D2CA3"/>
    <w:rsid w:val="002D3BF8"/>
    <w:rsid w:val="002D41C7"/>
    <w:rsid w:val="002D4667"/>
    <w:rsid w:val="002D4F3C"/>
    <w:rsid w:val="002D5961"/>
    <w:rsid w:val="002D5DF2"/>
    <w:rsid w:val="002D68C8"/>
    <w:rsid w:val="002D6CD1"/>
    <w:rsid w:val="002D6F01"/>
    <w:rsid w:val="002D6FA7"/>
    <w:rsid w:val="002D6FCF"/>
    <w:rsid w:val="002D78E3"/>
    <w:rsid w:val="002D7928"/>
    <w:rsid w:val="002D7EAB"/>
    <w:rsid w:val="002D7F51"/>
    <w:rsid w:val="002E01A8"/>
    <w:rsid w:val="002E0246"/>
    <w:rsid w:val="002E0807"/>
    <w:rsid w:val="002E0B08"/>
    <w:rsid w:val="002E12C9"/>
    <w:rsid w:val="002E190E"/>
    <w:rsid w:val="002E1B27"/>
    <w:rsid w:val="002E1CD9"/>
    <w:rsid w:val="002E1CF6"/>
    <w:rsid w:val="002E1E70"/>
    <w:rsid w:val="002E250E"/>
    <w:rsid w:val="002E2D9D"/>
    <w:rsid w:val="002E35EB"/>
    <w:rsid w:val="002E3904"/>
    <w:rsid w:val="002E395F"/>
    <w:rsid w:val="002E4C39"/>
    <w:rsid w:val="002E574A"/>
    <w:rsid w:val="002E5950"/>
    <w:rsid w:val="002E59E0"/>
    <w:rsid w:val="002E5BFF"/>
    <w:rsid w:val="002E653A"/>
    <w:rsid w:val="002E6ADD"/>
    <w:rsid w:val="002E6AE2"/>
    <w:rsid w:val="002E6DC9"/>
    <w:rsid w:val="002E7594"/>
    <w:rsid w:val="002E767D"/>
    <w:rsid w:val="002E78AD"/>
    <w:rsid w:val="002E7ADF"/>
    <w:rsid w:val="002E7B86"/>
    <w:rsid w:val="002F02E5"/>
    <w:rsid w:val="002F04AB"/>
    <w:rsid w:val="002F06B0"/>
    <w:rsid w:val="002F0A53"/>
    <w:rsid w:val="002F0E24"/>
    <w:rsid w:val="002F228A"/>
    <w:rsid w:val="002F2491"/>
    <w:rsid w:val="002F2604"/>
    <w:rsid w:val="002F2D52"/>
    <w:rsid w:val="002F2E67"/>
    <w:rsid w:val="002F3571"/>
    <w:rsid w:val="002F36B4"/>
    <w:rsid w:val="002F3831"/>
    <w:rsid w:val="002F43E2"/>
    <w:rsid w:val="002F454F"/>
    <w:rsid w:val="002F5A13"/>
    <w:rsid w:val="002F5C39"/>
    <w:rsid w:val="002F608A"/>
    <w:rsid w:val="002F6344"/>
    <w:rsid w:val="002F63D0"/>
    <w:rsid w:val="002F6623"/>
    <w:rsid w:val="002F6E44"/>
    <w:rsid w:val="002F7038"/>
    <w:rsid w:val="002F7424"/>
    <w:rsid w:val="002F7489"/>
    <w:rsid w:val="002F7D4D"/>
    <w:rsid w:val="002F7F8A"/>
    <w:rsid w:val="0030050D"/>
    <w:rsid w:val="003007E7"/>
    <w:rsid w:val="00300BAF"/>
    <w:rsid w:val="0030105C"/>
    <w:rsid w:val="003019C5"/>
    <w:rsid w:val="00301CBF"/>
    <w:rsid w:val="0030213F"/>
    <w:rsid w:val="0030297D"/>
    <w:rsid w:val="00303849"/>
    <w:rsid w:val="00303B64"/>
    <w:rsid w:val="00304115"/>
    <w:rsid w:val="00304551"/>
    <w:rsid w:val="003047AC"/>
    <w:rsid w:val="00304AB8"/>
    <w:rsid w:val="00304DC0"/>
    <w:rsid w:val="00304F39"/>
    <w:rsid w:val="003050B8"/>
    <w:rsid w:val="0030572B"/>
    <w:rsid w:val="00305B28"/>
    <w:rsid w:val="0030637F"/>
    <w:rsid w:val="00306380"/>
    <w:rsid w:val="00306CEF"/>
    <w:rsid w:val="003070B6"/>
    <w:rsid w:val="00307125"/>
    <w:rsid w:val="0030714E"/>
    <w:rsid w:val="00307324"/>
    <w:rsid w:val="00310528"/>
    <w:rsid w:val="00310AA1"/>
    <w:rsid w:val="00310E1D"/>
    <w:rsid w:val="00311053"/>
    <w:rsid w:val="00311067"/>
    <w:rsid w:val="003113E1"/>
    <w:rsid w:val="00311473"/>
    <w:rsid w:val="003118F4"/>
    <w:rsid w:val="00311A7D"/>
    <w:rsid w:val="00312102"/>
    <w:rsid w:val="00312149"/>
    <w:rsid w:val="0031235B"/>
    <w:rsid w:val="003124D7"/>
    <w:rsid w:val="0031260C"/>
    <w:rsid w:val="00312A3E"/>
    <w:rsid w:val="00312A4E"/>
    <w:rsid w:val="00312C8F"/>
    <w:rsid w:val="003130CD"/>
    <w:rsid w:val="00313336"/>
    <w:rsid w:val="003133E8"/>
    <w:rsid w:val="003138C8"/>
    <w:rsid w:val="00313B45"/>
    <w:rsid w:val="00313B61"/>
    <w:rsid w:val="00313C19"/>
    <w:rsid w:val="0031403E"/>
    <w:rsid w:val="00314292"/>
    <w:rsid w:val="0031431C"/>
    <w:rsid w:val="003144DE"/>
    <w:rsid w:val="003146BE"/>
    <w:rsid w:val="00315CC4"/>
    <w:rsid w:val="00315D38"/>
    <w:rsid w:val="00315F04"/>
    <w:rsid w:val="00315F55"/>
    <w:rsid w:val="0031651D"/>
    <w:rsid w:val="00316564"/>
    <w:rsid w:val="00316784"/>
    <w:rsid w:val="0031678E"/>
    <w:rsid w:val="00316DBD"/>
    <w:rsid w:val="00317571"/>
    <w:rsid w:val="00317A58"/>
    <w:rsid w:val="003202C8"/>
    <w:rsid w:val="0032055E"/>
    <w:rsid w:val="00320613"/>
    <w:rsid w:val="003208D4"/>
    <w:rsid w:val="00320DE4"/>
    <w:rsid w:val="00320F09"/>
    <w:rsid w:val="00321395"/>
    <w:rsid w:val="003218A4"/>
    <w:rsid w:val="00321E1A"/>
    <w:rsid w:val="00322695"/>
    <w:rsid w:val="0032271D"/>
    <w:rsid w:val="00322869"/>
    <w:rsid w:val="003230DA"/>
    <w:rsid w:val="0032315E"/>
    <w:rsid w:val="003233F8"/>
    <w:rsid w:val="00323840"/>
    <w:rsid w:val="00323A2D"/>
    <w:rsid w:val="00323EF7"/>
    <w:rsid w:val="0032433C"/>
    <w:rsid w:val="00325020"/>
    <w:rsid w:val="00325186"/>
    <w:rsid w:val="003267D1"/>
    <w:rsid w:val="00326A21"/>
    <w:rsid w:val="00326D38"/>
    <w:rsid w:val="00327045"/>
    <w:rsid w:val="00327256"/>
    <w:rsid w:val="003278DD"/>
    <w:rsid w:val="00327C14"/>
    <w:rsid w:val="003300B1"/>
    <w:rsid w:val="0033016D"/>
    <w:rsid w:val="00330484"/>
    <w:rsid w:val="0033146B"/>
    <w:rsid w:val="0033175D"/>
    <w:rsid w:val="00331A7C"/>
    <w:rsid w:val="00331B9D"/>
    <w:rsid w:val="00331C54"/>
    <w:rsid w:val="00331D88"/>
    <w:rsid w:val="00332475"/>
    <w:rsid w:val="003325B1"/>
    <w:rsid w:val="00332699"/>
    <w:rsid w:val="00332DB2"/>
    <w:rsid w:val="00333333"/>
    <w:rsid w:val="00333569"/>
    <w:rsid w:val="00333589"/>
    <w:rsid w:val="0033369D"/>
    <w:rsid w:val="003349D9"/>
    <w:rsid w:val="00334B0D"/>
    <w:rsid w:val="00334EB8"/>
    <w:rsid w:val="0033519C"/>
    <w:rsid w:val="0033601F"/>
    <w:rsid w:val="003360E5"/>
    <w:rsid w:val="0033651D"/>
    <w:rsid w:val="00336716"/>
    <w:rsid w:val="00336778"/>
    <w:rsid w:val="00336D8A"/>
    <w:rsid w:val="003373FD"/>
    <w:rsid w:val="00337912"/>
    <w:rsid w:val="00337C8D"/>
    <w:rsid w:val="00337CF8"/>
    <w:rsid w:val="00340296"/>
    <w:rsid w:val="00340742"/>
    <w:rsid w:val="003409EF"/>
    <w:rsid w:val="00340A74"/>
    <w:rsid w:val="00341012"/>
    <w:rsid w:val="00341327"/>
    <w:rsid w:val="00341525"/>
    <w:rsid w:val="003416D9"/>
    <w:rsid w:val="00341AE3"/>
    <w:rsid w:val="00341BB3"/>
    <w:rsid w:val="00341EE6"/>
    <w:rsid w:val="00341F67"/>
    <w:rsid w:val="00341FFD"/>
    <w:rsid w:val="003420D9"/>
    <w:rsid w:val="003425ED"/>
    <w:rsid w:val="00342E74"/>
    <w:rsid w:val="0034311C"/>
    <w:rsid w:val="003437D5"/>
    <w:rsid w:val="00343C2A"/>
    <w:rsid w:val="00343C64"/>
    <w:rsid w:val="0034461E"/>
    <w:rsid w:val="003446F9"/>
    <w:rsid w:val="00345348"/>
    <w:rsid w:val="0034539C"/>
    <w:rsid w:val="00345A47"/>
    <w:rsid w:val="00345B3F"/>
    <w:rsid w:val="00345B59"/>
    <w:rsid w:val="00345BDD"/>
    <w:rsid w:val="00345E65"/>
    <w:rsid w:val="00345E68"/>
    <w:rsid w:val="00346814"/>
    <w:rsid w:val="00346D33"/>
    <w:rsid w:val="00346E9E"/>
    <w:rsid w:val="003470FB"/>
    <w:rsid w:val="00347874"/>
    <w:rsid w:val="00347E12"/>
    <w:rsid w:val="00347FCD"/>
    <w:rsid w:val="00350132"/>
    <w:rsid w:val="003501AC"/>
    <w:rsid w:val="00350875"/>
    <w:rsid w:val="00350A8B"/>
    <w:rsid w:val="00350B59"/>
    <w:rsid w:val="00350BD4"/>
    <w:rsid w:val="00350CCE"/>
    <w:rsid w:val="00350EB7"/>
    <w:rsid w:val="00350F18"/>
    <w:rsid w:val="0035110A"/>
    <w:rsid w:val="00351980"/>
    <w:rsid w:val="00351B5F"/>
    <w:rsid w:val="0035206A"/>
    <w:rsid w:val="00352400"/>
    <w:rsid w:val="0035266F"/>
    <w:rsid w:val="00353740"/>
    <w:rsid w:val="003538E3"/>
    <w:rsid w:val="003539F4"/>
    <w:rsid w:val="00353B06"/>
    <w:rsid w:val="00353BBA"/>
    <w:rsid w:val="00353D5D"/>
    <w:rsid w:val="00353FD2"/>
    <w:rsid w:val="003540E5"/>
    <w:rsid w:val="003541E8"/>
    <w:rsid w:val="0035460F"/>
    <w:rsid w:val="003546A0"/>
    <w:rsid w:val="00354B0D"/>
    <w:rsid w:val="00355735"/>
    <w:rsid w:val="003558B9"/>
    <w:rsid w:val="00355C59"/>
    <w:rsid w:val="00355DCE"/>
    <w:rsid w:val="00356289"/>
    <w:rsid w:val="00356B25"/>
    <w:rsid w:val="00357771"/>
    <w:rsid w:val="00357A33"/>
    <w:rsid w:val="00357CE0"/>
    <w:rsid w:val="003602AF"/>
    <w:rsid w:val="00360589"/>
    <w:rsid w:val="0036078D"/>
    <w:rsid w:val="00360D95"/>
    <w:rsid w:val="00361286"/>
    <w:rsid w:val="003615B9"/>
    <w:rsid w:val="00361D23"/>
    <w:rsid w:val="00362630"/>
    <w:rsid w:val="00362EB8"/>
    <w:rsid w:val="0036314D"/>
    <w:rsid w:val="00363302"/>
    <w:rsid w:val="003635DB"/>
    <w:rsid w:val="00363A57"/>
    <w:rsid w:val="00363D85"/>
    <w:rsid w:val="00364620"/>
    <w:rsid w:val="003648D1"/>
    <w:rsid w:val="00364A8F"/>
    <w:rsid w:val="00365105"/>
    <w:rsid w:val="00365ED8"/>
    <w:rsid w:val="003664A6"/>
    <w:rsid w:val="00366D2D"/>
    <w:rsid w:val="00366E0E"/>
    <w:rsid w:val="00366E7C"/>
    <w:rsid w:val="003673AC"/>
    <w:rsid w:val="00370069"/>
    <w:rsid w:val="00370655"/>
    <w:rsid w:val="0037100E"/>
    <w:rsid w:val="003710B3"/>
    <w:rsid w:val="00371C15"/>
    <w:rsid w:val="00371F62"/>
    <w:rsid w:val="003720A7"/>
    <w:rsid w:val="003725E8"/>
    <w:rsid w:val="00372610"/>
    <w:rsid w:val="003728BF"/>
    <w:rsid w:val="00372AE3"/>
    <w:rsid w:val="00372B75"/>
    <w:rsid w:val="00372D4B"/>
    <w:rsid w:val="00372D7A"/>
    <w:rsid w:val="00372DFA"/>
    <w:rsid w:val="00372FE4"/>
    <w:rsid w:val="003731E0"/>
    <w:rsid w:val="00373903"/>
    <w:rsid w:val="00373F23"/>
    <w:rsid w:val="00373F57"/>
    <w:rsid w:val="00373FBB"/>
    <w:rsid w:val="00374BB4"/>
    <w:rsid w:val="00374E52"/>
    <w:rsid w:val="00374F3D"/>
    <w:rsid w:val="00374FC7"/>
    <w:rsid w:val="003753ED"/>
    <w:rsid w:val="00375876"/>
    <w:rsid w:val="00375B16"/>
    <w:rsid w:val="00375C12"/>
    <w:rsid w:val="00375F7F"/>
    <w:rsid w:val="0037602E"/>
    <w:rsid w:val="003760D2"/>
    <w:rsid w:val="0037657D"/>
    <w:rsid w:val="003767BD"/>
    <w:rsid w:val="00376827"/>
    <w:rsid w:val="00376C42"/>
    <w:rsid w:val="00377323"/>
    <w:rsid w:val="00377419"/>
    <w:rsid w:val="0037744B"/>
    <w:rsid w:val="00377EAA"/>
    <w:rsid w:val="00380445"/>
    <w:rsid w:val="0038072A"/>
    <w:rsid w:val="003808F9"/>
    <w:rsid w:val="00380A69"/>
    <w:rsid w:val="00380CD9"/>
    <w:rsid w:val="003815A5"/>
    <w:rsid w:val="0038167E"/>
    <w:rsid w:val="00381C2C"/>
    <w:rsid w:val="00381CA3"/>
    <w:rsid w:val="00381D92"/>
    <w:rsid w:val="00381E9C"/>
    <w:rsid w:val="00382172"/>
    <w:rsid w:val="003828A4"/>
    <w:rsid w:val="003829B9"/>
    <w:rsid w:val="00382FA8"/>
    <w:rsid w:val="0038302C"/>
    <w:rsid w:val="0038377E"/>
    <w:rsid w:val="00383BFF"/>
    <w:rsid w:val="00383E84"/>
    <w:rsid w:val="00384281"/>
    <w:rsid w:val="0038451A"/>
    <w:rsid w:val="00384A08"/>
    <w:rsid w:val="00384BAB"/>
    <w:rsid w:val="00385154"/>
    <w:rsid w:val="00385315"/>
    <w:rsid w:val="00385DA2"/>
    <w:rsid w:val="00385FF3"/>
    <w:rsid w:val="00386E9B"/>
    <w:rsid w:val="00387E04"/>
    <w:rsid w:val="00387F49"/>
    <w:rsid w:val="00390230"/>
    <w:rsid w:val="003905CF"/>
    <w:rsid w:val="00390681"/>
    <w:rsid w:val="00390FF2"/>
    <w:rsid w:val="003928F1"/>
    <w:rsid w:val="00392C80"/>
    <w:rsid w:val="00392F3E"/>
    <w:rsid w:val="0039330E"/>
    <w:rsid w:val="00393AA1"/>
    <w:rsid w:val="00393B10"/>
    <w:rsid w:val="0039433D"/>
    <w:rsid w:val="0039460F"/>
    <w:rsid w:val="0039473B"/>
    <w:rsid w:val="00394C21"/>
    <w:rsid w:val="00394E96"/>
    <w:rsid w:val="00394EE1"/>
    <w:rsid w:val="00394F05"/>
    <w:rsid w:val="003958C9"/>
    <w:rsid w:val="00395912"/>
    <w:rsid w:val="00395C84"/>
    <w:rsid w:val="00395CD7"/>
    <w:rsid w:val="00395F52"/>
    <w:rsid w:val="003960D1"/>
    <w:rsid w:val="00396148"/>
    <w:rsid w:val="00396264"/>
    <w:rsid w:val="00396333"/>
    <w:rsid w:val="003969BB"/>
    <w:rsid w:val="00396DC3"/>
    <w:rsid w:val="00396ECA"/>
    <w:rsid w:val="00396FC5"/>
    <w:rsid w:val="00397040"/>
    <w:rsid w:val="003972D9"/>
    <w:rsid w:val="00397EB8"/>
    <w:rsid w:val="003A027F"/>
    <w:rsid w:val="003A029E"/>
    <w:rsid w:val="003A0C48"/>
    <w:rsid w:val="003A0F56"/>
    <w:rsid w:val="003A1037"/>
    <w:rsid w:val="003A10C9"/>
    <w:rsid w:val="003A10F8"/>
    <w:rsid w:val="003A11FA"/>
    <w:rsid w:val="003A14CF"/>
    <w:rsid w:val="003A15EC"/>
    <w:rsid w:val="003A175E"/>
    <w:rsid w:val="003A1819"/>
    <w:rsid w:val="003A1A36"/>
    <w:rsid w:val="003A1BB2"/>
    <w:rsid w:val="003A1DE7"/>
    <w:rsid w:val="003A1F49"/>
    <w:rsid w:val="003A20C8"/>
    <w:rsid w:val="003A2312"/>
    <w:rsid w:val="003A25F4"/>
    <w:rsid w:val="003A2BEF"/>
    <w:rsid w:val="003A2E82"/>
    <w:rsid w:val="003A39FE"/>
    <w:rsid w:val="003A3AEF"/>
    <w:rsid w:val="003A3D33"/>
    <w:rsid w:val="003A3D96"/>
    <w:rsid w:val="003A4854"/>
    <w:rsid w:val="003A4BD4"/>
    <w:rsid w:val="003A4CE0"/>
    <w:rsid w:val="003A4D61"/>
    <w:rsid w:val="003A4FC8"/>
    <w:rsid w:val="003A50EC"/>
    <w:rsid w:val="003A5507"/>
    <w:rsid w:val="003A5A43"/>
    <w:rsid w:val="003A6020"/>
    <w:rsid w:val="003A6DEA"/>
    <w:rsid w:val="003A6F5E"/>
    <w:rsid w:val="003A71E3"/>
    <w:rsid w:val="003A7E94"/>
    <w:rsid w:val="003B0319"/>
    <w:rsid w:val="003B0604"/>
    <w:rsid w:val="003B0F2F"/>
    <w:rsid w:val="003B11B2"/>
    <w:rsid w:val="003B148C"/>
    <w:rsid w:val="003B19A4"/>
    <w:rsid w:val="003B21B4"/>
    <w:rsid w:val="003B2D41"/>
    <w:rsid w:val="003B2F03"/>
    <w:rsid w:val="003B30D1"/>
    <w:rsid w:val="003B370E"/>
    <w:rsid w:val="003B37B1"/>
    <w:rsid w:val="003B37EA"/>
    <w:rsid w:val="003B3CAC"/>
    <w:rsid w:val="003B42F1"/>
    <w:rsid w:val="003B474B"/>
    <w:rsid w:val="003B4753"/>
    <w:rsid w:val="003B5A0D"/>
    <w:rsid w:val="003B5AF3"/>
    <w:rsid w:val="003B5BE7"/>
    <w:rsid w:val="003B6075"/>
    <w:rsid w:val="003B637E"/>
    <w:rsid w:val="003B6A74"/>
    <w:rsid w:val="003B72EF"/>
    <w:rsid w:val="003B7D5D"/>
    <w:rsid w:val="003B7E64"/>
    <w:rsid w:val="003C0178"/>
    <w:rsid w:val="003C034D"/>
    <w:rsid w:val="003C06D7"/>
    <w:rsid w:val="003C06E7"/>
    <w:rsid w:val="003C0AF8"/>
    <w:rsid w:val="003C1E64"/>
    <w:rsid w:val="003C20CB"/>
    <w:rsid w:val="003C25F2"/>
    <w:rsid w:val="003C2992"/>
    <w:rsid w:val="003C2CD9"/>
    <w:rsid w:val="003C2DA6"/>
    <w:rsid w:val="003C3058"/>
    <w:rsid w:val="003C350A"/>
    <w:rsid w:val="003C37D4"/>
    <w:rsid w:val="003C42A1"/>
    <w:rsid w:val="003C4F86"/>
    <w:rsid w:val="003C5ED0"/>
    <w:rsid w:val="003C6717"/>
    <w:rsid w:val="003C683C"/>
    <w:rsid w:val="003C6BBA"/>
    <w:rsid w:val="003C6CBE"/>
    <w:rsid w:val="003C70FB"/>
    <w:rsid w:val="003C7318"/>
    <w:rsid w:val="003C770A"/>
    <w:rsid w:val="003C7BA4"/>
    <w:rsid w:val="003C7CB5"/>
    <w:rsid w:val="003D0453"/>
    <w:rsid w:val="003D04C0"/>
    <w:rsid w:val="003D0828"/>
    <w:rsid w:val="003D0F57"/>
    <w:rsid w:val="003D12C3"/>
    <w:rsid w:val="003D16CE"/>
    <w:rsid w:val="003D24BF"/>
    <w:rsid w:val="003D2F26"/>
    <w:rsid w:val="003D302E"/>
    <w:rsid w:val="003D31C3"/>
    <w:rsid w:val="003D34BF"/>
    <w:rsid w:val="003D56F9"/>
    <w:rsid w:val="003D57B9"/>
    <w:rsid w:val="003D5E3E"/>
    <w:rsid w:val="003D64EF"/>
    <w:rsid w:val="003D6D15"/>
    <w:rsid w:val="003D6FEE"/>
    <w:rsid w:val="003D7303"/>
    <w:rsid w:val="003E0516"/>
    <w:rsid w:val="003E05AE"/>
    <w:rsid w:val="003E169F"/>
    <w:rsid w:val="003E17BF"/>
    <w:rsid w:val="003E1AB6"/>
    <w:rsid w:val="003E1AC3"/>
    <w:rsid w:val="003E1C52"/>
    <w:rsid w:val="003E2C2B"/>
    <w:rsid w:val="003E2CDF"/>
    <w:rsid w:val="003E34FF"/>
    <w:rsid w:val="003E41B1"/>
    <w:rsid w:val="003E440F"/>
    <w:rsid w:val="003E44A9"/>
    <w:rsid w:val="003E44EF"/>
    <w:rsid w:val="003E456C"/>
    <w:rsid w:val="003E4DF7"/>
    <w:rsid w:val="003E4E38"/>
    <w:rsid w:val="003E5683"/>
    <w:rsid w:val="003E5870"/>
    <w:rsid w:val="003E6562"/>
    <w:rsid w:val="003E688B"/>
    <w:rsid w:val="003E6E68"/>
    <w:rsid w:val="003E6FCC"/>
    <w:rsid w:val="003E7248"/>
    <w:rsid w:val="003E73E1"/>
    <w:rsid w:val="003E7905"/>
    <w:rsid w:val="003F0139"/>
    <w:rsid w:val="003F036D"/>
    <w:rsid w:val="003F04B8"/>
    <w:rsid w:val="003F07EC"/>
    <w:rsid w:val="003F08E2"/>
    <w:rsid w:val="003F0E57"/>
    <w:rsid w:val="003F19CB"/>
    <w:rsid w:val="003F1B87"/>
    <w:rsid w:val="003F1F53"/>
    <w:rsid w:val="003F2939"/>
    <w:rsid w:val="003F2B4F"/>
    <w:rsid w:val="003F305B"/>
    <w:rsid w:val="003F35C6"/>
    <w:rsid w:val="003F3BF4"/>
    <w:rsid w:val="003F469E"/>
    <w:rsid w:val="003F490F"/>
    <w:rsid w:val="003F49B7"/>
    <w:rsid w:val="003F4D03"/>
    <w:rsid w:val="003F4F24"/>
    <w:rsid w:val="003F4FE3"/>
    <w:rsid w:val="003F53F8"/>
    <w:rsid w:val="003F5989"/>
    <w:rsid w:val="003F5B93"/>
    <w:rsid w:val="003F6279"/>
    <w:rsid w:val="003F63CA"/>
    <w:rsid w:val="003F6B4B"/>
    <w:rsid w:val="003F6C3E"/>
    <w:rsid w:val="003F6E24"/>
    <w:rsid w:val="003F7892"/>
    <w:rsid w:val="003F7971"/>
    <w:rsid w:val="003F7BEC"/>
    <w:rsid w:val="00400557"/>
    <w:rsid w:val="00400997"/>
    <w:rsid w:val="004009AC"/>
    <w:rsid w:val="00400D33"/>
    <w:rsid w:val="00401F38"/>
    <w:rsid w:val="004025C3"/>
    <w:rsid w:val="00402C4A"/>
    <w:rsid w:val="00402D8A"/>
    <w:rsid w:val="00402E40"/>
    <w:rsid w:val="00403966"/>
    <w:rsid w:val="00403EA7"/>
    <w:rsid w:val="004047D6"/>
    <w:rsid w:val="00405576"/>
    <w:rsid w:val="004063D3"/>
    <w:rsid w:val="004063F1"/>
    <w:rsid w:val="00406FD5"/>
    <w:rsid w:val="0040709E"/>
    <w:rsid w:val="00407114"/>
    <w:rsid w:val="00407665"/>
    <w:rsid w:val="004077F9"/>
    <w:rsid w:val="00407C95"/>
    <w:rsid w:val="0041005D"/>
    <w:rsid w:val="004108E2"/>
    <w:rsid w:val="00410AD3"/>
    <w:rsid w:val="00410B09"/>
    <w:rsid w:val="00410C66"/>
    <w:rsid w:val="00410D17"/>
    <w:rsid w:val="004116B4"/>
    <w:rsid w:val="00411B9A"/>
    <w:rsid w:val="0041234A"/>
    <w:rsid w:val="0041235C"/>
    <w:rsid w:val="0041260D"/>
    <w:rsid w:val="00412B72"/>
    <w:rsid w:val="00412CF3"/>
    <w:rsid w:val="004131B7"/>
    <w:rsid w:val="004132E3"/>
    <w:rsid w:val="004133CD"/>
    <w:rsid w:val="0041348B"/>
    <w:rsid w:val="004138FE"/>
    <w:rsid w:val="00414520"/>
    <w:rsid w:val="00414F77"/>
    <w:rsid w:val="004157A6"/>
    <w:rsid w:val="00415A86"/>
    <w:rsid w:val="00415F33"/>
    <w:rsid w:val="00415FCF"/>
    <w:rsid w:val="00416552"/>
    <w:rsid w:val="00416727"/>
    <w:rsid w:val="00417187"/>
    <w:rsid w:val="004171D1"/>
    <w:rsid w:val="0041736E"/>
    <w:rsid w:val="004175ED"/>
    <w:rsid w:val="0041764F"/>
    <w:rsid w:val="0041767F"/>
    <w:rsid w:val="004178C7"/>
    <w:rsid w:val="004179D9"/>
    <w:rsid w:val="00420144"/>
    <w:rsid w:val="00420461"/>
    <w:rsid w:val="004205A3"/>
    <w:rsid w:val="00420600"/>
    <w:rsid w:val="004215F0"/>
    <w:rsid w:val="00421A43"/>
    <w:rsid w:val="00421AD1"/>
    <w:rsid w:val="00421DCF"/>
    <w:rsid w:val="004221FE"/>
    <w:rsid w:val="0042227A"/>
    <w:rsid w:val="00422556"/>
    <w:rsid w:val="004225D3"/>
    <w:rsid w:val="00423A8F"/>
    <w:rsid w:val="00423B9F"/>
    <w:rsid w:val="0042425F"/>
    <w:rsid w:val="004246D9"/>
    <w:rsid w:val="0042482F"/>
    <w:rsid w:val="0042490E"/>
    <w:rsid w:val="00424AAB"/>
    <w:rsid w:val="00424FE8"/>
    <w:rsid w:val="00426331"/>
    <w:rsid w:val="00426514"/>
    <w:rsid w:val="00427473"/>
    <w:rsid w:val="004277A4"/>
    <w:rsid w:val="00427B13"/>
    <w:rsid w:val="004306FA"/>
    <w:rsid w:val="00431023"/>
    <w:rsid w:val="00431161"/>
    <w:rsid w:val="0043126E"/>
    <w:rsid w:val="004317A4"/>
    <w:rsid w:val="0043180B"/>
    <w:rsid w:val="00431FFC"/>
    <w:rsid w:val="00432931"/>
    <w:rsid w:val="00432C28"/>
    <w:rsid w:val="00432D3B"/>
    <w:rsid w:val="00433451"/>
    <w:rsid w:val="004338EA"/>
    <w:rsid w:val="0043395E"/>
    <w:rsid w:val="00433A83"/>
    <w:rsid w:val="00434551"/>
    <w:rsid w:val="00434585"/>
    <w:rsid w:val="00434766"/>
    <w:rsid w:val="004348E6"/>
    <w:rsid w:val="00434C9A"/>
    <w:rsid w:val="00434FA6"/>
    <w:rsid w:val="00435075"/>
    <w:rsid w:val="00435158"/>
    <w:rsid w:val="00435DBC"/>
    <w:rsid w:val="00435FAB"/>
    <w:rsid w:val="004364A6"/>
    <w:rsid w:val="00436FDD"/>
    <w:rsid w:val="004370A7"/>
    <w:rsid w:val="0043719A"/>
    <w:rsid w:val="00440413"/>
    <w:rsid w:val="00440A39"/>
    <w:rsid w:val="00440E51"/>
    <w:rsid w:val="004412BF"/>
    <w:rsid w:val="004412D8"/>
    <w:rsid w:val="0044178B"/>
    <w:rsid w:val="0044181B"/>
    <w:rsid w:val="004419E2"/>
    <w:rsid w:val="00441EC9"/>
    <w:rsid w:val="00442AE9"/>
    <w:rsid w:val="00442E68"/>
    <w:rsid w:val="00443295"/>
    <w:rsid w:val="00443A05"/>
    <w:rsid w:val="00443FF3"/>
    <w:rsid w:val="00444629"/>
    <w:rsid w:val="00444655"/>
    <w:rsid w:val="00444AF9"/>
    <w:rsid w:val="00444B62"/>
    <w:rsid w:val="00444D31"/>
    <w:rsid w:val="004451F5"/>
    <w:rsid w:val="004458C9"/>
    <w:rsid w:val="00445960"/>
    <w:rsid w:val="00445A16"/>
    <w:rsid w:val="00445D27"/>
    <w:rsid w:val="00445EE4"/>
    <w:rsid w:val="004465D2"/>
    <w:rsid w:val="004501E4"/>
    <w:rsid w:val="004504C5"/>
    <w:rsid w:val="0045070B"/>
    <w:rsid w:val="004520BF"/>
    <w:rsid w:val="00452157"/>
    <w:rsid w:val="004524FB"/>
    <w:rsid w:val="00452C03"/>
    <w:rsid w:val="00453495"/>
    <w:rsid w:val="004539C8"/>
    <w:rsid w:val="0045485A"/>
    <w:rsid w:val="004550DD"/>
    <w:rsid w:val="004554D9"/>
    <w:rsid w:val="00455A61"/>
    <w:rsid w:val="00455A97"/>
    <w:rsid w:val="00456326"/>
    <w:rsid w:val="004575B6"/>
    <w:rsid w:val="0045789B"/>
    <w:rsid w:val="00457DE8"/>
    <w:rsid w:val="00460040"/>
    <w:rsid w:val="004602B7"/>
    <w:rsid w:val="00460ABB"/>
    <w:rsid w:val="00460E9D"/>
    <w:rsid w:val="00461095"/>
    <w:rsid w:val="00461586"/>
    <w:rsid w:val="0046172D"/>
    <w:rsid w:val="0046187A"/>
    <w:rsid w:val="00461C11"/>
    <w:rsid w:val="004626B8"/>
    <w:rsid w:val="00462A24"/>
    <w:rsid w:val="00462AFD"/>
    <w:rsid w:val="00462D38"/>
    <w:rsid w:val="004635C0"/>
    <w:rsid w:val="00464065"/>
    <w:rsid w:val="004642AF"/>
    <w:rsid w:val="00464509"/>
    <w:rsid w:val="0046473D"/>
    <w:rsid w:val="00464C29"/>
    <w:rsid w:val="00464D69"/>
    <w:rsid w:val="00464D8D"/>
    <w:rsid w:val="00464F67"/>
    <w:rsid w:val="004652F4"/>
    <w:rsid w:val="00465579"/>
    <w:rsid w:val="00465839"/>
    <w:rsid w:val="004659A5"/>
    <w:rsid w:val="00465C60"/>
    <w:rsid w:val="004669D4"/>
    <w:rsid w:val="0046708D"/>
    <w:rsid w:val="00467194"/>
    <w:rsid w:val="00467349"/>
    <w:rsid w:val="00467C12"/>
    <w:rsid w:val="00471211"/>
    <w:rsid w:val="004712E5"/>
    <w:rsid w:val="004718F7"/>
    <w:rsid w:val="00471908"/>
    <w:rsid w:val="004722AD"/>
    <w:rsid w:val="00472AC5"/>
    <w:rsid w:val="00472B47"/>
    <w:rsid w:val="00472E2B"/>
    <w:rsid w:val="00473EAF"/>
    <w:rsid w:val="004746C2"/>
    <w:rsid w:val="00474EFA"/>
    <w:rsid w:val="0047541D"/>
    <w:rsid w:val="00475D33"/>
    <w:rsid w:val="00476B99"/>
    <w:rsid w:val="00476C09"/>
    <w:rsid w:val="0047707F"/>
    <w:rsid w:val="004778CE"/>
    <w:rsid w:val="0048004F"/>
    <w:rsid w:val="004800F9"/>
    <w:rsid w:val="0048016B"/>
    <w:rsid w:val="004803C3"/>
    <w:rsid w:val="00480862"/>
    <w:rsid w:val="00480BBC"/>
    <w:rsid w:val="00480D86"/>
    <w:rsid w:val="00480E1E"/>
    <w:rsid w:val="0048124A"/>
    <w:rsid w:val="00481F1D"/>
    <w:rsid w:val="00482999"/>
    <w:rsid w:val="00482AD2"/>
    <w:rsid w:val="004831E3"/>
    <w:rsid w:val="004831FE"/>
    <w:rsid w:val="00483696"/>
    <w:rsid w:val="0048384F"/>
    <w:rsid w:val="00483E77"/>
    <w:rsid w:val="00484369"/>
    <w:rsid w:val="00484CF9"/>
    <w:rsid w:val="0048508E"/>
    <w:rsid w:val="004854A8"/>
    <w:rsid w:val="0048575E"/>
    <w:rsid w:val="004857E9"/>
    <w:rsid w:val="0048611F"/>
    <w:rsid w:val="004866CE"/>
    <w:rsid w:val="00486A9B"/>
    <w:rsid w:val="00486EC2"/>
    <w:rsid w:val="00486F8C"/>
    <w:rsid w:val="00487061"/>
    <w:rsid w:val="0048790B"/>
    <w:rsid w:val="00487BA1"/>
    <w:rsid w:val="00487E00"/>
    <w:rsid w:val="004903FD"/>
    <w:rsid w:val="004905A6"/>
    <w:rsid w:val="00490687"/>
    <w:rsid w:val="004907C5"/>
    <w:rsid w:val="00490DA8"/>
    <w:rsid w:val="00491626"/>
    <w:rsid w:val="0049174A"/>
    <w:rsid w:val="004919D9"/>
    <w:rsid w:val="00491A37"/>
    <w:rsid w:val="00491CCB"/>
    <w:rsid w:val="00491D9F"/>
    <w:rsid w:val="00491F7A"/>
    <w:rsid w:val="00492549"/>
    <w:rsid w:val="0049284F"/>
    <w:rsid w:val="00492B2E"/>
    <w:rsid w:val="0049331C"/>
    <w:rsid w:val="004935CD"/>
    <w:rsid w:val="00493AB8"/>
    <w:rsid w:val="00493C71"/>
    <w:rsid w:val="00493DE5"/>
    <w:rsid w:val="0049403D"/>
    <w:rsid w:val="0049419D"/>
    <w:rsid w:val="00494A88"/>
    <w:rsid w:val="0049509C"/>
    <w:rsid w:val="004951BB"/>
    <w:rsid w:val="00495690"/>
    <w:rsid w:val="00495998"/>
    <w:rsid w:val="00495F57"/>
    <w:rsid w:val="0049603C"/>
    <w:rsid w:val="00496182"/>
    <w:rsid w:val="004968F5"/>
    <w:rsid w:val="00496E57"/>
    <w:rsid w:val="0049774F"/>
    <w:rsid w:val="004A023F"/>
    <w:rsid w:val="004A072B"/>
    <w:rsid w:val="004A08F7"/>
    <w:rsid w:val="004A18A5"/>
    <w:rsid w:val="004A1DF6"/>
    <w:rsid w:val="004A228A"/>
    <w:rsid w:val="004A26C6"/>
    <w:rsid w:val="004A27D8"/>
    <w:rsid w:val="004A2B28"/>
    <w:rsid w:val="004A2EB2"/>
    <w:rsid w:val="004A332C"/>
    <w:rsid w:val="004A376B"/>
    <w:rsid w:val="004A37D5"/>
    <w:rsid w:val="004A40AB"/>
    <w:rsid w:val="004A4399"/>
    <w:rsid w:val="004A52C0"/>
    <w:rsid w:val="004A604C"/>
    <w:rsid w:val="004A64C1"/>
    <w:rsid w:val="004A658C"/>
    <w:rsid w:val="004A68D8"/>
    <w:rsid w:val="004A6D21"/>
    <w:rsid w:val="004A73A3"/>
    <w:rsid w:val="004A78B5"/>
    <w:rsid w:val="004B0307"/>
    <w:rsid w:val="004B0431"/>
    <w:rsid w:val="004B0E51"/>
    <w:rsid w:val="004B0EA0"/>
    <w:rsid w:val="004B132A"/>
    <w:rsid w:val="004B1C4D"/>
    <w:rsid w:val="004B1C9D"/>
    <w:rsid w:val="004B21C7"/>
    <w:rsid w:val="004B22B2"/>
    <w:rsid w:val="004B2437"/>
    <w:rsid w:val="004B2C17"/>
    <w:rsid w:val="004B2C22"/>
    <w:rsid w:val="004B38B2"/>
    <w:rsid w:val="004B3AA6"/>
    <w:rsid w:val="004B3FC4"/>
    <w:rsid w:val="004B43BA"/>
    <w:rsid w:val="004B4ABB"/>
    <w:rsid w:val="004B4D66"/>
    <w:rsid w:val="004B54D9"/>
    <w:rsid w:val="004B7D08"/>
    <w:rsid w:val="004C01C3"/>
    <w:rsid w:val="004C039C"/>
    <w:rsid w:val="004C04A2"/>
    <w:rsid w:val="004C0604"/>
    <w:rsid w:val="004C066C"/>
    <w:rsid w:val="004C067A"/>
    <w:rsid w:val="004C093C"/>
    <w:rsid w:val="004C0ED1"/>
    <w:rsid w:val="004C0F1E"/>
    <w:rsid w:val="004C1B52"/>
    <w:rsid w:val="004C2027"/>
    <w:rsid w:val="004C202B"/>
    <w:rsid w:val="004C288C"/>
    <w:rsid w:val="004C380B"/>
    <w:rsid w:val="004C3E52"/>
    <w:rsid w:val="004C3FC4"/>
    <w:rsid w:val="004C403A"/>
    <w:rsid w:val="004C4402"/>
    <w:rsid w:val="004C45EB"/>
    <w:rsid w:val="004C4800"/>
    <w:rsid w:val="004C4EBB"/>
    <w:rsid w:val="004C525B"/>
    <w:rsid w:val="004C53FE"/>
    <w:rsid w:val="004C5634"/>
    <w:rsid w:val="004C6C34"/>
    <w:rsid w:val="004C7A11"/>
    <w:rsid w:val="004C7B9A"/>
    <w:rsid w:val="004D02AC"/>
    <w:rsid w:val="004D0363"/>
    <w:rsid w:val="004D0CF0"/>
    <w:rsid w:val="004D0EFA"/>
    <w:rsid w:val="004D1147"/>
    <w:rsid w:val="004D12E4"/>
    <w:rsid w:val="004D156C"/>
    <w:rsid w:val="004D197E"/>
    <w:rsid w:val="004D22EE"/>
    <w:rsid w:val="004D272C"/>
    <w:rsid w:val="004D3124"/>
    <w:rsid w:val="004D31F9"/>
    <w:rsid w:val="004D334E"/>
    <w:rsid w:val="004D33B7"/>
    <w:rsid w:val="004D3821"/>
    <w:rsid w:val="004D3C29"/>
    <w:rsid w:val="004D3CDF"/>
    <w:rsid w:val="004D3D54"/>
    <w:rsid w:val="004D4713"/>
    <w:rsid w:val="004D4CEF"/>
    <w:rsid w:val="004D5008"/>
    <w:rsid w:val="004D5099"/>
    <w:rsid w:val="004D515E"/>
    <w:rsid w:val="004D6271"/>
    <w:rsid w:val="004D6538"/>
    <w:rsid w:val="004D6705"/>
    <w:rsid w:val="004D692E"/>
    <w:rsid w:val="004D6BFE"/>
    <w:rsid w:val="004D6FDF"/>
    <w:rsid w:val="004E1060"/>
    <w:rsid w:val="004E1B28"/>
    <w:rsid w:val="004E1B51"/>
    <w:rsid w:val="004E25B5"/>
    <w:rsid w:val="004E29C1"/>
    <w:rsid w:val="004E3054"/>
    <w:rsid w:val="004E31A9"/>
    <w:rsid w:val="004E32C5"/>
    <w:rsid w:val="004E33BF"/>
    <w:rsid w:val="004E3533"/>
    <w:rsid w:val="004E379B"/>
    <w:rsid w:val="004E3B78"/>
    <w:rsid w:val="004E4016"/>
    <w:rsid w:val="004E44B1"/>
    <w:rsid w:val="004E46DA"/>
    <w:rsid w:val="004E48C5"/>
    <w:rsid w:val="004E4965"/>
    <w:rsid w:val="004E4A2D"/>
    <w:rsid w:val="004E4AD0"/>
    <w:rsid w:val="004E51B2"/>
    <w:rsid w:val="004E578C"/>
    <w:rsid w:val="004E59C2"/>
    <w:rsid w:val="004E5ABF"/>
    <w:rsid w:val="004E5E25"/>
    <w:rsid w:val="004E5FC6"/>
    <w:rsid w:val="004E61E0"/>
    <w:rsid w:val="004E66CE"/>
    <w:rsid w:val="004E6EC0"/>
    <w:rsid w:val="004E6EE3"/>
    <w:rsid w:val="004E7285"/>
    <w:rsid w:val="004E7416"/>
    <w:rsid w:val="004E7554"/>
    <w:rsid w:val="004E7FC2"/>
    <w:rsid w:val="004F08DA"/>
    <w:rsid w:val="004F0D78"/>
    <w:rsid w:val="004F0D95"/>
    <w:rsid w:val="004F0FD1"/>
    <w:rsid w:val="004F15E7"/>
    <w:rsid w:val="004F179A"/>
    <w:rsid w:val="004F1861"/>
    <w:rsid w:val="004F2A02"/>
    <w:rsid w:val="004F2AE0"/>
    <w:rsid w:val="004F2FC0"/>
    <w:rsid w:val="004F300B"/>
    <w:rsid w:val="004F316A"/>
    <w:rsid w:val="004F3F66"/>
    <w:rsid w:val="004F3FCB"/>
    <w:rsid w:val="004F414F"/>
    <w:rsid w:val="004F439C"/>
    <w:rsid w:val="004F43F1"/>
    <w:rsid w:val="004F44C6"/>
    <w:rsid w:val="004F5D44"/>
    <w:rsid w:val="004F6A61"/>
    <w:rsid w:val="004F6BC8"/>
    <w:rsid w:val="004F6BDA"/>
    <w:rsid w:val="004F6F5E"/>
    <w:rsid w:val="004F6FE0"/>
    <w:rsid w:val="004F72F5"/>
    <w:rsid w:val="004F73AD"/>
    <w:rsid w:val="004F759A"/>
    <w:rsid w:val="004F7713"/>
    <w:rsid w:val="0050048D"/>
    <w:rsid w:val="0050112F"/>
    <w:rsid w:val="00501E5F"/>
    <w:rsid w:val="005027BE"/>
    <w:rsid w:val="00502C3A"/>
    <w:rsid w:val="00502C45"/>
    <w:rsid w:val="00502C9B"/>
    <w:rsid w:val="00503F66"/>
    <w:rsid w:val="005044E5"/>
    <w:rsid w:val="005049C0"/>
    <w:rsid w:val="005050CC"/>
    <w:rsid w:val="005050F3"/>
    <w:rsid w:val="0050564E"/>
    <w:rsid w:val="00505A4B"/>
    <w:rsid w:val="00505F9B"/>
    <w:rsid w:val="00506647"/>
    <w:rsid w:val="00506B20"/>
    <w:rsid w:val="00506F31"/>
    <w:rsid w:val="00506F81"/>
    <w:rsid w:val="005072D6"/>
    <w:rsid w:val="00507711"/>
    <w:rsid w:val="00507B39"/>
    <w:rsid w:val="0051005B"/>
    <w:rsid w:val="005101D2"/>
    <w:rsid w:val="00511D4C"/>
    <w:rsid w:val="00512302"/>
    <w:rsid w:val="0051270B"/>
    <w:rsid w:val="00512A1B"/>
    <w:rsid w:val="00512DF2"/>
    <w:rsid w:val="0051339E"/>
    <w:rsid w:val="00513838"/>
    <w:rsid w:val="00513982"/>
    <w:rsid w:val="005139DC"/>
    <w:rsid w:val="0051446F"/>
    <w:rsid w:val="00514EC4"/>
    <w:rsid w:val="00515124"/>
    <w:rsid w:val="00515274"/>
    <w:rsid w:val="0051536A"/>
    <w:rsid w:val="00515894"/>
    <w:rsid w:val="00515B72"/>
    <w:rsid w:val="00515C61"/>
    <w:rsid w:val="00515C88"/>
    <w:rsid w:val="0051615E"/>
    <w:rsid w:val="0051622B"/>
    <w:rsid w:val="00516BAD"/>
    <w:rsid w:val="00516F74"/>
    <w:rsid w:val="0051749A"/>
    <w:rsid w:val="00517B1D"/>
    <w:rsid w:val="00517B64"/>
    <w:rsid w:val="00520388"/>
    <w:rsid w:val="00520803"/>
    <w:rsid w:val="00520A3E"/>
    <w:rsid w:val="00520EF5"/>
    <w:rsid w:val="005211C1"/>
    <w:rsid w:val="00521899"/>
    <w:rsid w:val="00521D37"/>
    <w:rsid w:val="005223F3"/>
    <w:rsid w:val="005225D8"/>
    <w:rsid w:val="00522FF2"/>
    <w:rsid w:val="005234B1"/>
    <w:rsid w:val="00523983"/>
    <w:rsid w:val="0052457F"/>
    <w:rsid w:val="0052486C"/>
    <w:rsid w:val="0052520A"/>
    <w:rsid w:val="00525744"/>
    <w:rsid w:val="00525FA4"/>
    <w:rsid w:val="00526408"/>
    <w:rsid w:val="005264FC"/>
    <w:rsid w:val="0052688E"/>
    <w:rsid w:val="0052694E"/>
    <w:rsid w:val="00526A20"/>
    <w:rsid w:val="00526A9A"/>
    <w:rsid w:val="00526AC9"/>
    <w:rsid w:val="00526D41"/>
    <w:rsid w:val="00526DBF"/>
    <w:rsid w:val="00527303"/>
    <w:rsid w:val="0052739E"/>
    <w:rsid w:val="0052756B"/>
    <w:rsid w:val="00527613"/>
    <w:rsid w:val="005277A0"/>
    <w:rsid w:val="0053052E"/>
    <w:rsid w:val="005307DE"/>
    <w:rsid w:val="00531A1C"/>
    <w:rsid w:val="00532407"/>
    <w:rsid w:val="00532A4D"/>
    <w:rsid w:val="00533110"/>
    <w:rsid w:val="0053317E"/>
    <w:rsid w:val="00533745"/>
    <w:rsid w:val="00534242"/>
    <w:rsid w:val="00534C6F"/>
    <w:rsid w:val="00535EF3"/>
    <w:rsid w:val="00536462"/>
    <w:rsid w:val="005368EE"/>
    <w:rsid w:val="00536954"/>
    <w:rsid w:val="00536C08"/>
    <w:rsid w:val="00536EC4"/>
    <w:rsid w:val="00540108"/>
    <w:rsid w:val="00540181"/>
    <w:rsid w:val="00540AD1"/>
    <w:rsid w:val="00540B31"/>
    <w:rsid w:val="00540BE4"/>
    <w:rsid w:val="00541101"/>
    <w:rsid w:val="005411ED"/>
    <w:rsid w:val="00541A62"/>
    <w:rsid w:val="00541BB4"/>
    <w:rsid w:val="00541E33"/>
    <w:rsid w:val="00541EA2"/>
    <w:rsid w:val="005421AD"/>
    <w:rsid w:val="00542DDC"/>
    <w:rsid w:val="0054420F"/>
    <w:rsid w:val="005444B3"/>
    <w:rsid w:val="005444CB"/>
    <w:rsid w:val="00544D30"/>
    <w:rsid w:val="00545127"/>
    <w:rsid w:val="00545F13"/>
    <w:rsid w:val="0054653F"/>
    <w:rsid w:val="00546C06"/>
    <w:rsid w:val="00546DEB"/>
    <w:rsid w:val="005476E1"/>
    <w:rsid w:val="00547D40"/>
    <w:rsid w:val="0055018D"/>
    <w:rsid w:val="00550202"/>
    <w:rsid w:val="005509D2"/>
    <w:rsid w:val="00551362"/>
    <w:rsid w:val="005515B4"/>
    <w:rsid w:val="005517A0"/>
    <w:rsid w:val="00551B5D"/>
    <w:rsid w:val="00551CDC"/>
    <w:rsid w:val="00552A57"/>
    <w:rsid w:val="00552EA7"/>
    <w:rsid w:val="0055326F"/>
    <w:rsid w:val="00554A29"/>
    <w:rsid w:val="00554AD7"/>
    <w:rsid w:val="00554B5E"/>
    <w:rsid w:val="0055583F"/>
    <w:rsid w:val="00555978"/>
    <w:rsid w:val="00555E9A"/>
    <w:rsid w:val="00556266"/>
    <w:rsid w:val="00556602"/>
    <w:rsid w:val="005569F7"/>
    <w:rsid w:val="00556B02"/>
    <w:rsid w:val="00556EA3"/>
    <w:rsid w:val="005574AC"/>
    <w:rsid w:val="0055763E"/>
    <w:rsid w:val="00557A55"/>
    <w:rsid w:val="005606AC"/>
    <w:rsid w:val="00561847"/>
    <w:rsid w:val="00561970"/>
    <w:rsid w:val="00561AB9"/>
    <w:rsid w:val="00561EEB"/>
    <w:rsid w:val="005620C6"/>
    <w:rsid w:val="005625D4"/>
    <w:rsid w:val="00562A52"/>
    <w:rsid w:val="00562FA0"/>
    <w:rsid w:val="0056309F"/>
    <w:rsid w:val="00563F14"/>
    <w:rsid w:val="0056406D"/>
    <w:rsid w:val="0056443A"/>
    <w:rsid w:val="005644EA"/>
    <w:rsid w:val="00564774"/>
    <w:rsid w:val="00564D9E"/>
    <w:rsid w:val="00564DCF"/>
    <w:rsid w:val="005652BE"/>
    <w:rsid w:val="00565516"/>
    <w:rsid w:val="00566165"/>
    <w:rsid w:val="0056628A"/>
    <w:rsid w:val="00566423"/>
    <w:rsid w:val="00566E53"/>
    <w:rsid w:val="00567192"/>
    <w:rsid w:val="005677E2"/>
    <w:rsid w:val="00567A92"/>
    <w:rsid w:val="00567C8A"/>
    <w:rsid w:val="005704DE"/>
    <w:rsid w:val="005706AA"/>
    <w:rsid w:val="005707C0"/>
    <w:rsid w:val="00570BE4"/>
    <w:rsid w:val="00570C57"/>
    <w:rsid w:val="00571478"/>
    <w:rsid w:val="00571770"/>
    <w:rsid w:val="005718CB"/>
    <w:rsid w:val="00571AAB"/>
    <w:rsid w:val="00571DEC"/>
    <w:rsid w:val="005723E6"/>
    <w:rsid w:val="005724FB"/>
    <w:rsid w:val="005726D2"/>
    <w:rsid w:val="00572A81"/>
    <w:rsid w:val="00573045"/>
    <w:rsid w:val="0057304F"/>
    <w:rsid w:val="00573A07"/>
    <w:rsid w:val="00573E30"/>
    <w:rsid w:val="00573E5E"/>
    <w:rsid w:val="005742D8"/>
    <w:rsid w:val="005743A4"/>
    <w:rsid w:val="0057462D"/>
    <w:rsid w:val="00574D16"/>
    <w:rsid w:val="00574EDB"/>
    <w:rsid w:val="005751A1"/>
    <w:rsid w:val="00575AC8"/>
    <w:rsid w:val="00575ACB"/>
    <w:rsid w:val="00575BD3"/>
    <w:rsid w:val="00576B2E"/>
    <w:rsid w:val="00576E72"/>
    <w:rsid w:val="0057745C"/>
    <w:rsid w:val="005777AC"/>
    <w:rsid w:val="00577865"/>
    <w:rsid w:val="005779C9"/>
    <w:rsid w:val="00577B64"/>
    <w:rsid w:val="00577B98"/>
    <w:rsid w:val="00577CA0"/>
    <w:rsid w:val="00577F0E"/>
    <w:rsid w:val="00580210"/>
    <w:rsid w:val="005802BB"/>
    <w:rsid w:val="00580C16"/>
    <w:rsid w:val="00580E33"/>
    <w:rsid w:val="00580F12"/>
    <w:rsid w:val="00581226"/>
    <w:rsid w:val="00581CF9"/>
    <w:rsid w:val="00581EAD"/>
    <w:rsid w:val="00581F57"/>
    <w:rsid w:val="00582184"/>
    <w:rsid w:val="005826CA"/>
    <w:rsid w:val="005827D9"/>
    <w:rsid w:val="00582CDB"/>
    <w:rsid w:val="00582EE3"/>
    <w:rsid w:val="00583B11"/>
    <w:rsid w:val="00583CA1"/>
    <w:rsid w:val="00584738"/>
    <w:rsid w:val="00584AB6"/>
    <w:rsid w:val="005852CC"/>
    <w:rsid w:val="00585658"/>
    <w:rsid w:val="00585E82"/>
    <w:rsid w:val="00586915"/>
    <w:rsid w:val="0058697D"/>
    <w:rsid w:val="00586E51"/>
    <w:rsid w:val="00586F68"/>
    <w:rsid w:val="00587351"/>
    <w:rsid w:val="00587532"/>
    <w:rsid w:val="0058789D"/>
    <w:rsid w:val="00587C5C"/>
    <w:rsid w:val="00587D5D"/>
    <w:rsid w:val="005905DF"/>
    <w:rsid w:val="005905E2"/>
    <w:rsid w:val="00590AB6"/>
    <w:rsid w:val="00590F34"/>
    <w:rsid w:val="00591043"/>
    <w:rsid w:val="005911D2"/>
    <w:rsid w:val="0059137B"/>
    <w:rsid w:val="005913A7"/>
    <w:rsid w:val="005915EF"/>
    <w:rsid w:val="00591975"/>
    <w:rsid w:val="00591A4B"/>
    <w:rsid w:val="00591B4D"/>
    <w:rsid w:val="00592020"/>
    <w:rsid w:val="005922FF"/>
    <w:rsid w:val="00592C80"/>
    <w:rsid w:val="00593727"/>
    <w:rsid w:val="00593D98"/>
    <w:rsid w:val="00593F76"/>
    <w:rsid w:val="00593F9C"/>
    <w:rsid w:val="00594443"/>
    <w:rsid w:val="00595399"/>
    <w:rsid w:val="00595424"/>
    <w:rsid w:val="005954D3"/>
    <w:rsid w:val="00595AC9"/>
    <w:rsid w:val="00596473"/>
    <w:rsid w:val="005967A6"/>
    <w:rsid w:val="0059693E"/>
    <w:rsid w:val="00596A83"/>
    <w:rsid w:val="00596B0F"/>
    <w:rsid w:val="00596B6F"/>
    <w:rsid w:val="00597342"/>
    <w:rsid w:val="00597856"/>
    <w:rsid w:val="00597F2E"/>
    <w:rsid w:val="005A0157"/>
    <w:rsid w:val="005A0561"/>
    <w:rsid w:val="005A07A7"/>
    <w:rsid w:val="005A0A14"/>
    <w:rsid w:val="005A0E55"/>
    <w:rsid w:val="005A0F21"/>
    <w:rsid w:val="005A11A8"/>
    <w:rsid w:val="005A3424"/>
    <w:rsid w:val="005A3A17"/>
    <w:rsid w:val="005A4D18"/>
    <w:rsid w:val="005A52F3"/>
    <w:rsid w:val="005A53D6"/>
    <w:rsid w:val="005A5580"/>
    <w:rsid w:val="005A5872"/>
    <w:rsid w:val="005A59F0"/>
    <w:rsid w:val="005A6166"/>
    <w:rsid w:val="005A631A"/>
    <w:rsid w:val="005A649C"/>
    <w:rsid w:val="005A64FC"/>
    <w:rsid w:val="005A68EA"/>
    <w:rsid w:val="005A6C27"/>
    <w:rsid w:val="005A6DDD"/>
    <w:rsid w:val="005A6F09"/>
    <w:rsid w:val="005A72E3"/>
    <w:rsid w:val="005A7418"/>
    <w:rsid w:val="005A762A"/>
    <w:rsid w:val="005A7718"/>
    <w:rsid w:val="005A7B4D"/>
    <w:rsid w:val="005A7EC3"/>
    <w:rsid w:val="005B07D6"/>
    <w:rsid w:val="005B1A88"/>
    <w:rsid w:val="005B1BD3"/>
    <w:rsid w:val="005B1F49"/>
    <w:rsid w:val="005B2020"/>
    <w:rsid w:val="005B2059"/>
    <w:rsid w:val="005B28D7"/>
    <w:rsid w:val="005B2A6D"/>
    <w:rsid w:val="005B2D00"/>
    <w:rsid w:val="005B341C"/>
    <w:rsid w:val="005B3D57"/>
    <w:rsid w:val="005B3E11"/>
    <w:rsid w:val="005B4AD4"/>
    <w:rsid w:val="005B4F17"/>
    <w:rsid w:val="005B5334"/>
    <w:rsid w:val="005B5607"/>
    <w:rsid w:val="005B5E17"/>
    <w:rsid w:val="005B64F5"/>
    <w:rsid w:val="005B6666"/>
    <w:rsid w:val="005B6A4B"/>
    <w:rsid w:val="005B6B67"/>
    <w:rsid w:val="005B6CD5"/>
    <w:rsid w:val="005B6D6B"/>
    <w:rsid w:val="005B6DD5"/>
    <w:rsid w:val="005B707B"/>
    <w:rsid w:val="005B7BD8"/>
    <w:rsid w:val="005B7DA6"/>
    <w:rsid w:val="005C0A88"/>
    <w:rsid w:val="005C14F3"/>
    <w:rsid w:val="005C195C"/>
    <w:rsid w:val="005C1ED4"/>
    <w:rsid w:val="005C1F39"/>
    <w:rsid w:val="005C1FBA"/>
    <w:rsid w:val="005C221F"/>
    <w:rsid w:val="005C2613"/>
    <w:rsid w:val="005C27DD"/>
    <w:rsid w:val="005C3407"/>
    <w:rsid w:val="005C347B"/>
    <w:rsid w:val="005C34DE"/>
    <w:rsid w:val="005C3626"/>
    <w:rsid w:val="005C3A2F"/>
    <w:rsid w:val="005C4D7C"/>
    <w:rsid w:val="005C4E91"/>
    <w:rsid w:val="005C50C8"/>
    <w:rsid w:val="005C5244"/>
    <w:rsid w:val="005C5434"/>
    <w:rsid w:val="005C557E"/>
    <w:rsid w:val="005C55DE"/>
    <w:rsid w:val="005C5717"/>
    <w:rsid w:val="005C66B2"/>
    <w:rsid w:val="005C6941"/>
    <w:rsid w:val="005C6A2B"/>
    <w:rsid w:val="005C6CB0"/>
    <w:rsid w:val="005C6F82"/>
    <w:rsid w:val="005C7627"/>
    <w:rsid w:val="005D01A6"/>
    <w:rsid w:val="005D027F"/>
    <w:rsid w:val="005D02FD"/>
    <w:rsid w:val="005D079F"/>
    <w:rsid w:val="005D087E"/>
    <w:rsid w:val="005D0BDA"/>
    <w:rsid w:val="005D0C53"/>
    <w:rsid w:val="005D10A4"/>
    <w:rsid w:val="005D1745"/>
    <w:rsid w:val="005D19AF"/>
    <w:rsid w:val="005D19D9"/>
    <w:rsid w:val="005D1CC8"/>
    <w:rsid w:val="005D1D29"/>
    <w:rsid w:val="005D1E8A"/>
    <w:rsid w:val="005D2565"/>
    <w:rsid w:val="005D31BD"/>
    <w:rsid w:val="005D34D0"/>
    <w:rsid w:val="005D36BE"/>
    <w:rsid w:val="005D4016"/>
    <w:rsid w:val="005D42E2"/>
    <w:rsid w:val="005D47EC"/>
    <w:rsid w:val="005D4918"/>
    <w:rsid w:val="005D494E"/>
    <w:rsid w:val="005D4ABB"/>
    <w:rsid w:val="005D4E88"/>
    <w:rsid w:val="005D551F"/>
    <w:rsid w:val="005D5E0F"/>
    <w:rsid w:val="005D61D0"/>
    <w:rsid w:val="005D7690"/>
    <w:rsid w:val="005D7DB6"/>
    <w:rsid w:val="005E06BB"/>
    <w:rsid w:val="005E0A22"/>
    <w:rsid w:val="005E0A46"/>
    <w:rsid w:val="005E0AFC"/>
    <w:rsid w:val="005E0F17"/>
    <w:rsid w:val="005E1364"/>
    <w:rsid w:val="005E1D45"/>
    <w:rsid w:val="005E1EC2"/>
    <w:rsid w:val="005E1F67"/>
    <w:rsid w:val="005E297A"/>
    <w:rsid w:val="005E2C0F"/>
    <w:rsid w:val="005E2F93"/>
    <w:rsid w:val="005E3062"/>
    <w:rsid w:val="005E30F1"/>
    <w:rsid w:val="005E391B"/>
    <w:rsid w:val="005E4D80"/>
    <w:rsid w:val="005E4F20"/>
    <w:rsid w:val="005E5329"/>
    <w:rsid w:val="005E5649"/>
    <w:rsid w:val="005E5FEC"/>
    <w:rsid w:val="005E637F"/>
    <w:rsid w:val="005E68EE"/>
    <w:rsid w:val="005E69A5"/>
    <w:rsid w:val="005E72C7"/>
    <w:rsid w:val="005E746B"/>
    <w:rsid w:val="005E7F25"/>
    <w:rsid w:val="005F0025"/>
    <w:rsid w:val="005F0257"/>
    <w:rsid w:val="005F097E"/>
    <w:rsid w:val="005F0D7F"/>
    <w:rsid w:val="005F1516"/>
    <w:rsid w:val="005F292F"/>
    <w:rsid w:val="005F2B32"/>
    <w:rsid w:val="005F2F9B"/>
    <w:rsid w:val="005F3075"/>
    <w:rsid w:val="005F35F9"/>
    <w:rsid w:val="005F3606"/>
    <w:rsid w:val="005F3B79"/>
    <w:rsid w:val="005F3D5D"/>
    <w:rsid w:val="005F3FC7"/>
    <w:rsid w:val="005F46C8"/>
    <w:rsid w:val="005F46E8"/>
    <w:rsid w:val="005F4AA1"/>
    <w:rsid w:val="005F54BE"/>
    <w:rsid w:val="005F579B"/>
    <w:rsid w:val="005F6AAB"/>
    <w:rsid w:val="005F704F"/>
    <w:rsid w:val="005F72E4"/>
    <w:rsid w:val="005F7AC2"/>
    <w:rsid w:val="0060026E"/>
    <w:rsid w:val="00600275"/>
    <w:rsid w:val="006002C5"/>
    <w:rsid w:val="00600C20"/>
    <w:rsid w:val="006017FB"/>
    <w:rsid w:val="00601947"/>
    <w:rsid w:val="006021D3"/>
    <w:rsid w:val="00602466"/>
    <w:rsid w:val="006029F4"/>
    <w:rsid w:val="00602C91"/>
    <w:rsid w:val="00602CF9"/>
    <w:rsid w:val="00603082"/>
    <w:rsid w:val="0060319F"/>
    <w:rsid w:val="0060325D"/>
    <w:rsid w:val="0060386F"/>
    <w:rsid w:val="0060397F"/>
    <w:rsid w:val="00603D52"/>
    <w:rsid w:val="006041CC"/>
    <w:rsid w:val="006044A3"/>
    <w:rsid w:val="006046AF"/>
    <w:rsid w:val="00604EBE"/>
    <w:rsid w:val="00606537"/>
    <w:rsid w:val="00606FE7"/>
    <w:rsid w:val="006070B5"/>
    <w:rsid w:val="006074C3"/>
    <w:rsid w:val="00607ABA"/>
    <w:rsid w:val="00607C81"/>
    <w:rsid w:val="00610ADF"/>
    <w:rsid w:val="00611AAD"/>
    <w:rsid w:val="00611AE4"/>
    <w:rsid w:val="00612189"/>
    <w:rsid w:val="00612419"/>
    <w:rsid w:val="006125C9"/>
    <w:rsid w:val="00612706"/>
    <w:rsid w:val="00612F3B"/>
    <w:rsid w:val="00613010"/>
    <w:rsid w:val="006136D2"/>
    <w:rsid w:val="0061385B"/>
    <w:rsid w:val="0061397A"/>
    <w:rsid w:val="00613B5C"/>
    <w:rsid w:val="00614347"/>
    <w:rsid w:val="00614983"/>
    <w:rsid w:val="00614CBD"/>
    <w:rsid w:val="00614D9F"/>
    <w:rsid w:val="00614DCE"/>
    <w:rsid w:val="006150A3"/>
    <w:rsid w:val="006153A8"/>
    <w:rsid w:val="00615609"/>
    <w:rsid w:val="00615FBB"/>
    <w:rsid w:val="00615FC4"/>
    <w:rsid w:val="00616CD5"/>
    <w:rsid w:val="00616D89"/>
    <w:rsid w:val="00617171"/>
    <w:rsid w:val="0061766B"/>
    <w:rsid w:val="006176CF"/>
    <w:rsid w:val="00617D9B"/>
    <w:rsid w:val="006202D5"/>
    <w:rsid w:val="006202F2"/>
    <w:rsid w:val="00620D5B"/>
    <w:rsid w:val="00620F5C"/>
    <w:rsid w:val="006216D3"/>
    <w:rsid w:val="0062181E"/>
    <w:rsid w:val="006219D6"/>
    <w:rsid w:val="00621C38"/>
    <w:rsid w:val="00622E67"/>
    <w:rsid w:val="00623071"/>
    <w:rsid w:val="006237D3"/>
    <w:rsid w:val="006239F1"/>
    <w:rsid w:val="00623D39"/>
    <w:rsid w:val="00623EC6"/>
    <w:rsid w:val="00623FA6"/>
    <w:rsid w:val="0062422B"/>
    <w:rsid w:val="00624387"/>
    <w:rsid w:val="00624439"/>
    <w:rsid w:val="0062443A"/>
    <w:rsid w:val="00624514"/>
    <w:rsid w:val="00624690"/>
    <w:rsid w:val="00624B07"/>
    <w:rsid w:val="00625004"/>
    <w:rsid w:val="0062595F"/>
    <w:rsid w:val="00625E80"/>
    <w:rsid w:val="0062653E"/>
    <w:rsid w:val="006267EC"/>
    <w:rsid w:val="00626A3F"/>
    <w:rsid w:val="00626FB9"/>
    <w:rsid w:val="006277D8"/>
    <w:rsid w:val="00627943"/>
    <w:rsid w:val="006300B1"/>
    <w:rsid w:val="00630C0A"/>
    <w:rsid w:val="00631547"/>
    <w:rsid w:val="0063184C"/>
    <w:rsid w:val="006319F7"/>
    <w:rsid w:val="00631ED1"/>
    <w:rsid w:val="0063219C"/>
    <w:rsid w:val="0063247E"/>
    <w:rsid w:val="00632571"/>
    <w:rsid w:val="00632657"/>
    <w:rsid w:val="00632EFB"/>
    <w:rsid w:val="006330F6"/>
    <w:rsid w:val="006335AA"/>
    <w:rsid w:val="00633B18"/>
    <w:rsid w:val="006343F2"/>
    <w:rsid w:val="0063459F"/>
    <w:rsid w:val="00634B4C"/>
    <w:rsid w:val="0063514C"/>
    <w:rsid w:val="00635283"/>
    <w:rsid w:val="006353DE"/>
    <w:rsid w:val="00635556"/>
    <w:rsid w:val="00635648"/>
    <w:rsid w:val="0063585A"/>
    <w:rsid w:val="00635D24"/>
    <w:rsid w:val="00635ED7"/>
    <w:rsid w:val="00636345"/>
    <w:rsid w:val="006368D6"/>
    <w:rsid w:val="006368FD"/>
    <w:rsid w:val="0063699B"/>
    <w:rsid w:val="00636DAD"/>
    <w:rsid w:val="0063726E"/>
    <w:rsid w:val="00640362"/>
    <w:rsid w:val="0064176F"/>
    <w:rsid w:val="006420B6"/>
    <w:rsid w:val="006427C5"/>
    <w:rsid w:val="00642DD9"/>
    <w:rsid w:val="006432EC"/>
    <w:rsid w:val="00643459"/>
    <w:rsid w:val="00643B41"/>
    <w:rsid w:val="0064450F"/>
    <w:rsid w:val="0064466D"/>
    <w:rsid w:val="00644A70"/>
    <w:rsid w:val="00644C4C"/>
    <w:rsid w:val="006459BC"/>
    <w:rsid w:val="00645AA4"/>
    <w:rsid w:val="00645CCF"/>
    <w:rsid w:val="00645FF4"/>
    <w:rsid w:val="006464CC"/>
    <w:rsid w:val="006472D2"/>
    <w:rsid w:val="006473DE"/>
    <w:rsid w:val="006475CA"/>
    <w:rsid w:val="00647AE6"/>
    <w:rsid w:val="00647E3C"/>
    <w:rsid w:val="00650345"/>
    <w:rsid w:val="00650B14"/>
    <w:rsid w:val="00650DFD"/>
    <w:rsid w:val="00650F2F"/>
    <w:rsid w:val="00651256"/>
    <w:rsid w:val="00651905"/>
    <w:rsid w:val="00652D72"/>
    <w:rsid w:val="00652FBC"/>
    <w:rsid w:val="0065310C"/>
    <w:rsid w:val="00653651"/>
    <w:rsid w:val="00653733"/>
    <w:rsid w:val="00653789"/>
    <w:rsid w:val="00653951"/>
    <w:rsid w:val="00654141"/>
    <w:rsid w:val="006541D6"/>
    <w:rsid w:val="0065477B"/>
    <w:rsid w:val="0065561D"/>
    <w:rsid w:val="006557E3"/>
    <w:rsid w:val="006558AD"/>
    <w:rsid w:val="00655C2D"/>
    <w:rsid w:val="0065603E"/>
    <w:rsid w:val="00656A7B"/>
    <w:rsid w:val="00656B9F"/>
    <w:rsid w:val="006574BA"/>
    <w:rsid w:val="006574E2"/>
    <w:rsid w:val="00657693"/>
    <w:rsid w:val="00657B46"/>
    <w:rsid w:val="00660086"/>
    <w:rsid w:val="00660396"/>
    <w:rsid w:val="006604D5"/>
    <w:rsid w:val="0066073C"/>
    <w:rsid w:val="00660755"/>
    <w:rsid w:val="00660AE7"/>
    <w:rsid w:val="00660B36"/>
    <w:rsid w:val="00661DFF"/>
    <w:rsid w:val="00662493"/>
    <w:rsid w:val="00662CD7"/>
    <w:rsid w:val="006630AB"/>
    <w:rsid w:val="00663109"/>
    <w:rsid w:val="0066353B"/>
    <w:rsid w:val="00663A9F"/>
    <w:rsid w:val="00663AC1"/>
    <w:rsid w:val="00663F45"/>
    <w:rsid w:val="0066429A"/>
    <w:rsid w:val="006644AA"/>
    <w:rsid w:val="006648EC"/>
    <w:rsid w:val="0066535B"/>
    <w:rsid w:val="006657C0"/>
    <w:rsid w:val="00665C79"/>
    <w:rsid w:val="00666179"/>
    <w:rsid w:val="00666658"/>
    <w:rsid w:val="00667642"/>
    <w:rsid w:val="00667726"/>
    <w:rsid w:val="0066790A"/>
    <w:rsid w:val="006679A4"/>
    <w:rsid w:val="006701B0"/>
    <w:rsid w:val="00670323"/>
    <w:rsid w:val="006703D2"/>
    <w:rsid w:val="00670439"/>
    <w:rsid w:val="00670507"/>
    <w:rsid w:val="0067058D"/>
    <w:rsid w:val="00670872"/>
    <w:rsid w:val="006709B9"/>
    <w:rsid w:val="00670B9C"/>
    <w:rsid w:val="00671060"/>
    <w:rsid w:val="00671200"/>
    <w:rsid w:val="0067136C"/>
    <w:rsid w:val="0067157E"/>
    <w:rsid w:val="00671883"/>
    <w:rsid w:val="00671E0F"/>
    <w:rsid w:val="00671E43"/>
    <w:rsid w:val="00671EAE"/>
    <w:rsid w:val="0067200D"/>
    <w:rsid w:val="006723AF"/>
    <w:rsid w:val="006728B4"/>
    <w:rsid w:val="00672B47"/>
    <w:rsid w:val="00672BBD"/>
    <w:rsid w:val="00673585"/>
    <w:rsid w:val="006735C4"/>
    <w:rsid w:val="00673E57"/>
    <w:rsid w:val="00674223"/>
    <w:rsid w:val="006759BF"/>
    <w:rsid w:val="00675D87"/>
    <w:rsid w:val="00675ECA"/>
    <w:rsid w:val="00675ED4"/>
    <w:rsid w:val="00676447"/>
    <w:rsid w:val="00676906"/>
    <w:rsid w:val="0067696B"/>
    <w:rsid w:val="00677A57"/>
    <w:rsid w:val="00681037"/>
    <w:rsid w:val="0068108F"/>
    <w:rsid w:val="00681117"/>
    <w:rsid w:val="006811C0"/>
    <w:rsid w:val="006815E9"/>
    <w:rsid w:val="006819A6"/>
    <w:rsid w:val="00682982"/>
    <w:rsid w:val="00683425"/>
    <w:rsid w:val="0068402B"/>
    <w:rsid w:val="0068411B"/>
    <w:rsid w:val="006843A2"/>
    <w:rsid w:val="006843BA"/>
    <w:rsid w:val="00684839"/>
    <w:rsid w:val="00686591"/>
    <w:rsid w:val="006868E4"/>
    <w:rsid w:val="00686D80"/>
    <w:rsid w:val="00686ED2"/>
    <w:rsid w:val="00686F99"/>
    <w:rsid w:val="00687310"/>
    <w:rsid w:val="00690270"/>
    <w:rsid w:val="00690892"/>
    <w:rsid w:val="006908C3"/>
    <w:rsid w:val="00690C63"/>
    <w:rsid w:val="00690F98"/>
    <w:rsid w:val="00691AFC"/>
    <w:rsid w:val="00691CB7"/>
    <w:rsid w:val="00691F8B"/>
    <w:rsid w:val="00692E93"/>
    <w:rsid w:val="00692F53"/>
    <w:rsid w:val="00692F95"/>
    <w:rsid w:val="006930E7"/>
    <w:rsid w:val="006934AE"/>
    <w:rsid w:val="006934BF"/>
    <w:rsid w:val="0069371E"/>
    <w:rsid w:val="00693783"/>
    <w:rsid w:val="00693CCD"/>
    <w:rsid w:val="00693DFB"/>
    <w:rsid w:val="00694076"/>
    <w:rsid w:val="0069458E"/>
    <w:rsid w:val="006946AA"/>
    <w:rsid w:val="006956B1"/>
    <w:rsid w:val="00695D93"/>
    <w:rsid w:val="006961D0"/>
    <w:rsid w:val="0069656A"/>
    <w:rsid w:val="00696C1B"/>
    <w:rsid w:val="00696E24"/>
    <w:rsid w:val="0069738E"/>
    <w:rsid w:val="00697466"/>
    <w:rsid w:val="0069769A"/>
    <w:rsid w:val="00697FE2"/>
    <w:rsid w:val="006A122C"/>
    <w:rsid w:val="006A15BC"/>
    <w:rsid w:val="006A1B0B"/>
    <w:rsid w:val="006A1D13"/>
    <w:rsid w:val="006A1FFC"/>
    <w:rsid w:val="006A236A"/>
    <w:rsid w:val="006A2C96"/>
    <w:rsid w:val="006A2E90"/>
    <w:rsid w:val="006A372F"/>
    <w:rsid w:val="006A390C"/>
    <w:rsid w:val="006A3A1F"/>
    <w:rsid w:val="006A3E9F"/>
    <w:rsid w:val="006A5192"/>
    <w:rsid w:val="006A522B"/>
    <w:rsid w:val="006A56DB"/>
    <w:rsid w:val="006A5B01"/>
    <w:rsid w:val="006A6A93"/>
    <w:rsid w:val="006A743A"/>
    <w:rsid w:val="006A7BE8"/>
    <w:rsid w:val="006B00B6"/>
    <w:rsid w:val="006B014D"/>
    <w:rsid w:val="006B05E8"/>
    <w:rsid w:val="006B0853"/>
    <w:rsid w:val="006B08DD"/>
    <w:rsid w:val="006B0BAB"/>
    <w:rsid w:val="006B0E53"/>
    <w:rsid w:val="006B1439"/>
    <w:rsid w:val="006B1890"/>
    <w:rsid w:val="006B207A"/>
    <w:rsid w:val="006B3308"/>
    <w:rsid w:val="006B3930"/>
    <w:rsid w:val="006B3A96"/>
    <w:rsid w:val="006B3BE6"/>
    <w:rsid w:val="006B4101"/>
    <w:rsid w:val="006B4BC3"/>
    <w:rsid w:val="006B4E38"/>
    <w:rsid w:val="006B546D"/>
    <w:rsid w:val="006B591E"/>
    <w:rsid w:val="006B59D1"/>
    <w:rsid w:val="006B5E7D"/>
    <w:rsid w:val="006B5EF2"/>
    <w:rsid w:val="006B5F37"/>
    <w:rsid w:val="006B60E1"/>
    <w:rsid w:val="006B621C"/>
    <w:rsid w:val="006B6918"/>
    <w:rsid w:val="006B6DA7"/>
    <w:rsid w:val="006B6E94"/>
    <w:rsid w:val="006B7836"/>
    <w:rsid w:val="006C002E"/>
    <w:rsid w:val="006C0770"/>
    <w:rsid w:val="006C083C"/>
    <w:rsid w:val="006C0F55"/>
    <w:rsid w:val="006C115A"/>
    <w:rsid w:val="006C1A3C"/>
    <w:rsid w:val="006C1C15"/>
    <w:rsid w:val="006C1C69"/>
    <w:rsid w:val="006C253D"/>
    <w:rsid w:val="006C26BA"/>
    <w:rsid w:val="006C27BD"/>
    <w:rsid w:val="006C2940"/>
    <w:rsid w:val="006C2D28"/>
    <w:rsid w:val="006C2FD2"/>
    <w:rsid w:val="006C327C"/>
    <w:rsid w:val="006C328D"/>
    <w:rsid w:val="006C3594"/>
    <w:rsid w:val="006C35DD"/>
    <w:rsid w:val="006C3798"/>
    <w:rsid w:val="006C395E"/>
    <w:rsid w:val="006C3B18"/>
    <w:rsid w:val="006C3E83"/>
    <w:rsid w:val="006C40F1"/>
    <w:rsid w:val="006C4319"/>
    <w:rsid w:val="006C4711"/>
    <w:rsid w:val="006C4BB3"/>
    <w:rsid w:val="006C4EDA"/>
    <w:rsid w:val="006C521D"/>
    <w:rsid w:val="006C5999"/>
    <w:rsid w:val="006C5ED6"/>
    <w:rsid w:val="006C6084"/>
    <w:rsid w:val="006C64B9"/>
    <w:rsid w:val="006C74A1"/>
    <w:rsid w:val="006D01CC"/>
    <w:rsid w:val="006D0735"/>
    <w:rsid w:val="006D0813"/>
    <w:rsid w:val="006D0CFE"/>
    <w:rsid w:val="006D0F44"/>
    <w:rsid w:val="006D197C"/>
    <w:rsid w:val="006D19A5"/>
    <w:rsid w:val="006D1A3F"/>
    <w:rsid w:val="006D1F5A"/>
    <w:rsid w:val="006D202E"/>
    <w:rsid w:val="006D2B58"/>
    <w:rsid w:val="006D2C3D"/>
    <w:rsid w:val="006D2D87"/>
    <w:rsid w:val="006D332D"/>
    <w:rsid w:val="006D333E"/>
    <w:rsid w:val="006D36CC"/>
    <w:rsid w:val="006D3C7A"/>
    <w:rsid w:val="006D4515"/>
    <w:rsid w:val="006D46E6"/>
    <w:rsid w:val="006D4710"/>
    <w:rsid w:val="006D47A2"/>
    <w:rsid w:val="006D50E6"/>
    <w:rsid w:val="006D5188"/>
    <w:rsid w:val="006D5A3C"/>
    <w:rsid w:val="006D5B66"/>
    <w:rsid w:val="006D5C7D"/>
    <w:rsid w:val="006D5F66"/>
    <w:rsid w:val="006D6995"/>
    <w:rsid w:val="006D6A56"/>
    <w:rsid w:val="006D6DF3"/>
    <w:rsid w:val="006D6FCA"/>
    <w:rsid w:val="006D7B81"/>
    <w:rsid w:val="006D7C99"/>
    <w:rsid w:val="006D7E4A"/>
    <w:rsid w:val="006D7F0F"/>
    <w:rsid w:val="006D7FB4"/>
    <w:rsid w:val="006E0005"/>
    <w:rsid w:val="006E00DE"/>
    <w:rsid w:val="006E05A5"/>
    <w:rsid w:val="006E0AD1"/>
    <w:rsid w:val="006E0C60"/>
    <w:rsid w:val="006E0D2E"/>
    <w:rsid w:val="006E1372"/>
    <w:rsid w:val="006E13ED"/>
    <w:rsid w:val="006E16BF"/>
    <w:rsid w:val="006E1720"/>
    <w:rsid w:val="006E1F2B"/>
    <w:rsid w:val="006E2696"/>
    <w:rsid w:val="006E3202"/>
    <w:rsid w:val="006E32D5"/>
    <w:rsid w:val="006E33DB"/>
    <w:rsid w:val="006E353B"/>
    <w:rsid w:val="006E35D1"/>
    <w:rsid w:val="006E3602"/>
    <w:rsid w:val="006E3A96"/>
    <w:rsid w:val="006E3AF1"/>
    <w:rsid w:val="006E3BFB"/>
    <w:rsid w:val="006E3DD6"/>
    <w:rsid w:val="006E4020"/>
    <w:rsid w:val="006E40CB"/>
    <w:rsid w:val="006E4856"/>
    <w:rsid w:val="006E5099"/>
    <w:rsid w:val="006E5128"/>
    <w:rsid w:val="006E53DF"/>
    <w:rsid w:val="006E5ACF"/>
    <w:rsid w:val="006E5BE0"/>
    <w:rsid w:val="006E5FCC"/>
    <w:rsid w:val="006E6297"/>
    <w:rsid w:val="006E633B"/>
    <w:rsid w:val="006E685D"/>
    <w:rsid w:val="006E6901"/>
    <w:rsid w:val="006E7240"/>
    <w:rsid w:val="006E75DE"/>
    <w:rsid w:val="006E7F43"/>
    <w:rsid w:val="006F0F2E"/>
    <w:rsid w:val="006F17FC"/>
    <w:rsid w:val="006F1835"/>
    <w:rsid w:val="006F19E0"/>
    <w:rsid w:val="006F1E89"/>
    <w:rsid w:val="006F25C8"/>
    <w:rsid w:val="006F2959"/>
    <w:rsid w:val="006F2EA8"/>
    <w:rsid w:val="006F2F01"/>
    <w:rsid w:val="006F35B3"/>
    <w:rsid w:val="006F38AE"/>
    <w:rsid w:val="006F3B43"/>
    <w:rsid w:val="006F3FBD"/>
    <w:rsid w:val="006F4ABB"/>
    <w:rsid w:val="006F5082"/>
    <w:rsid w:val="006F54A6"/>
    <w:rsid w:val="006F59EB"/>
    <w:rsid w:val="006F5C50"/>
    <w:rsid w:val="006F6305"/>
    <w:rsid w:val="006F63C8"/>
    <w:rsid w:val="006F6BFC"/>
    <w:rsid w:val="006F6DA6"/>
    <w:rsid w:val="007004D9"/>
    <w:rsid w:val="00700E6A"/>
    <w:rsid w:val="00701EB8"/>
    <w:rsid w:val="00702DC3"/>
    <w:rsid w:val="0070356A"/>
    <w:rsid w:val="007035C9"/>
    <w:rsid w:val="00703720"/>
    <w:rsid w:val="00703D20"/>
    <w:rsid w:val="0070408A"/>
    <w:rsid w:val="00704203"/>
    <w:rsid w:val="00704472"/>
    <w:rsid w:val="00704500"/>
    <w:rsid w:val="007046A8"/>
    <w:rsid w:val="0070494C"/>
    <w:rsid w:val="00704C1E"/>
    <w:rsid w:val="00704CC8"/>
    <w:rsid w:val="007053FA"/>
    <w:rsid w:val="00705C72"/>
    <w:rsid w:val="007060D9"/>
    <w:rsid w:val="00706459"/>
    <w:rsid w:val="007068A4"/>
    <w:rsid w:val="0070697B"/>
    <w:rsid w:val="007072AA"/>
    <w:rsid w:val="00707450"/>
    <w:rsid w:val="00710518"/>
    <w:rsid w:val="00710A54"/>
    <w:rsid w:val="0071153E"/>
    <w:rsid w:val="0071265B"/>
    <w:rsid w:val="0071279A"/>
    <w:rsid w:val="00712CD8"/>
    <w:rsid w:val="00712E4D"/>
    <w:rsid w:val="007135B7"/>
    <w:rsid w:val="007139DD"/>
    <w:rsid w:val="00713BAD"/>
    <w:rsid w:val="00713C34"/>
    <w:rsid w:val="00713CFE"/>
    <w:rsid w:val="00713FF8"/>
    <w:rsid w:val="00714151"/>
    <w:rsid w:val="00714497"/>
    <w:rsid w:val="0071449C"/>
    <w:rsid w:val="007146B3"/>
    <w:rsid w:val="00714746"/>
    <w:rsid w:val="007149FC"/>
    <w:rsid w:val="00714B4D"/>
    <w:rsid w:val="00714F5C"/>
    <w:rsid w:val="00714FA3"/>
    <w:rsid w:val="00715367"/>
    <w:rsid w:val="00715895"/>
    <w:rsid w:val="00715F8D"/>
    <w:rsid w:val="00716374"/>
    <w:rsid w:val="007164E7"/>
    <w:rsid w:val="007178D2"/>
    <w:rsid w:val="0071796B"/>
    <w:rsid w:val="00717D37"/>
    <w:rsid w:val="007203F7"/>
    <w:rsid w:val="00720555"/>
    <w:rsid w:val="00720713"/>
    <w:rsid w:val="00720B61"/>
    <w:rsid w:val="00720DAA"/>
    <w:rsid w:val="007213AA"/>
    <w:rsid w:val="00721437"/>
    <w:rsid w:val="007218F1"/>
    <w:rsid w:val="00721AB8"/>
    <w:rsid w:val="00721E4E"/>
    <w:rsid w:val="00722068"/>
    <w:rsid w:val="00722929"/>
    <w:rsid w:val="00723159"/>
    <w:rsid w:val="007232D4"/>
    <w:rsid w:val="0072353E"/>
    <w:rsid w:val="00723853"/>
    <w:rsid w:val="00723BFF"/>
    <w:rsid w:val="00723F54"/>
    <w:rsid w:val="00724F37"/>
    <w:rsid w:val="0072516A"/>
    <w:rsid w:val="00725472"/>
    <w:rsid w:val="007256EC"/>
    <w:rsid w:val="00725739"/>
    <w:rsid w:val="00725AD7"/>
    <w:rsid w:val="00725E8C"/>
    <w:rsid w:val="00726650"/>
    <w:rsid w:val="0072673A"/>
    <w:rsid w:val="00726CAD"/>
    <w:rsid w:val="0072760E"/>
    <w:rsid w:val="007277B8"/>
    <w:rsid w:val="0072782B"/>
    <w:rsid w:val="00727BBB"/>
    <w:rsid w:val="0073112E"/>
    <w:rsid w:val="00731E30"/>
    <w:rsid w:val="0073226E"/>
    <w:rsid w:val="00732364"/>
    <w:rsid w:val="00732BAB"/>
    <w:rsid w:val="00732BD7"/>
    <w:rsid w:val="00732C21"/>
    <w:rsid w:val="00732DAA"/>
    <w:rsid w:val="00734216"/>
    <w:rsid w:val="00734794"/>
    <w:rsid w:val="00734D81"/>
    <w:rsid w:val="007351C5"/>
    <w:rsid w:val="00735727"/>
    <w:rsid w:val="007357C4"/>
    <w:rsid w:val="007357E3"/>
    <w:rsid w:val="007359E7"/>
    <w:rsid w:val="00735C0F"/>
    <w:rsid w:val="00735E83"/>
    <w:rsid w:val="00735F5A"/>
    <w:rsid w:val="007364F9"/>
    <w:rsid w:val="007368DC"/>
    <w:rsid w:val="00736C0B"/>
    <w:rsid w:val="00736C4D"/>
    <w:rsid w:val="00736CF9"/>
    <w:rsid w:val="00736DCC"/>
    <w:rsid w:val="00737064"/>
    <w:rsid w:val="00737099"/>
    <w:rsid w:val="00737EF7"/>
    <w:rsid w:val="00740DB5"/>
    <w:rsid w:val="00740E8C"/>
    <w:rsid w:val="00741135"/>
    <w:rsid w:val="007415AA"/>
    <w:rsid w:val="00741AC2"/>
    <w:rsid w:val="00741BC1"/>
    <w:rsid w:val="00741D7D"/>
    <w:rsid w:val="00741F93"/>
    <w:rsid w:val="00742527"/>
    <w:rsid w:val="007426A2"/>
    <w:rsid w:val="00742935"/>
    <w:rsid w:val="007433E7"/>
    <w:rsid w:val="007435F5"/>
    <w:rsid w:val="007438F1"/>
    <w:rsid w:val="007442CC"/>
    <w:rsid w:val="007449A0"/>
    <w:rsid w:val="00744B17"/>
    <w:rsid w:val="00744CA7"/>
    <w:rsid w:val="00744DD0"/>
    <w:rsid w:val="00744E0C"/>
    <w:rsid w:val="00744FC4"/>
    <w:rsid w:val="007451FC"/>
    <w:rsid w:val="0074583B"/>
    <w:rsid w:val="007464FA"/>
    <w:rsid w:val="00746AAC"/>
    <w:rsid w:val="00746F28"/>
    <w:rsid w:val="007474DD"/>
    <w:rsid w:val="00747B70"/>
    <w:rsid w:val="00747DFD"/>
    <w:rsid w:val="00747F6E"/>
    <w:rsid w:val="00747F7C"/>
    <w:rsid w:val="0075153A"/>
    <w:rsid w:val="00751E96"/>
    <w:rsid w:val="00751FA8"/>
    <w:rsid w:val="00752389"/>
    <w:rsid w:val="007525E3"/>
    <w:rsid w:val="007529D4"/>
    <w:rsid w:val="00753149"/>
    <w:rsid w:val="007533EC"/>
    <w:rsid w:val="00754169"/>
    <w:rsid w:val="00754975"/>
    <w:rsid w:val="00754995"/>
    <w:rsid w:val="00754F16"/>
    <w:rsid w:val="00755139"/>
    <w:rsid w:val="007551EC"/>
    <w:rsid w:val="0075541F"/>
    <w:rsid w:val="007558B1"/>
    <w:rsid w:val="00755B51"/>
    <w:rsid w:val="00755ED0"/>
    <w:rsid w:val="00755F3D"/>
    <w:rsid w:val="007563A4"/>
    <w:rsid w:val="007565DE"/>
    <w:rsid w:val="00756807"/>
    <w:rsid w:val="00756998"/>
    <w:rsid w:val="007569F4"/>
    <w:rsid w:val="00756BC0"/>
    <w:rsid w:val="0075750C"/>
    <w:rsid w:val="00757BB0"/>
    <w:rsid w:val="00757DE6"/>
    <w:rsid w:val="00760224"/>
    <w:rsid w:val="00760439"/>
    <w:rsid w:val="00760749"/>
    <w:rsid w:val="00760BCF"/>
    <w:rsid w:val="00760F57"/>
    <w:rsid w:val="00761373"/>
    <w:rsid w:val="00761D62"/>
    <w:rsid w:val="00761E03"/>
    <w:rsid w:val="00762704"/>
    <w:rsid w:val="00762838"/>
    <w:rsid w:val="007628F6"/>
    <w:rsid w:val="00762F13"/>
    <w:rsid w:val="0076377A"/>
    <w:rsid w:val="00763B9B"/>
    <w:rsid w:val="00763C3B"/>
    <w:rsid w:val="0076426F"/>
    <w:rsid w:val="007646D2"/>
    <w:rsid w:val="00764817"/>
    <w:rsid w:val="0076513E"/>
    <w:rsid w:val="00765511"/>
    <w:rsid w:val="007657C8"/>
    <w:rsid w:val="00765944"/>
    <w:rsid w:val="00765D58"/>
    <w:rsid w:val="00766931"/>
    <w:rsid w:val="00766B8E"/>
    <w:rsid w:val="00766EBC"/>
    <w:rsid w:val="00767356"/>
    <w:rsid w:val="00767842"/>
    <w:rsid w:val="007678B2"/>
    <w:rsid w:val="00767B0E"/>
    <w:rsid w:val="00770F65"/>
    <w:rsid w:val="0077106C"/>
    <w:rsid w:val="00771104"/>
    <w:rsid w:val="00771182"/>
    <w:rsid w:val="007713EB"/>
    <w:rsid w:val="00772169"/>
    <w:rsid w:val="007723B4"/>
    <w:rsid w:val="0077267D"/>
    <w:rsid w:val="007726B7"/>
    <w:rsid w:val="00772F1D"/>
    <w:rsid w:val="0077325D"/>
    <w:rsid w:val="00773F59"/>
    <w:rsid w:val="00774004"/>
    <w:rsid w:val="00774189"/>
    <w:rsid w:val="00774248"/>
    <w:rsid w:val="00774261"/>
    <w:rsid w:val="007745C0"/>
    <w:rsid w:val="007747AD"/>
    <w:rsid w:val="00774A00"/>
    <w:rsid w:val="00774AC0"/>
    <w:rsid w:val="0077638A"/>
    <w:rsid w:val="00776426"/>
    <w:rsid w:val="00776660"/>
    <w:rsid w:val="0077674C"/>
    <w:rsid w:val="007768CA"/>
    <w:rsid w:val="00776C88"/>
    <w:rsid w:val="00776D09"/>
    <w:rsid w:val="0077708D"/>
    <w:rsid w:val="0077728C"/>
    <w:rsid w:val="00777621"/>
    <w:rsid w:val="0077790F"/>
    <w:rsid w:val="00777E3F"/>
    <w:rsid w:val="00777EF8"/>
    <w:rsid w:val="00777FAC"/>
    <w:rsid w:val="0078053E"/>
    <w:rsid w:val="00780BA2"/>
    <w:rsid w:val="00780E44"/>
    <w:rsid w:val="0078103D"/>
    <w:rsid w:val="007813DA"/>
    <w:rsid w:val="0078197F"/>
    <w:rsid w:val="00781BC4"/>
    <w:rsid w:val="00782353"/>
    <w:rsid w:val="00782488"/>
    <w:rsid w:val="00784360"/>
    <w:rsid w:val="0078448C"/>
    <w:rsid w:val="0078475E"/>
    <w:rsid w:val="00784BBA"/>
    <w:rsid w:val="00784F64"/>
    <w:rsid w:val="00784F7E"/>
    <w:rsid w:val="00784F7F"/>
    <w:rsid w:val="007853A0"/>
    <w:rsid w:val="007853CC"/>
    <w:rsid w:val="007854FC"/>
    <w:rsid w:val="00786096"/>
    <w:rsid w:val="0079043C"/>
    <w:rsid w:val="0079061C"/>
    <w:rsid w:val="00790807"/>
    <w:rsid w:val="00790A64"/>
    <w:rsid w:val="0079117A"/>
    <w:rsid w:val="00791ED4"/>
    <w:rsid w:val="00792413"/>
    <w:rsid w:val="00792418"/>
    <w:rsid w:val="007925BF"/>
    <w:rsid w:val="0079271E"/>
    <w:rsid w:val="00792AA7"/>
    <w:rsid w:val="00792CF5"/>
    <w:rsid w:val="00793164"/>
    <w:rsid w:val="007932E3"/>
    <w:rsid w:val="007932F9"/>
    <w:rsid w:val="007933C9"/>
    <w:rsid w:val="00793619"/>
    <w:rsid w:val="00794626"/>
    <w:rsid w:val="0079499C"/>
    <w:rsid w:val="007963B4"/>
    <w:rsid w:val="00796674"/>
    <w:rsid w:val="00796EB2"/>
    <w:rsid w:val="007970C8"/>
    <w:rsid w:val="00797EE0"/>
    <w:rsid w:val="007A01A3"/>
    <w:rsid w:val="007A0548"/>
    <w:rsid w:val="007A077A"/>
    <w:rsid w:val="007A0E28"/>
    <w:rsid w:val="007A185A"/>
    <w:rsid w:val="007A1A54"/>
    <w:rsid w:val="007A1CFD"/>
    <w:rsid w:val="007A2454"/>
    <w:rsid w:val="007A252D"/>
    <w:rsid w:val="007A29EC"/>
    <w:rsid w:val="007A2E5D"/>
    <w:rsid w:val="007A33E1"/>
    <w:rsid w:val="007A3B1D"/>
    <w:rsid w:val="007A437E"/>
    <w:rsid w:val="007A4505"/>
    <w:rsid w:val="007A4996"/>
    <w:rsid w:val="007A4E53"/>
    <w:rsid w:val="007A5044"/>
    <w:rsid w:val="007A5611"/>
    <w:rsid w:val="007A57AE"/>
    <w:rsid w:val="007A6418"/>
    <w:rsid w:val="007A65F9"/>
    <w:rsid w:val="007A69D9"/>
    <w:rsid w:val="007A6B14"/>
    <w:rsid w:val="007A77B4"/>
    <w:rsid w:val="007A7810"/>
    <w:rsid w:val="007A78A6"/>
    <w:rsid w:val="007A7A68"/>
    <w:rsid w:val="007A7D98"/>
    <w:rsid w:val="007B010F"/>
    <w:rsid w:val="007B01CA"/>
    <w:rsid w:val="007B0359"/>
    <w:rsid w:val="007B039E"/>
    <w:rsid w:val="007B03BF"/>
    <w:rsid w:val="007B063A"/>
    <w:rsid w:val="007B076B"/>
    <w:rsid w:val="007B0DE5"/>
    <w:rsid w:val="007B12DF"/>
    <w:rsid w:val="007B13D6"/>
    <w:rsid w:val="007B15EC"/>
    <w:rsid w:val="007B1630"/>
    <w:rsid w:val="007B19CE"/>
    <w:rsid w:val="007B2B4A"/>
    <w:rsid w:val="007B3226"/>
    <w:rsid w:val="007B359A"/>
    <w:rsid w:val="007B3D09"/>
    <w:rsid w:val="007B3E48"/>
    <w:rsid w:val="007B3FC8"/>
    <w:rsid w:val="007B4C19"/>
    <w:rsid w:val="007B4FE8"/>
    <w:rsid w:val="007B5183"/>
    <w:rsid w:val="007B51F7"/>
    <w:rsid w:val="007B5665"/>
    <w:rsid w:val="007B5BC2"/>
    <w:rsid w:val="007B65F2"/>
    <w:rsid w:val="007B6B7C"/>
    <w:rsid w:val="007B6F0E"/>
    <w:rsid w:val="007B746A"/>
    <w:rsid w:val="007B7720"/>
    <w:rsid w:val="007B7735"/>
    <w:rsid w:val="007B7B2B"/>
    <w:rsid w:val="007C0229"/>
    <w:rsid w:val="007C04EC"/>
    <w:rsid w:val="007C0788"/>
    <w:rsid w:val="007C079D"/>
    <w:rsid w:val="007C0A9A"/>
    <w:rsid w:val="007C0E14"/>
    <w:rsid w:val="007C1372"/>
    <w:rsid w:val="007C155B"/>
    <w:rsid w:val="007C2329"/>
    <w:rsid w:val="007C23B4"/>
    <w:rsid w:val="007C2C20"/>
    <w:rsid w:val="007C2DFA"/>
    <w:rsid w:val="007C3125"/>
    <w:rsid w:val="007C42B6"/>
    <w:rsid w:val="007C44C4"/>
    <w:rsid w:val="007C4673"/>
    <w:rsid w:val="007C4D99"/>
    <w:rsid w:val="007C53B4"/>
    <w:rsid w:val="007C57D8"/>
    <w:rsid w:val="007C5DE4"/>
    <w:rsid w:val="007C61BD"/>
    <w:rsid w:val="007C6561"/>
    <w:rsid w:val="007C6C53"/>
    <w:rsid w:val="007C7471"/>
    <w:rsid w:val="007C7733"/>
    <w:rsid w:val="007C7E4A"/>
    <w:rsid w:val="007C7E85"/>
    <w:rsid w:val="007D0591"/>
    <w:rsid w:val="007D0F0E"/>
    <w:rsid w:val="007D12CF"/>
    <w:rsid w:val="007D13C5"/>
    <w:rsid w:val="007D17EF"/>
    <w:rsid w:val="007D2380"/>
    <w:rsid w:val="007D24A1"/>
    <w:rsid w:val="007D26CA"/>
    <w:rsid w:val="007D28F8"/>
    <w:rsid w:val="007D3491"/>
    <w:rsid w:val="007D354C"/>
    <w:rsid w:val="007D3B97"/>
    <w:rsid w:val="007D3D37"/>
    <w:rsid w:val="007D44AA"/>
    <w:rsid w:val="007D47A9"/>
    <w:rsid w:val="007D4B52"/>
    <w:rsid w:val="007D4C5F"/>
    <w:rsid w:val="007D4EC8"/>
    <w:rsid w:val="007D516C"/>
    <w:rsid w:val="007D5AC1"/>
    <w:rsid w:val="007D5EBE"/>
    <w:rsid w:val="007D66DE"/>
    <w:rsid w:val="007D6DFD"/>
    <w:rsid w:val="007D73B6"/>
    <w:rsid w:val="007D74A8"/>
    <w:rsid w:val="007E0409"/>
    <w:rsid w:val="007E0905"/>
    <w:rsid w:val="007E12B9"/>
    <w:rsid w:val="007E1608"/>
    <w:rsid w:val="007E2F20"/>
    <w:rsid w:val="007E2F64"/>
    <w:rsid w:val="007E31C9"/>
    <w:rsid w:val="007E32AE"/>
    <w:rsid w:val="007E382A"/>
    <w:rsid w:val="007E3C3C"/>
    <w:rsid w:val="007E41E6"/>
    <w:rsid w:val="007E420B"/>
    <w:rsid w:val="007E482C"/>
    <w:rsid w:val="007E4836"/>
    <w:rsid w:val="007E4ACB"/>
    <w:rsid w:val="007E51B9"/>
    <w:rsid w:val="007E530B"/>
    <w:rsid w:val="007E5822"/>
    <w:rsid w:val="007E5840"/>
    <w:rsid w:val="007E6506"/>
    <w:rsid w:val="007E6CEF"/>
    <w:rsid w:val="007E7660"/>
    <w:rsid w:val="007E76C0"/>
    <w:rsid w:val="007E7CB5"/>
    <w:rsid w:val="007F0FBB"/>
    <w:rsid w:val="007F100B"/>
    <w:rsid w:val="007F14E2"/>
    <w:rsid w:val="007F1F55"/>
    <w:rsid w:val="007F2246"/>
    <w:rsid w:val="007F28A8"/>
    <w:rsid w:val="007F2E2F"/>
    <w:rsid w:val="007F30C5"/>
    <w:rsid w:val="007F31B3"/>
    <w:rsid w:val="007F3503"/>
    <w:rsid w:val="007F4369"/>
    <w:rsid w:val="007F49EB"/>
    <w:rsid w:val="007F4B2A"/>
    <w:rsid w:val="007F4BBD"/>
    <w:rsid w:val="007F503E"/>
    <w:rsid w:val="007F529C"/>
    <w:rsid w:val="007F568A"/>
    <w:rsid w:val="007F5CDF"/>
    <w:rsid w:val="007F5DB6"/>
    <w:rsid w:val="007F6406"/>
    <w:rsid w:val="007F6443"/>
    <w:rsid w:val="007F6910"/>
    <w:rsid w:val="007F6B2C"/>
    <w:rsid w:val="007F6DF2"/>
    <w:rsid w:val="008000D3"/>
    <w:rsid w:val="008009D6"/>
    <w:rsid w:val="00801593"/>
    <w:rsid w:val="00801C81"/>
    <w:rsid w:val="00802D18"/>
    <w:rsid w:val="00802FCD"/>
    <w:rsid w:val="00803137"/>
    <w:rsid w:val="008032B5"/>
    <w:rsid w:val="00803407"/>
    <w:rsid w:val="00804B37"/>
    <w:rsid w:val="00804F2E"/>
    <w:rsid w:val="008056B0"/>
    <w:rsid w:val="00805F53"/>
    <w:rsid w:val="008060BF"/>
    <w:rsid w:val="00806243"/>
    <w:rsid w:val="008065B9"/>
    <w:rsid w:val="0080690C"/>
    <w:rsid w:val="00806C30"/>
    <w:rsid w:val="00806EDF"/>
    <w:rsid w:val="008071A5"/>
    <w:rsid w:val="008076E3"/>
    <w:rsid w:val="00807ACF"/>
    <w:rsid w:val="00807DEE"/>
    <w:rsid w:val="00810338"/>
    <w:rsid w:val="00810414"/>
    <w:rsid w:val="0081090C"/>
    <w:rsid w:val="00810E01"/>
    <w:rsid w:val="00811C25"/>
    <w:rsid w:val="00812058"/>
    <w:rsid w:val="008122A0"/>
    <w:rsid w:val="00813007"/>
    <w:rsid w:val="00813139"/>
    <w:rsid w:val="008133CB"/>
    <w:rsid w:val="008134DC"/>
    <w:rsid w:val="008135F3"/>
    <w:rsid w:val="00813A38"/>
    <w:rsid w:val="00813CEC"/>
    <w:rsid w:val="00814114"/>
    <w:rsid w:val="00814187"/>
    <w:rsid w:val="00814799"/>
    <w:rsid w:val="00814E06"/>
    <w:rsid w:val="0081518B"/>
    <w:rsid w:val="0081539B"/>
    <w:rsid w:val="00815CF1"/>
    <w:rsid w:val="00815F22"/>
    <w:rsid w:val="00816075"/>
    <w:rsid w:val="00816323"/>
    <w:rsid w:val="008165AD"/>
    <w:rsid w:val="00816B9D"/>
    <w:rsid w:val="00816BBC"/>
    <w:rsid w:val="00816C3D"/>
    <w:rsid w:val="00816D4E"/>
    <w:rsid w:val="008172E4"/>
    <w:rsid w:val="00817D91"/>
    <w:rsid w:val="00820291"/>
    <w:rsid w:val="00820664"/>
    <w:rsid w:val="008207E3"/>
    <w:rsid w:val="0082085F"/>
    <w:rsid w:val="0082094E"/>
    <w:rsid w:val="00820E37"/>
    <w:rsid w:val="00820E77"/>
    <w:rsid w:val="008213C1"/>
    <w:rsid w:val="008213C9"/>
    <w:rsid w:val="008216D3"/>
    <w:rsid w:val="00821DD5"/>
    <w:rsid w:val="00822797"/>
    <w:rsid w:val="008234D4"/>
    <w:rsid w:val="008238A9"/>
    <w:rsid w:val="008238FF"/>
    <w:rsid w:val="00823A85"/>
    <w:rsid w:val="00823F5A"/>
    <w:rsid w:val="008240EB"/>
    <w:rsid w:val="00824348"/>
    <w:rsid w:val="0082478E"/>
    <w:rsid w:val="00824D2D"/>
    <w:rsid w:val="008251E5"/>
    <w:rsid w:val="00825208"/>
    <w:rsid w:val="008253C6"/>
    <w:rsid w:val="00825754"/>
    <w:rsid w:val="008266C0"/>
    <w:rsid w:val="0082679E"/>
    <w:rsid w:val="00826B0C"/>
    <w:rsid w:val="008270B2"/>
    <w:rsid w:val="00827AF5"/>
    <w:rsid w:val="0083009A"/>
    <w:rsid w:val="00830954"/>
    <w:rsid w:val="00830AFC"/>
    <w:rsid w:val="008310ED"/>
    <w:rsid w:val="0083130D"/>
    <w:rsid w:val="008315FE"/>
    <w:rsid w:val="008317E7"/>
    <w:rsid w:val="008318F7"/>
    <w:rsid w:val="00831B32"/>
    <w:rsid w:val="00831EA8"/>
    <w:rsid w:val="00832387"/>
    <w:rsid w:val="0083280A"/>
    <w:rsid w:val="00832BF0"/>
    <w:rsid w:val="00832CF1"/>
    <w:rsid w:val="008330EA"/>
    <w:rsid w:val="0083310B"/>
    <w:rsid w:val="00833199"/>
    <w:rsid w:val="008336AE"/>
    <w:rsid w:val="00833E08"/>
    <w:rsid w:val="00833EAA"/>
    <w:rsid w:val="008340BC"/>
    <w:rsid w:val="0083455D"/>
    <w:rsid w:val="0083470D"/>
    <w:rsid w:val="00834C44"/>
    <w:rsid w:val="00834D65"/>
    <w:rsid w:val="00835064"/>
    <w:rsid w:val="008351EF"/>
    <w:rsid w:val="0083535C"/>
    <w:rsid w:val="00836207"/>
    <w:rsid w:val="0083621D"/>
    <w:rsid w:val="008365AB"/>
    <w:rsid w:val="00836AEA"/>
    <w:rsid w:val="00836C35"/>
    <w:rsid w:val="00836D8C"/>
    <w:rsid w:val="00836E69"/>
    <w:rsid w:val="0083701C"/>
    <w:rsid w:val="00837531"/>
    <w:rsid w:val="008375C2"/>
    <w:rsid w:val="008402D6"/>
    <w:rsid w:val="0084034A"/>
    <w:rsid w:val="00840E43"/>
    <w:rsid w:val="00842356"/>
    <w:rsid w:val="008424AC"/>
    <w:rsid w:val="008425BC"/>
    <w:rsid w:val="00842623"/>
    <w:rsid w:val="0084294D"/>
    <w:rsid w:val="00842A46"/>
    <w:rsid w:val="00842AC9"/>
    <w:rsid w:val="00842E37"/>
    <w:rsid w:val="00843694"/>
    <w:rsid w:val="008438DD"/>
    <w:rsid w:val="00843E6A"/>
    <w:rsid w:val="008444C3"/>
    <w:rsid w:val="0084462F"/>
    <w:rsid w:val="00844DAB"/>
    <w:rsid w:val="008452C9"/>
    <w:rsid w:val="00845435"/>
    <w:rsid w:val="008455C1"/>
    <w:rsid w:val="00845942"/>
    <w:rsid w:val="00845AAA"/>
    <w:rsid w:val="00845B43"/>
    <w:rsid w:val="00845C6B"/>
    <w:rsid w:val="0084659A"/>
    <w:rsid w:val="00846991"/>
    <w:rsid w:val="00846CFE"/>
    <w:rsid w:val="00846E3B"/>
    <w:rsid w:val="00847A5C"/>
    <w:rsid w:val="00847B1A"/>
    <w:rsid w:val="00850250"/>
    <w:rsid w:val="00850464"/>
    <w:rsid w:val="00850641"/>
    <w:rsid w:val="00850735"/>
    <w:rsid w:val="00850D78"/>
    <w:rsid w:val="00851446"/>
    <w:rsid w:val="0085178E"/>
    <w:rsid w:val="00851ED5"/>
    <w:rsid w:val="00851F43"/>
    <w:rsid w:val="008522BC"/>
    <w:rsid w:val="008523CE"/>
    <w:rsid w:val="00852AC2"/>
    <w:rsid w:val="00853E44"/>
    <w:rsid w:val="00853F4C"/>
    <w:rsid w:val="00854D52"/>
    <w:rsid w:val="008557D4"/>
    <w:rsid w:val="00855971"/>
    <w:rsid w:val="00856098"/>
    <w:rsid w:val="008560F2"/>
    <w:rsid w:val="00856119"/>
    <w:rsid w:val="0085643D"/>
    <w:rsid w:val="008569F9"/>
    <w:rsid w:val="00856E1E"/>
    <w:rsid w:val="00856E36"/>
    <w:rsid w:val="00856E92"/>
    <w:rsid w:val="00856F3F"/>
    <w:rsid w:val="00856F8B"/>
    <w:rsid w:val="00857140"/>
    <w:rsid w:val="00857317"/>
    <w:rsid w:val="0085799A"/>
    <w:rsid w:val="00860153"/>
    <w:rsid w:val="0086068B"/>
    <w:rsid w:val="008609A2"/>
    <w:rsid w:val="00860C97"/>
    <w:rsid w:val="0086106A"/>
    <w:rsid w:val="0086138F"/>
    <w:rsid w:val="008618BA"/>
    <w:rsid w:val="00862724"/>
    <w:rsid w:val="008627AA"/>
    <w:rsid w:val="0086344A"/>
    <w:rsid w:val="008635B7"/>
    <w:rsid w:val="00863997"/>
    <w:rsid w:val="00863E9C"/>
    <w:rsid w:val="0086401E"/>
    <w:rsid w:val="008642EB"/>
    <w:rsid w:val="008653C9"/>
    <w:rsid w:val="00865E59"/>
    <w:rsid w:val="008661F9"/>
    <w:rsid w:val="00866485"/>
    <w:rsid w:val="00866763"/>
    <w:rsid w:val="00866AC5"/>
    <w:rsid w:val="00866B80"/>
    <w:rsid w:val="00866CE9"/>
    <w:rsid w:val="008673D6"/>
    <w:rsid w:val="008674A2"/>
    <w:rsid w:val="00867801"/>
    <w:rsid w:val="00867B55"/>
    <w:rsid w:val="00867C2C"/>
    <w:rsid w:val="00867C64"/>
    <w:rsid w:val="00867CA1"/>
    <w:rsid w:val="00867E92"/>
    <w:rsid w:val="008702F2"/>
    <w:rsid w:val="00870535"/>
    <w:rsid w:val="008707CA"/>
    <w:rsid w:val="0087094F"/>
    <w:rsid w:val="00870F93"/>
    <w:rsid w:val="00871471"/>
    <w:rsid w:val="008714A2"/>
    <w:rsid w:val="0087157D"/>
    <w:rsid w:val="00871FBE"/>
    <w:rsid w:val="008721E7"/>
    <w:rsid w:val="00872596"/>
    <w:rsid w:val="008725D4"/>
    <w:rsid w:val="008727E9"/>
    <w:rsid w:val="00872962"/>
    <w:rsid w:val="00873691"/>
    <w:rsid w:val="0087392A"/>
    <w:rsid w:val="0087397F"/>
    <w:rsid w:val="00873AD5"/>
    <w:rsid w:val="00873B31"/>
    <w:rsid w:val="00873BAF"/>
    <w:rsid w:val="00873C30"/>
    <w:rsid w:val="00873DE9"/>
    <w:rsid w:val="00874010"/>
    <w:rsid w:val="00874118"/>
    <w:rsid w:val="00874539"/>
    <w:rsid w:val="00874B44"/>
    <w:rsid w:val="00875127"/>
    <w:rsid w:val="0087556F"/>
    <w:rsid w:val="0087583B"/>
    <w:rsid w:val="00876A0E"/>
    <w:rsid w:val="00876A4C"/>
    <w:rsid w:val="00876B0E"/>
    <w:rsid w:val="0087734C"/>
    <w:rsid w:val="00877765"/>
    <w:rsid w:val="00877F44"/>
    <w:rsid w:val="00880211"/>
    <w:rsid w:val="0088050C"/>
    <w:rsid w:val="008807DA"/>
    <w:rsid w:val="00880CF2"/>
    <w:rsid w:val="0088150B"/>
    <w:rsid w:val="00881A5D"/>
    <w:rsid w:val="00881DED"/>
    <w:rsid w:val="0088209A"/>
    <w:rsid w:val="00882416"/>
    <w:rsid w:val="008831BF"/>
    <w:rsid w:val="00883539"/>
    <w:rsid w:val="00883575"/>
    <w:rsid w:val="008844BC"/>
    <w:rsid w:val="0088472D"/>
    <w:rsid w:val="0088473E"/>
    <w:rsid w:val="00884A6A"/>
    <w:rsid w:val="00884ADD"/>
    <w:rsid w:val="00884B00"/>
    <w:rsid w:val="00884E49"/>
    <w:rsid w:val="00884E85"/>
    <w:rsid w:val="00885318"/>
    <w:rsid w:val="00885ACE"/>
    <w:rsid w:val="00885D5A"/>
    <w:rsid w:val="008865AE"/>
    <w:rsid w:val="00886BA5"/>
    <w:rsid w:val="00886C63"/>
    <w:rsid w:val="008876A7"/>
    <w:rsid w:val="00887C79"/>
    <w:rsid w:val="008900F3"/>
    <w:rsid w:val="00890589"/>
    <w:rsid w:val="008909F7"/>
    <w:rsid w:val="00890ADA"/>
    <w:rsid w:val="008912FE"/>
    <w:rsid w:val="00891391"/>
    <w:rsid w:val="00891F4B"/>
    <w:rsid w:val="0089207C"/>
    <w:rsid w:val="00892B74"/>
    <w:rsid w:val="00893646"/>
    <w:rsid w:val="008936C5"/>
    <w:rsid w:val="008939EF"/>
    <w:rsid w:val="00893C2E"/>
    <w:rsid w:val="0089424F"/>
    <w:rsid w:val="0089482B"/>
    <w:rsid w:val="00894DD1"/>
    <w:rsid w:val="0089588E"/>
    <w:rsid w:val="00895BC7"/>
    <w:rsid w:val="008970CF"/>
    <w:rsid w:val="0089718E"/>
    <w:rsid w:val="0089748F"/>
    <w:rsid w:val="008A06F8"/>
    <w:rsid w:val="008A08C4"/>
    <w:rsid w:val="008A097E"/>
    <w:rsid w:val="008A1291"/>
    <w:rsid w:val="008A1B86"/>
    <w:rsid w:val="008A1C6A"/>
    <w:rsid w:val="008A1D36"/>
    <w:rsid w:val="008A220E"/>
    <w:rsid w:val="008A2645"/>
    <w:rsid w:val="008A27FE"/>
    <w:rsid w:val="008A2D85"/>
    <w:rsid w:val="008A3998"/>
    <w:rsid w:val="008A3C62"/>
    <w:rsid w:val="008A3E79"/>
    <w:rsid w:val="008A3FFB"/>
    <w:rsid w:val="008A4064"/>
    <w:rsid w:val="008A419B"/>
    <w:rsid w:val="008A4302"/>
    <w:rsid w:val="008A43B0"/>
    <w:rsid w:val="008A4939"/>
    <w:rsid w:val="008A4AAE"/>
    <w:rsid w:val="008A553E"/>
    <w:rsid w:val="008A571B"/>
    <w:rsid w:val="008A5CAA"/>
    <w:rsid w:val="008A6BA3"/>
    <w:rsid w:val="008A6DF7"/>
    <w:rsid w:val="008A739B"/>
    <w:rsid w:val="008A76EE"/>
    <w:rsid w:val="008A78EE"/>
    <w:rsid w:val="008A78FA"/>
    <w:rsid w:val="008A7BDC"/>
    <w:rsid w:val="008A7E4C"/>
    <w:rsid w:val="008B06A8"/>
    <w:rsid w:val="008B06AB"/>
    <w:rsid w:val="008B0B50"/>
    <w:rsid w:val="008B0C78"/>
    <w:rsid w:val="008B0C7A"/>
    <w:rsid w:val="008B0D9E"/>
    <w:rsid w:val="008B1121"/>
    <w:rsid w:val="008B1A50"/>
    <w:rsid w:val="008B1DAF"/>
    <w:rsid w:val="008B1F14"/>
    <w:rsid w:val="008B22DA"/>
    <w:rsid w:val="008B29E7"/>
    <w:rsid w:val="008B2F38"/>
    <w:rsid w:val="008B328C"/>
    <w:rsid w:val="008B352C"/>
    <w:rsid w:val="008B3AE9"/>
    <w:rsid w:val="008B3C34"/>
    <w:rsid w:val="008B42B3"/>
    <w:rsid w:val="008B4372"/>
    <w:rsid w:val="008B4971"/>
    <w:rsid w:val="008B50A6"/>
    <w:rsid w:val="008B5445"/>
    <w:rsid w:val="008B56A4"/>
    <w:rsid w:val="008B5A18"/>
    <w:rsid w:val="008B5C06"/>
    <w:rsid w:val="008B6332"/>
    <w:rsid w:val="008B6CBD"/>
    <w:rsid w:val="008B73DA"/>
    <w:rsid w:val="008B752D"/>
    <w:rsid w:val="008B7666"/>
    <w:rsid w:val="008B7680"/>
    <w:rsid w:val="008B7E2F"/>
    <w:rsid w:val="008C0424"/>
    <w:rsid w:val="008C087C"/>
    <w:rsid w:val="008C0986"/>
    <w:rsid w:val="008C0C30"/>
    <w:rsid w:val="008C0FB2"/>
    <w:rsid w:val="008C12AC"/>
    <w:rsid w:val="008C12CA"/>
    <w:rsid w:val="008C143E"/>
    <w:rsid w:val="008C1589"/>
    <w:rsid w:val="008C1942"/>
    <w:rsid w:val="008C197B"/>
    <w:rsid w:val="008C1DEF"/>
    <w:rsid w:val="008C21E7"/>
    <w:rsid w:val="008C22F5"/>
    <w:rsid w:val="008C24ED"/>
    <w:rsid w:val="008C2C7F"/>
    <w:rsid w:val="008C2C8E"/>
    <w:rsid w:val="008C3082"/>
    <w:rsid w:val="008C3291"/>
    <w:rsid w:val="008C46CD"/>
    <w:rsid w:val="008C4A48"/>
    <w:rsid w:val="008C4D5A"/>
    <w:rsid w:val="008C5249"/>
    <w:rsid w:val="008C5267"/>
    <w:rsid w:val="008C564F"/>
    <w:rsid w:val="008C6100"/>
    <w:rsid w:val="008C64BB"/>
    <w:rsid w:val="008C6944"/>
    <w:rsid w:val="008C6B18"/>
    <w:rsid w:val="008C6F7F"/>
    <w:rsid w:val="008C728A"/>
    <w:rsid w:val="008C7587"/>
    <w:rsid w:val="008C7844"/>
    <w:rsid w:val="008C7B88"/>
    <w:rsid w:val="008C7CEA"/>
    <w:rsid w:val="008D0368"/>
    <w:rsid w:val="008D0AB0"/>
    <w:rsid w:val="008D1183"/>
    <w:rsid w:val="008D1392"/>
    <w:rsid w:val="008D1766"/>
    <w:rsid w:val="008D179D"/>
    <w:rsid w:val="008D182B"/>
    <w:rsid w:val="008D25F8"/>
    <w:rsid w:val="008D2AD6"/>
    <w:rsid w:val="008D2DC0"/>
    <w:rsid w:val="008D2E3A"/>
    <w:rsid w:val="008D35ED"/>
    <w:rsid w:val="008D417A"/>
    <w:rsid w:val="008D4B34"/>
    <w:rsid w:val="008D4F23"/>
    <w:rsid w:val="008D50BE"/>
    <w:rsid w:val="008D52CD"/>
    <w:rsid w:val="008D5BBF"/>
    <w:rsid w:val="008D6043"/>
    <w:rsid w:val="008D60B2"/>
    <w:rsid w:val="008D66F2"/>
    <w:rsid w:val="008D67F8"/>
    <w:rsid w:val="008D6C50"/>
    <w:rsid w:val="008D721F"/>
    <w:rsid w:val="008D7249"/>
    <w:rsid w:val="008D7456"/>
    <w:rsid w:val="008D7F96"/>
    <w:rsid w:val="008E01DE"/>
    <w:rsid w:val="008E02E7"/>
    <w:rsid w:val="008E14AF"/>
    <w:rsid w:val="008E186C"/>
    <w:rsid w:val="008E1F39"/>
    <w:rsid w:val="008E20ED"/>
    <w:rsid w:val="008E2974"/>
    <w:rsid w:val="008E2B6B"/>
    <w:rsid w:val="008E3231"/>
    <w:rsid w:val="008E355F"/>
    <w:rsid w:val="008E37AF"/>
    <w:rsid w:val="008E3955"/>
    <w:rsid w:val="008E3993"/>
    <w:rsid w:val="008E3A31"/>
    <w:rsid w:val="008E3E41"/>
    <w:rsid w:val="008E3F11"/>
    <w:rsid w:val="008E3F88"/>
    <w:rsid w:val="008E422C"/>
    <w:rsid w:val="008E4336"/>
    <w:rsid w:val="008E4432"/>
    <w:rsid w:val="008E5527"/>
    <w:rsid w:val="008E5986"/>
    <w:rsid w:val="008E6138"/>
    <w:rsid w:val="008E658D"/>
    <w:rsid w:val="008E664F"/>
    <w:rsid w:val="008E6CCD"/>
    <w:rsid w:val="008E7214"/>
    <w:rsid w:val="008E7A93"/>
    <w:rsid w:val="008E7E7E"/>
    <w:rsid w:val="008F064E"/>
    <w:rsid w:val="008F0675"/>
    <w:rsid w:val="008F06EF"/>
    <w:rsid w:val="008F0BB6"/>
    <w:rsid w:val="008F0DC8"/>
    <w:rsid w:val="008F114E"/>
    <w:rsid w:val="008F11D4"/>
    <w:rsid w:val="008F1446"/>
    <w:rsid w:val="008F15BD"/>
    <w:rsid w:val="008F219A"/>
    <w:rsid w:val="008F27EF"/>
    <w:rsid w:val="008F2F2C"/>
    <w:rsid w:val="008F2F4D"/>
    <w:rsid w:val="008F342B"/>
    <w:rsid w:val="008F3ED3"/>
    <w:rsid w:val="008F4673"/>
    <w:rsid w:val="008F476D"/>
    <w:rsid w:val="008F4CBD"/>
    <w:rsid w:val="008F4D6D"/>
    <w:rsid w:val="008F4E4D"/>
    <w:rsid w:val="008F547C"/>
    <w:rsid w:val="008F54A3"/>
    <w:rsid w:val="008F58A6"/>
    <w:rsid w:val="008F5987"/>
    <w:rsid w:val="008F5B2D"/>
    <w:rsid w:val="008F5C3B"/>
    <w:rsid w:val="008F5C46"/>
    <w:rsid w:val="008F5E05"/>
    <w:rsid w:val="008F5E18"/>
    <w:rsid w:val="008F621E"/>
    <w:rsid w:val="008F6A44"/>
    <w:rsid w:val="008F750F"/>
    <w:rsid w:val="008F7654"/>
    <w:rsid w:val="008F7C13"/>
    <w:rsid w:val="00900699"/>
    <w:rsid w:val="009009B9"/>
    <w:rsid w:val="00900CF1"/>
    <w:rsid w:val="00900E5B"/>
    <w:rsid w:val="00900E6F"/>
    <w:rsid w:val="00901508"/>
    <w:rsid w:val="009015F2"/>
    <w:rsid w:val="009016BB"/>
    <w:rsid w:val="0090185B"/>
    <w:rsid w:val="009019C3"/>
    <w:rsid w:val="00902838"/>
    <w:rsid w:val="00902C5A"/>
    <w:rsid w:val="00902F1A"/>
    <w:rsid w:val="009030A4"/>
    <w:rsid w:val="0090312C"/>
    <w:rsid w:val="00903244"/>
    <w:rsid w:val="0090364B"/>
    <w:rsid w:val="009038C0"/>
    <w:rsid w:val="00903A11"/>
    <w:rsid w:val="00903AA7"/>
    <w:rsid w:val="00903E98"/>
    <w:rsid w:val="00904762"/>
    <w:rsid w:val="00904ACD"/>
    <w:rsid w:val="00904CCF"/>
    <w:rsid w:val="00904D3E"/>
    <w:rsid w:val="00905112"/>
    <w:rsid w:val="0090517B"/>
    <w:rsid w:val="0090545D"/>
    <w:rsid w:val="0090587B"/>
    <w:rsid w:val="0090614E"/>
    <w:rsid w:val="009068DA"/>
    <w:rsid w:val="00906A9F"/>
    <w:rsid w:val="00906C7D"/>
    <w:rsid w:val="00907515"/>
    <w:rsid w:val="00907A0F"/>
    <w:rsid w:val="0091068D"/>
    <w:rsid w:val="00910FC1"/>
    <w:rsid w:val="00911B39"/>
    <w:rsid w:val="00912166"/>
    <w:rsid w:val="00912771"/>
    <w:rsid w:val="00912C84"/>
    <w:rsid w:val="0091324D"/>
    <w:rsid w:val="00913653"/>
    <w:rsid w:val="00913853"/>
    <w:rsid w:val="00913C1A"/>
    <w:rsid w:val="009144EC"/>
    <w:rsid w:val="00914576"/>
    <w:rsid w:val="00914969"/>
    <w:rsid w:val="00914E05"/>
    <w:rsid w:val="00915C85"/>
    <w:rsid w:val="0091662A"/>
    <w:rsid w:val="00916C74"/>
    <w:rsid w:val="00916D83"/>
    <w:rsid w:val="00916E09"/>
    <w:rsid w:val="00916E9B"/>
    <w:rsid w:val="00916ED2"/>
    <w:rsid w:val="00917037"/>
    <w:rsid w:val="0091731F"/>
    <w:rsid w:val="0091754B"/>
    <w:rsid w:val="009178D5"/>
    <w:rsid w:val="00917BA7"/>
    <w:rsid w:val="00917C90"/>
    <w:rsid w:val="00917D34"/>
    <w:rsid w:val="00917EE1"/>
    <w:rsid w:val="00920444"/>
    <w:rsid w:val="00920A10"/>
    <w:rsid w:val="00920F35"/>
    <w:rsid w:val="00921146"/>
    <w:rsid w:val="009211CB"/>
    <w:rsid w:val="009212F7"/>
    <w:rsid w:val="009213C4"/>
    <w:rsid w:val="0092163A"/>
    <w:rsid w:val="00921835"/>
    <w:rsid w:val="0092189D"/>
    <w:rsid w:val="0092199D"/>
    <w:rsid w:val="00921DF7"/>
    <w:rsid w:val="00921E4D"/>
    <w:rsid w:val="009223C2"/>
    <w:rsid w:val="0092241B"/>
    <w:rsid w:val="0092255F"/>
    <w:rsid w:val="009227DC"/>
    <w:rsid w:val="0092317C"/>
    <w:rsid w:val="0092351E"/>
    <w:rsid w:val="009237BC"/>
    <w:rsid w:val="00923B22"/>
    <w:rsid w:val="0092487E"/>
    <w:rsid w:val="009251D1"/>
    <w:rsid w:val="009252E9"/>
    <w:rsid w:val="00925E65"/>
    <w:rsid w:val="009266B7"/>
    <w:rsid w:val="009269EE"/>
    <w:rsid w:val="00926F20"/>
    <w:rsid w:val="00927242"/>
    <w:rsid w:val="00930123"/>
    <w:rsid w:val="00930656"/>
    <w:rsid w:val="009306AF"/>
    <w:rsid w:val="009312E6"/>
    <w:rsid w:val="00931581"/>
    <w:rsid w:val="009317DF"/>
    <w:rsid w:val="00931CB2"/>
    <w:rsid w:val="009321D3"/>
    <w:rsid w:val="00932328"/>
    <w:rsid w:val="0093233E"/>
    <w:rsid w:val="009328C1"/>
    <w:rsid w:val="00932C41"/>
    <w:rsid w:val="00932D8C"/>
    <w:rsid w:val="00932E9B"/>
    <w:rsid w:val="0093388E"/>
    <w:rsid w:val="009338DC"/>
    <w:rsid w:val="009338ED"/>
    <w:rsid w:val="00934CEC"/>
    <w:rsid w:val="009355C6"/>
    <w:rsid w:val="009357DE"/>
    <w:rsid w:val="009358C0"/>
    <w:rsid w:val="00935D12"/>
    <w:rsid w:val="00935F0C"/>
    <w:rsid w:val="00935FF0"/>
    <w:rsid w:val="0093647E"/>
    <w:rsid w:val="00936958"/>
    <w:rsid w:val="009371D5"/>
    <w:rsid w:val="00937339"/>
    <w:rsid w:val="0093748E"/>
    <w:rsid w:val="00937630"/>
    <w:rsid w:val="009377C6"/>
    <w:rsid w:val="00937D09"/>
    <w:rsid w:val="00937DB5"/>
    <w:rsid w:val="009401EF"/>
    <w:rsid w:val="0094065D"/>
    <w:rsid w:val="00940CDD"/>
    <w:rsid w:val="00940DB2"/>
    <w:rsid w:val="00940E04"/>
    <w:rsid w:val="009412F6"/>
    <w:rsid w:val="00941504"/>
    <w:rsid w:val="009416E8"/>
    <w:rsid w:val="009416EF"/>
    <w:rsid w:val="0094180E"/>
    <w:rsid w:val="00941C45"/>
    <w:rsid w:val="009423B5"/>
    <w:rsid w:val="009425F8"/>
    <w:rsid w:val="0094276F"/>
    <w:rsid w:val="00942899"/>
    <w:rsid w:val="009428E5"/>
    <w:rsid w:val="009431E0"/>
    <w:rsid w:val="0094394E"/>
    <w:rsid w:val="00943FE3"/>
    <w:rsid w:val="009440C7"/>
    <w:rsid w:val="00944891"/>
    <w:rsid w:val="00945415"/>
    <w:rsid w:val="00945577"/>
    <w:rsid w:val="00945697"/>
    <w:rsid w:val="00945B55"/>
    <w:rsid w:val="00945DDE"/>
    <w:rsid w:val="00946125"/>
    <w:rsid w:val="00946203"/>
    <w:rsid w:val="0094650D"/>
    <w:rsid w:val="00946546"/>
    <w:rsid w:val="009465B5"/>
    <w:rsid w:val="00946B70"/>
    <w:rsid w:val="00946D95"/>
    <w:rsid w:val="00947235"/>
    <w:rsid w:val="009473BE"/>
    <w:rsid w:val="009476EE"/>
    <w:rsid w:val="00947C5C"/>
    <w:rsid w:val="00947E3C"/>
    <w:rsid w:val="00947FE7"/>
    <w:rsid w:val="009501F8"/>
    <w:rsid w:val="00950A35"/>
    <w:rsid w:val="0095154B"/>
    <w:rsid w:val="00952825"/>
    <w:rsid w:val="00952FE7"/>
    <w:rsid w:val="009535AC"/>
    <w:rsid w:val="00954A1E"/>
    <w:rsid w:val="00955550"/>
    <w:rsid w:val="00955B18"/>
    <w:rsid w:val="0095659A"/>
    <w:rsid w:val="009565C8"/>
    <w:rsid w:val="00956FA5"/>
    <w:rsid w:val="009571E2"/>
    <w:rsid w:val="009575D1"/>
    <w:rsid w:val="00957A56"/>
    <w:rsid w:val="00957FCC"/>
    <w:rsid w:val="00960A63"/>
    <w:rsid w:val="00961050"/>
    <w:rsid w:val="00961473"/>
    <w:rsid w:val="009614FE"/>
    <w:rsid w:val="00961B11"/>
    <w:rsid w:val="00961B36"/>
    <w:rsid w:val="0096208F"/>
    <w:rsid w:val="009623CD"/>
    <w:rsid w:val="0096241E"/>
    <w:rsid w:val="00962501"/>
    <w:rsid w:val="0096298D"/>
    <w:rsid w:val="009629A9"/>
    <w:rsid w:val="00962ABA"/>
    <w:rsid w:val="00962D55"/>
    <w:rsid w:val="00962F77"/>
    <w:rsid w:val="00963554"/>
    <w:rsid w:val="0096364C"/>
    <w:rsid w:val="00963838"/>
    <w:rsid w:val="00963F81"/>
    <w:rsid w:val="00963F96"/>
    <w:rsid w:val="00964041"/>
    <w:rsid w:val="009643AB"/>
    <w:rsid w:val="009643B3"/>
    <w:rsid w:val="00964917"/>
    <w:rsid w:val="00964AFF"/>
    <w:rsid w:val="00964E9E"/>
    <w:rsid w:val="00965662"/>
    <w:rsid w:val="00965B2C"/>
    <w:rsid w:val="009660E2"/>
    <w:rsid w:val="00966815"/>
    <w:rsid w:val="009669A6"/>
    <w:rsid w:val="00966CE2"/>
    <w:rsid w:val="0096781D"/>
    <w:rsid w:val="00967B43"/>
    <w:rsid w:val="00970347"/>
    <w:rsid w:val="0097095E"/>
    <w:rsid w:val="00971D58"/>
    <w:rsid w:val="00973A8A"/>
    <w:rsid w:val="00973C23"/>
    <w:rsid w:val="009751FF"/>
    <w:rsid w:val="0097528B"/>
    <w:rsid w:val="00975CBB"/>
    <w:rsid w:val="0097672E"/>
    <w:rsid w:val="009768E0"/>
    <w:rsid w:val="00977346"/>
    <w:rsid w:val="00977D7D"/>
    <w:rsid w:val="009804CC"/>
    <w:rsid w:val="00980CA2"/>
    <w:rsid w:val="00980ED6"/>
    <w:rsid w:val="00980F6E"/>
    <w:rsid w:val="0098107D"/>
    <w:rsid w:val="00981109"/>
    <w:rsid w:val="00981141"/>
    <w:rsid w:val="00981A5C"/>
    <w:rsid w:val="00981BC3"/>
    <w:rsid w:val="00981EB7"/>
    <w:rsid w:val="00982056"/>
    <w:rsid w:val="00982545"/>
    <w:rsid w:val="00982667"/>
    <w:rsid w:val="009826E2"/>
    <w:rsid w:val="009828AC"/>
    <w:rsid w:val="00982FB6"/>
    <w:rsid w:val="009839E0"/>
    <w:rsid w:val="00984A55"/>
    <w:rsid w:val="00984C49"/>
    <w:rsid w:val="00984F5E"/>
    <w:rsid w:val="00985273"/>
    <w:rsid w:val="0098612F"/>
    <w:rsid w:val="00986384"/>
    <w:rsid w:val="009865F7"/>
    <w:rsid w:val="009865FC"/>
    <w:rsid w:val="00986612"/>
    <w:rsid w:val="00986A65"/>
    <w:rsid w:val="00986D31"/>
    <w:rsid w:val="0098710F"/>
    <w:rsid w:val="00987292"/>
    <w:rsid w:val="009873AE"/>
    <w:rsid w:val="00987632"/>
    <w:rsid w:val="00987A6C"/>
    <w:rsid w:val="00987CC6"/>
    <w:rsid w:val="009905E2"/>
    <w:rsid w:val="0099081C"/>
    <w:rsid w:val="0099086E"/>
    <w:rsid w:val="009909BE"/>
    <w:rsid w:val="00991073"/>
    <w:rsid w:val="009918DD"/>
    <w:rsid w:val="0099196A"/>
    <w:rsid w:val="00992166"/>
    <w:rsid w:val="009923BC"/>
    <w:rsid w:val="00992A82"/>
    <w:rsid w:val="00992CAC"/>
    <w:rsid w:val="00992E21"/>
    <w:rsid w:val="00993022"/>
    <w:rsid w:val="009948E7"/>
    <w:rsid w:val="00994FB4"/>
    <w:rsid w:val="009951FF"/>
    <w:rsid w:val="00995580"/>
    <w:rsid w:val="00995C63"/>
    <w:rsid w:val="0099622A"/>
    <w:rsid w:val="0099657A"/>
    <w:rsid w:val="0099670D"/>
    <w:rsid w:val="00996771"/>
    <w:rsid w:val="00996FFB"/>
    <w:rsid w:val="009970A0"/>
    <w:rsid w:val="009971FD"/>
    <w:rsid w:val="00997219"/>
    <w:rsid w:val="00997320"/>
    <w:rsid w:val="0099749C"/>
    <w:rsid w:val="00997667"/>
    <w:rsid w:val="00997A48"/>
    <w:rsid w:val="00997DF6"/>
    <w:rsid w:val="009A0087"/>
    <w:rsid w:val="009A041B"/>
    <w:rsid w:val="009A0703"/>
    <w:rsid w:val="009A0A4F"/>
    <w:rsid w:val="009A0B00"/>
    <w:rsid w:val="009A0B1C"/>
    <w:rsid w:val="009A0C12"/>
    <w:rsid w:val="009A11FB"/>
    <w:rsid w:val="009A19B0"/>
    <w:rsid w:val="009A1C90"/>
    <w:rsid w:val="009A216C"/>
    <w:rsid w:val="009A242B"/>
    <w:rsid w:val="009A24FF"/>
    <w:rsid w:val="009A2D5E"/>
    <w:rsid w:val="009A31FE"/>
    <w:rsid w:val="009A3300"/>
    <w:rsid w:val="009A4204"/>
    <w:rsid w:val="009A49A6"/>
    <w:rsid w:val="009A4AE5"/>
    <w:rsid w:val="009A4D1A"/>
    <w:rsid w:val="009A585E"/>
    <w:rsid w:val="009A5876"/>
    <w:rsid w:val="009A596B"/>
    <w:rsid w:val="009A5AC7"/>
    <w:rsid w:val="009A5B4D"/>
    <w:rsid w:val="009A5B7F"/>
    <w:rsid w:val="009A6747"/>
    <w:rsid w:val="009A693D"/>
    <w:rsid w:val="009A792F"/>
    <w:rsid w:val="009B0113"/>
    <w:rsid w:val="009B0BAC"/>
    <w:rsid w:val="009B1112"/>
    <w:rsid w:val="009B13AD"/>
    <w:rsid w:val="009B2178"/>
    <w:rsid w:val="009B25E5"/>
    <w:rsid w:val="009B27CD"/>
    <w:rsid w:val="009B3415"/>
    <w:rsid w:val="009B3A63"/>
    <w:rsid w:val="009B3AEF"/>
    <w:rsid w:val="009B4457"/>
    <w:rsid w:val="009B4BC7"/>
    <w:rsid w:val="009B4BEA"/>
    <w:rsid w:val="009B5AF3"/>
    <w:rsid w:val="009B5DCD"/>
    <w:rsid w:val="009B5F1A"/>
    <w:rsid w:val="009B636A"/>
    <w:rsid w:val="009B63AE"/>
    <w:rsid w:val="009B678C"/>
    <w:rsid w:val="009B6864"/>
    <w:rsid w:val="009B6CC4"/>
    <w:rsid w:val="009B6FD4"/>
    <w:rsid w:val="009B71AE"/>
    <w:rsid w:val="009B7A67"/>
    <w:rsid w:val="009B7B41"/>
    <w:rsid w:val="009C00B5"/>
    <w:rsid w:val="009C0350"/>
    <w:rsid w:val="009C0413"/>
    <w:rsid w:val="009C0827"/>
    <w:rsid w:val="009C1407"/>
    <w:rsid w:val="009C192D"/>
    <w:rsid w:val="009C264F"/>
    <w:rsid w:val="009C276E"/>
    <w:rsid w:val="009C2BA4"/>
    <w:rsid w:val="009C2E2D"/>
    <w:rsid w:val="009C33D0"/>
    <w:rsid w:val="009C356B"/>
    <w:rsid w:val="009C3AF8"/>
    <w:rsid w:val="009C3F90"/>
    <w:rsid w:val="009C3FC0"/>
    <w:rsid w:val="009C41E2"/>
    <w:rsid w:val="009C4460"/>
    <w:rsid w:val="009C48C8"/>
    <w:rsid w:val="009C592E"/>
    <w:rsid w:val="009C5E1A"/>
    <w:rsid w:val="009C5F74"/>
    <w:rsid w:val="009C6A97"/>
    <w:rsid w:val="009C6B01"/>
    <w:rsid w:val="009C7405"/>
    <w:rsid w:val="009C7839"/>
    <w:rsid w:val="009D088C"/>
    <w:rsid w:val="009D0997"/>
    <w:rsid w:val="009D0FFE"/>
    <w:rsid w:val="009D19BD"/>
    <w:rsid w:val="009D1D3F"/>
    <w:rsid w:val="009D2602"/>
    <w:rsid w:val="009D2A9B"/>
    <w:rsid w:val="009D2C99"/>
    <w:rsid w:val="009D34A1"/>
    <w:rsid w:val="009D34EA"/>
    <w:rsid w:val="009D37DA"/>
    <w:rsid w:val="009D381F"/>
    <w:rsid w:val="009D38F0"/>
    <w:rsid w:val="009D390E"/>
    <w:rsid w:val="009D3CFE"/>
    <w:rsid w:val="009D3DAE"/>
    <w:rsid w:val="009D3E01"/>
    <w:rsid w:val="009D42DC"/>
    <w:rsid w:val="009D48DF"/>
    <w:rsid w:val="009D49CD"/>
    <w:rsid w:val="009D4BF2"/>
    <w:rsid w:val="009D5F5A"/>
    <w:rsid w:val="009D5FC5"/>
    <w:rsid w:val="009D6211"/>
    <w:rsid w:val="009D679B"/>
    <w:rsid w:val="009D6851"/>
    <w:rsid w:val="009D695A"/>
    <w:rsid w:val="009D70FD"/>
    <w:rsid w:val="009E0131"/>
    <w:rsid w:val="009E0177"/>
    <w:rsid w:val="009E0AAB"/>
    <w:rsid w:val="009E1144"/>
    <w:rsid w:val="009E134A"/>
    <w:rsid w:val="009E1674"/>
    <w:rsid w:val="009E17F6"/>
    <w:rsid w:val="009E191C"/>
    <w:rsid w:val="009E1F8F"/>
    <w:rsid w:val="009E221D"/>
    <w:rsid w:val="009E241D"/>
    <w:rsid w:val="009E27A5"/>
    <w:rsid w:val="009E2D22"/>
    <w:rsid w:val="009E32D4"/>
    <w:rsid w:val="009E3E1D"/>
    <w:rsid w:val="009E410E"/>
    <w:rsid w:val="009E4236"/>
    <w:rsid w:val="009E4A7B"/>
    <w:rsid w:val="009E4A82"/>
    <w:rsid w:val="009E4C1B"/>
    <w:rsid w:val="009E54DA"/>
    <w:rsid w:val="009E55CE"/>
    <w:rsid w:val="009E5909"/>
    <w:rsid w:val="009E62A1"/>
    <w:rsid w:val="009E638E"/>
    <w:rsid w:val="009E63FA"/>
    <w:rsid w:val="009E66B5"/>
    <w:rsid w:val="009E69B5"/>
    <w:rsid w:val="009E7BC3"/>
    <w:rsid w:val="009E7C02"/>
    <w:rsid w:val="009F00D4"/>
    <w:rsid w:val="009F02B6"/>
    <w:rsid w:val="009F034C"/>
    <w:rsid w:val="009F03EE"/>
    <w:rsid w:val="009F046D"/>
    <w:rsid w:val="009F0941"/>
    <w:rsid w:val="009F0971"/>
    <w:rsid w:val="009F0A92"/>
    <w:rsid w:val="009F1073"/>
    <w:rsid w:val="009F117A"/>
    <w:rsid w:val="009F1A02"/>
    <w:rsid w:val="009F1B26"/>
    <w:rsid w:val="009F22FE"/>
    <w:rsid w:val="009F2BB3"/>
    <w:rsid w:val="009F316A"/>
    <w:rsid w:val="009F3337"/>
    <w:rsid w:val="009F3726"/>
    <w:rsid w:val="009F4D07"/>
    <w:rsid w:val="009F4F0B"/>
    <w:rsid w:val="009F4FFE"/>
    <w:rsid w:val="009F5455"/>
    <w:rsid w:val="009F54C9"/>
    <w:rsid w:val="009F58EA"/>
    <w:rsid w:val="009F5AC4"/>
    <w:rsid w:val="009F60E1"/>
    <w:rsid w:val="009F610F"/>
    <w:rsid w:val="009F638C"/>
    <w:rsid w:val="009F66B2"/>
    <w:rsid w:val="009F66B8"/>
    <w:rsid w:val="009F6722"/>
    <w:rsid w:val="009F6E78"/>
    <w:rsid w:val="009F7B71"/>
    <w:rsid w:val="009F7CF5"/>
    <w:rsid w:val="00A010AD"/>
    <w:rsid w:val="00A0174A"/>
    <w:rsid w:val="00A01E45"/>
    <w:rsid w:val="00A01FBA"/>
    <w:rsid w:val="00A024DF"/>
    <w:rsid w:val="00A0283D"/>
    <w:rsid w:val="00A029CE"/>
    <w:rsid w:val="00A02C34"/>
    <w:rsid w:val="00A0340B"/>
    <w:rsid w:val="00A037DB"/>
    <w:rsid w:val="00A03DB0"/>
    <w:rsid w:val="00A03FD6"/>
    <w:rsid w:val="00A04312"/>
    <w:rsid w:val="00A0454E"/>
    <w:rsid w:val="00A0465F"/>
    <w:rsid w:val="00A0487E"/>
    <w:rsid w:val="00A04A8B"/>
    <w:rsid w:val="00A04E2B"/>
    <w:rsid w:val="00A066DA"/>
    <w:rsid w:val="00A06AC3"/>
    <w:rsid w:val="00A06BC3"/>
    <w:rsid w:val="00A0703C"/>
    <w:rsid w:val="00A07D20"/>
    <w:rsid w:val="00A07F6F"/>
    <w:rsid w:val="00A10481"/>
    <w:rsid w:val="00A10CFA"/>
    <w:rsid w:val="00A117DB"/>
    <w:rsid w:val="00A11AD5"/>
    <w:rsid w:val="00A12214"/>
    <w:rsid w:val="00A130B5"/>
    <w:rsid w:val="00A13142"/>
    <w:rsid w:val="00A138EC"/>
    <w:rsid w:val="00A13A28"/>
    <w:rsid w:val="00A13AD4"/>
    <w:rsid w:val="00A13DF4"/>
    <w:rsid w:val="00A143FB"/>
    <w:rsid w:val="00A14BDA"/>
    <w:rsid w:val="00A14E20"/>
    <w:rsid w:val="00A15127"/>
    <w:rsid w:val="00A1534D"/>
    <w:rsid w:val="00A1560E"/>
    <w:rsid w:val="00A15A82"/>
    <w:rsid w:val="00A1650B"/>
    <w:rsid w:val="00A1696B"/>
    <w:rsid w:val="00A16B6C"/>
    <w:rsid w:val="00A16C6A"/>
    <w:rsid w:val="00A16C8D"/>
    <w:rsid w:val="00A16D49"/>
    <w:rsid w:val="00A16E23"/>
    <w:rsid w:val="00A16ED5"/>
    <w:rsid w:val="00A17A4A"/>
    <w:rsid w:val="00A201E6"/>
    <w:rsid w:val="00A20489"/>
    <w:rsid w:val="00A20B70"/>
    <w:rsid w:val="00A20F8A"/>
    <w:rsid w:val="00A217B1"/>
    <w:rsid w:val="00A21EAD"/>
    <w:rsid w:val="00A221C2"/>
    <w:rsid w:val="00A2290C"/>
    <w:rsid w:val="00A2345F"/>
    <w:rsid w:val="00A236F5"/>
    <w:rsid w:val="00A23BE8"/>
    <w:rsid w:val="00A23E00"/>
    <w:rsid w:val="00A24889"/>
    <w:rsid w:val="00A24C36"/>
    <w:rsid w:val="00A24D12"/>
    <w:rsid w:val="00A24DEF"/>
    <w:rsid w:val="00A25886"/>
    <w:rsid w:val="00A25899"/>
    <w:rsid w:val="00A25AB9"/>
    <w:rsid w:val="00A25FBB"/>
    <w:rsid w:val="00A26146"/>
    <w:rsid w:val="00A26672"/>
    <w:rsid w:val="00A267F7"/>
    <w:rsid w:val="00A26859"/>
    <w:rsid w:val="00A26C14"/>
    <w:rsid w:val="00A26C1C"/>
    <w:rsid w:val="00A26C49"/>
    <w:rsid w:val="00A274FC"/>
    <w:rsid w:val="00A27D3A"/>
    <w:rsid w:val="00A27EE9"/>
    <w:rsid w:val="00A3019B"/>
    <w:rsid w:val="00A302B4"/>
    <w:rsid w:val="00A31637"/>
    <w:rsid w:val="00A31B0E"/>
    <w:rsid w:val="00A31C70"/>
    <w:rsid w:val="00A320C1"/>
    <w:rsid w:val="00A32756"/>
    <w:rsid w:val="00A32A74"/>
    <w:rsid w:val="00A32B3A"/>
    <w:rsid w:val="00A332EC"/>
    <w:rsid w:val="00A33C63"/>
    <w:rsid w:val="00A340A8"/>
    <w:rsid w:val="00A3462E"/>
    <w:rsid w:val="00A34717"/>
    <w:rsid w:val="00A350B9"/>
    <w:rsid w:val="00A35D78"/>
    <w:rsid w:val="00A35D7B"/>
    <w:rsid w:val="00A35F1D"/>
    <w:rsid w:val="00A35F86"/>
    <w:rsid w:val="00A35FB8"/>
    <w:rsid w:val="00A3615D"/>
    <w:rsid w:val="00A36345"/>
    <w:rsid w:val="00A36D43"/>
    <w:rsid w:val="00A375D7"/>
    <w:rsid w:val="00A376B6"/>
    <w:rsid w:val="00A37796"/>
    <w:rsid w:val="00A37C84"/>
    <w:rsid w:val="00A37DD1"/>
    <w:rsid w:val="00A400ED"/>
    <w:rsid w:val="00A4044D"/>
    <w:rsid w:val="00A406CA"/>
    <w:rsid w:val="00A40A03"/>
    <w:rsid w:val="00A40A49"/>
    <w:rsid w:val="00A411C8"/>
    <w:rsid w:val="00A41587"/>
    <w:rsid w:val="00A415DD"/>
    <w:rsid w:val="00A41E48"/>
    <w:rsid w:val="00A42196"/>
    <w:rsid w:val="00A4255C"/>
    <w:rsid w:val="00A42947"/>
    <w:rsid w:val="00A42B80"/>
    <w:rsid w:val="00A42DF2"/>
    <w:rsid w:val="00A4331D"/>
    <w:rsid w:val="00A43789"/>
    <w:rsid w:val="00A4381A"/>
    <w:rsid w:val="00A43D8C"/>
    <w:rsid w:val="00A43E5F"/>
    <w:rsid w:val="00A4463C"/>
    <w:rsid w:val="00A448ED"/>
    <w:rsid w:val="00A44BBC"/>
    <w:rsid w:val="00A44D1E"/>
    <w:rsid w:val="00A450D1"/>
    <w:rsid w:val="00A452EE"/>
    <w:rsid w:val="00A45339"/>
    <w:rsid w:val="00A4561E"/>
    <w:rsid w:val="00A45A16"/>
    <w:rsid w:val="00A45A88"/>
    <w:rsid w:val="00A45D0D"/>
    <w:rsid w:val="00A467C7"/>
    <w:rsid w:val="00A467F7"/>
    <w:rsid w:val="00A47376"/>
    <w:rsid w:val="00A474E8"/>
    <w:rsid w:val="00A4750E"/>
    <w:rsid w:val="00A4771F"/>
    <w:rsid w:val="00A47B26"/>
    <w:rsid w:val="00A47DDB"/>
    <w:rsid w:val="00A509E8"/>
    <w:rsid w:val="00A51407"/>
    <w:rsid w:val="00A51BDD"/>
    <w:rsid w:val="00A51CCF"/>
    <w:rsid w:val="00A51FA2"/>
    <w:rsid w:val="00A524E4"/>
    <w:rsid w:val="00A529D4"/>
    <w:rsid w:val="00A52DD3"/>
    <w:rsid w:val="00A548F1"/>
    <w:rsid w:val="00A54F51"/>
    <w:rsid w:val="00A54FD0"/>
    <w:rsid w:val="00A55213"/>
    <w:rsid w:val="00A55309"/>
    <w:rsid w:val="00A5571C"/>
    <w:rsid w:val="00A55B43"/>
    <w:rsid w:val="00A55B70"/>
    <w:rsid w:val="00A55F72"/>
    <w:rsid w:val="00A55F81"/>
    <w:rsid w:val="00A56724"/>
    <w:rsid w:val="00A56CC1"/>
    <w:rsid w:val="00A5773F"/>
    <w:rsid w:val="00A57768"/>
    <w:rsid w:val="00A57E69"/>
    <w:rsid w:val="00A600E5"/>
    <w:rsid w:val="00A601FF"/>
    <w:rsid w:val="00A60FE8"/>
    <w:rsid w:val="00A611EB"/>
    <w:rsid w:val="00A616D1"/>
    <w:rsid w:val="00A61CAE"/>
    <w:rsid w:val="00A61D30"/>
    <w:rsid w:val="00A62998"/>
    <w:rsid w:val="00A629C5"/>
    <w:rsid w:val="00A6328E"/>
    <w:rsid w:val="00A63460"/>
    <w:rsid w:val="00A63F0A"/>
    <w:rsid w:val="00A64E5B"/>
    <w:rsid w:val="00A64F24"/>
    <w:rsid w:val="00A65951"/>
    <w:rsid w:val="00A65B33"/>
    <w:rsid w:val="00A661D8"/>
    <w:rsid w:val="00A67023"/>
    <w:rsid w:val="00A67710"/>
    <w:rsid w:val="00A67AC0"/>
    <w:rsid w:val="00A67B0C"/>
    <w:rsid w:val="00A708CA"/>
    <w:rsid w:val="00A71424"/>
    <w:rsid w:val="00A71A3E"/>
    <w:rsid w:val="00A71A81"/>
    <w:rsid w:val="00A71D40"/>
    <w:rsid w:val="00A71E8E"/>
    <w:rsid w:val="00A7227F"/>
    <w:rsid w:val="00A725AF"/>
    <w:rsid w:val="00A72720"/>
    <w:rsid w:val="00A72A01"/>
    <w:rsid w:val="00A72BD4"/>
    <w:rsid w:val="00A73117"/>
    <w:rsid w:val="00A73B30"/>
    <w:rsid w:val="00A73C20"/>
    <w:rsid w:val="00A73D16"/>
    <w:rsid w:val="00A74342"/>
    <w:rsid w:val="00A747B8"/>
    <w:rsid w:val="00A74C82"/>
    <w:rsid w:val="00A755B4"/>
    <w:rsid w:val="00A75706"/>
    <w:rsid w:val="00A76864"/>
    <w:rsid w:val="00A76870"/>
    <w:rsid w:val="00A76B9E"/>
    <w:rsid w:val="00A77468"/>
    <w:rsid w:val="00A77A40"/>
    <w:rsid w:val="00A80962"/>
    <w:rsid w:val="00A80ABE"/>
    <w:rsid w:val="00A80BF8"/>
    <w:rsid w:val="00A810AF"/>
    <w:rsid w:val="00A817E8"/>
    <w:rsid w:val="00A81B77"/>
    <w:rsid w:val="00A826AD"/>
    <w:rsid w:val="00A82973"/>
    <w:rsid w:val="00A82D56"/>
    <w:rsid w:val="00A82E69"/>
    <w:rsid w:val="00A83509"/>
    <w:rsid w:val="00A83999"/>
    <w:rsid w:val="00A8431F"/>
    <w:rsid w:val="00A84E89"/>
    <w:rsid w:val="00A85180"/>
    <w:rsid w:val="00A85386"/>
    <w:rsid w:val="00A85504"/>
    <w:rsid w:val="00A85637"/>
    <w:rsid w:val="00A861D5"/>
    <w:rsid w:val="00A86523"/>
    <w:rsid w:val="00A86CEE"/>
    <w:rsid w:val="00A870A5"/>
    <w:rsid w:val="00A870D7"/>
    <w:rsid w:val="00A87944"/>
    <w:rsid w:val="00A87DE1"/>
    <w:rsid w:val="00A90319"/>
    <w:rsid w:val="00A90412"/>
    <w:rsid w:val="00A9049D"/>
    <w:rsid w:val="00A9086B"/>
    <w:rsid w:val="00A90B0A"/>
    <w:rsid w:val="00A90D10"/>
    <w:rsid w:val="00A90D2B"/>
    <w:rsid w:val="00A90DA7"/>
    <w:rsid w:val="00A91C4C"/>
    <w:rsid w:val="00A923FA"/>
    <w:rsid w:val="00A924DB"/>
    <w:rsid w:val="00A92BDA"/>
    <w:rsid w:val="00A92F76"/>
    <w:rsid w:val="00A93023"/>
    <w:rsid w:val="00A93139"/>
    <w:rsid w:val="00A9337E"/>
    <w:rsid w:val="00A9403A"/>
    <w:rsid w:val="00A940FF"/>
    <w:rsid w:val="00A94139"/>
    <w:rsid w:val="00A942A4"/>
    <w:rsid w:val="00A94596"/>
    <w:rsid w:val="00A94EE6"/>
    <w:rsid w:val="00A94FC0"/>
    <w:rsid w:val="00A95338"/>
    <w:rsid w:val="00A97530"/>
    <w:rsid w:val="00A97B65"/>
    <w:rsid w:val="00A97FFD"/>
    <w:rsid w:val="00AA04E2"/>
    <w:rsid w:val="00AA12F1"/>
    <w:rsid w:val="00AA1572"/>
    <w:rsid w:val="00AA27F6"/>
    <w:rsid w:val="00AA30A1"/>
    <w:rsid w:val="00AA3176"/>
    <w:rsid w:val="00AA330C"/>
    <w:rsid w:val="00AA3484"/>
    <w:rsid w:val="00AA37B9"/>
    <w:rsid w:val="00AA37BD"/>
    <w:rsid w:val="00AA3871"/>
    <w:rsid w:val="00AA48E2"/>
    <w:rsid w:val="00AA4969"/>
    <w:rsid w:val="00AA49B6"/>
    <w:rsid w:val="00AA4A8B"/>
    <w:rsid w:val="00AA4F89"/>
    <w:rsid w:val="00AA57FE"/>
    <w:rsid w:val="00AA5884"/>
    <w:rsid w:val="00AA5895"/>
    <w:rsid w:val="00AA5D2C"/>
    <w:rsid w:val="00AA5DCB"/>
    <w:rsid w:val="00AA60B7"/>
    <w:rsid w:val="00AA66FC"/>
    <w:rsid w:val="00AA6872"/>
    <w:rsid w:val="00AA6B88"/>
    <w:rsid w:val="00AA6EB8"/>
    <w:rsid w:val="00AA72CB"/>
    <w:rsid w:val="00AA73AF"/>
    <w:rsid w:val="00AA778B"/>
    <w:rsid w:val="00AA77AF"/>
    <w:rsid w:val="00AA7B4C"/>
    <w:rsid w:val="00AA7D2B"/>
    <w:rsid w:val="00AA7F5F"/>
    <w:rsid w:val="00AB0182"/>
    <w:rsid w:val="00AB030C"/>
    <w:rsid w:val="00AB170F"/>
    <w:rsid w:val="00AB20D2"/>
    <w:rsid w:val="00AB2253"/>
    <w:rsid w:val="00AB22B2"/>
    <w:rsid w:val="00AB2601"/>
    <w:rsid w:val="00AB2633"/>
    <w:rsid w:val="00AB2661"/>
    <w:rsid w:val="00AB29DA"/>
    <w:rsid w:val="00AB2CD8"/>
    <w:rsid w:val="00AB3590"/>
    <w:rsid w:val="00AB379E"/>
    <w:rsid w:val="00AB406A"/>
    <w:rsid w:val="00AB423D"/>
    <w:rsid w:val="00AB4559"/>
    <w:rsid w:val="00AB49DC"/>
    <w:rsid w:val="00AB4DE3"/>
    <w:rsid w:val="00AB4F3A"/>
    <w:rsid w:val="00AB60EB"/>
    <w:rsid w:val="00AB6566"/>
    <w:rsid w:val="00AB7C52"/>
    <w:rsid w:val="00AC01BC"/>
    <w:rsid w:val="00AC04F1"/>
    <w:rsid w:val="00AC0559"/>
    <w:rsid w:val="00AC06D2"/>
    <w:rsid w:val="00AC0D2A"/>
    <w:rsid w:val="00AC0D3C"/>
    <w:rsid w:val="00AC0D64"/>
    <w:rsid w:val="00AC0F7D"/>
    <w:rsid w:val="00AC1039"/>
    <w:rsid w:val="00AC1094"/>
    <w:rsid w:val="00AC1B86"/>
    <w:rsid w:val="00AC2014"/>
    <w:rsid w:val="00AC2405"/>
    <w:rsid w:val="00AC259D"/>
    <w:rsid w:val="00AC3034"/>
    <w:rsid w:val="00AC3305"/>
    <w:rsid w:val="00AC3306"/>
    <w:rsid w:val="00AC36E1"/>
    <w:rsid w:val="00AC3ECB"/>
    <w:rsid w:val="00AC414B"/>
    <w:rsid w:val="00AC42BA"/>
    <w:rsid w:val="00AC4357"/>
    <w:rsid w:val="00AC4603"/>
    <w:rsid w:val="00AC46A6"/>
    <w:rsid w:val="00AC4A65"/>
    <w:rsid w:val="00AC4A92"/>
    <w:rsid w:val="00AC4C52"/>
    <w:rsid w:val="00AC4C87"/>
    <w:rsid w:val="00AC54F4"/>
    <w:rsid w:val="00AC566E"/>
    <w:rsid w:val="00AC5FA6"/>
    <w:rsid w:val="00AC608D"/>
    <w:rsid w:val="00AC6823"/>
    <w:rsid w:val="00AC6F17"/>
    <w:rsid w:val="00AC732F"/>
    <w:rsid w:val="00AC73B8"/>
    <w:rsid w:val="00AC7B19"/>
    <w:rsid w:val="00AD0181"/>
    <w:rsid w:val="00AD0BE1"/>
    <w:rsid w:val="00AD0EFF"/>
    <w:rsid w:val="00AD12C4"/>
    <w:rsid w:val="00AD144C"/>
    <w:rsid w:val="00AD14D2"/>
    <w:rsid w:val="00AD15BE"/>
    <w:rsid w:val="00AD1AFF"/>
    <w:rsid w:val="00AD1D23"/>
    <w:rsid w:val="00AD1DEA"/>
    <w:rsid w:val="00AD1ED5"/>
    <w:rsid w:val="00AD1F29"/>
    <w:rsid w:val="00AD1FFB"/>
    <w:rsid w:val="00AD20CB"/>
    <w:rsid w:val="00AD2218"/>
    <w:rsid w:val="00AD2569"/>
    <w:rsid w:val="00AD2B12"/>
    <w:rsid w:val="00AD3167"/>
    <w:rsid w:val="00AD36E7"/>
    <w:rsid w:val="00AD3902"/>
    <w:rsid w:val="00AD49E0"/>
    <w:rsid w:val="00AD4D61"/>
    <w:rsid w:val="00AD50ED"/>
    <w:rsid w:val="00AD5288"/>
    <w:rsid w:val="00AD5949"/>
    <w:rsid w:val="00AD5E6C"/>
    <w:rsid w:val="00AD5F81"/>
    <w:rsid w:val="00AD6577"/>
    <w:rsid w:val="00AD66B4"/>
    <w:rsid w:val="00AD692E"/>
    <w:rsid w:val="00AD6B80"/>
    <w:rsid w:val="00AD6C3C"/>
    <w:rsid w:val="00AD6F82"/>
    <w:rsid w:val="00AD711E"/>
    <w:rsid w:val="00AD7552"/>
    <w:rsid w:val="00AD77A6"/>
    <w:rsid w:val="00AD7A4C"/>
    <w:rsid w:val="00AD7AFC"/>
    <w:rsid w:val="00AD7BB5"/>
    <w:rsid w:val="00AE027D"/>
    <w:rsid w:val="00AE03B3"/>
    <w:rsid w:val="00AE128C"/>
    <w:rsid w:val="00AE1AD5"/>
    <w:rsid w:val="00AE3102"/>
    <w:rsid w:val="00AE331D"/>
    <w:rsid w:val="00AE36FE"/>
    <w:rsid w:val="00AE3B61"/>
    <w:rsid w:val="00AE40EF"/>
    <w:rsid w:val="00AE41C5"/>
    <w:rsid w:val="00AE4D8D"/>
    <w:rsid w:val="00AE501B"/>
    <w:rsid w:val="00AE542E"/>
    <w:rsid w:val="00AE595D"/>
    <w:rsid w:val="00AE5E47"/>
    <w:rsid w:val="00AE613C"/>
    <w:rsid w:val="00AE6168"/>
    <w:rsid w:val="00AE6867"/>
    <w:rsid w:val="00AE6F55"/>
    <w:rsid w:val="00AE74B8"/>
    <w:rsid w:val="00AE7ADA"/>
    <w:rsid w:val="00AF0014"/>
    <w:rsid w:val="00AF027D"/>
    <w:rsid w:val="00AF0448"/>
    <w:rsid w:val="00AF0E86"/>
    <w:rsid w:val="00AF0ED2"/>
    <w:rsid w:val="00AF10EF"/>
    <w:rsid w:val="00AF1DFF"/>
    <w:rsid w:val="00AF20C5"/>
    <w:rsid w:val="00AF21B5"/>
    <w:rsid w:val="00AF22F8"/>
    <w:rsid w:val="00AF3161"/>
    <w:rsid w:val="00AF324C"/>
    <w:rsid w:val="00AF32CE"/>
    <w:rsid w:val="00AF35F7"/>
    <w:rsid w:val="00AF39D5"/>
    <w:rsid w:val="00AF3A45"/>
    <w:rsid w:val="00AF3AA3"/>
    <w:rsid w:val="00AF496E"/>
    <w:rsid w:val="00AF4AF9"/>
    <w:rsid w:val="00AF5241"/>
    <w:rsid w:val="00AF52A6"/>
    <w:rsid w:val="00AF5C25"/>
    <w:rsid w:val="00AF5D92"/>
    <w:rsid w:val="00AF673F"/>
    <w:rsid w:val="00AF67B1"/>
    <w:rsid w:val="00AF6D9E"/>
    <w:rsid w:val="00AF741C"/>
    <w:rsid w:val="00AF765D"/>
    <w:rsid w:val="00AF7765"/>
    <w:rsid w:val="00AF796A"/>
    <w:rsid w:val="00AF7B40"/>
    <w:rsid w:val="00AF7B80"/>
    <w:rsid w:val="00AF7D70"/>
    <w:rsid w:val="00AF7D78"/>
    <w:rsid w:val="00B00451"/>
    <w:rsid w:val="00B00FA3"/>
    <w:rsid w:val="00B01829"/>
    <w:rsid w:val="00B01A2A"/>
    <w:rsid w:val="00B0233E"/>
    <w:rsid w:val="00B02C63"/>
    <w:rsid w:val="00B03270"/>
    <w:rsid w:val="00B03579"/>
    <w:rsid w:val="00B036F8"/>
    <w:rsid w:val="00B047F5"/>
    <w:rsid w:val="00B04844"/>
    <w:rsid w:val="00B04B20"/>
    <w:rsid w:val="00B04E86"/>
    <w:rsid w:val="00B05167"/>
    <w:rsid w:val="00B0517F"/>
    <w:rsid w:val="00B0552A"/>
    <w:rsid w:val="00B05837"/>
    <w:rsid w:val="00B059A2"/>
    <w:rsid w:val="00B05E1D"/>
    <w:rsid w:val="00B0632C"/>
    <w:rsid w:val="00B06551"/>
    <w:rsid w:val="00B06639"/>
    <w:rsid w:val="00B06997"/>
    <w:rsid w:val="00B06DAB"/>
    <w:rsid w:val="00B06F93"/>
    <w:rsid w:val="00B07002"/>
    <w:rsid w:val="00B07588"/>
    <w:rsid w:val="00B07848"/>
    <w:rsid w:val="00B07E0A"/>
    <w:rsid w:val="00B07E69"/>
    <w:rsid w:val="00B1007D"/>
    <w:rsid w:val="00B105D9"/>
    <w:rsid w:val="00B10B0E"/>
    <w:rsid w:val="00B10BB3"/>
    <w:rsid w:val="00B10DB3"/>
    <w:rsid w:val="00B11179"/>
    <w:rsid w:val="00B116F4"/>
    <w:rsid w:val="00B11871"/>
    <w:rsid w:val="00B11CA6"/>
    <w:rsid w:val="00B1213A"/>
    <w:rsid w:val="00B1242B"/>
    <w:rsid w:val="00B1335F"/>
    <w:rsid w:val="00B13CC3"/>
    <w:rsid w:val="00B13E71"/>
    <w:rsid w:val="00B14241"/>
    <w:rsid w:val="00B14351"/>
    <w:rsid w:val="00B143E8"/>
    <w:rsid w:val="00B14E0B"/>
    <w:rsid w:val="00B155B7"/>
    <w:rsid w:val="00B158A8"/>
    <w:rsid w:val="00B15F4A"/>
    <w:rsid w:val="00B16053"/>
    <w:rsid w:val="00B169B8"/>
    <w:rsid w:val="00B16A66"/>
    <w:rsid w:val="00B16DF4"/>
    <w:rsid w:val="00B17267"/>
    <w:rsid w:val="00B172E4"/>
    <w:rsid w:val="00B17571"/>
    <w:rsid w:val="00B17A97"/>
    <w:rsid w:val="00B17C4A"/>
    <w:rsid w:val="00B17E7A"/>
    <w:rsid w:val="00B17F89"/>
    <w:rsid w:val="00B2002E"/>
    <w:rsid w:val="00B20728"/>
    <w:rsid w:val="00B21C6C"/>
    <w:rsid w:val="00B226D1"/>
    <w:rsid w:val="00B231FA"/>
    <w:rsid w:val="00B23812"/>
    <w:rsid w:val="00B23E79"/>
    <w:rsid w:val="00B242D5"/>
    <w:rsid w:val="00B243D1"/>
    <w:rsid w:val="00B24842"/>
    <w:rsid w:val="00B24962"/>
    <w:rsid w:val="00B24B80"/>
    <w:rsid w:val="00B24C11"/>
    <w:rsid w:val="00B2534D"/>
    <w:rsid w:val="00B25F6F"/>
    <w:rsid w:val="00B26003"/>
    <w:rsid w:val="00B26049"/>
    <w:rsid w:val="00B2614F"/>
    <w:rsid w:val="00B26632"/>
    <w:rsid w:val="00B27A88"/>
    <w:rsid w:val="00B27C6A"/>
    <w:rsid w:val="00B27F70"/>
    <w:rsid w:val="00B30427"/>
    <w:rsid w:val="00B305FE"/>
    <w:rsid w:val="00B30B69"/>
    <w:rsid w:val="00B31241"/>
    <w:rsid w:val="00B31CB9"/>
    <w:rsid w:val="00B31EFF"/>
    <w:rsid w:val="00B32160"/>
    <w:rsid w:val="00B3230F"/>
    <w:rsid w:val="00B331F0"/>
    <w:rsid w:val="00B33424"/>
    <w:rsid w:val="00B3387C"/>
    <w:rsid w:val="00B3429A"/>
    <w:rsid w:val="00B34C71"/>
    <w:rsid w:val="00B35092"/>
    <w:rsid w:val="00B36097"/>
    <w:rsid w:val="00B3643E"/>
    <w:rsid w:val="00B366A6"/>
    <w:rsid w:val="00B36A14"/>
    <w:rsid w:val="00B370EC"/>
    <w:rsid w:val="00B371D7"/>
    <w:rsid w:val="00B37BA7"/>
    <w:rsid w:val="00B402F1"/>
    <w:rsid w:val="00B40B08"/>
    <w:rsid w:val="00B40E19"/>
    <w:rsid w:val="00B40FE9"/>
    <w:rsid w:val="00B417EE"/>
    <w:rsid w:val="00B41AB9"/>
    <w:rsid w:val="00B4215E"/>
    <w:rsid w:val="00B421AA"/>
    <w:rsid w:val="00B42390"/>
    <w:rsid w:val="00B42756"/>
    <w:rsid w:val="00B42BF5"/>
    <w:rsid w:val="00B42CC9"/>
    <w:rsid w:val="00B42F8D"/>
    <w:rsid w:val="00B431C1"/>
    <w:rsid w:val="00B435A1"/>
    <w:rsid w:val="00B436CA"/>
    <w:rsid w:val="00B437CB"/>
    <w:rsid w:val="00B43B0E"/>
    <w:rsid w:val="00B43C0B"/>
    <w:rsid w:val="00B450FE"/>
    <w:rsid w:val="00B451CD"/>
    <w:rsid w:val="00B456AE"/>
    <w:rsid w:val="00B45801"/>
    <w:rsid w:val="00B45BC7"/>
    <w:rsid w:val="00B46125"/>
    <w:rsid w:val="00B4638D"/>
    <w:rsid w:val="00B46549"/>
    <w:rsid w:val="00B46A6F"/>
    <w:rsid w:val="00B46C80"/>
    <w:rsid w:val="00B4748D"/>
    <w:rsid w:val="00B479E0"/>
    <w:rsid w:val="00B50EC1"/>
    <w:rsid w:val="00B51232"/>
    <w:rsid w:val="00B5171E"/>
    <w:rsid w:val="00B51B86"/>
    <w:rsid w:val="00B5273C"/>
    <w:rsid w:val="00B52818"/>
    <w:rsid w:val="00B53008"/>
    <w:rsid w:val="00B5303F"/>
    <w:rsid w:val="00B533BB"/>
    <w:rsid w:val="00B53853"/>
    <w:rsid w:val="00B540CB"/>
    <w:rsid w:val="00B54110"/>
    <w:rsid w:val="00B54980"/>
    <w:rsid w:val="00B553F5"/>
    <w:rsid w:val="00B55FBF"/>
    <w:rsid w:val="00B55FCF"/>
    <w:rsid w:val="00B562B3"/>
    <w:rsid w:val="00B56316"/>
    <w:rsid w:val="00B5652F"/>
    <w:rsid w:val="00B56CF0"/>
    <w:rsid w:val="00B57AE4"/>
    <w:rsid w:val="00B600CF"/>
    <w:rsid w:val="00B60812"/>
    <w:rsid w:val="00B609B4"/>
    <w:rsid w:val="00B60E09"/>
    <w:rsid w:val="00B60F5C"/>
    <w:rsid w:val="00B610BB"/>
    <w:rsid w:val="00B618AA"/>
    <w:rsid w:val="00B61FAA"/>
    <w:rsid w:val="00B62594"/>
    <w:rsid w:val="00B6272C"/>
    <w:rsid w:val="00B6281E"/>
    <w:rsid w:val="00B62B0E"/>
    <w:rsid w:val="00B630A0"/>
    <w:rsid w:val="00B6333C"/>
    <w:rsid w:val="00B634F5"/>
    <w:rsid w:val="00B63BE1"/>
    <w:rsid w:val="00B64418"/>
    <w:rsid w:val="00B64FB9"/>
    <w:rsid w:val="00B6532D"/>
    <w:rsid w:val="00B658E7"/>
    <w:rsid w:val="00B65A05"/>
    <w:rsid w:val="00B65A3C"/>
    <w:rsid w:val="00B65F7E"/>
    <w:rsid w:val="00B66BC7"/>
    <w:rsid w:val="00B66C60"/>
    <w:rsid w:val="00B66FB6"/>
    <w:rsid w:val="00B67459"/>
    <w:rsid w:val="00B677D0"/>
    <w:rsid w:val="00B67A8D"/>
    <w:rsid w:val="00B70F71"/>
    <w:rsid w:val="00B71843"/>
    <w:rsid w:val="00B71D6A"/>
    <w:rsid w:val="00B7318A"/>
    <w:rsid w:val="00B73CAB"/>
    <w:rsid w:val="00B747BD"/>
    <w:rsid w:val="00B748E9"/>
    <w:rsid w:val="00B74C28"/>
    <w:rsid w:val="00B74FA0"/>
    <w:rsid w:val="00B75485"/>
    <w:rsid w:val="00B7549E"/>
    <w:rsid w:val="00B75660"/>
    <w:rsid w:val="00B7574D"/>
    <w:rsid w:val="00B759CB"/>
    <w:rsid w:val="00B76312"/>
    <w:rsid w:val="00B76690"/>
    <w:rsid w:val="00B770D1"/>
    <w:rsid w:val="00B77695"/>
    <w:rsid w:val="00B779FB"/>
    <w:rsid w:val="00B80083"/>
    <w:rsid w:val="00B800C9"/>
    <w:rsid w:val="00B80F3F"/>
    <w:rsid w:val="00B810CC"/>
    <w:rsid w:val="00B81134"/>
    <w:rsid w:val="00B8156C"/>
    <w:rsid w:val="00B817C4"/>
    <w:rsid w:val="00B820DE"/>
    <w:rsid w:val="00B8243C"/>
    <w:rsid w:val="00B8286E"/>
    <w:rsid w:val="00B82A06"/>
    <w:rsid w:val="00B82EF2"/>
    <w:rsid w:val="00B82F9E"/>
    <w:rsid w:val="00B83F9D"/>
    <w:rsid w:val="00B842DB"/>
    <w:rsid w:val="00B847D3"/>
    <w:rsid w:val="00B8507A"/>
    <w:rsid w:val="00B85BFB"/>
    <w:rsid w:val="00B85D08"/>
    <w:rsid w:val="00B85F1E"/>
    <w:rsid w:val="00B85FCF"/>
    <w:rsid w:val="00B86373"/>
    <w:rsid w:val="00B86AC7"/>
    <w:rsid w:val="00B86B59"/>
    <w:rsid w:val="00B86CD7"/>
    <w:rsid w:val="00B8724D"/>
    <w:rsid w:val="00B8743B"/>
    <w:rsid w:val="00B87521"/>
    <w:rsid w:val="00B87EC6"/>
    <w:rsid w:val="00B901E9"/>
    <w:rsid w:val="00B902F9"/>
    <w:rsid w:val="00B90501"/>
    <w:rsid w:val="00B906E8"/>
    <w:rsid w:val="00B909F9"/>
    <w:rsid w:val="00B914F8"/>
    <w:rsid w:val="00B91F88"/>
    <w:rsid w:val="00B9268E"/>
    <w:rsid w:val="00B9279A"/>
    <w:rsid w:val="00B92908"/>
    <w:rsid w:val="00B9290C"/>
    <w:rsid w:val="00B92AB3"/>
    <w:rsid w:val="00B92FD7"/>
    <w:rsid w:val="00B9325F"/>
    <w:rsid w:val="00B93765"/>
    <w:rsid w:val="00B93785"/>
    <w:rsid w:val="00B93824"/>
    <w:rsid w:val="00B939A7"/>
    <w:rsid w:val="00B93ADD"/>
    <w:rsid w:val="00B93B6F"/>
    <w:rsid w:val="00B9477D"/>
    <w:rsid w:val="00B949EC"/>
    <w:rsid w:val="00B950CB"/>
    <w:rsid w:val="00B95AC6"/>
    <w:rsid w:val="00B960E2"/>
    <w:rsid w:val="00B96469"/>
    <w:rsid w:val="00B9790E"/>
    <w:rsid w:val="00BA006B"/>
    <w:rsid w:val="00BA0082"/>
    <w:rsid w:val="00BA08EA"/>
    <w:rsid w:val="00BA0C44"/>
    <w:rsid w:val="00BA0DB7"/>
    <w:rsid w:val="00BA0F30"/>
    <w:rsid w:val="00BA149B"/>
    <w:rsid w:val="00BA16A5"/>
    <w:rsid w:val="00BA1955"/>
    <w:rsid w:val="00BA1C96"/>
    <w:rsid w:val="00BA1F7F"/>
    <w:rsid w:val="00BA2428"/>
    <w:rsid w:val="00BA26C3"/>
    <w:rsid w:val="00BA2C0A"/>
    <w:rsid w:val="00BA3177"/>
    <w:rsid w:val="00BA31F5"/>
    <w:rsid w:val="00BA3C97"/>
    <w:rsid w:val="00BA4011"/>
    <w:rsid w:val="00BA4141"/>
    <w:rsid w:val="00BA5B0E"/>
    <w:rsid w:val="00BA5C80"/>
    <w:rsid w:val="00BA5DB2"/>
    <w:rsid w:val="00BA65A7"/>
    <w:rsid w:val="00BA66AE"/>
    <w:rsid w:val="00BA680A"/>
    <w:rsid w:val="00BA6AF6"/>
    <w:rsid w:val="00BA6DF8"/>
    <w:rsid w:val="00BA77B1"/>
    <w:rsid w:val="00BA7ADA"/>
    <w:rsid w:val="00BB06BB"/>
    <w:rsid w:val="00BB0A44"/>
    <w:rsid w:val="00BB10DC"/>
    <w:rsid w:val="00BB12DF"/>
    <w:rsid w:val="00BB1BE6"/>
    <w:rsid w:val="00BB26DE"/>
    <w:rsid w:val="00BB32A3"/>
    <w:rsid w:val="00BB36DA"/>
    <w:rsid w:val="00BB39C9"/>
    <w:rsid w:val="00BB3B3B"/>
    <w:rsid w:val="00BB3D18"/>
    <w:rsid w:val="00BB47A6"/>
    <w:rsid w:val="00BB4A5D"/>
    <w:rsid w:val="00BB5476"/>
    <w:rsid w:val="00BB55BA"/>
    <w:rsid w:val="00BB57C5"/>
    <w:rsid w:val="00BB593D"/>
    <w:rsid w:val="00BB59AA"/>
    <w:rsid w:val="00BB5E0E"/>
    <w:rsid w:val="00BB5F03"/>
    <w:rsid w:val="00BB5F74"/>
    <w:rsid w:val="00BB6C1A"/>
    <w:rsid w:val="00BB6C27"/>
    <w:rsid w:val="00BB6D96"/>
    <w:rsid w:val="00BB7036"/>
    <w:rsid w:val="00BB723C"/>
    <w:rsid w:val="00BB77BB"/>
    <w:rsid w:val="00BB7AAA"/>
    <w:rsid w:val="00BB7D0E"/>
    <w:rsid w:val="00BB7FBF"/>
    <w:rsid w:val="00BC0347"/>
    <w:rsid w:val="00BC0B6B"/>
    <w:rsid w:val="00BC0DBE"/>
    <w:rsid w:val="00BC107A"/>
    <w:rsid w:val="00BC1171"/>
    <w:rsid w:val="00BC173E"/>
    <w:rsid w:val="00BC17B9"/>
    <w:rsid w:val="00BC2AEF"/>
    <w:rsid w:val="00BC2BBD"/>
    <w:rsid w:val="00BC2DE1"/>
    <w:rsid w:val="00BC3C76"/>
    <w:rsid w:val="00BC4163"/>
    <w:rsid w:val="00BC42EB"/>
    <w:rsid w:val="00BC4752"/>
    <w:rsid w:val="00BC4961"/>
    <w:rsid w:val="00BC4A16"/>
    <w:rsid w:val="00BC4FC9"/>
    <w:rsid w:val="00BC5B01"/>
    <w:rsid w:val="00BC5C35"/>
    <w:rsid w:val="00BC5E45"/>
    <w:rsid w:val="00BC5FF3"/>
    <w:rsid w:val="00BC6432"/>
    <w:rsid w:val="00BC6898"/>
    <w:rsid w:val="00BC6957"/>
    <w:rsid w:val="00BC6AAD"/>
    <w:rsid w:val="00BC729E"/>
    <w:rsid w:val="00BC73DF"/>
    <w:rsid w:val="00BC7A57"/>
    <w:rsid w:val="00BD0666"/>
    <w:rsid w:val="00BD08C8"/>
    <w:rsid w:val="00BD0C3C"/>
    <w:rsid w:val="00BD0D5B"/>
    <w:rsid w:val="00BD13E9"/>
    <w:rsid w:val="00BD149B"/>
    <w:rsid w:val="00BD1D69"/>
    <w:rsid w:val="00BD2D74"/>
    <w:rsid w:val="00BD322A"/>
    <w:rsid w:val="00BD3650"/>
    <w:rsid w:val="00BD4874"/>
    <w:rsid w:val="00BD5046"/>
    <w:rsid w:val="00BD51CA"/>
    <w:rsid w:val="00BD5300"/>
    <w:rsid w:val="00BD5406"/>
    <w:rsid w:val="00BD58E4"/>
    <w:rsid w:val="00BD58FF"/>
    <w:rsid w:val="00BD5988"/>
    <w:rsid w:val="00BD5D0E"/>
    <w:rsid w:val="00BD5DB0"/>
    <w:rsid w:val="00BD6688"/>
    <w:rsid w:val="00BD6D6D"/>
    <w:rsid w:val="00BD7104"/>
    <w:rsid w:val="00BD7EFC"/>
    <w:rsid w:val="00BE2142"/>
    <w:rsid w:val="00BE222F"/>
    <w:rsid w:val="00BE24DF"/>
    <w:rsid w:val="00BE28C1"/>
    <w:rsid w:val="00BE292C"/>
    <w:rsid w:val="00BE2B4C"/>
    <w:rsid w:val="00BE352C"/>
    <w:rsid w:val="00BE3F2E"/>
    <w:rsid w:val="00BE42CE"/>
    <w:rsid w:val="00BE4483"/>
    <w:rsid w:val="00BE4610"/>
    <w:rsid w:val="00BE4B8F"/>
    <w:rsid w:val="00BE4BD5"/>
    <w:rsid w:val="00BE50E7"/>
    <w:rsid w:val="00BE5941"/>
    <w:rsid w:val="00BE5C8C"/>
    <w:rsid w:val="00BE5CF6"/>
    <w:rsid w:val="00BE6397"/>
    <w:rsid w:val="00BE6F4C"/>
    <w:rsid w:val="00BE718A"/>
    <w:rsid w:val="00BE71AC"/>
    <w:rsid w:val="00BE78AE"/>
    <w:rsid w:val="00BE7B66"/>
    <w:rsid w:val="00BF009D"/>
    <w:rsid w:val="00BF029B"/>
    <w:rsid w:val="00BF0FF3"/>
    <w:rsid w:val="00BF1CBF"/>
    <w:rsid w:val="00BF1D3A"/>
    <w:rsid w:val="00BF2DF3"/>
    <w:rsid w:val="00BF2F14"/>
    <w:rsid w:val="00BF32C4"/>
    <w:rsid w:val="00BF37E8"/>
    <w:rsid w:val="00BF3CC6"/>
    <w:rsid w:val="00BF3E54"/>
    <w:rsid w:val="00BF3EEF"/>
    <w:rsid w:val="00BF3FB5"/>
    <w:rsid w:val="00BF4632"/>
    <w:rsid w:val="00BF4A75"/>
    <w:rsid w:val="00BF4A89"/>
    <w:rsid w:val="00BF4F26"/>
    <w:rsid w:val="00BF4F70"/>
    <w:rsid w:val="00BF53C6"/>
    <w:rsid w:val="00BF5589"/>
    <w:rsid w:val="00BF5CA1"/>
    <w:rsid w:val="00BF5E87"/>
    <w:rsid w:val="00BF6798"/>
    <w:rsid w:val="00BF6E9A"/>
    <w:rsid w:val="00BF7469"/>
    <w:rsid w:val="00BF74FE"/>
    <w:rsid w:val="00BF75F5"/>
    <w:rsid w:val="00BF7BF2"/>
    <w:rsid w:val="00C00A49"/>
    <w:rsid w:val="00C00FCC"/>
    <w:rsid w:val="00C01251"/>
    <w:rsid w:val="00C014E8"/>
    <w:rsid w:val="00C01576"/>
    <w:rsid w:val="00C01607"/>
    <w:rsid w:val="00C017D8"/>
    <w:rsid w:val="00C01848"/>
    <w:rsid w:val="00C02D06"/>
    <w:rsid w:val="00C036CD"/>
    <w:rsid w:val="00C03F6A"/>
    <w:rsid w:val="00C0485C"/>
    <w:rsid w:val="00C0490A"/>
    <w:rsid w:val="00C05228"/>
    <w:rsid w:val="00C05319"/>
    <w:rsid w:val="00C0567F"/>
    <w:rsid w:val="00C056A8"/>
    <w:rsid w:val="00C057C4"/>
    <w:rsid w:val="00C05825"/>
    <w:rsid w:val="00C05BC4"/>
    <w:rsid w:val="00C05BD7"/>
    <w:rsid w:val="00C05C23"/>
    <w:rsid w:val="00C06037"/>
    <w:rsid w:val="00C066DC"/>
    <w:rsid w:val="00C06EA2"/>
    <w:rsid w:val="00C0713F"/>
    <w:rsid w:val="00C07150"/>
    <w:rsid w:val="00C0716B"/>
    <w:rsid w:val="00C073CA"/>
    <w:rsid w:val="00C0768D"/>
    <w:rsid w:val="00C103C9"/>
    <w:rsid w:val="00C108D2"/>
    <w:rsid w:val="00C1169D"/>
    <w:rsid w:val="00C12B00"/>
    <w:rsid w:val="00C13443"/>
    <w:rsid w:val="00C135CB"/>
    <w:rsid w:val="00C13ACA"/>
    <w:rsid w:val="00C13F16"/>
    <w:rsid w:val="00C140B7"/>
    <w:rsid w:val="00C14BBF"/>
    <w:rsid w:val="00C14D8A"/>
    <w:rsid w:val="00C14E62"/>
    <w:rsid w:val="00C1553D"/>
    <w:rsid w:val="00C15769"/>
    <w:rsid w:val="00C15B91"/>
    <w:rsid w:val="00C15F8F"/>
    <w:rsid w:val="00C16086"/>
    <w:rsid w:val="00C161F3"/>
    <w:rsid w:val="00C16365"/>
    <w:rsid w:val="00C167FC"/>
    <w:rsid w:val="00C175A4"/>
    <w:rsid w:val="00C17A5D"/>
    <w:rsid w:val="00C17B80"/>
    <w:rsid w:val="00C202CA"/>
    <w:rsid w:val="00C20C1F"/>
    <w:rsid w:val="00C217DA"/>
    <w:rsid w:val="00C219D9"/>
    <w:rsid w:val="00C21E99"/>
    <w:rsid w:val="00C22BDC"/>
    <w:rsid w:val="00C22F08"/>
    <w:rsid w:val="00C22FDD"/>
    <w:rsid w:val="00C23FEF"/>
    <w:rsid w:val="00C24A3B"/>
    <w:rsid w:val="00C25107"/>
    <w:rsid w:val="00C251A8"/>
    <w:rsid w:val="00C25227"/>
    <w:rsid w:val="00C25B71"/>
    <w:rsid w:val="00C26095"/>
    <w:rsid w:val="00C2658B"/>
    <w:rsid w:val="00C26CE2"/>
    <w:rsid w:val="00C2743E"/>
    <w:rsid w:val="00C278F1"/>
    <w:rsid w:val="00C27EB9"/>
    <w:rsid w:val="00C30482"/>
    <w:rsid w:val="00C3066C"/>
    <w:rsid w:val="00C31929"/>
    <w:rsid w:val="00C31A3C"/>
    <w:rsid w:val="00C31A7D"/>
    <w:rsid w:val="00C320DF"/>
    <w:rsid w:val="00C32BA9"/>
    <w:rsid w:val="00C33516"/>
    <w:rsid w:val="00C34844"/>
    <w:rsid w:val="00C34F57"/>
    <w:rsid w:val="00C355F9"/>
    <w:rsid w:val="00C35B08"/>
    <w:rsid w:val="00C35C0A"/>
    <w:rsid w:val="00C35D99"/>
    <w:rsid w:val="00C35FC6"/>
    <w:rsid w:val="00C36174"/>
    <w:rsid w:val="00C36B2F"/>
    <w:rsid w:val="00C36B84"/>
    <w:rsid w:val="00C36BE1"/>
    <w:rsid w:val="00C36CDC"/>
    <w:rsid w:val="00C37435"/>
    <w:rsid w:val="00C37B65"/>
    <w:rsid w:val="00C37CE5"/>
    <w:rsid w:val="00C37EFD"/>
    <w:rsid w:val="00C40B1C"/>
    <w:rsid w:val="00C40B45"/>
    <w:rsid w:val="00C40B6F"/>
    <w:rsid w:val="00C416BD"/>
    <w:rsid w:val="00C41817"/>
    <w:rsid w:val="00C418BC"/>
    <w:rsid w:val="00C41EAB"/>
    <w:rsid w:val="00C41F45"/>
    <w:rsid w:val="00C426D7"/>
    <w:rsid w:val="00C42780"/>
    <w:rsid w:val="00C43AE3"/>
    <w:rsid w:val="00C43B0A"/>
    <w:rsid w:val="00C43C46"/>
    <w:rsid w:val="00C43C5A"/>
    <w:rsid w:val="00C44727"/>
    <w:rsid w:val="00C4525F"/>
    <w:rsid w:val="00C45BC3"/>
    <w:rsid w:val="00C45C6F"/>
    <w:rsid w:val="00C45CC9"/>
    <w:rsid w:val="00C463FE"/>
    <w:rsid w:val="00C46C97"/>
    <w:rsid w:val="00C46E7C"/>
    <w:rsid w:val="00C475D4"/>
    <w:rsid w:val="00C478D9"/>
    <w:rsid w:val="00C47C88"/>
    <w:rsid w:val="00C5006A"/>
    <w:rsid w:val="00C507C3"/>
    <w:rsid w:val="00C50B32"/>
    <w:rsid w:val="00C50B5B"/>
    <w:rsid w:val="00C50DD2"/>
    <w:rsid w:val="00C514AB"/>
    <w:rsid w:val="00C5210B"/>
    <w:rsid w:val="00C53DC5"/>
    <w:rsid w:val="00C53F27"/>
    <w:rsid w:val="00C55037"/>
    <w:rsid w:val="00C55150"/>
    <w:rsid w:val="00C5569F"/>
    <w:rsid w:val="00C559E6"/>
    <w:rsid w:val="00C55D6E"/>
    <w:rsid w:val="00C56254"/>
    <w:rsid w:val="00C56710"/>
    <w:rsid w:val="00C568B6"/>
    <w:rsid w:val="00C57698"/>
    <w:rsid w:val="00C60115"/>
    <w:rsid w:val="00C60502"/>
    <w:rsid w:val="00C6058F"/>
    <w:rsid w:val="00C60CF8"/>
    <w:rsid w:val="00C60E90"/>
    <w:rsid w:val="00C6117D"/>
    <w:rsid w:val="00C6118D"/>
    <w:rsid w:val="00C61880"/>
    <w:rsid w:val="00C61C8A"/>
    <w:rsid w:val="00C627B3"/>
    <w:rsid w:val="00C628FE"/>
    <w:rsid w:val="00C62ECD"/>
    <w:rsid w:val="00C63928"/>
    <w:rsid w:val="00C64092"/>
    <w:rsid w:val="00C64C8D"/>
    <w:rsid w:val="00C64E38"/>
    <w:rsid w:val="00C64E4C"/>
    <w:rsid w:val="00C64FCF"/>
    <w:rsid w:val="00C65522"/>
    <w:rsid w:val="00C6570A"/>
    <w:rsid w:val="00C65A49"/>
    <w:rsid w:val="00C65E1C"/>
    <w:rsid w:val="00C66916"/>
    <w:rsid w:val="00C66CB7"/>
    <w:rsid w:val="00C66F0B"/>
    <w:rsid w:val="00C6775A"/>
    <w:rsid w:val="00C67828"/>
    <w:rsid w:val="00C67885"/>
    <w:rsid w:val="00C67B3E"/>
    <w:rsid w:val="00C7049B"/>
    <w:rsid w:val="00C70901"/>
    <w:rsid w:val="00C72120"/>
    <w:rsid w:val="00C7212A"/>
    <w:rsid w:val="00C727C6"/>
    <w:rsid w:val="00C72DB2"/>
    <w:rsid w:val="00C72F3B"/>
    <w:rsid w:val="00C73939"/>
    <w:rsid w:val="00C73EAC"/>
    <w:rsid w:val="00C73F8C"/>
    <w:rsid w:val="00C740A3"/>
    <w:rsid w:val="00C744EB"/>
    <w:rsid w:val="00C7465E"/>
    <w:rsid w:val="00C74AC0"/>
    <w:rsid w:val="00C75017"/>
    <w:rsid w:val="00C75972"/>
    <w:rsid w:val="00C75B2C"/>
    <w:rsid w:val="00C762B3"/>
    <w:rsid w:val="00C76C65"/>
    <w:rsid w:val="00C77104"/>
    <w:rsid w:val="00C77D63"/>
    <w:rsid w:val="00C800DF"/>
    <w:rsid w:val="00C80438"/>
    <w:rsid w:val="00C808FD"/>
    <w:rsid w:val="00C80AF7"/>
    <w:rsid w:val="00C80BA9"/>
    <w:rsid w:val="00C80E08"/>
    <w:rsid w:val="00C80EDB"/>
    <w:rsid w:val="00C80FB7"/>
    <w:rsid w:val="00C82063"/>
    <w:rsid w:val="00C820FF"/>
    <w:rsid w:val="00C82280"/>
    <w:rsid w:val="00C82526"/>
    <w:rsid w:val="00C826F6"/>
    <w:rsid w:val="00C8292D"/>
    <w:rsid w:val="00C8304D"/>
    <w:rsid w:val="00C83613"/>
    <w:rsid w:val="00C847A9"/>
    <w:rsid w:val="00C84935"/>
    <w:rsid w:val="00C84F51"/>
    <w:rsid w:val="00C8581B"/>
    <w:rsid w:val="00C858D4"/>
    <w:rsid w:val="00C85CB3"/>
    <w:rsid w:val="00C85F52"/>
    <w:rsid w:val="00C86060"/>
    <w:rsid w:val="00C8657A"/>
    <w:rsid w:val="00C865AE"/>
    <w:rsid w:val="00C86EC3"/>
    <w:rsid w:val="00C87C3F"/>
    <w:rsid w:val="00C90007"/>
    <w:rsid w:val="00C911CB"/>
    <w:rsid w:val="00C9152D"/>
    <w:rsid w:val="00C91CA1"/>
    <w:rsid w:val="00C91E63"/>
    <w:rsid w:val="00C92229"/>
    <w:rsid w:val="00C923F8"/>
    <w:rsid w:val="00C92650"/>
    <w:rsid w:val="00C9280D"/>
    <w:rsid w:val="00C92C1D"/>
    <w:rsid w:val="00C92C91"/>
    <w:rsid w:val="00C92CB9"/>
    <w:rsid w:val="00C92D92"/>
    <w:rsid w:val="00C937AD"/>
    <w:rsid w:val="00C937D3"/>
    <w:rsid w:val="00C93C4F"/>
    <w:rsid w:val="00C93DDD"/>
    <w:rsid w:val="00C948BD"/>
    <w:rsid w:val="00C94CF1"/>
    <w:rsid w:val="00C95335"/>
    <w:rsid w:val="00C95374"/>
    <w:rsid w:val="00C96061"/>
    <w:rsid w:val="00C96281"/>
    <w:rsid w:val="00C964F5"/>
    <w:rsid w:val="00C9669B"/>
    <w:rsid w:val="00C9676B"/>
    <w:rsid w:val="00C967DE"/>
    <w:rsid w:val="00C96C1A"/>
    <w:rsid w:val="00C96FA1"/>
    <w:rsid w:val="00C97381"/>
    <w:rsid w:val="00C975CD"/>
    <w:rsid w:val="00C9796D"/>
    <w:rsid w:val="00C97A56"/>
    <w:rsid w:val="00C97C0F"/>
    <w:rsid w:val="00CA055A"/>
    <w:rsid w:val="00CA08E8"/>
    <w:rsid w:val="00CA0B36"/>
    <w:rsid w:val="00CA0BEE"/>
    <w:rsid w:val="00CA0FC8"/>
    <w:rsid w:val="00CA0FCF"/>
    <w:rsid w:val="00CA103D"/>
    <w:rsid w:val="00CA1740"/>
    <w:rsid w:val="00CA1897"/>
    <w:rsid w:val="00CA26E2"/>
    <w:rsid w:val="00CA276D"/>
    <w:rsid w:val="00CA2C7C"/>
    <w:rsid w:val="00CA2E3C"/>
    <w:rsid w:val="00CA32F6"/>
    <w:rsid w:val="00CA33BE"/>
    <w:rsid w:val="00CA3BAD"/>
    <w:rsid w:val="00CA3CF5"/>
    <w:rsid w:val="00CA3F97"/>
    <w:rsid w:val="00CA40BE"/>
    <w:rsid w:val="00CA4130"/>
    <w:rsid w:val="00CA4200"/>
    <w:rsid w:val="00CA4501"/>
    <w:rsid w:val="00CA4663"/>
    <w:rsid w:val="00CA5269"/>
    <w:rsid w:val="00CA6569"/>
    <w:rsid w:val="00CA6AC2"/>
    <w:rsid w:val="00CA6F29"/>
    <w:rsid w:val="00CA70CD"/>
    <w:rsid w:val="00CA75DB"/>
    <w:rsid w:val="00CA7B29"/>
    <w:rsid w:val="00CA7B89"/>
    <w:rsid w:val="00CA7D3A"/>
    <w:rsid w:val="00CB0248"/>
    <w:rsid w:val="00CB08F4"/>
    <w:rsid w:val="00CB0E00"/>
    <w:rsid w:val="00CB11B0"/>
    <w:rsid w:val="00CB16C2"/>
    <w:rsid w:val="00CB2690"/>
    <w:rsid w:val="00CB4319"/>
    <w:rsid w:val="00CB45C9"/>
    <w:rsid w:val="00CB4BFD"/>
    <w:rsid w:val="00CB4C14"/>
    <w:rsid w:val="00CB4E72"/>
    <w:rsid w:val="00CB520E"/>
    <w:rsid w:val="00CB5260"/>
    <w:rsid w:val="00CB59DE"/>
    <w:rsid w:val="00CB5C47"/>
    <w:rsid w:val="00CB6464"/>
    <w:rsid w:val="00CB684B"/>
    <w:rsid w:val="00CB6B33"/>
    <w:rsid w:val="00CB7199"/>
    <w:rsid w:val="00CB7E5C"/>
    <w:rsid w:val="00CC1028"/>
    <w:rsid w:val="00CC1446"/>
    <w:rsid w:val="00CC1C72"/>
    <w:rsid w:val="00CC1D79"/>
    <w:rsid w:val="00CC20C4"/>
    <w:rsid w:val="00CC21FF"/>
    <w:rsid w:val="00CC2424"/>
    <w:rsid w:val="00CC25BD"/>
    <w:rsid w:val="00CC2B76"/>
    <w:rsid w:val="00CC2C11"/>
    <w:rsid w:val="00CC2FF6"/>
    <w:rsid w:val="00CC30BF"/>
    <w:rsid w:val="00CC34AE"/>
    <w:rsid w:val="00CC3C47"/>
    <w:rsid w:val="00CC3D75"/>
    <w:rsid w:val="00CC4237"/>
    <w:rsid w:val="00CC439F"/>
    <w:rsid w:val="00CC49AA"/>
    <w:rsid w:val="00CC5402"/>
    <w:rsid w:val="00CC56C3"/>
    <w:rsid w:val="00CC59ED"/>
    <w:rsid w:val="00CC5BEA"/>
    <w:rsid w:val="00CC6025"/>
    <w:rsid w:val="00CC72F9"/>
    <w:rsid w:val="00CC7CFC"/>
    <w:rsid w:val="00CC7F6E"/>
    <w:rsid w:val="00CD01A4"/>
    <w:rsid w:val="00CD027D"/>
    <w:rsid w:val="00CD043D"/>
    <w:rsid w:val="00CD05FC"/>
    <w:rsid w:val="00CD0B3E"/>
    <w:rsid w:val="00CD0B69"/>
    <w:rsid w:val="00CD0BA8"/>
    <w:rsid w:val="00CD100B"/>
    <w:rsid w:val="00CD14BD"/>
    <w:rsid w:val="00CD1566"/>
    <w:rsid w:val="00CD18C5"/>
    <w:rsid w:val="00CD18D1"/>
    <w:rsid w:val="00CD1DE7"/>
    <w:rsid w:val="00CD211C"/>
    <w:rsid w:val="00CD261D"/>
    <w:rsid w:val="00CD291D"/>
    <w:rsid w:val="00CD2A74"/>
    <w:rsid w:val="00CD2BD8"/>
    <w:rsid w:val="00CD2D4B"/>
    <w:rsid w:val="00CD3064"/>
    <w:rsid w:val="00CD31DD"/>
    <w:rsid w:val="00CD3263"/>
    <w:rsid w:val="00CD32C8"/>
    <w:rsid w:val="00CD3446"/>
    <w:rsid w:val="00CD34A8"/>
    <w:rsid w:val="00CD3BE4"/>
    <w:rsid w:val="00CD3DBD"/>
    <w:rsid w:val="00CD430F"/>
    <w:rsid w:val="00CD4397"/>
    <w:rsid w:val="00CD47EA"/>
    <w:rsid w:val="00CD4935"/>
    <w:rsid w:val="00CD5220"/>
    <w:rsid w:val="00CD58A4"/>
    <w:rsid w:val="00CD5D5F"/>
    <w:rsid w:val="00CD6224"/>
    <w:rsid w:val="00CD62D3"/>
    <w:rsid w:val="00CD6468"/>
    <w:rsid w:val="00CD64BE"/>
    <w:rsid w:val="00CD6FDB"/>
    <w:rsid w:val="00CD6FE4"/>
    <w:rsid w:val="00CD7346"/>
    <w:rsid w:val="00CD76F3"/>
    <w:rsid w:val="00CD7D61"/>
    <w:rsid w:val="00CE0005"/>
    <w:rsid w:val="00CE04FE"/>
    <w:rsid w:val="00CE0D67"/>
    <w:rsid w:val="00CE0F58"/>
    <w:rsid w:val="00CE14AD"/>
    <w:rsid w:val="00CE19D1"/>
    <w:rsid w:val="00CE1A2B"/>
    <w:rsid w:val="00CE20C5"/>
    <w:rsid w:val="00CE249E"/>
    <w:rsid w:val="00CE2596"/>
    <w:rsid w:val="00CE2863"/>
    <w:rsid w:val="00CE288F"/>
    <w:rsid w:val="00CE36AB"/>
    <w:rsid w:val="00CE4819"/>
    <w:rsid w:val="00CE4A20"/>
    <w:rsid w:val="00CE4CE5"/>
    <w:rsid w:val="00CE52A8"/>
    <w:rsid w:val="00CE563D"/>
    <w:rsid w:val="00CE5794"/>
    <w:rsid w:val="00CE5FBC"/>
    <w:rsid w:val="00CE60F0"/>
    <w:rsid w:val="00CE6BA5"/>
    <w:rsid w:val="00CE6FDA"/>
    <w:rsid w:val="00CE737E"/>
    <w:rsid w:val="00CE7849"/>
    <w:rsid w:val="00CE793C"/>
    <w:rsid w:val="00CE7B1E"/>
    <w:rsid w:val="00CF095A"/>
    <w:rsid w:val="00CF0C0B"/>
    <w:rsid w:val="00CF0CC1"/>
    <w:rsid w:val="00CF0DB1"/>
    <w:rsid w:val="00CF0EF5"/>
    <w:rsid w:val="00CF1383"/>
    <w:rsid w:val="00CF15BD"/>
    <w:rsid w:val="00CF1B6E"/>
    <w:rsid w:val="00CF1BCE"/>
    <w:rsid w:val="00CF201B"/>
    <w:rsid w:val="00CF2071"/>
    <w:rsid w:val="00CF2173"/>
    <w:rsid w:val="00CF2798"/>
    <w:rsid w:val="00CF280B"/>
    <w:rsid w:val="00CF287F"/>
    <w:rsid w:val="00CF2B87"/>
    <w:rsid w:val="00CF313F"/>
    <w:rsid w:val="00CF3CE9"/>
    <w:rsid w:val="00CF3D7B"/>
    <w:rsid w:val="00CF400A"/>
    <w:rsid w:val="00CF4268"/>
    <w:rsid w:val="00CF43AE"/>
    <w:rsid w:val="00CF50BE"/>
    <w:rsid w:val="00CF58C5"/>
    <w:rsid w:val="00CF5AA5"/>
    <w:rsid w:val="00CF63E9"/>
    <w:rsid w:val="00CF6B7F"/>
    <w:rsid w:val="00CF74A4"/>
    <w:rsid w:val="00CF7903"/>
    <w:rsid w:val="00CF7AA5"/>
    <w:rsid w:val="00D002DD"/>
    <w:rsid w:val="00D00872"/>
    <w:rsid w:val="00D00EE3"/>
    <w:rsid w:val="00D0120E"/>
    <w:rsid w:val="00D01633"/>
    <w:rsid w:val="00D01D8C"/>
    <w:rsid w:val="00D02455"/>
    <w:rsid w:val="00D0248E"/>
    <w:rsid w:val="00D02764"/>
    <w:rsid w:val="00D02CB3"/>
    <w:rsid w:val="00D02CF8"/>
    <w:rsid w:val="00D02D53"/>
    <w:rsid w:val="00D02F5B"/>
    <w:rsid w:val="00D03134"/>
    <w:rsid w:val="00D032E8"/>
    <w:rsid w:val="00D033A4"/>
    <w:rsid w:val="00D03415"/>
    <w:rsid w:val="00D03488"/>
    <w:rsid w:val="00D038BF"/>
    <w:rsid w:val="00D03CAD"/>
    <w:rsid w:val="00D03CB3"/>
    <w:rsid w:val="00D03FF3"/>
    <w:rsid w:val="00D043D2"/>
    <w:rsid w:val="00D04438"/>
    <w:rsid w:val="00D04483"/>
    <w:rsid w:val="00D0475B"/>
    <w:rsid w:val="00D04A76"/>
    <w:rsid w:val="00D04F7A"/>
    <w:rsid w:val="00D0543A"/>
    <w:rsid w:val="00D05861"/>
    <w:rsid w:val="00D05D4F"/>
    <w:rsid w:val="00D05D79"/>
    <w:rsid w:val="00D05DDC"/>
    <w:rsid w:val="00D05F4E"/>
    <w:rsid w:val="00D06175"/>
    <w:rsid w:val="00D068FF"/>
    <w:rsid w:val="00D06D15"/>
    <w:rsid w:val="00D06D3E"/>
    <w:rsid w:val="00D0759B"/>
    <w:rsid w:val="00D075C8"/>
    <w:rsid w:val="00D07E65"/>
    <w:rsid w:val="00D10044"/>
    <w:rsid w:val="00D10967"/>
    <w:rsid w:val="00D10F3D"/>
    <w:rsid w:val="00D11A38"/>
    <w:rsid w:val="00D12454"/>
    <w:rsid w:val="00D12D15"/>
    <w:rsid w:val="00D1328C"/>
    <w:rsid w:val="00D1332D"/>
    <w:rsid w:val="00D13B82"/>
    <w:rsid w:val="00D13CA4"/>
    <w:rsid w:val="00D14080"/>
    <w:rsid w:val="00D146C2"/>
    <w:rsid w:val="00D14818"/>
    <w:rsid w:val="00D1577B"/>
    <w:rsid w:val="00D1582D"/>
    <w:rsid w:val="00D15A07"/>
    <w:rsid w:val="00D16F0D"/>
    <w:rsid w:val="00D172D2"/>
    <w:rsid w:val="00D174DB"/>
    <w:rsid w:val="00D179B0"/>
    <w:rsid w:val="00D17C70"/>
    <w:rsid w:val="00D20067"/>
    <w:rsid w:val="00D20846"/>
    <w:rsid w:val="00D20915"/>
    <w:rsid w:val="00D20BFA"/>
    <w:rsid w:val="00D210E9"/>
    <w:rsid w:val="00D211FA"/>
    <w:rsid w:val="00D21237"/>
    <w:rsid w:val="00D21DF0"/>
    <w:rsid w:val="00D21F44"/>
    <w:rsid w:val="00D22D25"/>
    <w:rsid w:val="00D22EBB"/>
    <w:rsid w:val="00D22FFE"/>
    <w:rsid w:val="00D230DF"/>
    <w:rsid w:val="00D233AC"/>
    <w:rsid w:val="00D2415F"/>
    <w:rsid w:val="00D24B50"/>
    <w:rsid w:val="00D24FE3"/>
    <w:rsid w:val="00D25108"/>
    <w:rsid w:val="00D2518A"/>
    <w:rsid w:val="00D255E7"/>
    <w:rsid w:val="00D257E5"/>
    <w:rsid w:val="00D25E3D"/>
    <w:rsid w:val="00D25E99"/>
    <w:rsid w:val="00D260BE"/>
    <w:rsid w:val="00D26375"/>
    <w:rsid w:val="00D2679E"/>
    <w:rsid w:val="00D26FBB"/>
    <w:rsid w:val="00D27057"/>
    <w:rsid w:val="00D271FC"/>
    <w:rsid w:val="00D27475"/>
    <w:rsid w:val="00D27A67"/>
    <w:rsid w:val="00D27EDC"/>
    <w:rsid w:val="00D30880"/>
    <w:rsid w:val="00D30ECB"/>
    <w:rsid w:val="00D30EFD"/>
    <w:rsid w:val="00D316B0"/>
    <w:rsid w:val="00D319DD"/>
    <w:rsid w:val="00D31E11"/>
    <w:rsid w:val="00D31E38"/>
    <w:rsid w:val="00D323B2"/>
    <w:rsid w:val="00D3260C"/>
    <w:rsid w:val="00D32686"/>
    <w:rsid w:val="00D32862"/>
    <w:rsid w:val="00D32B1A"/>
    <w:rsid w:val="00D33492"/>
    <w:rsid w:val="00D3366B"/>
    <w:rsid w:val="00D33A8E"/>
    <w:rsid w:val="00D33FB5"/>
    <w:rsid w:val="00D343C9"/>
    <w:rsid w:val="00D34FB7"/>
    <w:rsid w:val="00D3544A"/>
    <w:rsid w:val="00D35887"/>
    <w:rsid w:val="00D35983"/>
    <w:rsid w:val="00D35D6F"/>
    <w:rsid w:val="00D36A29"/>
    <w:rsid w:val="00D36FFA"/>
    <w:rsid w:val="00D371E9"/>
    <w:rsid w:val="00D37229"/>
    <w:rsid w:val="00D3742C"/>
    <w:rsid w:val="00D379BA"/>
    <w:rsid w:val="00D37BA2"/>
    <w:rsid w:val="00D37C7E"/>
    <w:rsid w:val="00D40012"/>
    <w:rsid w:val="00D40368"/>
    <w:rsid w:val="00D40839"/>
    <w:rsid w:val="00D40A48"/>
    <w:rsid w:val="00D417BD"/>
    <w:rsid w:val="00D42077"/>
    <w:rsid w:val="00D42154"/>
    <w:rsid w:val="00D42264"/>
    <w:rsid w:val="00D42645"/>
    <w:rsid w:val="00D42CC3"/>
    <w:rsid w:val="00D42F9D"/>
    <w:rsid w:val="00D430DD"/>
    <w:rsid w:val="00D43331"/>
    <w:rsid w:val="00D4429A"/>
    <w:rsid w:val="00D44443"/>
    <w:rsid w:val="00D44B0B"/>
    <w:rsid w:val="00D44C36"/>
    <w:rsid w:val="00D45A9F"/>
    <w:rsid w:val="00D45D18"/>
    <w:rsid w:val="00D45FD5"/>
    <w:rsid w:val="00D46405"/>
    <w:rsid w:val="00D467D4"/>
    <w:rsid w:val="00D46DEE"/>
    <w:rsid w:val="00D46FAB"/>
    <w:rsid w:val="00D471D5"/>
    <w:rsid w:val="00D471F3"/>
    <w:rsid w:val="00D47264"/>
    <w:rsid w:val="00D47B91"/>
    <w:rsid w:val="00D47FF9"/>
    <w:rsid w:val="00D5055E"/>
    <w:rsid w:val="00D50591"/>
    <w:rsid w:val="00D507DE"/>
    <w:rsid w:val="00D50BBB"/>
    <w:rsid w:val="00D51080"/>
    <w:rsid w:val="00D51994"/>
    <w:rsid w:val="00D51AB6"/>
    <w:rsid w:val="00D5214B"/>
    <w:rsid w:val="00D5220C"/>
    <w:rsid w:val="00D5260C"/>
    <w:rsid w:val="00D52638"/>
    <w:rsid w:val="00D527D9"/>
    <w:rsid w:val="00D5290C"/>
    <w:rsid w:val="00D530B9"/>
    <w:rsid w:val="00D53EA7"/>
    <w:rsid w:val="00D54B84"/>
    <w:rsid w:val="00D55399"/>
    <w:rsid w:val="00D55569"/>
    <w:rsid w:val="00D55BDD"/>
    <w:rsid w:val="00D55CC0"/>
    <w:rsid w:val="00D56260"/>
    <w:rsid w:val="00D56612"/>
    <w:rsid w:val="00D566B9"/>
    <w:rsid w:val="00D569A2"/>
    <w:rsid w:val="00D569D3"/>
    <w:rsid w:val="00D56AD0"/>
    <w:rsid w:val="00D56B54"/>
    <w:rsid w:val="00D56DA8"/>
    <w:rsid w:val="00D57329"/>
    <w:rsid w:val="00D57427"/>
    <w:rsid w:val="00D57457"/>
    <w:rsid w:val="00D57A0B"/>
    <w:rsid w:val="00D61356"/>
    <w:rsid w:val="00D613E8"/>
    <w:rsid w:val="00D617CE"/>
    <w:rsid w:val="00D61A2B"/>
    <w:rsid w:val="00D63466"/>
    <w:rsid w:val="00D6347A"/>
    <w:rsid w:val="00D64101"/>
    <w:rsid w:val="00D646B2"/>
    <w:rsid w:val="00D646CE"/>
    <w:rsid w:val="00D64766"/>
    <w:rsid w:val="00D648A0"/>
    <w:rsid w:val="00D64C76"/>
    <w:rsid w:val="00D64D66"/>
    <w:rsid w:val="00D64F1B"/>
    <w:rsid w:val="00D65437"/>
    <w:rsid w:val="00D659A5"/>
    <w:rsid w:val="00D66004"/>
    <w:rsid w:val="00D66F48"/>
    <w:rsid w:val="00D67B92"/>
    <w:rsid w:val="00D70844"/>
    <w:rsid w:val="00D71160"/>
    <w:rsid w:val="00D7139B"/>
    <w:rsid w:val="00D71B7A"/>
    <w:rsid w:val="00D71F99"/>
    <w:rsid w:val="00D72154"/>
    <w:rsid w:val="00D723CF"/>
    <w:rsid w:val="00D727CC"/>
    <w:rsid w:val="00D729CB"/>
    <w:rsid w:val="00D72E30"/>
    <w:rsid w:val="00D732D6"/>
    <w:rsid w:val="00D737BD"/>
    <w:rsid w:val="00D737FA"/>
    <w:rsid w:val="00D73B59"/>
    <w:rsid w:val="00D74547"/>
    <w:rsid w:val="00D745EC"/>
    <w:rsid w:val="00D7489F"/>
    <w:rsid w:val="00D74ABA"/>
    <w:rsid w:val="00D74D84"/>
    <w:rsid w:val="00D74F95"/>
    <w:rsid w:val="00D750FF"/>
    <w:rsid w:val="00D7564A"/>
    <w:rsid w:val="00D75870"/>
    <w:rsid w:val="00D765A1"/>
    <w:rsid w:val="00D767C3"/>
    <w:rsid w:val="00D767CF"/>
    <w:rsid w:val="00D7705F"/>
    <w:rsid w:val="00D77593"/>
    <w:rsid w:val="00D77A36"/>
    <w:rsid w:val="00D77BFA"/>
    <w:rsid w:val="00D77C14"/>
    <w:rsid w:val="00D80192"/>
    <w:rsid w:val="00D80819"/>
    <w:rsid w:val="00D80E37"/>
    <w:rsid w:val="00D8141B"/>
    <w:rsid w:val="00D8150A"/>
    <w:rsid w:val="00D818F3"/>
    <w:rsid w:val="00D81E9F"/>
    <w:rsid w:val="00D81F4A"/>
    <w:rsid w:val="00D82515"/>
    <w:rsid w:val="00D829D2"/>
    <w:rsid w:val="00D82BA6"/>
    <w:rsid w:val="00D82CE9"/>
    <w:rsid w:val="00D82ED2"/>
    <w:rsid w:val="00D840C8"/>
    <w:rsid w:val="00D84465"/>
    <w:rsid w:val="00D84C99"/>
    <w:rsid w:val="00D851F8"/>
    <w:rsid w:val="00D855FB"/>
    <w:rsid w:val="00D856FB"/>
    <w:rsid w:val="00D85711"/>
    <w:rsid w:val="00D85D30"/>
    <w:rsid w:val="00D85F74"/>
    <w:rsid w:val="00D862EE"/>
    <w:rsid w:val="00D869B0"/>
    <w:rsid w:val="00D86A71"/>
    <w:rsid w:val="00D8755C"/>
    <w:rsid w:val="00D879D0"/>
    <w:rsid w:val="00D904F6"/>
    <w:rsid w:val="00D90577"/>
    <w:rsid w:val="00D90E54"/>
    <w:rsid w:val="00D91437"/>
    <w:rsid w:val="00D9238C"/>
    <w:rsid w:val="00D924C5"/>
    <w:rsid w:val="00D92B10"/>
    <w:rsid w:val="00D93829"/>
    <w:rsid w:val="00D93AFD"/>
    <w:rsid w:val="00D93B40"/>
    <w:rsid w:val="00D943E4"/>
    <w:rsid w:val="00D9480F"/>
    <w:rsid w:val="00D94AD1"/>
    <w:rsid w:val="00D95607"/>
    <w:rsid w:val="00D956D1"/>
    <w:rsid w:val="00D95782"/>
    <w:rsid w:val="00D95E3F"/>
    <w:rsid w:val="00D96B2F"/>
    <w:rsid w:val="00D96BFB"/>
    <w:rsid w:val="00D97343"/>
    <w:rsid w:val="00D9754F"/>
    <w:rsid w:val="00D97582"/>
    <w:rsid w:val="00D97F8E"/>
    <w:rsid w:val="00DA0082"/>
    <w:rsid w:val="00DA01EA"/>
    <w:rsid w:val="00DA02E3"/>
    <w:rsid w:val="00DA08F3"/>
    <w:rsid w:val="00DA0B59"/>
    <w:rsid w:val="00DA0C40"/>
    <w:rsid w:val="00DA0C44"/>
    <w:rsid w:val="00DA138B"/>
    <w:rsid w:val="00DA14A1"/>
    <w:rsid w:val="00DA1642"/>
    <w:rsid w:val="00DA1BAA"/>
    <w:rsid w:val="00DA1DED"/>
    <w:rsid w:val="00DA1E72"/>
    <w:rsid w:val="00DA24B0"/>
    <w:rsid w:val="00DA2721"/>
    <w:rsid w:val="00DA29AC"/>
    <w:rsid w:val="00DA2DAD"/>
    <w:rsid w:val="00DA341D"/>
    <w:rsid w:val="00DA3442"/>
    <w:rsid w:val="00DA3914"/>
    <w:rsid w:val="00DA3A08"/>
    <w:rsid w:val="00DA3B4B"/>
    <w:rsid w:val="00DA4079"/>
    <w:rsid w:val="00DA4BA2"/>
    <w:rsid w:val="00DA4C97"/>
    <w:rsid w:val="00DA4F73"/>
    <w:rsid w:val="00DA54B2"/>
    <w:rsid w:val="00DA61C4"/>
    <w:rsid w:val="00DA61DB"/>
    <w:rsid w:val="00DA6855"/>
    <w:rsid w:val="00DA6BB6"/>
    <w:rsid w:val="00DA6D21"/>
    <w:rsid w:val="00DA6EB0"/>
    <w:rsid w:val="00DA70A4"/>
    <w:rsid w:val="00DA7156"/>
    <w:rsid w:val="00DA74C5"/>
    <w:rsid w:val="00DA757F"/>
    <w:rsid w:val="00DA7650"/>
    <w:rsid w:val="00DA795F"/>
    <w:rsid w:val="00DB0875"/>
    <w:rsid w:val="00DB0EF6"/>
    <w:rsid w:val="00DB11D9"/>
    <w:rsid w:val="00DB173C"/>
    <w:rsid w:val="00DB17BD"/>
    <w:rsid w:val="00DB1D73"/>
    <w:rsid w:val="00DB2000"/>
    <w:rsid w:val="00DB217B"/>
    <w:rsid w:val="00DB2282"/>
    <w:rsid w:val="00DB2446"/>
    <w:rsid w:val="00DB2ADB"/>
    <w:rsid w:val="00DB301C"/>
    <w:rsid w:val="00DB3038"/>
    <w:rsid w:val="00DB314A"/>
    <w:rsid w:val="00DB3DAC"/>
    <w:rsid w:val="00DB4121"/>
    <w:rsid w:val="00DB436A"/>
    <w:rsid w:val="00DB4DEB"/>
    <w:rsid w:val="00DB50A0"/>
    <w:rsid w:val="00DB524E"/>
    <w:rsid w:val="00DB54FC"/>
    <w:rsid w:val="00DB5A59"/>
    <w:rsid w:val="00DB66FE"/>
    <w:rsid w:val="00DB76C1"/>
    <w:rsid w:val="00DB7CC9"/>
    <w:rsid w:val="00DB7F3B"/>
    <w:rsid w:val="00DB7FCB"/>
    <w:rsid w:val="00DC112E"/>
    <w:rsid w:val="00DC1302"/>
    <w:rsid w:val="00DC1680"/>
    <w:rsid w:val="00DC1764"/>
    <w:rsid w:val="00DC2395"/>
    <w:rsid w:val="00DC3453"/>
    <w:rsid w:val="00DC39B2"/>
    <w:rsid w:val="00DC3B00"/>
    <w:rsid w:val="00DC3CAB"/>
    <w:rsid w:val="00DC4760"/>
    <w:rsid w:val="00DC4904"/>
    <w:rsid w:val="00DC4AF3"/>
    <w:rsid w:val="00DC55A2"/>
    <w:rsid w:val="00DC585C"/>
    <w:rsid w:val="00DC5A4F"/>
    <w:rsid w:val="00DC5E1A"/>
    <w:rsid w:val="00DC5E7E"/>
    <w:rsid w:val="00DC6451"/>
    <w:rsid w:val="00DC6A50"/>
    <w:rsid w:val="00DC6B5B"/>
    <w:rsid w:val="00DC6E89"/>
    <w:rsid w:val="00DC7F56"/>
    <w:rsid w:val="00DD061A"/>
    <w:rsid w:val="00DD0BC6"/>
    <w:rsid w:val="00DD1060"/>
    <w:rsid w:val="00DD1103"/>
    <w:rsid w:val="00DD13E8"/>
    <w:rsid w:val="00DD14E4"/>
    <w:rsid w:val="00DD179D"/>
    <w:rsid w:val="00DD18FA"/>
    <w:rsid w:val="00DD2454"/>
    <w:rsid w:val="00DD2A53"/>
    <w:rsid w:val="00DD2D42"/>
    <w:rsid w:val="00DD2FBC"/>
    <w:rsid w:val="00DD321B"/>
    <w:rsid w:val="00DD3B00"/>
    <w:rsid w:val="00DD3FDE"/>
    <w:rsid w:val="00DD47B0"/>
    <w:rsid w:val="00DD50F4"/>
    <w:rsid w:val="00DD67C8"/>
    <w:rsid w:val="00DD686B"/>
    <w:rsid w:val="00DD6CBB"/>
    <w:rsid w:val="00DD71DD"/>
    <w:rsid w:val="00DD7435"/>
    <w:rsid w:val="00DE0393"/>
    <w:rsid w:val="00DE03FF"/>
    <w:rsid w:val="00DE04B6"/>
    <w:rsid w:val="00DE06FF"/>
    <w:rsid w:val="00DE1078"/>
    <w:rsid w:val="00DE110C"/>
    <w:rsid w:val="00DE11D1"/>
    <w:rsid w:val="00DE11D7"/>
    <w:rsid w:val="00DE1DE8"/>
    <w:rsid w:val="00DE232E"/>
    <w:rsid w:val="00DE2F6A"/>
    <w:rsid w:val="00DE3289"/>
    <w:rsid w:val="00DE343A"/>
    <w:rsid w:val="00DE368C"/>
    <w:rsid w:val="00DE3711"/>
    <w:rsid w:val="00DE3740"/>
    <w:rsid w:val="00DE3D71"/>
    <w:rsid w:val="00DE4169"/>
    <w:rsid w:val="00DE484A"/>
    <w:rsid w:val="00DE4DCB"/>
    <w:rsid w:val="00DE6336"/>
    <w:rsid w:val="00DE6625"/>
    <w:rsid w:val="00DE66A6"/>
    <w:rsid w:val="00DE679D"/>
    <w:rsid w:val="00DE6B3C"/>
    <w:rsid w:val="00DE71BA"/>
    <w:rsid w:val="00DE77DE"/>
    <w:rsid w:val="00DE794E"/>
    <w:rsid w:val="00DE7A65"/>
    <w:rsid w:val="00DF00F6"/>
    <w:rsid w:val="00DF04BB"/>
    <w:rsid w:val="00DF0581"/>
    <w:rsid w:val="00DF0B06"/>
    <w:rsid w:val="00DF0FDB"/>
    <w:rsid w:val="00DF15F8"/>
    <w:rsid w:val="00DF2457"/>
    <w:rsid w:val="00DF290A"/>
    <w:rsid w:val="00DF3261"/>
    <w:rsid w:val="00DF3525"/>
    <w:rsid w:val="00DF37F0"/>
    <w:rsid w:val="00DF387E"/>
    <w:rsid w:val="00DF3A3C"/>
    <w:rsid w:val="00DF3B5B"/>
    <w:rsid w:val="00DF3D6F"/>
    <w:rsid w:val="00DF453D"/>
    <w:rsid w:val="00DF45A0"/>
    <w:rsid w:val="00DF47E2"/>
    <w:rsid w:val="00DF4922"/>
    <w:rsid w:val="00DF5092"/>
    <w:rsid w:val="00DF560D"/>
    <w:rsid w:val="00DF594B"/>
    <w:rsid w:val="00DF5F5B"/>
    <w:rsid w:val="00DF6335"/>
    <w:rsid w:val="00DF6683"/>
    <w:rsid w:val="00DF687C"/>
    <w:rsid w:val="00DF6B17"/>
    <w:rsid w:val="00DF76A0"/>
    <w:rsid w:val="00DF7C84"/>
    <w:rsid w:val="00E002B0"/>
    <w:rsid w:val="00E006C2"/>
    <w:rsid w:val="00E00C5D"/>
    <w:rsid w:val="00E00D17"/>
    <w:rsid w:val="00E00DB8"/>
    <w:rsid w:val="00E0164F"/>
    <w:rsid w:val="00E0166E"/>
    <w:rsid w:val="00E01E3B"/>
    <w:rsid w:val="00E02412"/>
    <w:rsid w:val="00E0249D"/>
    <w:rsid w:val="00E0278C"/>
    <w:rsid w:val="00E02B6D"/>
    <w:rsid w:val="00E03086"/>
    <w:rsid w:val="00E0315B"/>
    <w:rsid w:val="00E033CA"/>
    <w:rsid w:val="00E034F2"/>
    <w:rsid w:val="00E03EF0"/>
    <w:rsid w:val="00E042E9"/>
    <w:rsid w:val="00E046AD"/>
    <w:rsid w:val="00E04BE4"/>
    <w:rsid w:val="00E04CFF"/>
    <w:rsid w:val="00E04D1E"/>
    <w:rsid w:val="00E04DE8"/>
    <w:rsid w:val="00E04EB1"/>
    <w:rsid w:val="00E04F8F"/>
    <w:rsid w:val="00E0513E"/>
    <w:rsid w:val="00E055E0"/>
    <w:rsid w:val="00E0571E"/>
    <w:rsid w:val="00E05AE5"/>
    <w:rsid w:val="00E05C55"/>
    <w:rsid w:val="00E061FD"/>
    <w:rsid w:val="00E069F0"/>
    <w:rsid w:val="00E06BF4"/>
    <w:rsid w:val="00E07B5C"/>
    <w:rsid w:val="00E07C98"/>
    <w:rsid w:val="00E07DC6"/>
    <w:rsid w:val="00E07FE0"/>
    <w:rsid w:val="00E1023F"/>
    <w:rsid w:val="00E10FF9"/>
    <w:rsid w:val="00E112C4"/>
    <w:rsid w:val="00E1148A"/>
    <w:rsid w:val="00E1151D"/>
    <w:rsid w:val="00E11970"/>
    <w:rsid w:val="00E11C47"/>
    <w:rsid w:val="00E11EC4"/>
    <w:rsid w:val="00E12111"/>
    <w:rsid w:val="00E125A5"/>
    <w:rsid w:val="00E1292D"/>
    <w:rsid w:val="00E131CC"/>
    <w:rsid w:val="00E1322F"/>
    <w:rsid w:val="00E133D4"/>
    <w:rsid w:val="00E13551"/>
    <w:rsid w:val="00E13787"/>
    <w:rsid w:val="00E139A1"/>
    <w:rsid w:val="00E13A9C"/>
    <w:rsid w:val="00E13D4B"/>
    <w:rsid w:val="00E141F7"/>
    <w:rsid w:val="00E148C3"/>
    <w:rsid w:val="00E14CED"/>
    <w:rsid w:val="00E14D8D"/>
    <w:rsid w:val="00E1501D"/>
    <w:rsid w:val="00E1538C"/>
    <w:rsid w:val="00E157BB"/>
    <w:rsid w:val="00E15A43"/>
    <w:rsid w:val="00E15EDA"/>
    <w:rsid w:val="00E16AD7"/>
    <w:rsid w:val="00E16B24"/>
    <w:rsid w:val="00E16D07"/>
    <w:rsid w:val="00E16E7E"/>
    <w:rsid w:val="00E16ED8"/>
    <w:rsid w:val="00E171EB"/>
    <w:rsid w:val="00E17282"/>
    <w:rsid w:val="00E174EF"/>
    <w:rsid w:val="00E20C02"/>
    <w:rsid w:val="00E20F70"/>
    <w:rsid w:val="00E21086"/>
    <w:rsid w:val="00E211AA"/>
    <w:rsid w:val="00E21423"/>
    <w:rsid w:val="00E21426"/>
    <w:rsid w:val="00E2147E"/>
    <w:rsid w:val="00E2172C"/>
    <w:rsid w:val="00E21EA8"/>
    <w:rsid w:val="00E22170"/>
    <w:rsid w:val="00E22DBD"/>
    <w:rsid w:val="00E23228"/>
    <w:rsid w:val="00E23461"/>
    <w:rsid w:val="00E23A58"/>
    <w:rsid w:val="00E23A6A"/>
    <w:rsid w:val="00E23E37"/>
    <w:rsid w:val="00E2484F"/>
    <w:rsid w:val="00E24A90"/>
    <w:rsid w:val="00E24B52"/>
    <w:rsid w:val="00E25309"/>
    <w:rsid w:val="00E25B65"/>
    <w:rsid w:val="00E26311"/>
    <w:rsid w:val="00E2654E"/>
    <w:rsid w:val="00E26CB8"/>
    <w:rsid w:val="00E26CF3"/>
    <w:rsid w:val="00E27163"/>
    <w:rsid w:val="00E271A1"/>
    <w:rsid w:val="00E272E4"/>
    <w:rsid w:val="00E27936"/>
    <w:rsid w:val="00E27BE1"/>
    <w:rsid w:val="00E27ED1"/>
    <w:rsid w:val="00E30337"/>
    <w:rsid w:val="00E30658"/>
    <w:rsid w:val="00E307E3"/>
    <w:rsid w:val="00E30A0C"/>
    <w:rsid w:val="00E30C12"/>
    <w:rsid w:val="00E30D5A"/>
    <w:rsid w:val="00E314B9"/>
    <w:rsid w:val="00E31996"/>
    <w:rsid w:val="00E31B40"/>
    <w:rsid w:val="00E31C54"/>
    <w:rsid w:val="00E31DEF"/>
    <w:rsid w:val="00E3202E"/>
    <w:rsid w:val="00E320C4"/>
    <w:rsid w:val="00E3246D"/>
    <w:rsid w:val="00E329CA"/>
    <w:rsid w:val="00E32ABA"/>
    <w:rsid w:val="00E32C61"/>
    <w:rsid w:val="00E32C79"/>
    <w:rsid w:val="00E32ECC"/>
    <w:rsid w:val="00E333C0"/>
    <w:rsid w:val="00E33601"/>
    <w:rsid w:val="00E3392D"/>
    <w:rsid w:val="00E33E66"/>
    <w:rsid w:val="00E347A9"/>
    <w:rsid w:val="00E34A1D"/>
    <w:rsid w:val="00E3591B"/>
    <w:rsid w:val="00E35DCC"/>
    <w:rsid w:val="00E35E21"/>
    <w:rsid w:val="00E36019"/>
    <w:rsid w:val="00E36169"/>
    <w:rsid w:val="00E36AFC"/>
    <w:rsid w:val="00E36EA2"/>
    <w:rsid w:val="00E36F75"/>
    <w:rsid w:val="00E371DA"/>
    <w:rsid w:val="00E37442"/>
    <w:rsid w:val="00E37895"/>
    <w:rsid w:val="00E40E8B"/>
    <w:rsid w:val="00E4195A"/>
    <w:rsid w:val="00E41F5E"/>
    <w:rsid w:val="00E41F8C"/>
    <w:rsid w:val="00E4224E"/>
    <w:rsid w:val="00E42455"/>
    <w:rsid w:val="00E4277C"/>
    <w:rsid w:val="00E43080"/>
    <w:rsid w:val="00E43231"/>
    <w:rsid w:val="00E43955"/>
    <w:rsid w:val="00E43B38"/>
    <w:rsid w:val="00E43F40"/>
    <w:rsid w:val="00E43FA0"/>
    <w:rsid w:val="00E444A8"/>
    <w:rsid w:val="00E44C69"/>
    <w:rsid w:val="00E44C96"/>
    <w:rsid w:val="00E44ED5"/>
    <w:rsid w:val="00E465A1"/>
    <w:rsid w:val="00E46DEE"/>
    <w:rsid w:val="00E4737A"/>
    <w:rsid w:val="00E4741A"/>
    <w:rsid w:val="00E4794D"/>
    <w:rsid w:val="00E5011C"/>
    <w:rsid w:val="00E50166"/>
    <w:rsid w:val="00E50485"/>
    <w:rsid w:val="00E50B01"/>
    <w:rsid w:val="00E50B0D"/>
    <w:rsid w:val="00E50B72"/>
    <w:rsid w:val="00E51453"/>
    <w:rsid w:val="00E514E5"/>
    <w:rsid w:val="00E51625"/>
    <w:rsid w:val="00E51A43"/>
    <w:rsid w:val="00E51C99"/>
    <w:rsid w:val="00E52312"/>
    <w:rsid w:val="00E524F4"/>
    <w:rsid w:val="00E52784"/>
    <w:rsid w:val="00E52A24"/>
    <w:rsid w:val="00E52CDF"/>
    <w:rsid w:val="00E53351"/>
    <w:rsid w:val="00E53987"/>
    <w:rsid w:val="00E53FCA"/>
    <w:rsid w:val="00E54109"/>
    <w:rsid w:val="00E544FA"/>
    <w:rsid w:val="00E54754"/>
    <w:rsid w:val="00E54910"/>
    <w:rsid w:val="00E54AEB"/>
    <w:rsid w:val="00E54C0B"/>
    <w:rsid w:val="00E551F1"/>
    <w:rsid w:val="00E558FC"/>
    <w:rsid w:val="00E55A86"/>
    <w:rsid w:val="00E56368"/>
    <w:rsid w:val="00E564B8"/>
    <w:rsid w:val="00E565D5"/>
    <w:rsid w:val="00E566A0"/>
    <w:rsid w:val="00E56D3A"/>
    <w:rsid w:val="00E56EA6"/>
    <w:rsid w:val="00E572A8"/>
    <w:rsid w:val="00E572C0"/>
    <w:rsid w:val="00E576CC"/>
    <w:rsid w:val="00E57AFC"/>
    <w:rsid w:val="00E57D5D"/>
    <w:rsid w:val="00E57E9D"/>
    <w:rsid w:val="00E57EAF"/>
    <w:rsid w:val="00E60253"/>
    <w:rsid w:val="00E609DD"/>
    <w:rsid w:val="00E61049"/>
    <w:rsid w:val="00E61DC7"/>
    <w:rsid w:val="00E626D2"/>
    <w:rsid w:val="00E62712"/>
    <w:rsid w:val="00E627A1"/>
    <w:rsid w:val="00E63126"/>
    <w:rsid w:val="00E64417"/>
    <w:rsid w:val="00E64771"/>
    <w:rsid w:val="00E64A79"/>
    <w:rsid w:val="00E64F5E"/>
    <w:rsid w:val="00E65C0D"/>
    <w:rsid w:val="00E65F61"/>
    <w:rsid w:val="00E6658F"/>
    <w:rsid w:val="00E66671"/>
    <w:rsid w:val="00E66C47"/>
    <w:rsid w:val="00E67057"/>
    <w:rsid w:val="00E67733"/>
    <w:rsid w:val="00E6795C"/>
    <w:rsid w:val="00E67AA5"/>
    <w:rsid w:val="00E67D0E"/>
    <w:rsid w:val="00E7003D"/>
    <w:rsid w:val="00E70198"/>
    <w:rsid w:val="00E704F2"/>
    <w:rsid w:val="00E705D3"/>
    <w:rsid w:val="00E70916"/>
    <w:rsid w:val="00E70EF6"/>
    <w:rsid w:val="00E7175E"/>
    <w:rsid w:val="00E71F7D"/>
    <w:rsid w:val="00E723F3"/>
    <w:rsid w:val="00E738AD"/>
    <w:rsid w:val="00E73D9A"/>
    <w:rsid w:val="00E73F4C"/>
    <w:rsid w:val="00E7440F"/>
    <w:rsid w:val="00E7507C"/>
    <w:rsid w:val="00E752C1"/>
    <w:rsid w:val="00E754F2"/>
    <w:rsid w:val="00E76182"/>
    <w:rsid w:val="00E762C7"/>
    <w:rsid w:val="00E76644"/>
    <w:rsid w:val="00E76A9E"/>
    <w:rsid w:val="00E76F5E"/>
    <w:rsid w:val="00E77177"/>
    <w:rsid w:val="00E7744E"/>
    <w:rsid w:val="00E779DB"/>
    <w:rsid w:val="00E80704"/>
    <w:rsid w:val="00E81398"/>
    <w:rsid w:val="00E816EA"/>
    <w:rsid w:val="00E819B5"/>
    <w:rsid w:val="00E81ABB"/>
    <w:rsid w:val="00E81B69"/>
    <w:rsid w:val="00E81B7B"/>
    <w:rsid w:val="00E81D71"/>
    <w:rsid w:val="00E82200"/>
    <w:rsid w:val="00E82225"/>
    <w:rsid w:val="00E82276"/>
    <w:rsid w:val="00E8298E"/>
    <w:rsid w:val="00E82C23"/>
    <w:rsid w:val="00E831E8"/>
    <w:rsid w:val="00E83423"/>
    <w:rsid w:val="00E836B3"/>
    <w:rsid w:val="00E83795"/>
    <w:rsid w:val="00E837AC"/>
    <w:rsid w:val="00E83F46"/>
    <w:rsid w:val="00E841AB"/>
    <w:rsid w:val="00E8468B"/>
    <w:rsid w:val="00E84BC9"/>
    <w:rsid w:val="00E850AD"/>
    <w:rsid w:val="00E851ED"/>
    <w:rsid w:val="00E85242"/>
    <w:rsid w:val="00E85BDA"/>
    <w:rsid w:val="00E85E6C"/>
    <w:rsid w:val="00E85ED3"/>
    <w:rsid w:val="00E86686"/>
    <w:rsid w:val="00E8756B"/>
    <w:rsid w:val="00E8782C"/>
    <w:rsid w:val="00E90988"/>
    <w:rsid w:val="00E90BB1"/>
    <w:rsid w:val="00E90D67"/>
    <w:rsid w:val="00E914E2"/>
    <w:rsid w:val="00E91636"/>
    <w:rsid w:val="00E919B7"/>
    <w:rsid w:val="00E91CF2"/>
    <w:rsid w:val="00E91EE7"/>
    <w:rsid w:val="00E9253C"/>
    <w:rsid w:val="00E927B0"/>
    <w:rsid w:val="00E927F7"/>
    <w:rsid w:val="00E9285E"/>
    <w:rsid w:val="00E92970"/>
    <w:rsid w:val="00E929F6"/>
    <w:rsid w:val="00E931C9"/>
    <w:rsid w:val="00E933B9"/>
    <w:rsid w:val="00E93865"/>
    <w:rsid w:val="00E9425D"/>
    <w:rsid w:val="00E950A9"/>
    <w:rsid w:val="00E9542D"/>
    <w:rsid w:val="00E95708"/>
    <w:rsid w:val="00E95E1D"/>
    <w:rsid w:val="00E963FD"/>
    <w:rsid w:val="00EA00AB"/>
    <w:rsid w:val="00EA00B0"/>
    <w:rsid w:val="00EA032C"/>
    <w:rsid w:val="00EA084F"/>
    <w:rsid w:val="00EA08C2"/>
    <w:rsid w:val="00EA0B6C"/>
    <w:rsid w:val="00EA0F91"/>
    <w:rsid w:val="00EA11BB"/>
    <w:rsid w:val="00EA13D4"/>
    <w:rsid w:val="00EA150B"/>
    <w:rsid w:val="00EA1B90"/>
    <w:rsid w:val="00EA1D61"/>
    <w:rsid w:val="00EA2522"/>
    <w:rsid w:val="00EA252B"/>
    <w:rsid w:val="00EA2620"/>
    <w:rsid w:val="00EA2B48"/>
    <w:rsid w:val="00EA3523"/>
    <w:rsid w:val="00EA391D"/>
    <w:rsid w:val="00EA3B3A"/>
    <w:rsid w:val="00EA3F57"/>
    <w:rsid w:val="00EA3F96"/>
    <w:rsid w:val="00EA40A1"/>
    <w:rsid w:val="00EA413A"/>
    <w:rsid w:val="00EA425A"/>
    <w:rsid w:val="00EA4507"/>
    <w:rsid w:val="00EA457F"/>
    <w:rsid w:val="00EA4798"/>
    <w:rsid w:val="00EA4BEE"/>
    <w:rsid w:val="00EA5C09"/>
    <w:rsid w:val="00EA65FC"/>
    <w:rsid w:val="00EA66E0"/>
    <w:rsid w:val="00EA670E"/>
    <w:rsid w:val="00EA76BD"/>
    <w:rsid w:val="00EA772B"/>
    <w:rsid w:val="00EA7832"/>
    <w:rsid w:val="00EA7A1F"/>
    <w:rsid w:val="00EB08B3"/>
    <w:rsid w:val="00EB16F3"/>
    <w:rsid w:val="00EB1BBE"/>
    <w:rsid w:val="00EB1C6A"/>
    <w:rsid w:val="00EB2548"/>
    <w:rsid w:val="00EB2599"/>
    <w:rsid w:val="00EB2913"/>
    <w:rsid w:val="00EB2C43"/>
    <w:rsid w:val="00EB2DD4"/>
    <w:rsid w:val="00EB3161"/>
    <w:rsid w:val="00EB3327"/>
    <w:rsid w:val="00EB34C7"/>
    <w:rsid w:val="00EB3578"/>
    <w:rsid w:val="00EB377E"/>
    <w:rsid w:val="00EB3F51"/>
    <w:rsid w:val="00EB40FC"/>
    <w:rsid w:val="00EB412B"/>
    <w:rsid w:val="00EB4340"/>
    <w:rsid w:val="00EB44F7"/>
    <w:rsid w:val="00EB47BC"/>
    <w:rsid w:val="00EB4920"/>
    <w:rsid w:val="00EB4ECF"/>
    <w:rsid w:val="00EB5055"/>
    <w:rsid w:val="00EB5307"/>
    <w:rsid w:val="00EB5BA6"/>
    <w:rsid w:val="00EB635B"/>
    <w:rsid w:val="00EB69B1"/>
    <w:rsid w:val="00EB75DE"/>
    <w:rsid w:val="00EB788A"/>
    <w:rsid w:val="00EB798A"/>
    <w:rsid w:val="00EB7C02"/>
    <w:rsid w:val="00EC037F"/>
    <w:rsid w:val="00EC06F7"/>
    <w:rsid w:val="00EC079A"/>
    <w:rsid w:val="00EC07A9"/>
    <w:rsid w:val="00EC0837"/>
    <w:rsid w:val="00EC0A12"/>
    <w:rsid w:val="00EC16C1"/>
    <w:rsid w:val="00EC18B2"/>
    <w:rsid w:val="00EC1C10"/>
    <w:rsid w:val="00EC2547"/>
    <w:rsid w:val="00EC2665"/>
    <w:rsid w:val="00EC27BF"/>
    <w:rsid w:val="00EC27DF"/>
    <w:rsid w:val="00EC282D"/>
    <w:rsid w:val="00EC2898"/>
    <w:rsid w:val="00EC2C10"/>
    <w:rsid w:val="00EC2FBF"/>
    <w:rsid w:val="00EC3352"/>
    <w:rsid w:val="00EC3598"/>
    <w:rsid w:val="00EC369A"/>
    <w:rsid w:val="00EC39CA"/>
    <w:rsid w:val="00EC3B3C"/>
    <w:rsid w:val="00EC488B"/>
    <w:rsid w:val="00EC4969"/>
    <w:rsid w:val="00EC4D6F"/>
    <w:rsid w:val="00EC4E4D"/>
    <w:rsid w:val="00EC53D4"/>
    <w:rsid w:val="00EC5D42"/>
    <w:rsid w:val="00EC5E8C"/>
    <w:rsid w:val="00EC65B8"/>
    <w:rsid w:val="00EC6A67"/>
    <w:rsid w:val="00EC714E"/>
    <w:rsid w:val="00EC7F1D"/>
    <w:rsid w:val="00EC7F67"/>
    <w:rsid w:val="00ED0057"/>
    <w:rsid w:val="00ED023A"/>
    <w:rsid w:val="00ED0B6E"/>
    <w:rsid w:val="00ED11E9"/>
    <w:rsid w:val="00ED1881"/>
    <w:rsid w:val="00ED18B2"/>
    <w:rsid w:val="00ED18D8"/>
    <w:rsid w:val="00ED19DB"/>
    <w:rsid w:val="00ED1C6D"/>
    <w:rsid w:val="00ED1D23"/>
    <w:rsid w:val="00ED1D56"/>
    <w:rsid w:val="00ED1F5E"/>
    <w:rsid w:val="00ED24CC"/>
    <w:rsid w:val="00ED256A"/>
    <w:rsid w:val="00ED2685"/>
    <w:rsid w:val="00ED2B4E"/>
    <w:rsid w:val="00ED2C13"/>
    <w:rsid w:val="00ED2C26"/>
    <w:rsid w:val="00ED37B3"/>
    <w:rsid w:val="00ED3983"/>
    <w:rsid w:val="00ED46D2"/>
    <w:rsid w:val="00ED484B"/>
    <w:rsid w:val="00ED48D7"/>
    <w:rsid w:val="00ED494F"/>
    <w:rsid w:val="00ED4956"/>
    <w:rsid w:val="00ED49B2"/>
    <w:rsid w:val="00ED5180"/>
    <w:rsid w:val="00ED563D"/>
    <w:rsid w:val="00ED5CC3"/>
    <w:rsid w:val="00ED5E7C"/>
    <w:rsid w:val="00ED5ED3"/>
    <w:rsid w:val="00ED60A3"/>
    <w:rsid w:val="00ED633A"/>
    <w:rsid w:val="00ED6443"/>
    <w:rsid w:val="00ED6706"/>
    <w:rsid w:val="00ED70A1"/>
    <w:rsid w:val="00ED7145"/>
    <w:rsid w:val="00ED7247"/>
    <w:rsid w:val="00ED739E"/>
    <w:rsid w:val="00ED747E"/>
    <w:rsid w:val="00ED7521"/>
    <w:rsid w:val="00ED7851"/>
    <w:rsid w:val="00ED7A9E"/>
    <w:rsid w:val="00EE029F"/>
    <w:rsid w:val="00EE0605"/>
    <w:rsid w:val="00EE1284"/>
    <w:rsid w:val="00EE135B"/>
    <w:rsid w:val="00EE154B"/>
    <w:rsid w:val="00EE2359"/>
    <w:rsid w:val="00EE2506"/>
    <w:rsid w:val="00EE2E16"/>
    <w:rsid w:val="00EE2F3A"/>
    <w:rsid w:val="00EE2FEB"/>
    <w:rsid w:val="00EE314E"/>
    <w:rsid w:val="00EE3A49"/>
    <w:rsid w:val="00EE420F"/>
    <w:rsid w:val="00EE437B"/>
    <w:rsid w:val="00EE468A"/>
    <w:rsid w:val="00EE4ED8"/>
    <w:rsid w:val="00EE5157"/>
    <w:rsid w:val="00EE540A"/>
    <w:rsid w:val="00EE5658"/>
    <w:rsid w:val="00EE5975"/>
    <w:rsid w:val="00EE5B76"/>
    <w:rsid w:val="00EE5ECA"/>
    <w:rsid w:val="00EE624B"/>
    <w:rsid w:val="00EE62CA"/>
    <w:rsid w:val="00EE657F"/>
    <w:rsid w:val="00EE6866"/>
    <w:rsid w:val="00EE6B04"/>
    <w:rsid w:val="00EE6E4C"/>
    <w:rsid w:val="00EE7BE5"/>
    <w:rsid w:val="00EE7C45"/>
    <w:rsid w:val="00EF0505"/>
    <w:rsid w:val="00EF0A7F"/>
    <w:rsid w:val="00EF0CBB"/>
    <w:rsid w:val="00EF100A"/>
    <w:rsid w:val="00EF11CF"/>
    <w:rsid w:val="00EF12E4"/>
    <w:rsid w:val="00EF1456"/>
    <w:rsid w:val="00EF1B1F"/>
    <w:rsid w:val="00EF1CF3"/>
    <w:rsid w:val="00EF2389"/>
    <w:rsid w:val="00EF2B19"/>
    <w:rsid w:val="00EF2F94"/>
    <w:rsid w:val="00EF3482"/>
    <w:rsid w:val="00EF3910"/>
    <w:rsid w:val="00EF3E5C"/>
    <w:rsid w:val="00EF429C"/>
    <w:rsid w:val="00EF4472"/>
    <w:rsid w:val="00EF4DF3"/>
    <w:rsid w:val="00EF5958"/>
    <w:rsid w:val="00EF5E2B"/>
    <w:rsid w:val="00EF5EE2"/>
    <w:rsid w:val="00EF5FA9"/>
    <w:rsid w:val="00EF6086"/>
    <w:rsid w:val="00EF6399"/>
    <w:rsid w:val="00EF7C27"/>
    <w:rsid w:val="00EF7CF8"/>
    <w:rsid w:val="00F0022A"/>
    <w:rsid w:val="00F00248"/>
    <w:rsid w:val="00F006D3"/>
    <w:rsid w:val="00F0077B"/>
    <w:rsid w:val="00F00A53"/>
    <w:rsid w:val="00F00AB9"/>
    <w:rsid w:val="00F00BAA"/>
    <w:rsid w:val="00F00DEA"/>
    <w:rsid w:val="00F010BA"/>
    <w:rsid w:val="00F010EF"/>
    <w:rsid w:val="00F02608"/>
    <w:rsid w:val="00F0278D"/>
    <w:rsid w:val="00F028B7"/>
    <w:rsid w:val="00F02B87"/>
    <w:rsid w:val="00F02BAB"/>
    <w:rsid w:val="00F030B7"/>
    <w:rsid w:val="00F03A0F"/>
    <w:rsid w:val="00F03ECF"/>
    <w:rsid w:val="00F049D5"/>
    <w:rsid w:val="00F04B32"/>
    <w:rsid w:val="00F04D88"/>
    <w:rsid w:val="00F05362"/>
    <w:rsid w:val="00F05712"/>
    <w:rsid w:val="00F0580A"/>
    <w:rsid w:val="00F0583D"/>
    <w:rsid w:val="00F058D7"/>
    <w:rsid w:val="00F05B4E"/>
    <w:rsid w:val="00F06260"/>
    <w:rsid w:val="00F0693E"/>
    <w:rsid w:val="00F06999"/>
    <w:rsid w:val="00F06AE8"/>
    <w:rsid w:val="00F06BC0"/>
    <w:rsid w:val="00F06D4F"/>
    <w:rsid w:val="00F06D5B"/>
    <w:rsid w:val="00F06F8E"/>
    <w:rsid w:val="00F07229"/>
    <w:rsid w:val="00F0761E"/>
    <w:rsid w:val="00F07FC2"/>
    <w:rsid w:val="00F10978"/>
    <w:rsid w:val="00F10D5D"/>
    <w:rsid w:val="00F10EEA"/>
    <w:rsid w:val="00F11113"/>
    <w:rsid w:val="00F113AF"/>
    <w:rsid w:val="00F1195D"/>
    <w:rsid w:val="00F11C7D"/>
    <w:rsid w:val="00F1220B"/>
    <w:rsid w:val="00F12509"/>
    <w:rsid w:val="00F1358E"/>
    <w:rsid w:val="00F13C28"/>
    <w:rsid w:val="00F13CA4"/>
    <w:rsid w:val="00F13F83"/>
    <w:rsid w:val="00F14922"/>
    <w:rsid w:val="00F14C8B"/>
    <w:rsid w:val="00F14E09"/>
    <w:rsid w:val="00F159FC"/>
    <w:rsid w:val="00F15B60"/>
    <w:rsid w:val="00F15D35"/>
    <w:rsid w:val="00F16439"/>
    <w:rsid w:val="00F172ED"/>
    <w:rsid w:val="00F179CA"/>
    <w:rsid w:val="00F2017F"/>
    <w:rsid w:val="00F206AC"/>
    <w:rsid w:val="00F20EB4"/>
    <w:rsid w:val="00F21317"/>
    <w:rsid w:val="00F21CF0"/>
    <w:rsid w:val="00F21E0E"/>
    <w:rsid w:val="00F21EB7"/>
    <w:rsid w:val="00F22128"/>
    <w:rsid w:val="00F221D8"/>
    <w:rsid w:val="00F22387"/>
    <w:rsid w:val="00F22773"/>
    <w:rsid w:val="00F22BDC"/>
    <w:rsid w:val="00F22EFC"/>
    <w:rsid w:val="00F23250"/>
    <w:rsid w:val="00F233F1"/>
    <w:rsid w:val="00F2342D"/>
    <w:rsid w:val="00F2348F"/>
    <w:rsid w:val="00F23F5E"/>
    <w:rsid w:val="00F2536F"/>
    <w:rsid w:val="00F25405"/>
    <w:rsid w:val="00F256FE"/>
    <w:rsid w:val="00F25F2C"/>
    <w:rsid w:val="00F2615E"/>
    <w:rsid w:val="00F2675E"/>
    <w:rsid w:val="00F26D81"/>
    <w:rsid w:val="00F26DBF"/>
    <w:rsid w:val="00F27771"/>
    <w:rsid w:val="00F30245"/>
    <w:rsid w:val="00F305EE"/>
    <w:rsid w:val="00F31175"/>
    <w:rsid w:val="00F31BE7"/>
    <w:rsid w:val="00F322E5"/>
    <w:rsid w:val="00F326B6"/>
    <w:rsid w:val="00F327D7"/>
    <w:rsid w:val="00F32B6D"/>
    <w:rsid w:val="00F32F88"/>
    <w:rsid w:val="00F3308E"/>
    <w:rsid w:val="00F332C1"/>
    <w:rsid w:val="00F33470"/>
    <w:rsid w:val="00F33704"/>
    <w:rsid w:val="00F33922"/>
    <w:rsid w:val="00F33B09"/>
    <w:rsid w:val="00F33FA0"/>
    <w:rsid w:val="00F34433"/>
    <w:rsid w:val="00F35F3D"/>
    <w:rsid w:val="00F36395"/>
    <w:rsid w:val="00F36CFF"/>
    <w:rsid w:val="00F36EA7"/>
    <w:rsid w:val="00F3705E"/>
    <w:rsid w:val="00F372B9"/>
    <w:rsid w:val="00F378CB"/>
    <w:rsid w:val="00F37928"/>
    <w:rsid w:val="00F37A99"/>
    <w:rsid w:val="00F400DB"/>
    <w:rsid w:val="00F40BB0"/>
    <w:rsid w:val="00F413AB"/>
    <w:rsid w:val="00F41608"/>
    <w:rsid w:val="00F41614"/>
    <w:rsid w:val="00F41930"/>
    <w:rsid w:val="00F41EAC"/>
    <w:rsid w:val="00F41FBF"/>
    <w:rsid w:val="00F4252F"/>
    <w:rsid w:val="00F428DB"/>
    <w:rsid w:val="00F42D9B"/>
    <w:rsid w:val="00F43058"/>
    <w:rsid w:val="00F4356E"/>
    <w:rsid w:val="00F4358E"/>
    <w:rsid w:val="00F43A70"/>
    <w:rsid w:val="00F43CB3"/>
    <w:rsid w:val="00F44892"/>
    <w:rsid w:val="00F449E1"/>
    <w:rsid w:val="00F44A2E"/>
    <w:rsid w:val="00F44C25"/>
    <w:rsid w:val="00F44E86"/>
    <w:rsid w:val="00F45D7F"/>
    <w:rsid w:val="00F4601A"/>
    <w:rsid w:val="00F470D0"/>
    <w:rsid w:val="00F47417"/>
    <w:rsid w:val="00F474F2"/>
    <w:rsid w:val="00F47D45"/>
    <w:rsid w:val="00F47E1D"/>
    <w:rsid w:val="00F47E53"/>
    <w:rsid w:val="00F47F60"/>
    <w:rsid w:val="00F5032B"/>
    <w:rsid w:val="00F5051A"/>
    <w:rsid w:val="00F50656"/>
    <w:rsid w:val="00F512E7"/>
    <w:rsid w:val="00F51307"/>
    <w:rsid w:val="00F515F4"/>
    <w:rsid w:val="00F518F7"/>
    <w:rsid w:val="00F52134"/>
    <w:rsid w:val="00F52199"/>
    <w:rsid w:val="00F525A8"/>
    <w:rsid w:val="00F52889"/>
    <w:rsid w:val="00F52B6D"/>
    <w:rsid w:val="00F53A5E"/>
    <w:rsid w:val="00F544E7"/>
    <w:rsid w:val="00F54CBC"/>
    <w:rsid w:val="00F5510C"/>
    <w:rsid w:val="00F551F1"/>
    <w:rsid w:val="00F552AA"/>
    <w:rsid w:val="00F55336"/>
    <w:rsid w:val="00F5535C"/>
    <w:rsid w:val="00F5542B"/>
    <w:rsid w:val="00F5547C"/>
    <w:rsid w:val="00F55765"/>
    <w:rsid w:val="00F559F1"/>
    <w:rsid w:val="00F55E17"/>
    <w:rsid w:val="00F55E3E"/>
    <w:rsid w:val="00F561D1"/>
    <w:rsid w:val="00F56207"/>
    <w:rsid w:val="00F56320"/>
    <w:rsid w:val="00F56379"/>
    <w:rsid w:val="00F57137"/>
    <w:rsid w:val="00F57210"/>
    <w:rsid w:val="00F57438"/>
    <w:rsid w:val="00F57CF3"/>
    <w:rsid w:val="00F60275"/>
    <w:rsid w:val="00F60790"/>
    <w:rsid w:val="00F60889"/>
    <w:rsid w:val="00F60A74"/>
    <w:rsid w:val="00F60B0F"/>
    <w:rsid w:val="00F60D13"/>
    <w:rsid w:val="00F61133"/>
    <w:rsid w:val="00F61768"/>
    <w:rsid w:val="00F618A2"/>
    <w:rsid w:val="00F61DD6"/>
    <w:rsid w:val="00F62047"/>
    <w:rsid w:val="00F63251"/>
    <w:rsid w:val="00F632CD"/>
    <w:rsid w:val="00F64A5D"/>
    <w:rsid w:val="00F64B58"/>
    <w:rsid w:val="00F64CCF"/>
    <w:rsid w:val="00F652E1"/>
    <w:rsid w:val="00F6581E"/>
    <w:rsid w:val="00F65932"/>
    <w:rsid w:val="00F65B55"/>
    <w:rsid w:val="00F667E9"/>
    <w:rsid w:val="00F66A53"/>
    <w:rsid w:val="00F66AC8"/>
    <w:rsid w:val="00F66F35"/>
    <w:rsid w:val="00F67000"/>
    <w:rsid w:val="00F67443"/>
    <w:rsid w:val="00F674B0"/>
    <w:rsid w:val="00F6781D"/>
    <w:rsid w:val="00F67AE1"/>
    <w:rsid w:val="00F7179D"/>
    <w:rsid w:val="00F717CA"/>
    <w:rsid w:val="00F724CC"/>
    <w:rsid w:val="00F727E0"/>
    <w:rsid w:val="00F729B4"/>
    <w:rsid w:val="00F72C77"/>
    <w:rsid w:val="00F73243"/>
    <w:rsid w:val="00F732CF"/>
    <w:rsid w:val="00F7346D"/>
    <w:rsid w:val="00F73829"/>
    <w:rsid w:val="00F73D9B"/>
    <w:rsid w:val="00F73F62"/>
    <w:rsid w:val="00F740A3"/>
    <w:rsid w:val="00F741F0"/>
    <w:rsid w:val="00F742D8"/>
    <w:rsid w:val="00F74439"/>
    <w:rsid w:val="00F7449D"/>
    <w:rsid w:val="00F74F6B"/>
    <w:rsid w:val="00F75170"/>
    <w:rsid w:val="00F754B6"/>
    <w:rsid w:val="00F75A7C"/>
    <w:rsid w:val="00F75FAF"/>
    <w:rsid w:val="00F76749"/>
    <w:rsid w:val="00F76B07"/>
    <w:rsid w:val="00F76BBE"/>
    <w:rsid w:val="00F771DC"/>
    <w:rsid w:val="00F7754F"/>
    <w:rsid w:val="00F775F5"/>
    <w:rsid w:val="00F77730"/>
    <w:rsid w:val="00F77BF1"/>
    <w:rsid w:val="00F77CEC"/>
    <w:rsid w:val="00F801C9"/>
    <w:rsid w:val="00F801D5"/>
    <w:rsid w:val="00F80781"/>
    <w:rsid w:val="00F80F74"/>
    <w:rsid w:val="00F80FEE"/>
    <w:rsid w:val="00F81277"/>
    <w:rsid w:val="00F813BA"/>
    <w:rsid w:val="00F81471"/>
    <w:rsid w:val="00F8155E"/>
    <w:rsid w:val="00F8238D"/>
    <w:rsid w:val="00F82631"/>
    <w:rsid w:val="00F82778"/>
    <w:rsid w:val="00F83227"/>
    <w:rsid w:val="00F83656"/>
    <w:rsid w:val="00F8394E"/>
    <w:rsid w:val="00F83966"/>
    <w:rsid w:val="00F83A7B"/>
    <w:rsid w:val="00F848AF"/>
    <w:rsid w:val="00F857BE"/>
    <w:rsid w:val="00F859A8"/>
    <w:rsid w:val="00F861C5"/>
    <w:rsid w:val="00F874BE"/>
    <w:rsid w:val="00F875B0"/>
    <w:rsid w:val="00F8769B"/>
    <w:rsid w:val="00F900FC"/>
    <w:rsid w:val="00F903B6"/>
    <w:rsid w:val="00F90F96"/>
    <w:rsid w:val="00F91757"/>
    <w:rsid w:val="00F91DD2"/>
    <w:rsid w:val="00F91F09"/>
    <w:rsid w:val="00F91F0E"/>
    <w:rsid w:val="00F92543"/>
    <w:rsid w:val="00F92DF8"/>
    <w:rsid w:val="00F934BB"/>
    <w:rsid w:val="00F93C8D"/>
    <w:rsid w:val="00F94843"/>
    <w:rsid w:val="00F95BD6"/>
    <w:rsid w:val="00F95E1C"/>
    <w:rsid w:val="00F95E60"/>
    <w:rsid w:val="00F96313"/>
    <w:rsid w:val="00F96693"/>
    <w:rsid w:val="00F972E2"/>
    <w:rsid w:val="00F9764C"/>
    <w:rsid w:val="00F979B3"/>
    <w:rsid w:val="00F97EA0"/>
    <w:rsid w:val="00FA0131"/>
    <w:rsid w:val="00FA0207"/>
    <w:rsid w:val="00FA0969"/>
    <w:rsid w:val="00FA0CF1"/>
    <w:rsid w:val="00FA0FD2"/>
    <w:rsid w:val="00FA10AC"/>
    <w:rsid w:val="00FA125F"/>
    <w:rsid w:val="00FA15BC"/>
    <w:rsid w:val="00FA2123"/>
    <w:rsid w:val="00FA2971"/>
    <w:rsid w:val="00FA3325"/>
    <w:rsid w:val="00FA370C"/>
    <w:rsid w:val="00FA4148"/>
    <w:rsid w:val="00FA454A"/>
    <w:rsid w:val="00FA4572"/>
    <w:rsid w:val="00FA4B62"/>
    <w:rsid w:val="00FA4FDF"/>
    <w:rsid w:val="00FA5074"/>
    <w:rsid w:val="00FA52F9"/>
    <w:rsid w:val="00FA54CB"/>
    <w:rsid w:val="00FA56D9"/>
    <w:rsid w:val="00FA5820"/>
    <w:rsid w:val="00FA58D5"/>
    <w:rsid w:val="00FA5AFC"/>
    <w:rsid w:val="00FA6024"/>
    <w:rsid w:val="00FA60B1"/>
    <w:rsid w:val="00FA6387"/>
    <w:rsid w:val="00FA6AB9"/>
    <w:rsid w:val="00FA6F44"/>
    <w:rsid w:val="00FA7FA8"/>
    <w:rsid w:val="00FB01CA"/>
    <w:rsid w:val="00FB0C5B"/>
    <w:rsid w:val="00FB1077"/>
    <w:rsid w:val="00FB1675"/>
    <w:rsid w:val="00FB1CB1"/>
    <w:rsid w:val="00FB1D8C"/>
    <w:rsid w:val="00FB2BC8"/>
    <w:rsid w:val="00FB3177"/>
    <w:rsid w:val="00FB32D8"/>
    <w:rsid w:val="00FB338F"/>
    <w:rsid w:val="00FB3824"/>
    <w:rsid w:val="00FB39A4"/>
    <w:rsid w:val="00FB411B"/>
    <w:rsid w:val="00FB5221"/>
    <w:rsid w:val="00FB5351"/>
    <w:rsid w:val="00FB57E0"/>
    <w:rsid w:val="00FB5935"/>
    <w:rsid w:val="00FB5C90"/>
    <w:rsid w:val="00FB5EAD"/>
    <w:rsid w:val="00FB6D0F"/>
    <w:rsid w:val="00FB70E1"/>
    <w:rsid w:val="00FB78B8"/>
    <w:rsid w:val="00FC003F"/>
    <w:rsid w:val="00FC025F"/>
    <w:rsid w:val="00FC09CE"/>
    <w:rsid w:val="00FC1401"/>
    <w:rsid w:val="00FC1C5D"/>
    <w:rsid w:val="00FC2008"/>
    <w:rsid w:val="00FC249B"/>
    <w:rsid w:val="00FC25EE"/>
    <w:rsid w:val="00FC289D"/>
    <w:rsid w:val="00FC2C65"/>
    <w:rsid w:val="00FC3201"/>
    <w:rsid w:val="00FC32D3"/>
    <w:rsid w:val="00FC3662"/>
    <w:rsid w:val="00FC39BB"/>
    <w:rsid w:val="00FC4BC0"/>
    <w:rsid w:val="00FC5269"/>
    <w:rsid w:val="00FC5681"/>
    <w:rsid w:val="00FC57A1"/>
    <w:rsid w:val="00FC5D2F"/>
    <w:rsid w:val="00FC5F7B"/>
    <w:rsid w:val="00FC5FCF"/>
    <w:rsid w:val="00FC6524"/>
    <w:rsid w:val="00FC69AC"/>
    <w:rsid w:val="00FC6BAF"/>
    <w:rsid w:val="00FC6BE8"/>
    <w:rsid w:val="00FC75F1"/>
    <w:rsid w:val="00FC772C"/>
    <w:rsid w:val="00FC7A76"/>
    <w:rsid w:val="00FC7AA3"/>
    <w:rsid w:val="00FD09A6"/>
    <w:rsid w:val="00FD138E"/>
    <w:rsid w:val="00FD152E"/>
    <w:rsid w:val="00FD1567"/>
    <w:rsid w:val="00FD180B"/>
    <w:rsid w:val="00FD1CE1"/>
    <w:rsid w:val="00FD256C"/>
    <w:rsid w:val="00FD2704"/>
    <w:rsid w:val="00FD2971"/>
    <w:rsid w:val="00FD2B53"/>
    <w:rsid w:val="00FD3398"/>
    <w:rsid w:val="00FD37B8"/>
    <w:rsid w:val="00FD39A0"/>
    <w:rsid w:val="00FD3A4D"/>
    <w:rsid w:val="00FD3DF6"/>
    <w:rsid w:val="00FD3F6E"/>
    <w:rsid w:val="00FD44DD"/>
    <w:rsid w:val="00FD47F9"/>
    <w:rsid w:val="00FD510B"/>
    <w:rsid w:val="00FD5D81"/>
    <w:rsid w:val="00FD6B52"/>
    <w:rsid w:val="00FD70B2"/>
    <w:rsid w:val="00FD7A0C"/>
    <w:rsid w:val="00FE0288"/>
    <w:rsid w:val="00FE0495"/>
    <w:rsid w:val="00FE062A"/>
    <w:rsid w:val="00FE07A1"/>
    <w:rsid w:val="00FE0F51"/>
    <w:rsid w:val="00FE113F"/>
    <w:rsid w:val="00FE1545"/>
    <w:rsid w:val="00FE18FB"/>
    <w:rsid w:val="00FE281B"/>
    <w:rsid w:val="00FE2870"/>
    <w:rsid w:val="00FE3740"/>
    <w:rsid w:val="00FE3CF0"/>
    <w:rsid w:val="00FE48BC"/>
    <w:rsid w:val="00FE4C64"/>
    <w:rsid w:val="00FE4CAD"/>
    <w:rsid w:val="00FE547C"/>
    <w:rsid w:val="00FE54B3"/>
    <w:rsid w:val="00FE6323"/>
    <w:rsid w:val="00FE64B2"/>
    <w:rsid w:val="00FE7349"/>
    <w:rsid w:val="00FE76B9"/>
    <w:rsid w:val="00FF0BEA"/>
    <w:rsid w:val="00FF0C46"/>
    <w:rsid w:val="00FF0DAF"/>
    <w:rsid w:val="00FF0E81"/>
    <w:rsid w:val="00FF10D0"/>
    <w:rsid w:val="00FF13A5"/>
    <w:rsid w:val="00FF1561"/>
    <w:rsid w:val="00FF1982"/>
    <w:rsid w:val="00FF20E0"/>
    <w:rsid w:val="00FF236A"/>
    <w:rsid w:val="00FF241A"/>
    <w:rsid w:val="00FF2451"/>
    <w:rsid w:val="00FF2932"/>
    <w:rsid w:val="00FF2B9C"/>
    <w:rsid w:val="00FF31E6"/>
    <w:rsid w:val="00FF3516"/>
    <w:rsid w:val="00FF37DB"/>
    <w:rsid w:val="00FF401F"/>
    <w:rsid w:val="00FF4840"/>
    <w:rsid w:val="00FF4B33"/>
    <w:rsid w:val="00FF5280"/>
    <w:rsid w:val="00FF5DC5"/>
    <w:rsid w:val="00FF6742"/>
    <w:rsid w:val="00FF691F"/>
    <w:rsid w:val="00FF69E9"/>
    <w:rsid w:val="00FF76E9"/>
    <w:rsid w:val="00FF788C"/>
    <w:rsid w:val="00FF7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5:docId w15:val="{EB626B97-FDC2-4828-A256-5D75CE0D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2B"/>
    <w:pPr>
      <w:spacing w:before="120" w:line="250" w:lineRule="exact"/>
    </w:pPr>
    <w:rPr>
      <w:rFonts w:asciiTheme="minorHAnsi" w:hAnsiTheme="minorHAnsi"/>
      <w:lang w:eastAsia="en-US"/>
    </w:rPr>
  </w:style>
  <w:style w:type="paragraph" w:styleId="Heading1">
    <w:name w:val="heading 1"/>
    <w:basedOn w:val="Normal"/>
    <w:next w:val="Normal"/>
    <w:qFormat/>
    <w:rsid w:val="00055D85"/>
    <w:pPr>
      <w:keepNext/>
      <w:autoSpaceDE w:val="0"/>
      <w:autoSpaceDN w:val="0"/>
      <w:adjustRightInd w:val="0"/>
      <w:outlineLvl w:val="0"/>
    </w:pPr>
    <w:rPr>
      <w:i/>
      <w:iC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hanginglist105pt">
    <w:name w:val="Normal hanging list 10.5 pt"/>
    <w:basedOn w:val="Normalhanginglist"/>
    <w:qFormat/>
    <w:rsid w:val="0003528E"/>
    <w:pPr>
      <w:spacing w:line="260" w:lineRule="exact"/>
    </w:pPr>
    <w:rPr>
      <w:b/>
      <w:sz w:val="21"/>
    </w:rPr>
  </w:style>
  <w:style w:type="character" w:styleId="FollowedHyperlink">
    <w:name w:val="FollowedHyperlink"/>
    <w:basedOn w:val="DefaultParagraphFont"/>
    <w:rsid w:val="0086106A"/>
    <w:rPr>
      <w:rFonts w:cs="Times New Roman"/>
      <w:color w:val="800080"/>
      <w:u w:val="single"/>
    </w:rPr>
  </w:style>
  <w:style w:type="paragraph" w:customStyle="1" w:styleId="Normalindentitalic10pt">
    <w:name w:val="Normal indent italic 10pt"/>
    <w:basedOn w:val="NormalIndent1"/>
    <w:qFormat/>
    <w:rsid w:val="003C683C"/>
    <w:pPr>
      <w:spacing w:line="260" w:lineRule="exact"/>
    </w:pPr>
    <w:rPr>
      <w:i/>
    </w:rPr>
  </w:style>
  <w:style w:type="paragraph" w:customStyle="1" w:styleId="xl24">
    <w:name w:val="xl24"/>
    <w:basedOn w:val="Normal"/>
    <w:rsid w:val="0086106A"/>
    <w:pPr>
      <w:spacing w:before="100" w:beforeAutospacing="1" w:after="100" w:afterAutospacing="1"/>
    </w:pPr>
    <w:rPr>
      <w:b/>
      <w:bCs/>
      <w:sz w:val="24"/>
      <w:szCs w:val="24"/>
      <w:lang w:eastAsia="en-AU"/>
    </w:rPr>
  </w:style>
  <w:style w:type="paragraph" w:customStyle="1" w:styleId="xl25">
    <w:name w:val="xl25"/>
    <w:basedOn w:val="Normal"/>
    <w:rsid w:val="0086106A"/>
    <w:pPr>
      <w:spacing w:before="100" w:beforeAutospacing="1" w:after="100" w:afterAutospacing="1"/>
    </w:pPr>
    <w:rPr>
      <w:sz w:val="24"/>
      <w:szCs w:val="24"/>
      <w:lang w:eastAsia="en-AU"/>
    </w:rPr>
  </w:style>
  <w:style w:type="paragraph" w:customStyle="1" w:styleId="xl26">
    <w:name w:val="xl26"/>
    <w:basedOn w:val="Normal"/>
    <w:rsid w:val="0086106A"/>
    <w:pPr>
      <w:spacing w:before="100" w:beforeAutospacing="1" w:after="100" w:afterAutospacing="1"/>
    </w:pPr>
    <w:rPr>
      <w:b/>
      <w:bCs/>
      <w:szCs w:val="22"/>
      <w:lang w:eastAsia="en-AU"/>
    </w:rPr>
  </w:style>
  <w:style w:type="paragraph" w:customStyle="1" w:styleId="xl27">
    <w:name w:val="xl27"/>
    <w:basedOn w:val="Normal"/>
    <w:rsid w:val="0086106A"/>
    <w:pPr>
      <w:spacing w:before="100" w:beforeAutospacing="1" w:after="100" w:afterAutospacing="1"/>
      <w:jc w:val="center"/>
    </w:pPr>
    <w:rPr>
      <w:sz w:val="24"/>
      <w:szCs w:val="24"/>
      <w:lang w:eastAsia="en-AU"/>
    </w:rPr>
  </w:style>
  <w:style w:type="paragraph" w:customStyle="1" w:styleId="xl28">
    <w:name w:val="xl28"/>
    <w:basedOn w:val="Normal"/>
    <w:rsid w:val="0086106A"/>
    <w:pPr>
      <w:spacing w:before="100" w:beforeAutospacing="1" w:after="100" w:afterAutospacing="1"/>
      <w:jc w:val="right"/>
    </w:pPr>
    <w:rPr>
      <w:b/>
      <w:bCs/>
      <w:sz w:val="24"/>
      <w:szCs w:val="24"/>
      <w:lang w:eastAsia="en-AU"/>
    </w:rPr>
  </w:style>
  <w:style w:type="paragraph" w:customStyle="1" w:styleId="xl29">
    <w:name w:val="xl29"/>
    <w:basedOn w:val="Normal"/>
    <w:rsid w:val="0086106A"/>
    <w:pPr>
      <w:spacing w:before="100" w:beforeAutospacing="1" w:after="100" w:afterAutospacing="1"/>
      <w:jc w:val="right"/>
    </w:pPr>
    <w:rPr>
      <w:sz w:val="24"/>
      <w:szCs w:val="24"/>
      <w:lang w:eastAsia="en-AU"/>
    </w:rPr>
  </w:style>
  <w:style w:type="paragraph" w:customStyle="1" w:styleId="xl30">
    <w:name w:val="xl30"/>
    <w:basedOn w:val="Normal"/>
    <w:rsid w:val="0086106A"/>
    <w:pPr>
      <w:pBdr>
        <w:bottom w:val="single" w:sz="4" w:space="0" w:color="auto"/>
      </w:pBdr>
      <w:spacing w:before="100" w:beforeAutospacing="1" w:after="100" w:afterAutospacing="1"/>
    </w:pPr>
    <w:rPr>
      <w:sz w:val="24"/>
      <w:szCs w:val="24"/>
      <w:lang w:eastAsia="en-AU"/>
    </w:rPr>
  </w:style>
  <w:style w:type="paragraph" w:customStyle="1" w:styleId="xl31">
    <w:name w:val="xl31"/>
    <w:basedOn w:val="Normal"/>
    <w:rsid w:val="0086106A"/>
    <w:pPr>
      <w:pBdr>
        <w:bottom w:val="single" w:sz="4" w:space="0" w:color="auto"/>
      </w:pBdr>
      <w:spacing w:before="100" w:beforeAutospacing="1" w:after="100" w:afterAutospacing="1"/>
    </w:pPr>
    <w:rPr>
      <w:b/>
      <w:bCs/>
      <w:sz w:val="24"/>
      <w:szCs w:val="24"/>
      <w:lang w:eastAsia="en-AU"/>
    </w:rPr>
  </w:style>
  <w:style w:type="paragraph" w:customStyle="1" w:styleId="xl32">
    <w:name w:val="xl32"/>
    <w:basedOn w:val="Normal"/>
    <w:rsid w:val="0086106A"/>
    <w:pPr>
      <w:pBdr>
        <w:top w:val="single" w:sz="4" w:space="0" w:color="auto"/>
        <w:bottom w:val="single" w:sz="4" w:space="0" w:color="auto"/>
      </w:pBdr>
      <w:spacing w:before="100" w:beforeAutospacing="1" w:after="100" w:afterAutospacing="1"/>
    </w:pPr>
    <w:rPr>
      <w:b/>
      <w:bCs/>
      <w:sz w:val="24"/>
      <w:szCs w:val="24"/>
      <w:lang w:eastAsia="en-AU"/>
    </w:rPr>
  </w:style>
  <w:style w:type="paragraph" w:customStyle="1" w:styleId="xl33">
    <w:name w:val="xl33"/>
    <w:basedOn w:val="Normal"/>
    <w:rsid w:val="0086106A"/>
    <w:pPr>
      <w:pBdr>
        <w:top w:val="single" w:sz="4" w:space="0" w:color="auto"/>
        <w:bottom w:val="single" w:sz="4" w:space="0" w:color="auto"/>
      </w:pBdr>
      <w:spacing w:before="100" w:beforeAutospacing="1" w:after="100" w:afterAutospacing="1"/>
      <w:jc w:val="right"/>
    </w:pPr>
    <w:rPr>
      <w:b/>
      <w:bCs/>
      <w:sz w:val="24"/>
      <w:szCs w:val="24"/>
      <w:lang w:eastAsia="en-AU"/>
    </w:rPr>
  </w:style>
  <w:style w:type="paragraph" w:customStyle="1" w:styleId="xl34">
    <w:name w:val="xl34"/>
    <w:basedOn w:val="Normal"/>
    <w:rsid w:val="0086106A"/>
    <w:pPr>
      <w:pBdr>
        <w:top w:val="single" w:sz="4" w:space="0" w:color="auto"/>
        <w:bottom w:val="double" w:sz="6" w:space="0" w:color="auto"/>
      </w:pBdr>
      <w:spacing w:before="100" w:beforeAutospacing="1" w:after="100" w:afterAutospacing="1"/>
    </w:pPr>
    <w:rPr>
      <w:b/>
      <w:bCs/>
      <w:sz w:val="24"/>
      <w:szCs w:val="24"/>
      <w:lang w:eastAsia="en-AU"/>
    </w:rPr>
  </w:style>
  <w:style w:type="paragraph" w:customStyle="1" w:styleId="xl35">
    <w:name w:val="xl35"/>
    <w:basedOn w:val="Normal"/>
    <w:rsid w:val="0086106A"/>
    <w:pPr>
      <w:spacing w:before="100" w:beforeAutospacing="1" w:after="100" w:afterAutospacing="1"/>
      <w:jc w:val="right"/>
    </w:pPr>
    <w:rPr>
      <w:b/>
      <w:bCs/>
      <w:szCs w:val="22"/>
      <w:lang w:eastAsia="en-AU"/>
    </w:rPr>
  </w:style>
  <w:style w:type="paragraph" w:customStyle="1" w:styleId="xl36">
    <w:name w:val="xl36"/>
    <w:basedOn w:val="Normal"/>
    <w:rsid w:val="0086106A"/>
    <w:pPr>
      <w:spacing w:before="100" w:beforeAutospacing="1" w:after="100" w:afterAutospacing="1"/>
      <w:jc w:val="center"/>
    </w:pPr>
    <w:rPr>
      <w:b/>
      <w:bCs/>
      <w:szCs w:val="22"/>
      <w:lang w:eastAsia="en-AU"/>
    </w:rPr>
  </w:style>
  <w:style w:type="paragraph" w:customStyle="1" w:styleId="xl37">
    <w:name w:val="xl37"/>
    <w:basedOn w:val="Normal"/>
    <w:rsid w:val="0086106A"/>
    <w:pPr>
      <w:spacing w:before="100" w:beforeAutospacing="1" w:after="100" w:afterAutospacing="1"/>
    </w:pPr>
    <w:rPr>
      <w:b/>
      <w:bCs/>
      <w:szCs w:val="22"/>
      <w:lang w:eastAsia="en-AU"/>
    </w:rPr>
  </w:style>
  <w:style w:type="paragraph" w:customStyle="1" w:styleId="xl38">
    <w:name w:val="xl38"/>
    <w:basedOn w:val="Normal"/>
    <w:rsid w:val="0086106A"/>
    <w:pPr>
      <w:spacing w:before="100" w:beforeAutospacing="1" w:after="100" w:afterAutospacing="1"/>
      <w:jc w:val="right"/>
    </w:pPr>
    <w:rPr>
      <w:b/>
      <w:bCs/>
      <w:szCs w:val="22"/>
      <w:lang w:eastAsia="en-AU"/>
    </w:rPr>
  </w:style>
  <w:style w:type="paragraph" w:customStyle="1" w:styleId="xl39">
    <w:name w:val="xl39"/>
    <w:basedOn w:val="Normal"/>
    <w:rsid w:val="0086106A"/>
    <w:pPr>
      <w:spacing w:before="100" w:beforeAutospacing="1" w:after="100" w:afterAutospacing="1"/>
    </w:pPr>
    <w:rPr>
      <w:b/>
      <w:bCs/>
      <w:szCs w:val="22"/>
      <w:lang w:eastAsia="en-AU"/>
    </w:rPr>
  </w:style>
  <w:style w:type="paragraph" w:customStyle="1" w:styleId="xl40">
    <w:name w:val="xl40"/>
    <w:basedOn w:val="Normal"/>
    <w:rsid w:val="0086106A"/>
    <w:pPr>
      <w:spacing w:before="100" w:beforeAutospacing="1" w:after="100" w:afterAutospacing="1"/>
      <w:jc w:val="center"/>
    </w:pPr>
    <w:rPr>
      <w:szCs w:val="22"/>
      <w:lang w:eastAsia="en-AU"/>
    </w:rPr>
  </w:style>
  <w:style w:type="paragraph" w:customStyle="1" w:styleId="xl41">
    <w:name w:val="xl41"/>
    <w:basedOn w:val="Normal"/>
    <w:rsid w:val="0086106A"/>
    <w:pPr>
      <w:spacing w:before="100" w:beforeAutospacing="1" w:after="100" w:afterAutospacing="1"/>
    </w:pPr>
    <w:rPr>
      <w:sz w:val="24"/>
      <w:szCs w:val="24"/>
      <w:lang w:eastAsia="en-AU"/>
    </w:rPr>
  </w:style>
  <w:style w:type="paragraph" w:customStyle="1" w:styleId="xl42">
    <w:name w:val="xl42"/>
    <w:basedOn w:val="Normal"/>
    <w:rsid w:val="0086106A"/>
    <w:pPr>
      <w:pBdr>
        <w:top w:val="single" w:sz="4" w:space="0" w:color="auto"/>
        <w:bottom w:val="single" w:sz="4" w:space="0" w:color="auto"/>
      </w:pBdr>
      <w:spacing w:before="100" w:beforeAutospacing="1" w:after="100" w:afterAutospacing="1"/>
    </w:pPr>
    <w:rPr>
      <w:sz w:val="24"/>
      <w:szCs w:val="24"/>
      <w:lang w:eastAsia="en-AU"/>
    </w:rPr>
  </w:style>
  <w:style w:type="paragraph" w:customStyle="1" w:styleId="xl43">
    <w:name w:val="xl43"/>
    <w:basedOn w:val="Normal"/>
    <w:rsid w:val="0086106A"/>
    <w:pPr>
      <w:spacing w:before="100" w:beforeAutospacing="1" w:after="100" w:afterAutospacing="1"/>
    </w:pPr>
    <w:rPr>
      <w:szCs w:val="22"/>
      <w:lang w:eastAsia="en-AU"/>
    </w:rPr>
  </w:style>
  <w:style w:type="paragraph" w:customStyle="1" w:styleId="xl44">
    <w:name w:val="xl44"/>
    <w:basedOn w:val="Normal"/>
    <w:rsid w:val="0086106A"/>
    <w:pPr>
      <w:spacing w:before="100" w:beforeAutospacing="1" w:after="100" w:afterAutospacing="1"/>
    </w:pPr>
    <w:rPr>
      <w:sz w:val="24"/>
      <w:szCs w:val="24"/>
      <w:lang w:eastAsia="en-AU"/>
    </w:rPr>
  </w:style>
  <w:style w:type="paragraph" w:customStyle="1" w:styleId="xl45">
    <w:name w:val="xl45"/>
    <w:basedOn w:val="Normal"/>
    <w:rsid w:val="0086106A"/>
    <w:pPr>
      <w:spacing w:before="100" w:beforeAutospacing="1" w:after="100" w:afterAutospacing="1"/>
    </w:pPr>
    <w:rPr>
      <w:b/>
      <w:bCs/>
      <w:sz w:val="24"/>
      <w:szCs w:val="24"/>
      <w:lang w:eastAsia="en-AU"/>
    </w:rPr>
  </w:style>
  <w:style w:type="paragraph" w:customStyle="1" w:styleId="xl46">
    <w:name w:val="xl46"/>
    <w:basedOn w:val="Normal"/>
    <w:rsid w:val="0086106A"/>
    <w:pPr>
      <w:spacing w:before="100" w:beforeAutospacing="1" w:after="100" w:afterAutospacing="1"/>
    </w:pPr>
    <w:rPr>
      <w:sz w:val="24"/>
      <w:szCs w:val="24"/>
      <w:lang w:eastAsia="en-AU"/>
    </w:rPr>
  </w:style>
  <w:style w:type="paragraph" w:customStyle="1" w:styleId="xl47">
    <w:name w:val="xl47"/>
    <w:basedOn w:val="Normal"/>
    <w:rsid w:val="0086106A"/>
    <w:pPr>
      <w:spacing w:before="100" w:beforeAutospacing="1" w:after="100" w:afterAutospacing="1"/>
      <w:jc w:val="center"/>
    </w:pPr>
    <w:rPr>
      <w:b/>
      <w:bCs/>
      <w:szCs w:val="22"/>
      <w:lang w:eastAsia="en-AU"/>
    </w:rPr>
  </w:style>
  <w:style w:type="paragraph" w:customStyle="1" w:styleId="xl48">
    <w:name w:val="xl48"/>
    <w:basedOn w:val="Normal"/>
    <w:rsid w:val="0086106A"/>
    <w:pPr>
      <w:spacing w:before="100" w:beforeAutospacing="1" w:after="100" w:afterAutospacing="1"/>
    </w:pPr>
    <w:rPr>
      <w:sz w:val="24"/>
      <w:szCs w:val="24"/>
      <w:lang w:eastAsia="en-AU"/>
    </w:rPr>
  </w:style>
  <w:style w:type="paragraph" w:customStyle="1" w:styleId="xl49">
    <w:name w:val="xl49"/>
    <w:basedOn w:val="Normal"/>
    <w:rsid w:val="0086106A"/>
    <w:pPr>
      <w:spacing w:before="100" w:beforeAutospacing="1" w:after="100" w:afterAutospacing="1"/>
    </w:pPr>
    <w:rPr>
      <w:sz w:val="24"/>
      <w:szCs w:val="24"/>
      <w:lang w:eastAsia="en-AU"/>
    </w:rPr>
  </w:style>
  <w:style w:type="paragraph" w:customStyle="1" w:styleId="xl50">
    <w:name w:val="xl50"/>
    <w:basedOn w:val="Normal"/>
    <w:rsid w:val="0086106A"/>
    <w:pPr>
      <w:spacing w:before="100" w:beforeAutospacing="1" w:after="100" w:afterAutospacing="1"/>
    </w:pPr>
    <w:rPr>
      <w:i/>
      <w:iCs/>
      <w:sz w:val="24"/>
      <w:szCs w:val="24"/>
      <w:lang w:eastAsia="en-AU"/>
    </w:rPr>
  </w:style>
  <w:style w:type="paragraph" w:customStyle="1" w:styleId="xl51">
    <w:name w:val="xl51"/>
    <w:basedOn w:val="Normal"/>
    <w:rsid w:val="0086106A"/>
    <w:pPr>
      <w:spacing w:before="100" w:beforeAutospacing="1" w:after="100" w:afterAutospacing="1"/>
      <w:jc w:val="center"/>
    </w:pPr>
    <w:rPr>
      <w:szCs w:val="22"/>
      <w:lang w:eastAsia="en-AU"/>
    </w:rPr>
  </w:style>
  <w:style w:type="paragraph" w:customStyle="1" w:styleId="xl52">
    <w:name w:val="xl52"/>
    <w:basedOn w:val="Normal"/>
    <w:rsid w:val="0086106A"/>
    <w:pPr>
      <w:spacing w:before="100" w:beforeAutospacing="1" w:after="100" w:afterAutospacing="1"/>
    </w:pPr>
    <w:rPr>
      <w:b/>
      <w:bCs/>
      <w:sz w:val="24"/>
      <w:szCs w:val="24"/>
      <w:lang w:eastAsia="en-AU"/>
    </w:rPr>
  </w:style>
  <w:style w:type="paragraph" w:customStyle="1" w:styleId="xl53">
    <w:name w:val="xl53"/>
    <w:basedOn w:val="Normal"/>
    <w:rsid w:val="0086106A"/>
    <w:pPr>
      <w:spacing w:before="100" w:beforeAutospacing="1" w:after="100" w:afterAutospacing="1"/>
      <w:jc w:val="center"/>
    </w:pPr>
    <w:rPr>
      <w:sz w:val="24"/>
      <w:szCs w:val="24"/>
      <w:lang w:eastAsia="en-AU"/>
    </w:rPr>
  </w:style>
  <w:style w:type="paragraph" w:customStyle="1" w:styleId="xl54">
    <w:name w:val="xl54"/>
    <w:basedOn w:val="Normal"/>
    <w:rsid w:val="0086106A"/>
    <w:pPr>
      <w:spacing w:before="100" w:beforeAutospacing="1" w:after="100" w:afterAutospacing="1"/>
      <w:jc w:val="right"/>
    </w:pPr>
    <w:rPr>
      <w:sz w:val="24"/>
      <w:szCs w:val="24"/>
      <w:lang w:eastAsia="en-AU"/>
    </w:rPr>
  </w:style>
  <w:style w:type="paragraph" w:customStyle="1" w:styleId="xl55">
    <w:name w:val="xl55"/>
    <w:basedOn w:val="Normal"/>
    <w:rsid w:val="0086106A"/>
    <w:pPr>
      <w:pBdr>
        <w:bottom w:val="single" w:sz="4" w:space="0" w:color="auto"/>
      </w:pBdr>
      <w:spacing w:before="100" w:beforeAutospacing="1" w:after="100" w:afterAutospacing="1"/>
      <w:jc w:val="right"/>
    </w:pPr>
    <w:rPr>
      <w:sz w:val="24"/>
      <w:szCs w:val="24"/>
      <w:lang w:eastAsia="en-AU"/>
    </w:rPr>
  </w:style>
  <w:style w:type="paragraph" w:customStyle="1" w:styleId="xl56">
    <w:name w:val="xl56"/>
    <w:basedOn w:val="Normal"/>
    <w:rsid w:val="0086106A"/>
    <w:pPr>
      <w:spacing w:before="100" w:beforeAutospacing="1" w:after="100" w:afterAutospacing="1"/>
    </w:pPr>
    <w:rPr>
      <w:sz w:val="24"/>
      <w:szCs w:val="24"/>
      <w:lang w:eastAsia="en-AU"/>
    </w:rPr>
  </w:style>
  <w:style w:type="paragraph" w:customStyle="1" w:styleId="xl57">
    <w:name w:val="xl57"/>
    <w:basedOn w:val="Normal"/>
    <w:rsid w:val="0086106A"/>
    <w:pPr>
      <w:spacing w:before="100" w:beforeAutospacing="1" w:after="100" w:afterAutospacing="1"/>
      <w:jc w:val="center"/>
    </w:pPr>
    <w:rPr>
      <w:sz w:val="24"/>
      <w:szCs w:val="24"/>
      <w:lang w:eastAsia="en-AU"/>
    </w:rPr>
  </w:style>
  <w:style w:type="paragraph" w:customStyle="1" w:styleId="xl58">
    <w:name w:val="xl58"/>
    <w:basedOn w:val="Normal"/>
    <w:rsid w:val="0086106A"/>
    <w:pPr>
      <w:spacing w:before="100" w:beforeAutospacing="1" w:after="100" w:afterAutospacing="1"/>
    </w:pPr>
    <w:rPr>
      <w:i/>
      <w:iCs/>
      <w:sz w:val="24"/>
      <w:szCs w:val="24"/>
      <w:lang w:eastAsia="en-AU"/>
    </w:rPr>
  </w:style>
  <w:style w:type="paragraph" w:customStyle="1" w:styleId="xl59">
    <w:name w:val="xl59"/>
    <w:basedOn w:val="Normal"/>
    <w:rsid w:val="0086106A"/>
    <w:pPr>
      <w:spacing w:before="100" w:beforeAutospacing="1" w:after="100" w:afterAutospacing="1"/>
    </w:pPr>
    <w:rPr>
      <w:sz w:val="24"/>
      <w:szCs w:val="24"/>
      <w:lang w:eastAsia="en-AU"/>
    </w:rPr>
  </w:style>
  <w:style w:type="paragraph" w:customStyle="1" w:styleId="xl60">
    <w:name w:val="xl60"/>
    <w:basedOn w:val="Normal"/>
    <w:rsid w:val="0086106A"/>
    <w:pPr>
      <w:spacing w:before="100" w:beforeAutospacing="1" w:after="100" w:afterAutospacing="1"/>
    </w:pPr>
    <w:rPr>
      <w:sz w:val="24"/>
      <w:szCs w:val="24"/>
      <w:lang w:eastAsia="en-AU"/>
    </w:rPr>
  </w:style>
  <w:style w:type="paragraph" w:customStyle="1" w:styleId="xl61">
    <w:name w:val="xl61"/>
    <w:basedOn w:val="Normal"/>
    <w:rsid w:val="0086106A"/>
    <w:pPr>
      <w:spacing w:before="100" w:beforeAutospacing="1" w:after="100" w:afterAutospacing="1"/>
    </w:pPr>
    <w:rPr>
      <w:i/>
      <w:iCs/>
      <w:szCs w:val="22"/>
      <w:lang w:eastAsia="en-AU"/>
    </w:rPr>
  </w:style>
  <w:style w:type="paragraph" w:customStyle="1" w:styleId="xl62">
    <w:name w:val="xl62"/>
    <w:basedOn w:val="Normal"/>
    <w:rsid w:val="0086106A"/>
    <w:pPr>
      <w:pBdr>
        <w:bottom w:val="single" w:sz="4" w:space="0" w:color="auto"/>
      </w:pBdr>
      <w:spacing w:before="100" w:beforeAutospacing="1" w:after="100" w:afterAutospacing="1"/>
    </w:pPr>
    <w:rPr>
      <w:sz w:val="24"/>
      <w:szCs w:val="24"/>
      <w:lang w:eastAsia="en-AU"/>
    </w:rPr>
  </w:style>
  <w:style w:type="paragraph" w:customStyle="1" w:styleId="xl63">
    <w:name w:val="xl63"/>
    <w:basedOn w:val="Normal"/>
    <w:rsid w:val="0086106A"/>
    <w:pPr>
      <w:spacing w:before="100" w:beforeAutospacing="1" w:after="100" w:afterAutospacing="1"/>
    </w:pPr>
    <w:rPr>
      <w:szCs w:val="22"/>
      <w:lang w:eastAsia="en-AU"/>
    </w:rPr>
  </w:style>
  <w:style w:type="paragraph" w:customStyle="1" w:styleId="xl64">
    <w:name w:val="xl64"/>
    <w:basedOn w:val="Normal"/>
    <w:rsid w:val="0086106A"/>
    <w:pPr>
      <w:pBdr>
        <w:left w:val="single" w:sz="8" w:space="0" w:color="auto"/>
      </w:pBdr>
      <w:spacing w:before="100" w:beforeAutospacing="1" w:after="100" w:afterAutospacing="1"/>
    </w:pPr>
    <w:rPr>
      <w:sz w:val="24"/>
      <w:szCs w:val="24"/>
      <w:lang w:eastAsia="en-AU"/>
    </w:rPr>
  </w:style>
  <w:style w:type="paragraph" w:customStyle="1" w:styleId="xl65">
    <w:name w:val="xl65"/>
    <w:basedOn w:val="Normal"/>
    <w:rsid w:val="0086106A"/>
    <w:pPr>
      <w:pBdr>
        <w:right w:val="single" w:sz="8" w:space="0" w:color="auto"/>
      </w:pBdr>
      <w:spacing w:before="100" w:beforeAutospacing="1" w:after="100" w:afterAutospacing="1"/>
    </w:pPr>
    <w:rPr>
      <w:sz w:val="24"/>
      <w:szCs w:val="24"/>
      <w:lang w:eastAsia="en-AU"/>
    </w:rPr>
  </w:style>
  <w:style w:type="paragraph" w:customStyle="1" w:styleId="xl66">
    <w:name w:val="xl66"/>
    <w:basedOn w:val="Normal"/>
    <w:rsid w:val="0086106A"/>
    <w:pPr>
      <w:pBdr>
        <w:bottom w:val="single" w:sz="8" w:space="0" w:color="auto"/>
      </w:pBdr>
      <w:spacing w:before="100" w:beforeAutospacing="1" w:after="100" w:afterAutospacing="1"/>
    </w:pPr>
    <w:rPr>
      <w:sz w:val="24"/>
      <w:szCs w:val="24"/>
      <w:lang w:eastAsia="en-AU"/>
    </w:rPr>
  </w:style>
  <w:style w:type="paragraph" w:customStyle="1" w:styleId="xl67">
    <w:name w:val="xl67"/>
    <w:basedOn w:val="Normal"/>
    <w:rsid w:val="0086106A"/>
    <w:pPr>
      <w:spacing w:before="100" w:beforeAutospacing="1" w:after="100" w:afterAutospacing="1"/>
      <w:jc w:val="center"/>
    </w:pPr>
    <w:rPr>
      <w:b/>
      <w:bCs/>
      <w:szCs w:val="22"/>
      <w:lang w:eastAsia="en-AU"/>
    </w:rPr>
  </w:style>
  <w:style w:type="paragraph" w:customStyle="1" w:styleId="xl68">
    <w:name w:val="xl68"/>
    <w:basedOn w:val="Normal"/>
    <w:rsid w:val="0086106A"/>
    <w:pPr>
      <w:spacing w:before="100" w:beforeAutospacing="1" w:after="100" w:afterAutospacing="1"/>
    </w:pPr>
    <w:rPr>
      <w:szCs w:val="22"/>
      <w:u w:val="single"/>
      <w:lang w:eastAsia="en-AU"/>
    </w:rPr>
  </w:style>
  <w:style w:type="paragraph" w:customStyle="1" w:styleId="xl69">
    <w:name w:val="xl69"/>
    <w:basedOn w:val="Normal"/>
    <w:rsid w:val="0086106A"/>
    <w:pPr>
      <w:spacing w:before="100" w:beforeAutospacing="1" w:after="100" w:afterAutospacing="1"/>
      <w:jc w:val="right"/>
    </w:pPr>
    <w:rPr>
      <w:sz w:val="24"/>
      <w:szCs w:val="24"/>
      <w:u w:val="single"/>
      <w:lang w:eastAsia="en-AU"/>
    </w:rPr>
  </w:style>
  <w:style w:type="paragraph" w:customStyle="1" w:styleId="xl70">
    <w:name w:val="xl70"/>
    <w:basedOn w:val="Normal"/>
    <w:rsid w:val="0086106A"/>
    <w:pPr>
      <w:pBdr>
        <w:top w:val="single" w:sz="4" w:space="0" w:color="auto"/>
        <w:left w:val="single" w:sz="4" w:space="0" w:color="auto"/>
        <w:bottom w:val="single" w:sz="4" w:space="0" w:color="auto"/>
      </w:pBdr>
      <w:spacing w:before="100" w:beforeAutospacing="1" w:after="100" w:afterAutospacing="1"/>
      <w:textAlignment w:val="top"/>
    </w:pPr>
    <w:rPr>
      <w:sz w:val="24"/>
      <w:szCs w:val="24"/>
      <w:lang w:eastAsia="en-AU"/>
    </w:rPr>
  </w:style>
  <w:style w:type="paragraph" w:customStyle="1" w:styleId="xl71">
    <w:name w:val="xl71"/>
    <w:basedOn w:val="Normal"/>
    <w:rsid w:val="0086106A"/>
    <w:pPr>
      <w:pBdr>
        <w:top w:val="single" w:sz="4" w:space="0" w:color="auto"/>
        <w:left w:val="single" w:sz="4" w:space="0" w:color="auto"/>
        <w:bottom w:val="single" w:sz="4" w:space="0" w:color="auto"/>
      </w:pBdr>
      <w:spacing w:before="100" w:beforeAutospacing="1" w:after="100" w:afterAutospacing="1"/>
      <w:textAlignment w:val="top"/>
    </w:pPr>
    <w:rPr>
      <w:sz w:val="24"/>
      <w:szCs w:val="24"/>
      <w:lang w:eastAsia="en-AU"/>
    </w:rPr>
  </w:style>
  <w:style w:type="paragraph" w:customStyle="1" w:styleId="xl72">
    <w:name w:val="xl72"/>
    <w:basedOn w:val="Normal"/>
    <w:rsid w:val="0086106A"/>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lang w:eastAsia="en-AU"/>
    </w:rPr>
  </w:style>
  <w:style w:type="paragraph" w:customStyle="1" w:styleId="xl73">
    <w:name w:val="xl73"/>
    <w:basedOn w:val="Normal"/>
    <w:rsid w:val="0086106A"/>
    <w:pPr>
      <w:pBdr>
        <w:top w:val="single" w:sz="4" w:space="0" w:color="auto"/>
        <w:left w:val="single" w:sz="4" w:space="0" w:color="auto"/>
        <w:bottom w:val="single" w:sz="4" w:space="0" w:color="auto"/>
      </w:pBdr>
      <w:spacing w:before="100" w:beforeAutospacing="1" w:after="100" w:afterAutospacing="1"/>
      <w:textAlignment w:val="top"/>
    </w:pPr>
    <w:rPr>
      <w:sz w:val="24"/>
      <w:szCs w:val="24"/>
      <w:lang w:eastAsia="en-AU"/>
    </w:rPr>
  </w:style>
  <w:style w:type="paragraph" w:customStyle="1" w:styleId="xl74">
    <w:name w:val="xl74"/>
    <w:basedOn w:val="Normal"/>
    <w:rsid w:val="0086106A"/>
    <w:pPr>
      <w:pBdr>
        <w:left w:val="single" w:sz="4" w:space="0" w:color="auto"/>
      </w:pBdr>
      <w:spacing w:before="100" w:beforeAutospacing="1" w:after="100" w:afterAutospacing="1"/>
      <w:jc w:val="center"/>
    </w:pPr>
    <w:rPr>
      <w:sz w:val="24"/>
      <w:szCs w:val="24"/>
      <w:lang w:eastAsia="en-AU"/>
    </w:rPr>
  </w:style>
  <w:style w:type="paragraph" w:customStyle="1" w:styleId="xl75">
    <w:name w:val="xl75"/>
    <w:basedOn w:val="Normal"/>
    <w:rsid w:val="0086106A"/>
    <w:pPr>
      <w:pBdr>
        <w:right w:val="single" w:sz="4" w:space="0" w:color="auto"/>
      </w:pBdr>
      <w:spacing w:before="100" w:beforeAutospacing="1" w:after="100" w:afterAutospacing="1"/>
      <w:jc w:val="center"/>
    </w:pPr>
    <w:rPr>
      <w:sz w:val="24"/>
      <w:szCs w:val="24"/>
      <w:lang w:eastAsia="en-AU"/>
    </w:rPr>
  </w:style>
  <w:style w:type="paragraph" w:customStyle="1" w:styleId="xl76">
    <w:name w:val="xl76"/>
    <w:basedOn w:val="Normal"/>
    <w:rsid w:val="0086106A"/>
    <w:pPr>
      <w:pBdr>
        <w:left w:val="single" w:sz="4" w:space="0" w:color="auto"/>
        <w:bottom w:val="single" w:sz="4" w:space="0" w:color="auto"/>
      </w:pBdr>
      <w:spacing w:before="100" w:beforeAutospacing="1" w:after="100" w:afterAutospacing="1"/>
      <w:jc w:val="center"/>
    </w:pPr>
    <w:rPr>
      <w:sz w:val="24"/>
      <w:szCs w:val="24"/>
      <w:lang w:eastAsia="en-AU"/>
    </w:rPr>
  </w:style>
  <w:style w:type="paragraph" w:customStyle="1" w:styleId="xl77">
    <w:name w:val="xl77"/>
    <w:basedOn w:val="Normal"/>
    <w:rsid w:val="0086106A"/>
    <w:pPr>
      <w:pBdr>
        <w:bottom w:val="single" w:sz="4" w:space="0" w:color="auto"/>
        <w:right w:val="single" w:sz="4" w:space="0" w:color="auto"/>
      </w:pBdr>
      <w:spacing w:before="100" w:beforeAutospacing="1" w:after="100" w:afterAutospacing="1"/>
      <w:jc w:val="center"/>
    </w:pPr>
    <w:rPr>
      <w:sz w:val="24"/>
      <w:szCs w:val="24"/>
      <w:lang w:eastAsia="en-AU"/>
    </w:rPr>
  </w:style>
  <w:style w:type="paragraph" w:customStyle="1" w:styleId="xl78">
    <w:name w:val="xl78"/>
    <w:basedOn w:val="Normal"/>
    <w:rsid w:val="008610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eastAsia="en-AU"/>
    </w:rPr>
  </w:style>
  <w:style w:type="paragraph" w:customStyle="1" w:styleId="xl79">
    <w:name w:val="xl79"/>
    <w:basedOn w:val="Normal"/>
    <w:rsid w:val="0086106A"/>
    <w:pPr>
      <w:pBdr>
        <w:left w:val="single" w:sz="4" w:space="0" w:color="auto"/>
        <w:bottom w:val="single" w:sz="4" w:space="0" w:color="auto"/>
        <w:right w:val="single" w:sz="4" w:space="0" w:color="auto"/>
      </w:pBdr>
      <w:spacing w:before="100" w:beforeAutospacing="1" w:after="100" w:afterAutospacing="1"/>
      <w:jc w:val="center"/>
    </w:pPr>
    <w:rPr>
      <w:sz w:val="24"/>
      <w:szCs w:val="24"/>
      <w:lang w:eastAsia="en-AU"/>
    </w:rPr>
  </w:style>
  <w:style w:type="paragraph" w:customStyle="1" w:styleId="xl80">
    <w:name w:val="xl80"/>
    <w:basedOn w:val="Normal"/>
    <w:rsid w:val="0086106A"/>
    <w:pPr>
      <w:pBdr>
        <w:top w:val="single" w:sz="4" w:space="0" w:color="auto"/>
        <w:left w:val="single" w:sz="4" w:space="0" w:color="auto"/>
        <w:right w:val="single" w:sz="4" w:space="0" w:color="auto"/>
      </w:pBdr>
      <w:spacing w:before="100" w:beforeAutospacing="1" w:after="100" w:afterAutospacing="1"/>
      <w:jc w:val="center"/>
    </w:pPr>
    <w:rPr>
      <w:sz w:val="24"/>
      <w:szCs w:val="24"/>
      <w:lang w:eastAsia="en-AU"/>
    </w:rPr>
  </w:style>
  <w:style w:type="paragraph" w:customStyle="1" w:styleId="xl81">
    <w:name w:val="xl81"/>
    <w:basedOn w:val="Normal"/>
    <w:rsid w:val="0086106A"/>
    <w:pPr>
      <w:pBdr>
        <w:top w:val="single" w:sz="4" w:space="0" w:color="auto"/>
      </w:pBdr>
      <w:spacing w:before="100" w:beforeAutospacing="1" w:after="100" w:afterAutospacing="1"/>
      <w:textAlignment w:val="top"/>
    </w:pPr>
    <w:rPr>
      <w:sz w:val="24"/>
      <w:szCs w:val="24"/>
      <w:lang w:eastAsia="en-AU"/>
    </w:rPr>
  </w:style>
  <w:style w:type="paragraph" w:customStyle="1" w:styleId="xl82">
    <w:name w:val="xl82"/>
    <w:basedOn w:val="Normal"/>
    <w:rsid w:val="0086106A"/>
    <w:pPr>
      <w:pBdr>
        <w:top w:val="single" w:sz="4" w:space="0" w:color="auto"/>
      </w:pBdr>
      <w:spacing w:before="100" w:beforeAutospacing="1" w:after="100" w:afterAutospacing="1"/>
      <w:textAlignment w:val="top"/>
    </w:pPr>
    <w:rPr>
      <w:sz w:val="24"/>
      <w:szCs w:val="24"/>
      <w:lang w:eastAsia="en-AU"/>
    </w:rPr>
  </w:style>
  <w:style w:type="paragraph" w:customStyle="1" w:styleId="xl83">
    <w:name w:val="xl83"/>
    <w:basedOn w:val="Normal"/>
    <w:rsid w:val="008610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u w:val="single"/>
      <w:lang w:eastAsia="en-AU"/>
    </w:rPr>
  </w:style>
  <w:style w:type="paragraph" w:customStyle="1" w:styleId="xl84">
    <w:name w:val="xl84"/>
    <w:basedOn w:val="Normal"/>
    <w:rsid w:val="0086106A"/>
    <w:pPr>
      <w:pBdr>
        <w:top w:val="single" w:sz="4" w:space="0" w:color="auto"/>
        <w:left w:val="single" w:sz="4" w:space="0" w:color="auto"/>
        <w:bottom w:val="single" w:sz="4" w:space="0" w:color="auto"/>
      </w:pBdr>
      <w:spacing w:before="100" w:beforeAutospacing="1" w:after="100" w:afterAutospacing="1"/>
      <w:jc w:val="center"/>
    </w:pPr>
    <w:rPr>
      <w:sz w:val="24"/>
      <w:szCs w:val="24"/>
      <w:lang w:eastAsia="en-AU"/>
    </w:rPr>
  </w:style>
  <w:style w:type="paragraph" w:customStyle="1" w:styleId="xl85">
    <w:name w:val="xl85"/>
    <w:basedOn w:val="Normal"/>
    <w:rsid w:val="0086106A"/>
    <w:pPr>
      <w:pBdr>
        <w:top w:val="single" w:sz="4" w:space="0" w:color="auto"/>
        <w:bottom w:val="single" w:sz="4" w:space="0" w:color="auto"/>
        <w:right w:val="single" w:sz="4" w:space="0" w:color="auto"/>
      </w:pBdr>
      <w:spacing w:before="100" w:beforeAutospacing="1" w:after="100" w:afterAutospacing="1"/>
      <w:jc w:val="center"/>
    </w:pPr>
    <w:rPr>
      <w:sz w:val="24"/>
      <w:szCs w:val="24"/>
      <w:lang w:eastAsia="en-AU"/>
    </w:rPr>
  </w:style>
  <w:style w:type="paragraph" w:customStyle="1" w:styleId="xl86">
    <w:name w:val="xl86"/>
    <w:basedOn w:val="Normal"/>
    <w:rsid w:val="0086106A"/>
    <w:pPr>
      <w:pBdr>
        <w:top w:val="single" w:sz="4" w:space="0" w:color="auto"/>
        <w:bottom w:val="single" w:sz="4" w:space="0" w:color="auto"/>
        <w:right w:val="single" w:sz="4" w:space="0" w:color="auto"/>
      </w:pBdr>
      <w:spacing w:before="100" w:beforeAutospacing="1" w:after="100" w:afterAutospacing="1"/>
      <w:textAlignment w:val="top"/>
    </w:pPr>
    <w:rPr>
      <w:sz w:val="24"/>
      <w:szCs w:val="24"/>
      <w:lang w:eastAsia="en-AU"/>
    </w:rPr>
  </w:style>
  <w:style w:type="paragraph" w:customStyle="1" w:styleId="xl87">
    <w:name w:val="xl87"/>
    <w:basedOn w:val="Normal"/>
    <w:rsid w:val="0086106A"/>
    <w:pPr>
      <w:pBdr>
        <w:top w:val="single" w:sz="4" w:space="0" w:color="auto"/>
        <w:left w:val="single" w:sz="4" w:space="0" w:color="auto"/>
      </w:pBdr>
      <w:spacing w:before="100" w:beforeAutospacing="1" w:after="100" w:afterAutospacing="1"/>
      <w:jc w:val="center"/>
    </w:pPr>
    <w:rPr>
      <w:sz w:val="24"/>
      <w:szCs w:val="24"/>
      <w:lang w:eastAsia="en-AU"/>
    </w:rPr>
  </w:style>
  <w:style w:type="paragraph" w:customStyle="1" w:styleId="xl88">
    <w:name w:val="xl88"/>
    <w:basedOn w:val="Normal"/>
    <w:rsid w:val="0086106A"/>
    <w:pPr>
      <w:pBdr>
        <w:top w:val="single" w:sz="4" w:space="0" w:color="auto"/>
        <w:left w:val="single" w:sz="4" w:space="0" w:color="auto"/>
        <w:bottom w:val="single" w:sz="4" w:space="0" w:color="auto"/>
      </w:pBdr>
      <w:spacing w:before="100" w:beforeAutospacing="1" w:after="100" w:afterAutospacing="1"/>
      <w:textAlignment w:val="top"/>
    </w:pPr>
    <w:rPr>
      <w:i/>
      <w:iCs/>
      <w:sz w:val="24"/>
      <w:szCs w:val="24"/>
      <w:lang w:eastAsia="en-AU"/>
    </w:rPr>
  </w:style>
  <w:style w:type="paragraph" w:customStyle="1" w:styleId="xl89">
    <w:name w:val="xl89"/>
    <w:basedOn w:val="Normal"/>
    <w:rsid w:val="0086106A"/>
    <w:pPr>
      <w:pBdr>
        <w:top w:val="single" w:sz="4" w:space="0" w:color="auto"/>
        <w:bottom w:val="single" w:sz="4" w:space="0" w:color="auto"/>
      </w:pBdr>
      <w:spacing w:before="100" w:beforeAutospacing="1" w:after="100" w:afterAutospacing="1"/>
      <w:textAlignment w:val="top"/>
    </w:pPr>
    <w:rPr>
      <w:i/>
      <w:iCs/>
      <w:sz w:val="24"/>
      <w:szCs w:val="24"/>
      <w:lang w:eastAsia="en-AU"/>
    </w:rPr>
  </w:style>
  <w:style w:type="paragraph" w:customStyle="1" w:styleId="xl90">
    <w:name w:val="xl90"/>
    <w:basedOn w:val="Normal"/>
    <w:rsid w:val="0086106A"/>
    <w:pPr>
      <w:pBdr>
        <w:top w:val="single" w:sz="4" w:space="0" w:color="auto"/>
        <w:left w:val="single" w:sz="4" w:space="0" w:color="auto"/>
      </w:pBdr>
      <w:spacing w:before="100" w:beforeAutospacing="1" w:after="100" w:afterAutospacing="1"/>
      <w:textAlignment w:val="top"/>
    </w:pPr>
    <w:rPr>
      <w:sz w:val="24"/>
      <w:szCs w:val="24"/>
      <w:lang w:eastAsia="en-AU"/>
    </w:rPr>
  </w:style>
  <w:style w:type="paragraph" w:customStyle="1" w:styleId="xl91">
    <w:name w:val="xl91"/>
    <w:basedOn w:val="Normal"/>
    <w:rsid w:val="0086106A"/>
    <w:pPr>
      <w:pBdr>
        <w:top w:val="single" w:sz="4" w:space="0" w:color="auto"/>
        <w:bottom w:val="single" w:sz="4" w:space="0" w:color="auto"/>
      </w:pBdr>
      <w:spacing w:before="100" w:beforeAutospacing="1" w:after="100" w:afterAutospacing="1"/>
      <w:textAlignment w:val="top"/>
    </w:pPr>
    <w:rPr>
      <w:sz w:val="24"/>
      <w:szCs w:val="24"/>
      <w:lang w:eastAsia="en-AU"/>
    </w:rPr>
  </w:style>
  <w:style w:type="paragraph" w:customStyle="1" w:styleId="xl92">
    <w:name w:val="xl92"/>
    <w:basedOn w:val="Normal"/>
    <w:rsid w:val="0086106A"/>
    <w:pPr>
      <w:pBdr>
        <w:top w:val="single" w:sz="4" w:space="0" w:color="auto"/>
        <w:bottom w:val="single" w:sz="4" w:space="0" w:color="auto"/>
        <w:right w:val="single" w:sz="4" w:space="0" w:color="auto"/>
      </w:pBdr>
      <w:spacing w:before="100" w:beforeAutospacing="1" w:after="100" w:afterAutospacing="1"/>
      <w:textAlignment w:val="top"/>
    </w:pPr>
    <w:rPr>
      <w:sz w:val="24"/>
      <w:szCs w:val="24"/>
      <w:u w:val="single"/>
      <w:lang w:eastAsia="en-AU"/>
    </w:rPr>
  </w:style>
  <w:style w:type="paragraph" w:customStyle="1" w:styleId="xl93">
    <w:name w:val="xl93"/>
    <w:basedOn w:val="Normal"/>
    <w:rsid w:val="0086106A"/>
    <w:pPr>
      <w:pBdr>
        <w:top w:val="single" w:sz="4" w:space="0" w:color="auto"/>
        <w:left w:val="single" w:sz="4" w:space="0" w:color="auto"/>
        <w:bottom w:val="single" w:sz="4" w:space="0" w:color="auto"/>
      </w:pBdr>
      <w:spacing w:before="100" w:beforeAutospacing="1" w:after="100" w:afterAutospacing="1"/>
      <w:textAlignment w:val="top"/>
    </w:pPr>
    <w:rPr>
      <w:sz w:val="24"/>
      <w:szCs w:val="24"/>
      <w:u w:val="single"/>
      <w:lang w:eastAsia="en-AU"/>
    </w:rPr>
  </w:style>
  <w:style w:type="paragraph" w:customStyle="1" w:styleId="xl94">
    <w:name w:val="xl94"/>
    <w:basedOn w:val="Normal"/>
    <w:rsid w:val="0086106A"/>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lang w:eastAsia="en-AU"/>
    </w:rPr>
  </w:style>
  <w:style w:type="paragraph" w:customStyle="1" w:styleId="xl95">
    <w:name w:val="xl95"/>
    <w:basedOn w:val="Normal"/>
    <w:rsid w:val="00861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en-AU"/>
    </w:rPr>
  </w:style>
  <w:style w:type="paragraph" w:customStyle="1" w:styleId="xl96">
    <w:name w:val="xl96"/>
    <w:basedOn w:val="Normal"/>
    <w:rsid w:val="008610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en-AU"/>
    </w:rPr>
  </w:style>
  <w:style w:type="paragraph" w:customStyle="1" w:styleId="xl97">
    <w:name w:val="xl97"/>
    <w:basedOn w:val="Normal"/>
    <w:rsid w:val="0086106A"/>
    <w:pPr>
      <w:pBdr>
        <w:top w:val="single" w:sz="4" w:space="0" w:color="auto"/>
        <w:bottom w:val="single" w:sz="4" w:space="0" w:color="auto"/>
        <w:right w:val="single" w:sz="4" w:space="0" w:color="auto"/>
      </w:pBdr>
      <w:spacing w:before="100" w:beforeAutospacing="1" w:after="100" w:afterAutospacing="1"/>
      <w:textAlignment w:val="top"/>
    </w:pPr>
    <w:rPr>
      <w:sz w:val="24"/>
      <w:szCs w:val="24"/>
      <w:lang w:eastAsia="en-AU"/>
    </w:rPr>
  </w:style>
  <w:style w:type="paragraph" w:customStyle="1" w:styleId="xl98">
    <w:name w:val="xl98"/>
    <w:basedOn w:val="Normal"/>
    <w:rsid w:val="0086106A"/>
    <w:pPr>
      <w:pBdr>
        <w:left w:val="single" w:sz="8" w:space="0" w:color="auto"/>
      </w:pBdr>
      <w:spacing w:before="100" w:beforeAutospacing="1" w:after="100" w:afterAutospacing="1"/>
    </w:pPr>
    <w:rPr>
      <w:sz w:val="24"/>
      <w:szCs w:val="24"/>
      <w:lang w:eastAsia="en-AU"/>
    </w:rPr>
  </w:style>
  <w:style w:type="paragraph" w:customStyle="1" w:styleId="xl99">
    <w:name w:val="xl99"/>
    <w:basedOn w:val="Normal"/>
    <w:rsid w:val="0086106A"/>
    <w:pPr>
      <w:pBdr>
        <w:left w:val="single" w:sz="4" w:space="0" w:color="auto"/>
      </w:pBdr>
      <w:spacing w:before="100" w:beforeAutospacing="1" w:after="100" w:afterAutospacing="1"/>
    </w:pPr>
    <w:rPr>
      <w:i/>
      <w:iCs/>
      <w:sz w:val="24"/>
      <w:szCs w:val="24"/>
      <w:lang w:eastAsia="en-AU"/>
    </w:rPr>
  </w:style>
  <w:style w:type="paragraph" w:customStyle="1" w:styleId="xl100">
    <w:name w:val="xl100"/>
    <w:basedOn w:val="Normal"/>
    <w:rsid w:val="0086106A"/>
    <w:pPr>
      <w:pBdr>
        <w:top w:val="single" w:sz="4" w:space="0" w:color="auto"/>
        <w:bottom w:val="single" w:sz="4" w:space="0" w:color="auto"/>
      </w:pBdr>
      <w:spacing w:before="100" w:beforeAutospacing="1" w:after="100" w:afterAutospacing="1"/>
    </w:pPr>
    <w:rPr>
      <w:b/>
      <w:bCs/>
      <w:sz w:val="24"/>
      <w:szCs w:val="24"/>
      <w:lang w:eastAsia="en-AU"/>
    </w:rPr>
  </w:style>
  <w:style w:type="paragraph" w:customStyle="1" w:styleId="xl101">
    <w:name w:val="xl101"/>
    <w:basedOn w:val="Normal"/>
    <w:rsid w:val="0086106A"/>
    <w:pPr>
      <w:spacing w:before="100" w:beforeAutospacing="1" w:after="100" w:afterAutospacing="1"/>
      <w:jc w:val="right"/>
    </w:pPr>
    <w:rPr>
      <w:sz w:val="24"/>
      <w:szCs w:val="24"/>
      <w:lang w:eastAsia="en-AU"/>
    </w:rPr>
  </w:style>
  <w:style w:type="paragraph" w:customStyle="1" w:styleId="xl102">
    <w:name w:val="xl102"/>
    <w:basedOn w:val="Normal"/>
    <w:rsid w:val="0086106A"/>
    <w:pPr>
      <w:pBdr>
        <w:top w:val="single" w:sz="4" w:space="0" w:color="auto"/>
        <w:left w:val="single" w:sz="4" w:space="0" w:color="auto"/>
        <w:bottom w:val="single" w:sz="4" w:space="0" w:color="auto"/>
      </w:pBdr>
      <w:spacing w:before="100" w:beforeAutospacing="1" w:after="100" w:afterAutospacing="1"/>
      <w:textAlignment w:val="top"/>
    </w:pPr>
    <w:rPr>
      <w:i/>
      <w:iCs/>
      <w:sz w:val="24"/>
      <w:szCs w:val="24"/>
      <w:lang w:eastAsia="en-AU"/>
    </w:rPr>
  </w:style>
  <w:style w:type="paragraph" w:customStyle="1" w:styleId="xl103">
    <w:name w:val="xl103"/>
    <w:basedOn w:val="Normal"/>
    <w:rsid w:val="0086106A"/>
    <w:pPr>
      <w:pBdr>
        <w:top w:val="single" w:sz="4" w:space="0" w:color="auto"/>
        <w:bottom w:val="single" w:sz="4" w:space="0" w:color="auto"/>
        <w:right w:val="single" w:sz="4" w:space="0" w:color="auto"/>
      </w:pBdr>
      <w:spacing w:before="100" w:beforeAutospacing="1" w:after="100" w:afterAutospacing="1"/>
      <w:textAlignment w:val="top"/>
    </w:pPr>
    <w:rPr>
      <w:i/>
      <w:iCs/>
      <w:sz w:val="24"/>
      <w:szCs w:val="24"/>
      <w:lang w:eastAsia="en-AU"/>
    </w:rPr>
  </w:style>
  <w:style w:type="paragraph" w:customStyle="1" w:styleId="xl104">
    <w:name w:val="xl104"/>
    <w:basedOn w:val="Normal"/>
    <w:rsid w:val="0086106A"/>
    <w:pPr>
      <w:pBdr>
        <w:bottom w:val="single" w:sz="4" w:space="0" w:color="auto"/>
      </w:pBdr>
      <w:spacing w:before="100" w:beforeAutospacing="1" w:after="100" w:afterAutospacing="1"/>
      <w:jc w:val="center"/>
    </w:pPr>
    <w:rPr>
      <w:sz w:val="24"/>
      <w:szCs w:val="24"/>
      <w:lang w:eastAsia="en-AU"/>
    </w:rPr>
  </w:style>
  <w:style w:type="paragraph" w:customStyle="1" w:styleId="xl105">
    <w:name w:val="xl105"/>
    <w:basedOn w:val="Normal"/>
    <w:rsid w:val="0086106A"/>
    <w:pPr>
      <w:pBdr>
        <w:top w:val="single" w:sz="4" w:space="0" w:color="auto"/>
        <w:bottom w:val="single" w:sz="4" w:space="0" w:color="auto"/>
      </w:pBdr>
      <w:spacing w:before="100" w:beforeAutospacing="1" w:after="100" w:afterAutospacing="1"/>
      <w:textAlignment w:val="top"/>
    </w:pPr>
    <w:rPr>
      <w:sz w:val="24"/>
      <w:szCs w:val="24"/>
      <w:lang w:eastAsia="en-AU"/>
    </w:rPr>
  </w:style>
  <w:style w:type="paragraph" w:customStyle="1" w:styleId="xl106">
    <w:name w:val="xl106"/>
    <w:basedOn w:val="Normal"/>
    <w:rsid w:val="0086106A"/>
    <w:pPr>
      <w:pBdr>
        <w:top w:val="single" w:sz="4" w:space="0" w:color="auto"/>
        <w:left w:val="single" w:sz="4" w:space="0" w:color="auto"/>
        <w:bottom w:val="single" w:sz="4" w:space="0" w:color="auto"/>
      </w:pBdr>
      <w:spacing w:before="100" w:beforeAutospacing="1" w:after="100" w:afterAutospacing="1"/>
    </w:pPr>
    <w:rPr>
      <w:sz w:val="24"/>
      <w:szCs w:val="24"/>
      <w:lang w:eastAsia="en-AU"/>
    </w:rPr>
  </w:style>
  <w:style w:type="paragraph" w:customStyle="1" w:styleId="xl107">
    <w:name w:val="xl107"/>
    <w:basedOn w:val="Normal"/>
    <w:rsid w:val="0086106A"/>
    <w:pPr>
      <w:pBdr>
        <w:top w:val="single" w:sz="4" w:space="0" w:color="auto"/>
        <w:bottom w:val="single" w:sz="4" w:space="0" w:color="auto"/>
        <w:right w:val="single" w:sz="4" w:space="0" w:color="auto"/>
      </w:pBdr>
      <w:spacing w:before="100" w:beforeAutospacing="1" w:after="100" w:afterAutospacing="1"/>
    </w:pPr>
    <w:rPr>
      <w:sz w:val="24"/>
      <w:szCs w:val="24"/>
      <w:lang w:eastAsia="en-AU"/>
    </w:rPr>
  </w:style>
  <w:style w:type="paragraph" w:customStyle="1" w:styleId="xl108">
    <w:name w:val="xl108"/>
    <w:basedOn w:val="Normal"/>
    <w:rsid w:val="0086106A"/>
    <w:pPr>
      <w:pBdr>
        <w:top w:val="single" w:sz="4" w:space="0" w:color="auto"/>
        <w:bottom w:val="single" w:sz="4" w:space="0" w:color="auto"/>
      </w:pBdr>
      <w:spacing w:before="100" w:beforeAutospacing="1" w:after="100" w:afterAutospacing="1"/>
      <w:textAlignment w:val="top"/>
    </w:pPr>
    <w:rPr>
      <w:sz w:val="24"/>
      <w:szCs w:val="24"/>
      <w:lang w:eastAsia="en-AU"/>
    </w:rPr>
  </w:style>
  <w:style w:type="paragraph" w:customStyle="1" w:styleId="xl109">
    <w:name w:val="xl109"/>
    <w:basedOn w:val="Normal"/>
    <w:rsid w:val="0086106A"/>
    <w:pPr>
      <w:pBdr>
        <w:right w:val="single" w:sz="4" w:space="0" w:color="auto"/>
      </w:pBdr>
      <w:spacing w:before="100" w:beforeAutospacing="1" w:after="100" w:afterAutospacing="1"/>
    </w:pPr>
    <w:rPr>
      <w:sz w:val="24"/>
      <w:szCs w:val="24"/>
      <w:lang w:eastAsia="en-AU"/>
    </w:rPr>
  </w:style>
  <w:style w:type="paragraph" w:customStyle="1" w:styleId="xl110">
    <w:name w:val="xl110"/>
    <w:basedOn w:val="Normal"/>
    <w:rsid w:val="0086106A"/>
    <w:pPr>
      <w:pBdr>
        <w:top w:val="single" w:sz="4" w:space="0" w:color="auto"/>
        <w:bottom w:val="single" w:sz="4" w:space="0" w:color="auto"/>
      </w:pBdr>
      <w:spacing w:before="100" w:beforeAutospacing="1" w:after="100" w:afterAutospacing="1"/>
      <w:jc w:val="center"/>
    </w:pPr>
    <w:rPr>
      <w:sz w:val="24"/>
      <w:szCs w:val="24"/>
      <w:lang w:eastAsia="en-AU"/>
    </w:rPr>
  </w:style>
  <w:style w:type="paragraph" w:customStyle="1" w:styleId="xl111">
    <w:name w:val="xl111"/>
    <w:basedOn w:val="Normal"/>
    <w:rsid w:val="0086106A"/>
    <w:pPr>
      <w:pBdr>
        <w:top w:val="single" w:sz="4" w:space="0" w:color="auto"/>
        <w:left w:val="single" w:sz="4" w:space="0" w:color="auto"/>
        <w:bottom w:val="single" w:sz="4" w:space="0" w:color="auto"/>
      </w:pBdr>
      <w:spacing w:before="100" w:beforeAutospacing="1" w:after="100" w:afterAutospacing="1"/>
    </w:pPr>
    <w:rPr>
      <w:i/>
      <w:iCs/>
      <w:sz w:val="24"/>
      <w:szCs w:val="24"/>
      <w:lang w:eastAsia="en-AU"/>
    </w:rPr>
  </w:style>
  <w:style w:type="paragraph" w:customStyle="1" w:styleId="xl112">
    <w:name w:val="xl112"/>
    <w:basedOn w:val="Normal"/>
    <w:rsid w:val="0086106A"/>
    <w:pPr>
      <w:pBdr>
        <w:top w:val="single" w:sz="4" w:space="0" w:color="auto"/>
        <w:bottom w:val="single" w:sz="4" w:space="0" w:color="auto"/>
      </w:pBdr>
      <w:spacing w:before="100" w:beforeAutospacing="1" w:after="100" w:afterAutospacing="1"/>
    </w:pPr>
    <w:rPr>
      <w:sz w:val="24"/>
      <w:szCs w:val="24"/>
      <w:lang w:eastAsia="en-AU"/>
    </w:rPr>
  </w:style>
  <w:style w:type="paragraph" w:customStyle="1" w:styleId="xl113">
    <w:name w:val="xl113"/>
    <w:basedOn w:val="Normal"/>
    <w:rsid w:val="0086106A"/>
    <w:pPr>
      <w:pBdr>
        <w:top w:val="single" w:sz="4" w:space="0" w:color="auto"/>
        <w:bottom w:val="single" w:sz="4" w:space="0" w:color="auto"/>
        <w:right w:val="single" w:sz="4" w:space="0" w:color="auto"/>
      </w:pBdr>
      <w:spacing w:before="100" w:beforeAutospacing="1" w:after="100" w:afterAutospacing="1"/>
    </w:pPr>
    <w:rPr>
      <w:sz w:val="24"/>
      <w:szCs w:val="24"/>
      <w:lang w:eastAsia="en-AU"/>
    </w:rPr>
  </w:style>
  <w:style w:type="paragraph" w:customStyle="1" w:styleId="xl114">
    <w:name w:val="xl114"/>
    <w:basedOn w:val="Normal"/>
    <w:rsid w:val="0086106A"/>
    <w:pPr>
      <w:pBdr>
        <w:top w:val="single" w:sz="4" w:space="0" w:color="auto"/>
        <w:bottom w:val="single" w:sz="4" w:space="0" w:color="auto"/>
      </w:pBdr>
      <w:spacing w:before="100" w:beforeAutospacing="1" w:after="100" w:afterAutospacing="1"/>
      <w:textAlignment w:val="top"/>
    </w:pPr>
    <w:rPr>
      <w:i/>
      <w:iCs/>
      <w:sz w:val="24"/>
      <w:szCs w:val="24"/>
      <w:lang w:eastAsia="en-AU"/>
    </w:rPr>
  </w:style>
  <w:style w:type="paragraph" w:customStyle="1" w:styleId="xl115">
    <w:name w:val="xl115"/>
    <w:basedOn w:val="Normal"/>
    <w:rsid w:val="0086106A"/>
    <w:pPr>
      <w:pBdr>
        <w:top w:val="single" w:sz="8" w:space="0" w:color="auto"/>
        <w:left w:val="single" w:sz="8" w:space="0" w:color="auto"/>
      </w:pBdr>
      <w:spacing w:before="100" w:beforeAutospacing="1" w:after="100" w:afterAutospacing="1"/>
    </w:pPr>
    <w:rPr>
      <w:sz w:val="24"/>
      <w:szCs w:val="24"/>
      <w:lang w:eastAsia="en-AU"/>
    </w:rPr>
  </w:style>
  <w:style w:type="paragraph" w:customStyle="1" w:styleId="xl116">
    <w:name w:val="xl116"/>
    <w:basedOn w:val="Normal"/>
    <w:rsid w:val="0086106A"/>
    <w:pPr>
      <w:pBdr>
        <w:top w:val="single" w:sz="8" w:space="0" w:color="auto"/>
      </w:pBdr>
      <w:spacing w:before="100" w:beforeAutospacing="1" w:after="100" w:afterAutospacing="1"/>
    </w:pPr>
    <w:rPr>
      <w:sz w:val="24"/>
      <w:szCs w:val="24"/>
      <w:lang w:eastAsia="en-AU"/>
    </w:rPr>
  </w:style>
  <w:style w:type="paragraph" w:customStyle="1" w:styleId="xl117">
    <w:name w:val="xl117"/>
    <w:basedOn w:val="Normal"/>
    <w:rsid w:val="0086106A"/>
    <w:pPr>
      <w:pBdr>
        <w:top w:val="single" w:sz="8" w:space="0" w:color="auto"/>
      </w:pBdr>
      <w:spacing w:before="100" w:beforeAutospacing="1" w:after="100" w:afterAutospacing="1"/>
    </w:pPr>
    <w:rPr>
      <w:sz w:val="24"/>
      <w:szCs w:val="24"/>
      <w:lang w:eastAsia="en-AU"/>
    </w:rPr>
  </w:style>
  <w:style w:type="paragraph" w:customStyle="1" w:styleId="xl118">
    <w:name w:val="xl118"/>
    <w:basedOn w:val="Normal"/>
    <w:rsid w:val="0086106A"/>
    <w:pPr>
      <w:pBdr>
        <w:left w:val="single" w:sz="4" w:space="0" w:color="auto"/>
      </w:pBdr>
      <w:spacing w:before="100" w:beforeAutospacing="1" w:after="100" w:afterAutospacing="1"/>
    </w:pPr>
    <w:rPr>
      <w:sz w:val="24"/>
      <w:szCs w:val="24"/>
      <w:lang w:eastAsia="en-AU"/>
    </w:rPr>
  </w:style>
  <w:style w:type="paragraph" w:customStyle="1" w:styleId="xl119">
    <w:name w:val="xl119"/>
    <w:basedOn w:val="Normal"/>
    <w:rsid w:val="0086106A"/>
    <w:pPr>
      <w:pBdr>
        <w:left w:val="single" w:sz="4" w:space="0" w:color="auto"/>
      </w:pBdr>
      <w:spacing w:before="100" w:beforeAutospacing="1" w:after="100" w:afterAutospacing="1"/>
      <w:jc w:val="right"/>
    </w:pPr>
    <w:rPr>
      <w:sz w:val="24"/>
      <w:szCs w:val="24"/>
      <w:lang w:eastAsia="en-AU"/>
    </w:rPr>
  </w:style>
  <w:style w:type="paragraph" w:customStyle="1" w:styleId="xl120">
    <w:name w:val="xl120"/>
    <w:basedOn w:val="Normal"/>
    <w:rsid w:val="0086106A"/>
    <w:pPr>
      <w:pBdr>
        <w:left w:val="single" w:sz="8" w:space="0" w:color="auto"/>
        <w:bottom w:val="single" w:sz="8" w:space="0" w:color="auto"/>
      </w:pBdr>
      <w:spacing w:before="100" w:beforeAutospacing="1" w:after="100" w:afterAutospacing="1"/>
    </w:pPr>
    <w:rPr>
      <w:b/>
      <w:bCs/>
      <w:sz w:val="24"/>
      <w:szCs w:val="24"/>
      <w:lang w:eastAsia="en-AU"/>
    </w:rPr>
  </w:style>
  <w:style w:type="paragraph" w:customStyle="1" w:styleId="xl121">
    <w:name w:val="xl121"/>
    <w:basedOn w:val="Normal"/>
    <w:rsid w:val="0086106A"/>
    <w:pPr>
      <w:pBdr>
        <w:bottom w:val="single" w:sz="8" w:space="0" w:color="auto"/>
      </w:pBdr>
      <w:spacing w:before="100" w:beforeAutospacing="1" w:after="100" w:afterAutospacing="1"/>
    </w:pPr>
    <w:rPr>
      <w:b/>
      <w:bCs/>
      <w:sz w:val="24"/>
      <w:szCs w:val="24"/>
      <w:lang w:eastAsia="en-AU"/>
    </w:rPr>
  </w:style>
  <w:style w:type="paragraph" w:customStyle="1" w:styleId="xl122">
    <w:name w:val="xl122"/>
    <w:basedOn w:val="Normal"/>
    <w:rsid w:val="0086106A"/>
    <w:pPr>
      <w:spacing w:before="100" w:beforeAutospacing="1" w:after="100" w:afterAutospacing="1"/>
    </w:pPr>
    <w:rPr>
      <w:sz w:val="24"/>
      <w:szCs w:val="24"/>
      <w:lang w:eastAsia="en-AU"/>
    </w:rPr>
  </w:style>
  <w:style w:type="paragraph" w:customStyle="1" w:styleId="xl123">
    <w:name w:val="xl123"/>
    <w:basedOn w:val="Normal"/>
    <w:rsid w:val="0086106A"/>
    <w:pPr>
      <w:spacing w:before="100" w:beforeAutospacing="1" w:after="100" w:afterAutospacing="1"/>
      <w:jc w:val="center"/>
    </w:pPr>
    <w:rPr>
      <w:b/>
      <w:bCs/>
      <w:sz w:val="24"/>
      <w:szCs w:val="24"/>
      <w:lang w:eastAsia="en-AU"/>
    </w:rPr>
  </w:style>
  <w:style w:type="paragraph" w:customStyle="1" w:styleId="xl124">
    <w:name w:val="xl124"/>
    <w:basedOn w:val="Normal"/>
    <w:rsid w:val="0086106A"/>
    <w:pPr>
      <w:spacing w:before="100" w:beforeAutospacing="1" w:after="100" w:afterAutospacing="1"/>
      <w:jc w:val="center"/>
    </w:pPr>
    <w:rPr>
      <w:b/>
      <w:bCs/>
      <w:sz w:val="24"/>
      <w:szCs w:val="24"/>
      <w:lang w:eastAsia="en-AU"/>
    </w:rPr>
  </w:style>
  <w:style w:type="paragraph" w:customStyle="1" w:styleId="xl125">
    <w:name w:val="xl125"/>
    <w:basedOn w:val="Normal"/>
    <w:rsid w:val="0086106A"/>
    <w:pPr>
      <w:pBdr>
        <w:top w:val="single" w:sz="4" w:space="0" w:color="auto"/>
        <w:left w:val="single" w:sz="4" w:space="0" w:color="auto"/>
        <w:bottom w:val="single" w:sz="4" w:space="0" w:color="auto"/>
      </w:pBdr>
      <w:spacing w:before="100" w:beforeAutospacing="1" w:after="100" w:afterAutospacing="1"/>
    </w:pPr>
    <w:rPr>
      <w:sz w:val="24"/>
      <w:szCs w:val="24"/>
      <w:lang w:eastAsia="en-AU"/>
    </w:rPr>
  </w:style>
  <w:style w:type="paragraph" w:customStyle="1" w:styleId="xl126">
    <w:name w:val="xl126"/>
    <w:basedOn w:val="Normal"/>
    <w:rsid w:val="0086106A"/>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u w:val="single"/>
      <w:lang w:eastAsia="en-AU"/>
    </w:rPr>
  </w:style>
  <w:style w:type="paragraph" w:customStyle="1" w:styleId="xl127">
    <w:name w:val="xl127"/>
    <w:basedOn w:val="Normal"/>
    <w:rsid w:val="0086106A"/>
    <w:pPr>
      <w:spacing w:before="100" w:beforeAutospacing="1" w:after="100" w:afterAutospacing="1"/>
      <w:jc w:val="right"/>
    </w:pPr>
    <w:rPr>
      <w:sz w:val="24"/>
      <w:szCs w:val="24"/>
      <w:lang w:eastAsia="en-AU"/>
    </w:rPr>
  </w:style>
  <w:style w:type="paragraph" w:customStyle="1" w:styleId="xl128">
    <w:name w:val="xl128"/>
    <w:basedOn w:val="Normal"/>
    <w:rsid w:val="0086106A"/>
    <w:pPr>
      <w:pBdr>
        <w:top w:val="single" w:sz="4" w:space="0" w:color="auto"/>
        <w:left w:val="single" w:sz="4" w:space="0" w:color="auto"/>
        <w:bottom w:val="single" w:sz="4" w:space="0" w:color="auto"/>
      </w:pBdr>
      <w:spacing w:before="100" w:beforeAutospacing="1" w:after="100" w:afterAutospacing="1"/>
    </w:pPr>
    <w:rPr>
      <w:i/>
      <w:iCs/>
      <w:sz w:val="24"/>
      <w:szCs w:val="24"/>
      <w:lang w:eastAsia="en-AU"/>
    </w:rPr>
  </w:style>
  <w:style w:type="paragraph" w:customStyle="1" w:styleId="xl129">
    <w:name w:val="xl129"/>
    <w:basedOn w:val="Normal"/>
    <w:rsid w:val="0086106A"/>
    <w:pPr>
      <w:pBdr>
        <w:left w:val="single" w:sz="4" w:space="0" w:color="auto"/>
        <w:bottom w:val="single" w:sz="8" w:space="0" w:color="auto"/>
      </w:pBdr>
      <w:spacing w:before="100" w:beforeAutospacing="1" w:after="100" w:afterAutospacing="1"/>
      <w:jc w:val="center"/>
    </w:pPr>
    <w:rPr>
      <w:sz w:val="24"/>
      <w:szCs w:val="24"/>
      <w:lang w:eastAsia="en-AU"/>
    </w:rPr>
  </w:style>
  <w:style w:type="paragraph" w:customStyle="1" w:styleId="xl130">
    <w:name w:val="xl130"/>
    <w:basedOn w:val="Normal"/>
    <w:rsid w:val="0086106A"/>
    <w:pPr>
      <w:pBdr>
        <w:bottom w:val="single" w:sz="8" w:space="0" w:color="auto"/>
        <w:right w:val="single" w:sz="4" w:space="0" w:color="auto"/>
      </w:pBdr>
      <w:spacing w:before="100" w:beforeAutospacing="1" w:after="100" w:afterAutospacing="1"/>
      <w:jc w:val="center"/>
    </w:pPr>
    <w:rPr>
      <w:sz w:val="24"/>
      <w:szCs w:val="24"/>
      <w:lang w:eastAsia="en-AU"/>
    </w:rPr>
  </w:style>
  <w:style w:type="paragraph" w:customStyle="1" w:styleId="xl131">
    <w:name w:val="xl131"/>
    <w:basedOn w:val="Normal"/>
    <w:rsid w:val="0086106A"/>
    <w:pPr>
      <w:pBdr>
        <w:top w:val="single" w:sz="8" w:space="0" w:color="auto"/>
        <w:left w:val="single" w:sz="4" w:space="0" w:color="auto"/>
        <w:bottom w:val="single" w:sz="4" w:space="0" w:color="auto"/>
      </w:pBdr>
      <w:spacing w:before="100" w:beforeAutospacing="1" w:after="100" w:afterAutospacing="1"/>
      <w:jc w:val="center"/>
    </w:pPr>
    <w:rPr>
      <w:b/>
      <w:bCs/>
      <w:sz w:val="24"/>
      <w:szCs w:val="24"/>
      <w:lang w:eastAsia="en-AU"/>
    </w:rPr>
  </w:style>
  <w:style w:type="paragraph" w:customStyle="1" w:styleId="xl132">
    <w:name w:val="xl132"/>
    <w:basedOn w:val="Normal"/>
    <w:rsid w:val="0086106A"/>
    <w:pPr>
      <w:spacing w:before="100" w:beforeAutospacing="1" w:after="100" w:afterAutospacing="1"/>
    </w:pPr>
    <w:rPr>
      <w:b/>
      <w:bCs/>
      <w:sz w:val="24"/>
      <w:szCs w:val="24"/>
      <w:lang w:eastAsia="en-AU"/>
    </w:rPr>
  </w:style>
  <w:style w:type="paragraph" w:customStyle="1" w:styleId="xl133">
    <w:name w:val="xl133"/>
    <w:basedOn w:val="Normal"/>
    <w:rsid w:val="0086106A"/>
    <w:pPr>
      <w:spacing w:before="100" w:beforeAutospacing="1" w:after="100" w:afterAutospacing="1"/>
    </w:pPr>
    <w:rPr>
      <w:b/>
      <w:bCs/>
      <w:szCs w:val="22"/>
      <w:lang w:eastAsia="en-AU"/>
    </w:rPr>
  </w:style>
  <w:style w:type="paragraph" w:customStyle="1" w:styleId="xl134">
    <w:name w:val="xl134"/>
    <w:basedOn w:val="Normal"/>
    <w:rsid w:val="0086106A"/>
    <w:pPr>
      <w:pBdr>
        <w:top w:val="single" w:sz="4" w:space="0" w:color="auto"/>
        <w:left w:val="single" w:sz="4" w:space="0" w:color="auto"/>
        <w:bottom w:val="single" w:sz="4" w:space="0" w:color="auto"/>
      </w:pBdr>
      <w:spacing w:before="100" w:beforeAutospacing="1" w:after="100" w:afterAutospacing="1"/>
      <w:jc w:val="center"/>
    </w:pPr>
    <w:rPr>
      <w:sz w:val="24"/>
      <w:szCs w:val="24"/>
      <w:lang w:eastAsia="en-AU"/>
    </w:rPr>
  </w:style>
  <w:style w:type="paragraph" w:customStyle="1" w:styleId="xl135">
    <w:name w:val="xl135"/>
    <w:basedOn w:val="Normal"/>
    <w:rsid w:val="0086106A"/>
    <w:pPr>
      <w:pBdr>
        <w:top w:val="single" w:sz="4" w:space="0" w:color="auto"/>
        <w:bottom w:val="single" w:sz="4" w:space="0" w:color="auto"/>
        <w:right w:val="single" w:sz="4" w:space="0" w:color="auto"/>
      </w:pBdr>
      <w:spacing w:before="100" w:beforeAutospacing="1" w:after="100" w:afterAutospacing="1"/>
      <w:jc w:val="center"/>
    </w:pPr>
    <w:rPr>
      <w:sz w:val="24"/>
      <w:szCs w:val="24"/>
      <w:lang w:eastAsia="en-AU"/>
    </w:rPr>
  </w:style>
  <w:style w:type="paragraph" w:customStyle="1" w:styleId="xl136">
    <w:name w:val="xl136"/>
    <w:basedOn w:val="Normal"/>
    <w:rsid w:val="0086106A"/>
    <w:pPr>
      <w:pBdr>
        <w:top w:val="single" w:sz="4" w:space="0" w:color="auto"/>
        <w:bottom w:val="single" w:sz="4" w:space="0" w:color="auto"/>
        <w:right w:val="single" w:sz="4" w:space="0" w:color="auto"/>
      </w:pBdr>
      <w:spacing w:before="100" w:beforeAutospacing="1" w:after="100" w:afterAutospacing="1"/>
      <w:textAlignment w:val="top"/>
    </w:pPr>
    <w:rPr>
      <w:i/>
      <w:iCs/>
      <w:sz w:val="24"/>
      <w:szCs w:val="24"/>
      <w:lang w:eastAsia="en-AU"/>
    </w:rPr>
  </w:style>
  <w:style w:type="paragraph" w:customStyle="1" w:styleId="xl137">
    <w:name w:val="xl137"/>
    <w:basedOn w:val="Normal"/>
    <w:rsid w:val="0086106A"/>
    <w:pPr>
      <w:pBdr>
        <w:top w:val="single" w:sz="4" w:space="0" w:color="auto"/>
        <w:bottom w:val="single" w:sz="4" w:space="0" w:color="auto"/>
      </w:pBdr>
      <w:spacing w:before="100" w:beforeAutospacing="1" w:after="100" w:afterAutospacing="1"/>
      <w:textAlignment w:val="top"/>
    </w:pPr>
    <w:rPr>
      <w:sz w:val="24"/>
      <w:szCs w:val="24"/>
      <w:lang w:eastAsia="en-AU"/>
    </w:rPr>
  </w:style>
  <w:style w:type="paragraph" w:customStyle="1" w:styleId="xl138">
    <w:name w:val="xl138"/>
    <w:basedOn w:val="Normal"/>
    <w:rsid w:val="0086106A"/>
    <w:pPr>
      <w:pBdr>
        <w:top w:val="single" w:sz="4" w:space="0" w:color="auto"/>
        <w:bottom w:val="single" w:sz="4" w:space="0" w:color="auto"/>
        <w:right w:val="single" w:sz="4" w:space="0" w:color="auto"/>
      </w:pBdr>
      <w:spacing w:before="100" w:beforeAutospacing="1" w:after="100" w:afterAutospacing="1"/>
      <w:textAlignment w:val="top"/>
    </w:pPr>
    <w:rPr>
      <w:sz w:val="24"/>
      <w:szCs w:val="24"/>
      <w:lang w:eastAsia="en-AU"/>
    </w:rPr>
  </w:style>
  <w:style w:type="paragraph" w:customStyle="1" w:styleId="xl139">
    <w:name w:val="xl139"/>
    <w:basedOn w:val="Normal"/>
    <w:rsid w:val="0086106A"/>
    <w:pPr>
      <w:pBdr>
        <w:top w:val="single" w:sz="4" w:space="0" w:color="auto"/>
        <w:left w:val="single" w:sz="4" w:space="0" w:color="auto"/>
      </w:pBdr>
      <w:spacing w:before="100" w:beforeAutospacing="1" w:after="100" w:afterAutospacing="1"/>
      <w:jc w:val="center"/>
    </w:pPr>
    <w:rPr>
      <w:sz w:val="24"/>
      <w:szCs w:val="24"/>
      <w:lang w:eastAsia="en-AU"/>
    </w:rPr>
  </w:style>
  <w:style w:type="paragraph" w:customStyle="1" w:styleId="xl140">
    <w:name w:val="xl140"/>
    <w:basedOn w:val="Normal"/>
    <w:rsid w:val="0086106A"/>
    <w:pPr>
      <w:pBdr>
        <w:top w:val="single" w:sz="4" w:space="0" w:color="auto"/>
      </w:pBdr>
      <w:spacing w:before="100" w:beforeAutospacing="1" w:after="100" w:afterAutospacing="1"/>
      <w:jc w:val="center"/>
    </w:pPr>
    <w:rPr>
      <w:sz w:val="24"/>
      <w:szCs w:val="24"/>
      <w:lang w:eastAsia="en-AU"/>
    </w:rPr>
  </w:style>
  <w:style w:type="paragraph" w:customStyle="1" w:styleId="xl141">
    <w:name w:val="xl141"/>
    <w:basedOn w:val="Normal"/>
    <w:rsid w:val="0086106A"/>
    <w:pPr>
      <w:pBdr>
        <w:top w:val="single" w:sz="4" w:space="0" w:color="auto"/>
        <w:right w:val="single" w:sz="4" w:space="0" w:color="auto"/>
      </w:pBdr>
      <w:spacing w:before="100" w:beforeAutospacing="1" w:after="100" w:afterAutospacing="1"/>
      <w:jc w:val="center"/>
    </w:pPr>
    <w:rPr>
      <w:sz w:val="24"/>
      <w:szCs w:val="24"/>
      <w:lang w:eastAsia="en-AU"/>
    </w:rPr>
  </w:style>
  <w:style w:type="paragraph" w:customStyle="1" w:styleId="xl142">
    <w:name w:val="xl142"/>
    <w:basedOn w:val="Normal"/>
    <w:rsid w:val="0086106A"/>
    <w:pPr>
      <w:pBdr>
        <w:top w:val="single" w:sz="8" w:space="0" w:color="auto"/>
        <w:bottom w:val="single" w:sz="4" w:space="0" w:color="auto"/>
        <w:right w:val="single" w:sz="4" w:space="0" w:color="auto"/>
      </w:pBdr>
      <w:spacing w:before="100" w:beforeAutospacing="1" w:after="100" w:afterAutospacing="1"/>
      <w:jc w:val="center"/>
    </w:pPr>
    <w:rPr>
      <w:b/>
      <w:bCs/>
      <w:sz w:val="24"/>
      <w:szCs w:val="24"/>
      <w:lang w:eastAsia="en-AU"/>
    </w:rPr>
  </w:style>
  <w:style w:type="paragraph" w:customStyle="1" w:styleId="xl143">
    <w:name w:val="xl143"/>
    <w:basedOn w:val="Normal"/>
    <w:rsid w:val="0086106A"/>
    <w:pPr>
      <w:pBdr>
        <w:top w:val="single" w:sz="4" w:space="0" w:color="auto"/>
        <w:left w:val="single" w:sz="4" w:space="0" w:color="auto"/>
      </w:pBdr>
      <w:spacing w:before="100" w:beforeAutospacing="1" w:after="100" w:afterAutospacing="1"/>
      <w:jc w:val="center"/>
    </w:pPr>
    <w:rPr>
      <w:b/>
      <w:bCs/>
      <w:sz w:val="24"/>
      <w:szCs w:val="24"/>
      <w:lang w:eastAsia="en-AU"/>
    </w:rPr>
  </w:style>
  <w:style w:type="paragraph" w:customStyle="1" w:styleId="xl144">
    <w:name w:val="xl144"/>
    <w:basedOn w:val="Normal"/>
    <w:rsid w:val="0086106A"/>
    <w:pPr>
      <w:pBdr>
        <w:top w:val="single" w:sz="4" w:space="0" w:color="auto"/>
        <w:right w:val="single" w:sz="4" w:space="0" w:color="auto"/>
      </w:pBdr>
      <w:spacing w:before="100" w:beforeAutospacing="1" w:after="100" w:afterAutospacing="1"/>
      <w:jc w:val="center"/>
    </w:pPr>
    <w:rPr>
      <w:b/>
      <w:bCs/>
      <w:sz w:val="24"/>
      <w:szCs w:val="24"/>
      <w:lang w:eastAsia="en-AU"/>
    </w:rPr>
  </w:style>
  <w:style w:type="paragraph" w:customStyle="1" w:styleId="xl145">
    <w:name w:val="xl145"/>
    <w:basedOn w:val="Normal"/>
    <w:rsid w:val="0086106A"/>
    <w:pPr>
      <w:pBdr>
        <w:top w:val="single" w:sz="4" w:space="0" w:color="auto"/>
        <w:right w:val="single" w:sz="8" w:space="0" w:color="auto"/>
      </w:pBdr>
      <w:spacing w:before="100" w:beforeAutospacing="1" w:after="100" w:afterAutospacing="1"/>
      <w:jc w:val="center"/>
    </w:pPr>
    <w:rPr>
      <w:b/>
      <w:bCs/>
      <w:sz w:val="24"/>
      <w:szCs w:val="24"/>
      <w:lang w:eastAsia="en-AU"/>
    </w:rPr>
  </w:style>
  <w:style w:type="paragraph" w:customStyle="1" w:styleId="xl146">
    <w:name w:val="xl146"/>
    <w:basedOn w:val="Normal"/>
    <w:rsid w:val="0086106A"/>
    <w:pPr>
      <w:pBdr>
        <w:top w:val="single" w:sz="8" w:space="0" w:color="auto"/>
        <w:bottom w:val="single" w:sz="4" w:space="0" w:color="auto"/>
        <w:right w:val="single" w:sz="8" w:space="0" w:color="auto"/>
      </w:pBdr>
      <w:spacing w:before="100" w:beforeAutospacing="1" w:after="100" w:afterAutospacing="1"/>
      <w:jc w:val="center"/>
    </w:pPr>
    <w:rPr>
      <w:b/>
      <w:bCs/>
      <w:sz w:val="24"/>
      <w:szCs w:val="24"/>
      <w:lang w:eastAsia="en-AU"/>
    </w:rPr>
  </w:style>
  <w:style w:type="paragraph" w:customStyle="1" w:styleId="xl147">
    <w:name w:val="xl147"/>
    <w:basedOn w:val="Normal"/>
    <w:rsid w:val="0086106A"/>
    <w:pPr>
      <w:pBdr>
        <w:bottom w:val="single" w:sz="8" w:space="0" w:color="auto"/>
      </w:pBdr>
      <w:spacing w:before="100" w:beforeAutospacing="1" w:after="100" w:afterAutospacing="1"/>
      <w:jc w:val="center"/>
    </w:pPr>
    <w:rPr>
      <w:sz w:val="24"/>
      <w:szCs w:val="24"/>
      <w:lang w:eastAsia="en-AU"/>
    </w:rPr>
  </w:style>
  <w:style w:type="paragraph" w:customStyle="1" w:styleId="xl148">
    <w:name w:val="xl148"/>
    <w:basedOn w:val="Normal"/>
    <w:rsid w:val="0086106A"/>
    <w:pPr>
      <w:pBdr>
        <w:left w:val="single" w:sz="4" w:space="0" w:color="auto"/>
        <w:bottom w:val="single" w:sz="4" w:space="0" w:color="auto"/>
      </w:pBdr>
      <w:spacing w:before="100" w:beforeAutospacing="1" w:after="100" w:afterAutospacing="1"/>
      <w:jc w:val="center"/>
    </w:pPr>
    <w:rPr>
      <w:b/>
      <w:bCs/>
      <w:sz w:val="24"/>
      <w:szCs w:val="24"/>
      <w:lang w:eastAsia="en-AU"/>
    </w:rPr>
  </w:style>
  <w:style w:type="paragraph" w:customStyle="1" w:styleId="xl149">
    <w:name w:val="xl149"/>
    <w:basedOn w:val="Normal"/>
    <w:rsid w:val="0086106A"/>
    <w:pPr>
      <w:pBdr>
        <w:bottom w:val="single" w:sz="4" w:space="0" w:color="auto"/>
        <w:right w:val="single" w:sz="4" w:space="0" w:color="auto"/>
      </w:pBdr>
      <w:spacing w:before="100" w:beforeAutospacing="1" w:after="100" w:afterAutospacing="1"/>
      <w:jc w:val="center"/>
    </w:pPr>
    <w:rPr>
      <w:b/>
      <w:bCs/>
      <w:sz w:val="24"/>
      <w:szCs w:val="24"/>
      <w:lang w:eastAsia="en-AU"/>
    </w:rPr>
  </w:style>
  <w:style w:type="paragraph" w:customStyle="1" w:styleId="xl150">
    <w:name w:val="xl150"/>
    <w:basedOn w:val="Normal"/>
    <w:rsid w:val="0086106A"/>
    <w:pPr>
      <w:pBdr>
        <w:bottom w:val="single" w:sz="12" w:space="0" w:color="auto"/>
      </w:pBdr>
      <w:spacing w:before="100" w:beforeAutospacing="1" w:after="100" w:afterAutospacing="1"/>
    </w:pPr>
    <w:rPr>
      <w:i/>
      <w:iCs/>
      <w:szCs w:val="22"/>
      <w:lang w:eastAsia="en-AU"/>
    </w:rPr>
  </w:style>
  <w:style w:type="paragraph" w:customStyle="1" w:styleId="xl151">
    <w:name w:val="xl151"/>
    <w:basedOn w:val="Normal"/>
    <w:rsid w:val="0086106A"/>
    <w:pPr>
      <w:pBdr>
        <w:bottom w:val="single" w:sz="4" w:space="0" w:color="auto"/>
        <w:right w:val="single" w:sz="8" w:space="0" w:color="auto"/>
      </w:pBdr>
      <w:spacing w:before="100" w:beforeAutospacing="1" w:after="100" w:afterAutospacing="1"/>
      <w:jc w:val="center"/>
    </w:pPr>
    <w:rPr>
      <w:b/>
      <w:bCs/>
      <w:sz w:val="24"/>
      <w:szCs w:val="24"/>
      <w:lang w:eastAsia="en-AU"/>
    </w:rPr>
  </w:style>
  <w:style w:type="paragraph" w:customStyle="1" w:styleId="xl152">
    <w:name w:val="xl152"/>
    <w:basedOn w:val="Normal"/>
    <w:rsid w:val="0086106A"/>
    <w:pPr>
      <w:pBdr>
        <w:right w:val="single" w:sz="8" w:space="0" w:color="auto"/>
      </w:pBdr>
      <w:spacing w:before="100" w:beforeAutospacing="1" w:after="100" w:afterAutospacing="1"/>
      <w:jc w:val="center"/>
    </w:pPr>
    <w:rPr>
      <w:sz w:val="24"/>
      <w:szCs w:val="24"/>
      <w:lang w:eastAsia="en-AU"/>
    </w:rPr>
  </w:style>
  <w:style w:type="paragraph" w:styleId="Header">
    <w:name w:val="header"/>
    <w:basedOn w:val="Normal"/>
    <w:uiPriority w:val="99"/>
    <w:rsid w:val="0086106A"/>
    <w:pPr>
      <w:tabs>
        <w:tab w:val="center" w:pos="4153"/>
        <w:tab w:val="right" w:pos="8306"/>
      </w:tabs>
    </w:pPr>
  </w:style>
  <w:style w:type="character" w:customStyle="1" w:styleId="HeaderChar">
    <w:name w:val="Header Char"/>
    <w:basedOn w:val="DefaultParagraphFont"/>
    <w:uiPriority w:val="99"/>
    <w:locked/>
    <w:rsid w:val="0086106A"/>
    <w:rPr>
      <w:rFonts w:cs="Times New Roman"/>
      <w:sz w:val="22"/>
      <w:lang w:eastAsia="en-US"/>
    </w:rPr>
  </w:style>
  <w:style w:type="paragraph" w:styleId="Footer">
    <w:name w:val="footer"/>
    <w:basedOn w:val="Normal"/>
    <w:rsid w:val="001342A0"/>
    <w:pPr>
      <w:tabs>
        <w:tab w:val="center" w:pos="4153"/>
        <w:tab w:val="right" w:pos="8306"/>
      </w:tabs>
      <w:spacing w:before="0" w:line="240" w:lineRule="exact"/>
    </w:pPr>
    <w:rPr>
      <w:sz w:val="16"/>
    </w:rPr>
  </w:style>
  <w:style w:type="character" w:customStyle="1" w:styleId="FooterChar">
    <w:name w:val="Footer Char"/>
    <w:basedOn w:val="DefaultParagraphFont"/>
    <w:semiHidden/>
    <w:locked/>
    <w:rsid w:val="0086106A"/>
    <w:rPr>
      <w:rFonts w:cs="Times New Roman"/>
      <w:sz w:val="22"/>
      <w:lang w:eastAsia="en-US"/>
    </w:rPr>
  </w:style>
  <w:style w:type="paragraph" w:styleId="BalloonText">
    <w:name w:val="Balloon Text"/>
    <w:basedOn w:val="Normal"/>
    <w:semiHidden/>
    <w:rsid w:val="0086106A"/>
    <w:rPr>
      <w:rFonts w:ascii="Tahoma" w:hAnsi="Tahoma" w:cs="Tahoma"/>
      <w:sz w:val="16"/>
      <w:szCs w:val="16"/>
    </w:rPr>
  </w:style>
  <w:style w:type="character" w:customStyle="1" w:styleId="BalloonTextChar">
    <w:name w:val="Balloon Text Char"/>
    <w:basedOn w:val="DefaultParagraphFont"/>
    <w:semiHidden/>
    <w:locked/>
    <w:rsid w:val="0086106A"/>
    <w:rPr>
      <w:rFonts w:cs="Times New Roman"/>
      <w:sz w:val="2"/>
      <w:lang w:eastAsia="en-US"/>
    </w:rPr>
  </w:style>
  <w:style w:type="table" w:styleId="TableGrid">
    <w:name w:val="Table Grid"/>
    <w:basedOn w:val="TableNormal"/>
    <w:rsid w:val="00A30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9284F"/>
    <w:pPr>
      <w:shd w:val="clear" w:color="auto" w:fill="000080"/>
    </w:pPr>
    <w:rPr>
      <w:rFonts w:ascii="Tahoma" w:hAnsi="Tahoma" w:cs="Tahoma"/>
    </w:rPr>
  </w:style>
  <w:style w:type="table" w:styleId="Table3Deffects1">
    <w:name w:val="Table 3D effects 1"/>
    <w:basedOn w:val="TableNormal"/>
    <w:rsid w:val="00B820D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ommentText">
    <w:name w:val="annotation text"/>
    <w:basedOn w:val="Normal"/>
    <w:link w:val="CommentTextChar"/>
    <w:uiPriority w:val="99"/>
    <w:rsid w:val="003A20C8"/>
  </w:style>
  <w:style w:type="character" w:customStyle="1" w:styleId="CommentTextChar">
    <w:name w:val="Comment Text Char"/>
    <w:basedOn w:val="DefaultParagraphFont"/>
    <w:link w:val="CommentText"/>
    <w:uiPriority w:val="99"/>
    <w:rsid w:val="003A20C8"/>
    <w:rPr>
      <w:lang w:eastAsia="en-US"/>
    </w:rPr>
  </w:style>
  <w:style w:type="paragraph" w:styleId="CommentSubject">
    <w:name w:val="annotation subject"/>
    <w:basedOn w:val="CommentText"/>
    <w:next w:val="CommentText"/>
    <w:link w:val="CommentSubjectChar"/>
    <w:rsid w:val="003A20C8"/>
    <w:rPr>
      <w:b/>
      <w:bCs/>
    </w:rPr>
  </w:style>
  <w:style w:type="character" w:customStyle="1" w:styleId="CommentSubjectChar">
    <w:name w:val="Comment Subject Char"/>
    <w:basedOn w:val="CommentTextChar"/>
    <w:link w:val="CommentSubject"/>
    <w:rsid w:val="003A20C8"/>
    <w:rPr>
      <w:b/>
      <w:bCs/>
      <w:lang w:eastAsia="en-US"/>
    </w:rPr>
  </w:style>
  <w:style w:type="paragraph" w:styleId="ListParagraph">
    <w:name w:val="List Paragraph"/>
    <w:basedOn w:val="Normal"/>
    <w:uiPriority w:val="34"/>
    <w:qFormat/>
    <w:rsid w:val="00381D92"/>
    <w:pPr>
      <w:ind w:left="720"/>
      <w:contextualSpacing/>
    </w:pPr>
  </w:style>
  <w:style w:type="paragraph" w:customStyle="1" w:styleId="Note1013pt6ptbefore">
    <w:name w:val="Note 10/13pt 6pt before"/>
    <w:basedOn w:val="Normal"/>
    <w:qFormat/>
    <w:rsid w:val="00D40A48"/>
    <w:pPr>
      <w:tabs>
        <w:tab w:val="left" w:pos="5162"/>
        <w:tab w:val="left" w:pos="5894"/>
        <w:tab w:val="left" w:pos="6667"/>
        <w:tab w:val="left" w:pos="8307"/>
      </w:tabs>
    </w:pPr>
    <w:rPr>
      <w:rFonts w:cs="Arial"/>
      <w:b/>
      <w:bCs/>
      <w:lang w:eastAsia="en-AU"/>
    </w:rPr>
  </w:style>
  <w:style w:type="paragraph" w:styleId="Revision">
    <w:name w:val="Revision"/>
    <w:hidden/>
    <w:uiPriority w:val="99"/>
    <w:semiHidden/>
    <w:rsid w:val="0090517B"/>
    <w:rPr>
      <w:sz w:val="22"/>
      <w:lang w:eastAsia="en-US"/>
    </w:rPr>
  </w:style>
  <w:style w:type="paragraph" w:styleId="NormalWeb">
    <w:name w:val="Normal (Web)"/>
    <w:basedOn w:val="Normal"/>
    <w:uiPriority w:val="99"/>
    <w:unhideWhenUsed/>
    <w:rsid w:val="00227E4A"/>
    <w:pPr>
      <w:spacing w:before="100" w:beforeAutospacing="1" w:after="100" w:afterAutospacing="1"/>
    </w:pPr>
    <w:rPr>
      <w:sz w:val="24"/>
      <w:szCs w:val="24"/>
      <w:lang w:eastAsia="en-AU"/>
    </w:rPr>
  </w:style>
  <w:style w:type="paragraph" w:styleId="Title">
    <w:name w:val="Title"/>
    <w:basedOn w:val="Normal"/>
    <w:link w:val="TitleChar"/>
    <w:qFormat/>
    <w:rsid w:val="00397040"/>
    <w:pPr>
      <w:jc w:val="center"/>
    </w:pPr>
    <w:rPr>
      <w:b/>
      <w:sz w:val="24"/>
      <w:lang w:eastAsia="en-AU"/>
    </w:rPr>
  </w:style>
  <w:style w:type="character" w:customStyle="1" w:styleId="TitleChar">
    <w:name w:val="Title Char"/>
    <w:basedOn w:val="DefaultParagraphFont"/>
    <w:link w:val="Title"/>
    <w:rsid w:val="00397040"/>
    <w:rPr>
      <w:b/>
      <w:sz w:val="24"/>
    </w:rPr>
  </w:style>
  <w:style w:type="numbering" w:customStyle="1" w:styleId="DPEstimates">
    <w:name w:val="DP Estimates"/>
    <w:rsid w:val="00397040"/>
    <w:pPr>
      <w:numPr>
        <w:numId w:val="2"/>
      </w:numPr>
    </w:pPr>
  </w:style>
  <w:style w:type="paragraph" w:customStyle="1" w:styleId="CrimeandCorruptionCommission">
    <w:name w:val="Crime and Corruption Commission"/>
    <w:basedOn w:val="Header"/>
    <w:qFormat/>
    <w:rsid w:val="00736C0B"/>
    <w:pPr>
      <w:spacing w:before="0" w:line="360" w:lineRule="exact"/>
    </w:pPr>
    <w:rPr>
      <w:b/>
      <w:noProof/>
      <w:sz w:val="36"/>
    </w:rPr>
  </w:style>
  <w:style w:type="paragraph" w:customStyle="1" w:styleId="Headersubtext">
    <w:name w:val="Header subtext"/>
    <w:basedOn w:val="Header"/>
    <w:qFormat/>
    <w:rsid w:val="00EB1C6A"/>
    <w:pPr>
      <w:spacing w:before="60" w:line="320" w:lineRule="exact"/>
    </w:pPr>
    <w:rPr>
      <w:rFonts w:cs="Arial"/>
      <w:b/>
      <w:sz w:val="28"/>
      <w:szCs w:val="28"/>
    </w:rPr>
  </w:style>
  <w:style w:type="paragraph" w:customStyle="1" w:styleId="Normal1stpara">
    <w:name w:val="Normal 1st para"/>
    <w:basedOn w:val="Normal"/>
    <w:qFormat/>
    <w:rsid w:val="00F5542B"/>
    <w:pPr>
      <w:spacing w:before="60"/>
    </w:pPr>
    <w:rPr>
      <w:rFonts w:cs="Arial"/>
      <w:szCs w:val="18"/>
    </w:rPr>
  </w:style>
  <w:style w:type="paragraph" w:customStyle="1" w:styleId="Normaltabletextleft">
    <w:name w:val="Normal table text left"/>
    <w:basedOn w:val="Normal"/>
    <w:qFormat/>
    <w:rsid w:val="006E5128"/>
    <w:pPr>
      <w:spacing w:before="0"/>
    </w:pPr>
    <w:rPr>
      <w:rFonts w:cs="Arial"/>
      <w:bCs/>
      <w:szCs w:val="18"/>
    </w:rPr>
  </w:style>
  <w:style w:type="paragraph" w:customStyle="1" w:styleId="Normaltabletextcentred">
    <w:name w:val="Normal table text centred"/>
    <w:basedOn w:val="Normal"/>
    <w:qFormat/>
    <w:rsid w:val="00B76690"/>
    <w:pPr>
      <w:spacing w:before="0"/>
      <w:jc w:val="center"/>
    </w:pPr>
    <w:rPr>
      <w:rFonts w:cs="Arial"/>
      <w:bCs/>
      <w:szCs w:val="18"/>
    </w:rPr>
  </w:style>
  <w:style w:type="paragraph" w:customStyle="1" w:styleId="Normaltabletext1stpararight">
    <w:name w:val="Normal table text 1st para right"/>
    <w:basedOn w:val="Normal"/>
    <w:qFormat/>
    <w:rsid w:val="00B76690"/>
    <w:pPr>
      <w:spacing w:before="0"/>
      <w:jc w:val="right"/>
    </w:pPr>
    <w:rPr>
      <w:rFonts w:cs="Arial"/>
      <w:bCs/>
      <w:szCs w:val="18"/>
    </w:rPr>
  </w:style>
  <w:style w:type="paragraph" w:customStyle="1" w:styleId="Notes">
    <w:name w:val="Notes"/>
    <w:basedOn w:val="Normal"/>
    <w:qFormat/>
    <w:rsid w:val="00893646"/>
    <w:pPr>
      <w:spacing w:before="60" w:line="230" w:lineRule="exact"/>
    </w:pPr>
    <w:rPr>
      <w:rFonts w:cs="Arial"/>
      <w:sz w:val="17"/>
      <w:szCs w:val="16"/>
    </w:rPr>
  </w:style>
  <w:style w:type="paragraph" w:customStyle="1" w:styleId="NormaltablebulletsL1">
    <w:name w:val="Normal table bullets L1"/>
    <w:basedOn w:val="Normaltabletextleft"/>
    <w:qFormat/>
    <w:rsid w:val="006E5128"/>
    <w:pPr>
      <w:numPr>
        <w:numId w:val="4"/>
      </w:numPr>
      <w:spacing w:before="60"/>
      <w:ind w:left="454" w:hanging="454"/>
    </w:pPr>
  </w:style>
  <w:style w:type="paragraph" w:customStyle="1" w:styleId="NormallistofNotes">
    <w:name w:val="Normal list of Notes"/>
    <w:basedOn w:val="Normal"/>
    <w:qFormat/>
    <w:rsid w:val="0014249D"/>
    <w:pPr>
      <w:ind w:left="1134" w:hanging="1134"/>
    </w:pPr>
  </w:style>
  <w:style w:type="paragraph" w:customStyle="1" w:styleId="Normal115pttext">
    <w:name w:val="Normal 11.5 pt text"/>
    <w:basedOn w:val="Normal"/>
    <w:qFormat/>
    <w:rsid w:val="0003528E"/>
    <w:pPr>
      <w:spacing w:line="280" w:lineRule="exact"/>
      <w:outlineLvl w:val="0"/>
    </w:pPr>
    <w:rPr>
      <w:rFonts w:cs="Arial"/>
      <w:b/>
      <w:sz w:val="23"/>
    </w:rPr>
  </w:style>
  <w:style w:type="paragraph" w:customStyle="1" w:styleId="Normal12ptHeadings">
    <w:name w:val="Normal 12pt Headings"/>
    <w:basedOn w:val="Normal"/>
    <w:qFormat/>
    <w:rsid w:val="0094276F"/>
    <w:pPr>
      <w:spacing w:before="240" w:after="120" w:line="320" w:lineRule="exact"/>
      <w:outlineLvl w:val="0"/>
    </w:pPr>
    <w:rPr>
      <w:rFonts w:cs="Arial"/>
      <w:b/>
      <w:sz w:val="24"/>
      <w:szCs w:val="24"/>
    </w:rPr>
  </w:style>
  <w:style w:type="paragraph" w:customStyle="1" w:styleId="Normal10ptnumberedlist">
    <w:name w:val="Normal 10pt numbered list"/>
    <w:basedOn w:val="Normal"/>
    <w:qFormat/>
    <w:rsid w:val="007B4FE8"/>
    <w:pPr>
      <w:numPr>
        <w:numId w:val="5"/>
      </w:numPr>
      <w:spacing w:before="180" w:after="60" w:line="280" w:lineRule="exact"/>
      <w:ind w:left="454" w:hanging="454"/>
    </w:pPr>
    <w:rPr>
      <w:rFonts w:cs="Arial"/>
      <w:b/>
      <w:i/>
      <w:sz w:val="22"/>
    </w:rPr>
  </w:style>
  <w:style w:type="paragraph" w:customStyle="1" w:styleId="Normalindent1stpara">
    <w:name w:val="Normal indent 1st para"/>
    <w:basedOn w:val="Normal1stpara"/>
    <w:qFormat/>
    <w:rsid w:val="006E5128"/>
    <w:pPr>
      <w:spacing w:before="40"/>
      <w:ind w:left="454"/>
    </w:pPr>
  </w:style>
  <w:style w:type="paragraph" w:customStyle="1" w:styleId="Normal13ptHeadingswithunderline">
    <w:name w:val="Normal 13pt Headings with underline"/>
    <w:basedOn w:val="Normal12ptHeadings"/>
    <w:qFormat/>
    <w:rsid w:val="006C0770"/>
    <w:pPr>
      <w:pBdr>
        <w:bottom w:val="single" w:sz="8" w:space="8" w:color="808080" w:themeColor="background1" w:themeShade="80"/>
      </w:pBdr>
      <w:spacing w:line="340" w:lineRule="exact"/>
    </w:pPr>
    <w:rPr>
      <w:sz w:val="26"/>
    </w:rPr>
  </w:style>
  <w:style w:type="paragraph" w:customStyle="1" w:styleId="Noteswithlineabove">
    <w:name w:val="Notes with line above"/>
    <w:basedOn w:val="Notes"/>
    <w:qFormat/>
    <w:rsid w:val="00893646"/>
    <w:pPr>
      <w:pBdr>
        <w:top w:val="single" w:sz="8" w:space="2" w:color="808080" w:themeColor="background1" w:themeShade="80"/>
      </w:pBdr>
      <w:spacing w:before="240"/>
    </w:pPr>
  </w:style>
  <w:style w:type="paragraph" w:customStyle="1" w:styleId="Normalhanginglist">
    <w:name w:val="Normal hanging list"/>
    <w:basedOn w:val="Normal"/>
    <w:qFormat/>
    <w:rsid w:val="006E5128"/>
    <w:pPr>
      <w:ind w:left="454" w:hanging="454"/>
    </w:pPr>
    <w:rPr>
      <w:rFonts w:cs="Arial"/>
      <w:bCs/>
      <w:szCs w:val="18"/>
      <w:lang w:eastAsia="en-AU"/>
    </w:rPr>
  </w:style>
  <w:style w:type="paragraph" w:customStyle="1" w:styleId="NormalIndent1">
    <w:name w:val="Normal Indent1"/>
    <w:basedOn w:val="Normalindent1stpara"/>
    <w:qFormat/>
    <w:rsid w:val="00DB1D73"/>
    <w:pPr>
      <w:spacing w:before="120"/>
    </w:pPr>
    <w:rPr>
      <w:lang w:eastAsia="en-AU"/>
    </w:rPr>
  </w:style>
  <w:style w:type="paragraph" w:customStyle="1" w:styleId="NormalindentbulletsL1">
    <w:name w:val="Normal indent bullets L1"/>
    <w:basedOn w:val="ListParagraph"/>
    <w:qFormat/>
    <w:rsid w:val="00327C14"/>
    <w:pPr>
      <w:numPr>
        <w:numId w:val="1"/>
      </w:numPr>
      <w:spacing w:before="60"/>
      <w:contextualSpacing w:val="0"/>
    </w:pPr>
    <w:rPr>
      <w:rFonts w:cs="Arial"/>
      <w:szCs w:val="18"/>
      <w:lang w:eastAsia="en-AU"/>
    </w:rPr>
  </w:style>
  <w:style w:type="paragraph" w:customStyle="1" w:styleId="Normal115pttextnospacebefore">
    <w:name w:val="Normal 11.5 pt text no space before"/>
    <w:basedOn w:val="Normal115pttext"/>
    <w:qFormat/>
    <w:rsid w:val="002B39AC"/>
    <w:pPr>
      <w:spacing w:before="0"/>
    </w:pPr>
    <w:rPr>
      <w:lang w:eastAsia="en-AU"/>
    </w:rPr>
  </w:style>
  <w:style w:type="paragraph" w:customStyle="1" w:styleId="NormalindentbulletsL2">
    <w:name w:val="Normal indent bullets L2"/>
    <w:basedOn w:val="Normal"/>
    <w:qFormat/>
    <w:rsid w:val="007B13D6"/>
    <w:pPr>
      <w:numPr>
        <w:ilvl w:val="1"/>
        <w:numId w:val="3"/>
      </w:numPr>
      <w:tabs>
        <w:tab w:val="left" w:pos="361"/>
      </w:tabs>
      <w:spacing w:before="30"/>
    </w:pPr>
    <w:rPr>
      <w:rFonts w:cs="Arial"/>
      <w:szCs w:val="18"/>
      <w:lang w:eastAsia="en-AU"/>
    </w:rPr>
  </w:style>
  <w:style w:type="paragraph" w:customStyle="1" w:styleId="Noteswithhangingindent">
    <w:name w:val="Notes with hanging indent"/>
    <w:basedOn w:val="Notes"/>
    <w:qFormat/>
    <w:rsid w:val="00893646"/>
    <w:pPr>
      <w:ind w:left="284" w:hanging="284"/>
    </w:pPr>
    <w:rPr>
      <w:lang w:eastAsia="en-AU"/>
    </w:rPr>
  </w:style>
  <w:style w:type="paragraph" w:customStyle="1" w:styleId="Bodytext-AR">
    <w:name w:val="Body text - AR"/>
    <w:basedOn w:val="Normal"/>
    <w:qFormat/>
    <w:rsid w:val="00DD3FDE"/>
    <w:pPr>
      <w:tabs>
        <w:tab w:val="left" w:pos="361"/>
      </w:tabs>
      <w:spacing w:line="260" w:lineRule="exact"/>
      <w:ind w:left="340"/>
    </w:pPr>
    <w:rPr>
      <w:rFonts w:ascii="Arial" w:hAnsi="Arial" w:cs="Arial"/>
      <w:sz w:val="18"/>
      <w:szCs w:val="18"/>
      <w:lang w:eastAsia="en-AU"/>
    </w:rPr>
  </w:style>
  <w:style w:type="character" w:styleId="CommentReference">
    <w:name w:val="annotation reference"/>
    <w:basedOn w:val="DefaultParagraphFont"/>
    <w:rsid w:val="00DD3FDE"/>
    <w:rPr>
      <w:sz w:val="16"/>
      <w:szCs w:val="16"/>
    </w:rPr>
  </w:style>
  <w:style w:type="paragraph" w:customStyle="1" w:styleId="NormalhangingllistL2">
    <w:name w:val="Normal hangingl list L2"/>
    <w:basedOn w:val="Normalhanginglist"/>
    <w:qFormat/>
    <w:rsid w:val="0049419D"/>
    <w:pPr>
      <w:ind w:left="811" w:hanging="357"/>
    </w:pPr>
    <w:rPr>
      <w:b/>
      <w:i/>
    </w:rPr>
  </w:style>
  <w:style w:type="paragraph" w:customStyle="1" w:styleId="NormalbulletsL1">
    <w:name w:val="Normal bullets L1"/>
    <w:basedOn w:val="NormalindentbulletsL1"/>
    <w:qFormat/>
    <w:rsid w:val="00D02455"/>
    <w:pPr>
      <w:ind w:left="454"/>
    </w:pPr>
    <w:rPr>
      <w:szCs w:val="19"/>
    </w:rPr>
  </w:style>
  <w:style w:type="paragraph" w:customStyle="1" w:styleId="NormallistofSubNotes">
    <w:name w:val="Normal list of Sub Notes"/>
    <w:basedOn w:val="NormallistofNotes"/>
    <w:qFormat/>
    <w:rsid w:val="0014249D"/>
    <w:pPr>
      <w:ind w:left="2268"/>
    </w:pPr>
  </w:style>
  <w:style w:type="paragraph" w:customStyle="1" w:styleId="Normal105pttext">
    <w:name w:val="Normal 10.5 pt text"/>
    <w:basedOn w:val="Normal"/>
    <w:qFormat/>
    <w:rsid w:val="00DB1D73"/>
    <w:pPr>
      <w:spacing w:line="260" w:lineRule="exact"/>
    </w:pPr>
    <w:rPr>
      <w:sz w:val="21"/>
    </w:rPr>
  </w:style>
  <w:style w:type="paragraph" w:customStyle="1" w:styleId="Policyheading">
    <w:name w:val="Policy heading"/>
    <w:basedOn w:val="Normaltabletext1stpararight"/>
    <w:qFormat/>
    <w:rsid w:val="00B451CD"/>
    <w:pPr>
      <w:jc w:val="left"/>
    </w:pPr>
    <w:rPr>
      <w:b/>
      <w:sz w:val="21"/>
      <w:szCs w:val="20"/>
    </w:rPr>
  </w:style>
  <w:style w:type="paragraph" w:customStyle="1" w:styleId="Policy1stpara">
    <w:name w:val="Policy 1st para"/>
    <w:basedOn w:val="Normal"/>
    <w:qFormat/>
    <w:rsid w:val="005E0A46"/>
  </w:style>
  <w:style w:type="paragraph" w:customStyle="1" w:styleId="Policyindented">
    <w:name w:val="Policy indented"/>
    <w:basedOn w:val="Policy1stpara"/>
    <w:qFormat/>
    <w:rsid w:val="00B451CD"/>
    <w:pPr>
      <w:tabs>
        <w:tab w:val="left" w:pos="4536"/>
      </w:tabs>
      <w:spacing w:before="40"/>
      <w:ind w:left="454"/>
    </w:pPr>
  </w:style>
  <w:style w:type="paragraph" w:customStyle="1" w:styleId="Policyfollowingparas">
    <w:name w:val="Policy following paras"/>
    <w:basedOn w:val="Policy1stpara"/>
    <w:qFormat/>
    <w:rsid w:val="00B451CD"/>
    <w:pPr>
      <w:spacing w:before="80"/>
    </w:pPr>
    <w:rPr>
      <w:lang w:eastAsia="en-AU"/>
    </w:rPr>
  </w:style>
  <w:style w:type="paragraph" w:customStyle="1" w:styleId="PolicybulletsL1">
    <w:name w:val="Policy bullets L1"/>
    <w:basedOn w:val="NormalbulletsL1"/>
    <w:qFormat/>
    <w:rsid w:val="00D02764"/>
    <w:pPr>
      <w:spacing w:before="40"/>
    </w:pPr>
  </w:style>
  <w:style w:type="paragraph" w:styleId="FootnoteText">
    <w:name w:val="footnote text"/>
    <w:basedOn w:val="Normal"/>
    <w:link w:val="FootnoteTextChar"/>
    <w:semiHidden/>
    <w:unhideWhenUsed/>
    <w:rsid w:val="003C37D4"/>
    <w:pPr>
      <w:spacing w:before="0" w:line="240" w:lineRule="auto"/>
    </w:pPr>
  </w:style>
  <w:style w:type="character" w:customStyle="1" w:styleId="FootnoteTextChar">
    <w:name w:val="Footnote Text Char"/>
    <w:basedOn w:val="DefaultParagraphFont"/>
    <w:link w:val="FootnoteText"/>
    <w:semiHidden/>
    <w:rsid w:val="003C37D4"/>
    <w:rPr>
      <w:rFonts w:asciiTheme="minorHAnsi" w:hAnsiTheme="minorHAnsi"/>
      <w:lang w:eastAsia="en-US"/>
    </w:rPr>
  </w:style>
  <w:style w:type="character" w:styleId="FootnoteReference">
    <w:name w:val="footnote reference"/>
    <w:basedOn w:val="DefaultParagraphFont"/>
    <w:semiHidden/>
    <w:unhideWhenUsed/>
    <w:rsid w:val="003C37D4"/>
    <w:rPr>
      <w:vertAlign w:val="superscript"/>
    </w:rPr>
  </w:style>
  <w:style w:type="paragraph" w:customStyle="1" w:styleId="Variences">
    <w:name w:val="Variences"/>
    <w:qFormat/>
    <w:rsid w:val="00CB16C2"/>
    <w:pPr>
      <w:spacing w:before="120" w:line="260" w:lineRule="exact"/>
      <w:ind w:left="567" w:hanging="567"/>
    </w:pPr>
    <w:rPr>
      <w:rFonts w:asciiTheme="minorHAnsi" w:hAnsiTheme="minorHAnsi" w:cs="Arial"/>
      <w:bCs/>
      <w:szCs w:val="18"/>
    </w:rPr>
  </w:style>
  <w:style w:type="paragraph" w:customStyle="1" w:styleId="VariencebulletlistL1">
    <w:name w:val="Varience bullet list L1"/>
    <w:qFormat/>
    <w:rsid w:val="00CB16C2"/>
    <w:pPr>
      <w:spacing w:before="60"/>
      <w:ind w:left="924" w:hanging="357"/>
    </w:pPr>
    <w:rPr>
      <w:rFonts w:asciiTheme="minorHAnsi" w:hAnsiTheme="minorHAnsi" w:cs="Arial"/>
      <w:szCs w:val="18"/>
    </w:rPr>
  </w:style>
  <w:style w:type="character" w:styleId="Emphasis">
    <w:name w:val="Emphasis"/>
    <w:basedOn w:val="DefaultParagraphFont"/>
    <w:qFormat/>
    <w:rsid w:val="002678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4794">
      <w:bodyDiv w:val="1"/>
      <w:marLeft w:val="0"/>
      <w:marRight w:val="0"/>
      <w:marTop w:val="0"/>
      <w:marBottom w:val="0"/>
      <w:divBdr>
        <w:top w:val="none" w:sz="0" w:space="0" w:color="auto"/>
        <w:left w:val="none" w:sz="0" w:space="0" w:color="auto"/>
        <w:bottom w:val="none" w:sz="0" w:space="0" w:color="auto"/>
        <w:right w:val="none" w:sz="0" w:space="0" w:color="auto"/>
      </w:divBdr>
    </w:div>
    <w:div w:id="279996324">
      <w:bodyDiv w:val="1"/>
      <w:marLeft w:val="0"/>
      <w:marRight w:val="0"/>
      <w:marTop w:val="0"/>
      <w:marBottom w:val="0"/>
      <w:divBdr>
        <w:top w:val="none" w:sz="0" w:space="0" w:color="auto"/>
        <w:left w:val="none" w:sz="0" w:space="0" w:color="auto"/>
        <w:bottom w:val="none" w:sz="0" w:space="0" w:color="auto"/>
        <w:right w:val="none" w:sz="0" w:space="0" w:color="auto"/>
      </w:divBdr>
    </w:div>
    <w:div w:id="326058446">
      <w:bodyDiv w:val="1"/>
      <w:marLeft w:val="0"/>
      <w:marRight w:val="0"/>
      <w:marTop w:val="0"/>
      <w:marBottom w:val="0"/>
      <w:divBdr>
        <w:top w:val="none" w:sz="0" w:space="0" w:color="auto"/>
        <w:left w:val="none" w:sz="0" w:space="0" w:color="auto"/>
        <w:bottom w:val="none" w:sz="0" w:space="0" w:color="auto"/>
        <w:right w:val="none" w:sz="0" w:space="0" w:color="auto"/>
      </w:divBdr>
    </w:div>
    <w:div w:id="356538891">
      <w:bodyDiv w:val="1"/>
      <w:marLeft w:val="0"/>
      <w:marRight w:val="0"/>
      <w:marTop w:val="0"/>
      <w:marBottom w:val="0"/>
      <w:divBdr>
        <w:top w:val="none" w:sz="0" w:space="0" w:color="auto"/>
        <w:left w:val="none" w:sz="0" w:space="0" w:color="auto"/>
        <w:bottom w:val="none" w:sz="0" w:space="0" w:color="auto"/>
        <w:right w:val="none" w:sz="0" w:space="0" w:color="auto"/>
      </w:divBdr>
    </w:div>
    <w:div w:id="381029239">
      <w:bodyDiv w:val="1"/>
      <w:marLeft w:val="0"/>
      <w:marRight w:val="0"/>
      <w:marTop w:val="0"/>
      <w:marBottom w:val="0"/>
      <w:divBdr>
        <w:top w:val="none" w:sz="0" w:space="0" w:color="auto"/>
        <w:left w:val="none" w:sz="0" w:space="0" w:color="auto"/>
        <w:bottom w:val="none" w:sz="0" w:space="0" w:color="auto"/>
        <w:right w:val="none" w:sz="0" w:space="0" w:color="auto"/>
      </w:divBdr>
    </w:div>
    <w:div w:id="392313201">
      <w:bodyDiv w:val="1"/>
      <w:marLeft w:val="0"/>
      <w:marRight w:val="0"/>
      <w:marTop w:val="0"/>
      <w:marBottom w:val="0"/>
      <w:divBdr>
        <w:top w:val="none" w:sz="0" w:space="0" w:color="auto"/>
        <w:left w:val="none" w:sz="0" w:space="0" w:color="auto"/>
        <w:bottom w:val="none" w:sz="0" w:space="0" w:color="auto"/>
        <w:right w:val="none" w:sz="0" w:space="0" w:color="auto"/>
      </w:divBdr>
    </w:div>
    <w:div w:id="426731437">
      <w:bodyDiv w:val="1"/>
      <w:marLeft w:val="0"/>
      <w:marRight w:val="0"/>
      <w:marTop w:val="0"/>
      <w:marBottom w:val="0"/>
      <w:divBdr>
        <w:top w:val="none" w:sz="0" w:space="0" w:color="auto"/>
        <w:left w:val="none" w:sz="0" w:space="0" w:color="auto"/>
        <w:bottom w:val="none" w:sz="0" w:space="0" w:color="auto"/>
        <w:right w:val="none" w:sz="0" w:space="0" w:color="auto"/>
      </w:divBdr>
    </w:div>
    <w:div w:id="443234925">
      <w:bodyDiv w:val="1"/>
      <w:marLeft w:val="0"/>
      <w:marRight w:val="0"/>
      <w:marTop w:val="0"/>
      <w:marBottom w:val="0"/>
      <w:divBdr>
        <w:top w:val="none" w:sz="0" w:space="0" w:color="auto"/>
        <w:left w:val="none" w:sz="0" w:space="0" w:color="auto"/>
        <w:bottom w:val="none" w:sz="0" w:space="0" w:color="auto"/>
        <w:right w:val="none" w:sz="0" w:space="0" w:color="auto"/>
      </w:divBdr>
    </w:div>
    <w:div w:id="444273940">
      <w:bodyDiv w:val="1"/>
      <w:marLeft w:val="0"/>
      <w:marRight w:val="0"/>
      <w:marTop w:val="0"/>
      <w:marBottom w:val="0"/>
      <w:divBdr>
        <w:top w:val="none" w:sz="0" w:space="0" w:color="auto"/>
        <w:left w:val="none" w:sz="0" w:space="0" w:color="auto"/>
        <w:bottom w:val="none" w:sz="0" w:space="0" w:color="auto"/>
        <w:right w:val="none" w:sz="0" w:space="0" w:color="auto"/>
      </w:divBdr>
    </w:div>
    <w:div w:id="445731484">
      <w:bodyDiv w:val="1"/>
      <w:marLeft w:val="0"/>
      <w:marRight w:val="0"/>
      <w:marTop w:val="0"/>
      <w:marBottom w:val="0"/>
      <w:divBdr>
        <w:top w:val="none" w:sz="0" w:space="0" w:color="auto"/>
        <w:left w:val="none" w:sz="0" w:space="0" w:color="auto"/>
        <w:bottom w:val="none" w:sz="0" w:space="0" w:color="auto"/>
        <w:right w:val="none" w:sz="0" w:space="0" w:color="auto"/>
      </w:divBdr>
    </w:div>
    <w:div w:id="615328809">
      <w:bodyDiv w:val="1"/>
      <w:marLeft w:val="0"/>
      <w:marRight w:val="0"/>
      <w:marTop w:val="0"/>
      <w:marBottom w:val="0"/>
      <w:divBdr>
        <w:top w:val="none" w:sz="0" w:space="0" w:color="auto"/>
        <w:left w:val="none" w:sz="0" w:space="0" w:color="auto"/>
        <w:bottom w:val="none" w:sz="0" w:space="0" w:color="auto"/>
        <w:right w:val="none" w:sz="0" w:space="0" w:color="auto"/>
      </w:divBdr>
    </w:div>
    <w:div w:id="834225289">
      <w:bodyDiv w:val="1"/>
      <w:marLeft w:val="0"/>
      <w:marRight w:val="0"/>
      <w:marTop w:val="0"/>
      <w:marBottom w:val="0"/>
      <w:divBdr>
        <w:top w:val="none" w:sz="0" w:space="0" w:color="auto"/>
        <w:left w:val="none" w:sz="0" w:space="0" w:color="auto"/>
        <w:bottom w:val="none" w:sz="0" w:space="0" w:color="auto"/>
        <w:right w:val="none" w:sz="0" w:space="0" w:color="auto"/>
      </w:divBdr>
    </w:div>
    <w:div w:id="1281689987">
      <w:bodyDiv w:val="1"/>
      <w:marLeft w:val="0"/>
      <w:marRight w:val="0"/>
      <w:marTop w:val="0"/>
      <w:marBottom w:val="0"/>
      <w:divBdr>
        <w:top w:val="none" w:sz="0" w:space="0" w:color="auto"/>
        <w:left w:val="none" w:sz="0" w:space="0" w:color="auto"/>
        <w:bottom w:val="none" w:sz="0" w:space="0" w:color="auto"/>
        <w:right w:val="none" w:sz="0" w:space="0" w:color="auto"/>
      </w:divBdr>
    </w:div>
    <w:div w:id="1360737742">
      <w:bodyDiv w:val="1"/>
      <w:marLeft w:val="0"/>
      <w:marRight w:val="0"/>
      <w:marTop w:val="0"/>
      <w:marBottom w:val="0"/>
      <w:divBdr>
        <w:top w:val="none" w:sz="0" w:space="0" w:color="auto"/>
        <w:left w:val="none" w:sz="0" w:space="0" w:color="auto"/>
        <w:bottom w:val="none" w:sz="0" w:space="0" w:color="auto"/>
        <w:right w:val="none" w:sz="0" w:space="0" w:color="auto"/>
      </w:divBdr>
    </w:div>
    <w:div w:id="1600984576">
      <w:bodyDiv w:val="1"/>
      <w:marLeft w:val="0"/>
      <w:marRight w:val="0"/>
      <w:marTop w:val="0"/>
      <w:marBottom w:val="0"/>
      <w:divBdr>
        <w:top w:val="none" w:sz="0" w:space="0" w:color="auto"/>
        <w:left w:val="none" w:sz="0" w:space="0" w:color="auto"/>
        <w:bottom w:val="none" w:sz="0" w:space="0" w:color="auto"/>
        <w:right w:val="none" w:sz="0" w:space="0" w:color="auto"/>
      </w:divBdr>
    </w:div>
    <w:div w:id="1660227395">
      <w:bodyDiv w:val="1"/>
      <w:marLeft w:val="0"/>
      <w:marRight w:val="0"/>
      <w:marTop w:val="0"/>
      <w:marBottom w:val="0"/>
      <w:divBdr>
        <w:top w:val="none" w:sz="0" w:space="0" w:color="auto"/>
        <w:left w:val="none" w:sz="0" w:space="0" w:color="auto"/>
        <w:bottom w:val="none" w:sz="0" w:space="0" w:color="auto"/>
        <w:right w:val="none" w:sz="0" w:space="0" w:color="auto"/>
      </w:divBdr>
    </w:div>
    <w:div w:id="1715929935">
      <w:bodyDiv w:val="1"/>
      <w:marLeft w:val="0"/>
      <w:marRight w:val="0"/>
      <w:marTop w:val="0"/>
      <w:marBottom w:val="0"/>
      <w:divBdr>
        <w:top w:val="none" w:sz="0" w:space="0" w:color="auto"/>
        <w:left w:val="none" w:sz="0" w:space="0" w:color="auto"/>
        <w:bottom w:val="none" w:sz="0" w:space="0" w:color="auto"/>
        <w:right w:val="none" w:sz="0" w:space="0" w:color="auto"/>
      </w:divBdr>
      <w:divsChild>
        <w:div w:id="1192911605">
          <w:marLeft w:val="0"/>
          <w:marRight w:val="0"/>
          <w:marTop w:val="0"/>
          <w:marBottom w:val="0"/>
          <w:divBdr>
            <w:top w:val="none" w:sz="0" w:space="0" w:color="auto"/>
            <w:left w:val="none" w:sz="0" w:space="0" w:color="auto"/>
            <w:bottom w:val="none" w:sz="0" w:space="0" w:color="auto"/>
            <w:right w:val="none" w:sz="0" w:space="0" w:color="auto"/>
          </w:divBdr>
          <w:divsChild>
            <w:div w:id="354424919">
              <w:marLeft w:val="0"/>
              <w:marRight w:val="0"/>
              <w:marTop w:val="0"/>
              <w:marBottom w:val="0"/>
              <w:divBdr>
                <w:top w:val="none" w:sz="0" w:space="0" w:color="auto"/>
                <w:left w:val="none" w:sz="0" w:space="0" w:color="auto"/>
                <w:bottom w:val="none" w:sz="0" w:space="0" w:color="auto"/>
                <w:right w:val="none" w:sz="0" w:space="0" w:color="auto"/>
              </w:divBdr>
              <w:divsChild>
                <w:div w:id="349644776">
                  <w:marLeft w:val="0"/>
                  <w:marRight w:val="0"/>
                  <w:marTop w:val="0"/>
                  <w:marBottom w:val="0"/>
                  <w:divBdr>
                    <w:top w:val="none" w:sz="0" w:space="0" w:color="auto"/>
                    <w:left w:val="none" w:sz="0" w:space="0" w:color="auto"/>
                    <w:bottom w:val="none" w:sz="0" w:space="0" w:color="auto"/>
                    <w:right w:val="none" w:sz="0" w:space="0" w:color="auto"/>
                  </w:divBdr>
                  <w:divsChild>
                    <w:div w:id="78064006">
                      <w:marLeft w:val="0"/>
                      <w:marRight w:val="0"/>
                      <w:marTop w:val="0"/>
                      <w:marBottom w:val="0"/>
                      <w:divBdr>
                        <w:top w:val="none" w:sz="0" w:space="0" w:color="auto"/>
                        <w:left w:val="none" w:sz="0" w:space="0" w:color="auto"/>
                        <w:bottom w:val="none" w:sz="0" w:space="0" w:color="auto"/>
                        <w:right w:val="none" w:sz="0" w:space="0" w:color="auto"/>
                      </w:divBdr>
                      <w:divsChild>
                        <w:div w:id="253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138220">
      <w:bodyDiv w:val="1"/>
      <w:marLeft w:val="0"/>
      <w:marRight w:val="0"/>
      <w:marTop w:val="0"/>
      <w:marBottom w:val="0"/>
      <w:divBdr>
        <w:top w:val="none" w:sz="0" w:space="0" w:color="auto"/>
        <w:left w:val="none" w:sz="0" w:space="0" w:color="auto"/>
        <w:bottom w:val="none" w:sz="0" w:space="0" w:color="auto"/>
        <w:right w:val="none" w:sz="0" w:space="0" w:color="auto"/>
      </w:divBdr>
    </w:div>
    <w:div w:id="1788692083">
      <w:bodyDiv w:val="1"/>
      <w:marLeft w:val="0"/>
      <w:marRight w:val="0"/>
      <w:marTop w:val="0"/>
      <w:marBottom w:val="0"/>
      <w:divBdr>
        <w:top w:val="none" w:sz="0" w:space="0" w:color="auto"/>
        <w:left w:val="none" w:sz="0" w:space="0" w:color="auto"/>
        <w:bottom w:val="none" w:sz="0" w:space="0" w:color="auto"/>
        <w:right w:val="none" w:sz="0" w:space="0" w:color="auto"/>
      </w:divBdr>
    </w:div>
    <w:div w:id="1792895740">
      <w:bodyDiv w:val="1"/>
      <w:marLeft w:val="0"/>
      <w:marRight w:val="0"/>
      <w:marTop w:val="0"/>
      <w:marBottom w:val="0"/>
      <w:divBdr>
        <w:top w:val="none" w:sz="0" w:space="0" w:color="auto"/>
        <w:left w:val="none" w:sz="0" w:space="0" w:color="auto"/>
        <w:bottom w:val="none" w:sz="0" w:space="0" w:color="auto"/>
        <w:right w:val="none" w:sz="0" w:space="0" w:color="auto"/>
      </w:divBdr>
      <w:divsChild>
        <w:div w:id="1648704445">
          <w:marLeft w:val="0"/>
          <w:marRight w:val="0"/>
          <w:marTop w:val="100"/>
          <w:marBottom w:val="100"/>
          <w:divBdr>
            <w:top w:val="none" w:sz="0" w:space="0" w:color="auto"/>
            <w:left w:val="none" w:sz="0" w:space="0" w:color="auto"/>
            <w:bottom w:val="none" w:sz="0" w:space="0" w:color="auto"/>
            <w:right w:val="none" w:sz="0" w:space="0" w:color="auto"/>
          </w:divBdr>
          <w:divsChild>
            <w:div w:id="2066946893">
              <w:marLeft w:val="0"/>
              <w:marRight w:val="0"/>
              <w:marTop w:val="0"/>
              <w:marBottom w:val="0"/>
              <w:divBdr>
                <w:top w:val="none" w:sz="0" w:space="0" w:color="auto"/>
                <w:left w:val="none" w:sz="0" w:space="0" w:color="auto"/>
                <w:bottom w:val="none" w:sz="0" w:space="0" w:color="auto"/>
                <w:right w:val="none" w:sz="0" w:space="0" w:color="auto"/>
              </w:divBdr>
              <w:divsChild>
                <w:div w:id="1138457722">
                  <w:marLeft w:val="0"/>
                  <w:marRight w:val="0"/>
                  <w:marTop w:val="0"/>
                  <w:marBottom w:val="0"/>
                  <w:divBdr>
                    <w:top w:val="none" w:sz="0" w:space="0" w:color="auto"/>
                    <w:left w:val="none" w:sz="0" w:space="0" w:color="auto"/>
                    <w:bottom w:val="none" w:sz="0" w:space="0" w:color="auto"/>
                    <w:right w:val="none" w:sz="0" w:space="0" w:color="auto"/>
                  </w:divBdr>
                  <w:divsChild>
                    <w:div w:id="2089570161">
                      <w:marLeft w:val="0"/>
                      <w:marRight w:val="0"/>
                      <w:marTop w:val="0"/>
                      <w:marBottom w:val="0"/>
                      <w:divBdr>
                        <w:top w:val="single" w:sz="4" w:space="0" w:color="CFD0CB"/>
                        <w:left w:val="single" w:sz="4" w:space="0" w:color="CFD0CB"/>
                        <w:bottom w:val="single" w:sz="4" w:space="0" w:color="CFD0CB"/>
                        <w:right w:val="single" w:sz="4" w:space="0" w:color="CFD0CB"/>
                      </w:divBdr>
                      <w:divsChild>
                        <w:div w:id="943727048">
                          <w:marLeft w:val="0"/>
                          <w:marRight w:val="0"/>
                          <w:marTop w:val="0"/>
                          <w:marBottom w:val="0"/>
                          <w:divBdr>
                            <w:top w:val="none" w:sz="0" w:space="0" w:color="auto"/>
                            <w:left w:val="none" w:sz="0" w:space="0" w:color="auto"/>
                            <w:bottom w:val="none" w:sz="0" w:space="0" w:color="auto"/>
                            <w:right w:val="none" w:sz="0" w:space="0" w:color="auto"/>
                          </w:divBdr>
                          <w:divsChild>
                            <w:div w:id="153107094">
                              <w:marLeft w:val="0"/>
                              <w:marRight w:val="0"/>
                              <w:marTop w:val="0"/>
                              <w:marBottom w:val="0"/>
                              <w:divBdr>
                                <w:top w:val="none" w:sz="0" w:space="0" w:color="auto"/>
                                <w:left w:val="none" w:sz="0" w:space="0" w:color="auto"/>
                                <w:bottom w:val="none" w:sz="0" w:space="0" w:color="auto"/>
                                <w:right w:val="none" w:sz="0" w:space="0" w:color="auto"/>
                              </w:divBdr>
                              <w:divsChild>
                                <w:div w:id="929044528">
                                  <w:marLeft w:val="0"/>
                                  <w:marRight w:val="0"/>
                                  <w:marTop w:val="0"/>
                                  <w:marBottom w:val="0"/>
                                  <w:divBdr>
                                    <w:top w:val="none" w:sz="0" w:space="0" w:color="auto"/>
                                    <w:left w:val="none" w:sz="0" w:space="0" w:color="auto"/>
                                    <w:bottom w:val="none" w:sz="0" w:space="0" w:color="auto"/>
                                    <w:right w:val="none" w:sz="0" w:space="0" w:color="auto"/>
                                  </w:divBdr>
                                  <w:divsChild>
                                    <w:div w:id="291447048">
                                      <w:marLeft w:val="133"/>
                                      <w:marRight w:val="133"/>
                                      <w:marTop w:val="13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6970">
      <w:bodyDiv w:val="1"/>
      <w:marLeft w:val="0"/>
      <w:marRight w:val="0"/>
      <w:marTop w:val="0"/>
      <w:marBottom w:val="0"/>
      <w:divBdr>
        <w:top w:val="none" w:sz="0" w:space="0" w:color="auto"/>
        <w:left w:val="none" w:sz="0" w:space="0" w:color="auto"/>
        <w:bottom w:val="none" w:sz="0" w:space="0" w:color="auto"/>
        <w:right w:val="none" w:sz="0" w:space="0" w:color="auto"/>
      </w:divBdr>
    </w:div>
    <w:div w:id="1994988711">
      <w:bodyDiv w:val="1"/>
      <w:marLeft w:val="0"/>
      <w:marRight w:val="0"/>
      <w:marTop w:val="0"/>
      <w:marBottom w:val="0"/>
      <w:divBdr>
        <w:top w:val="none" w:sz="0" w:space="0" w:color="auto"/>
        <w:left w:val="none" w:sz="0" w:space="0" w:color="auto"/>
        <w:bottom w:val="none" w:sz="0" w:space="0" w:color="auto"/>
        <w:right w:val="none" w:sz="0" w:space="0" w:color="auto"/>
      </w:divBdr>
    </w:div>
    <w:div w:id="2005936546">
      <w:bodyDiv w:val="1"/>
      <w:marLeft w:val="0"/>
      <w:marRight w:val="0"/>
      <w:marTop w:val="0"/>
      <w:marBottom w:val="0"/>
      <w:divBdr>
        <w:top w:val="none" w:sz="0" w:space="0" w:color="auto"/>
        <w:left w:val="none" w:sz="0" w:space="0" w:color="auto"/>
        <w:bottom w:val="none" w:sz="0" w:space="0" w:color="auto"/>
        <w:right w:val="none" w:sz="0" w:space="0" w:color="auto"/>
      </w:divBdr>
    </w:div>
    <w:div w:id="2104374564">
      <w:bodyDiv w:val="1"/>
      <w:marLeft w:val="0"/>
      <w:marRight w:val="0"/>
      <w:marTop w:val="0"/>
      <w:marBottom w:val="0"/>
      <w:divBdr>
        <w:top w:val="none" w:sz="0" w:space="0" w:color="auto"/>
        <w:left w:val="none" w:sz="0" w:space="0" w:color="auto"/>
        <w:bottom w:val="none" w:sz="0" w:space="0" w:color="auto"/>
        <w:right w:val="none" w:sz="0" w:space="0" w:color="auto"/>
      </w:divBdr>
    </w:div>
    <w:div w:id="21453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15D7-F226-4946-84A2-986EB31F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6D228B54</Template>
  <TotalTime>2</TotalTime>
  <Pages>33</Pages>
  <Words>9043</Words>
  <Characters>51807</Characters>
  <Application>Microsoft Office Word</Application>
  <DocSecurity>8</DocSecurity>
  <Lines>431</Lines>
  <Paragraphs>121</Paragraphs>
  <ScaleCrop>false</ScaleCrop>
  <HeadingPairs>
    <vt:vector size="2" baseType="variant">
      <vt:variant>
        <vt:lpstr>Title</vt:lpstr>
      </vt:variant>
      <vt:variant>
        <vt:i4>1</vt:i4>
      </vt:variant>
    </vt:vector>
  </HeadingPairs>
  <TitlesOfParts>
    <vt:vector size="1" baseType="lpstr">
      <vt:lpstr>Crime and Misconduct Commission Annual Report 2007–08: Financial statements</vt:lpstr>
    </vt:vector>
  </TitlesOfParts>
  <Company>Crime and Misconduct Commission</Company>
  <LinksUpToDate>false</LinksUpToDate>
  <CharactersWithSpaces>60729</CharactersWithSpaces>
  <SharedDoc>false</SharedDoc>
  <HLinks>
    <vt:vector size="12" baseType="variant">
      <vt:variant>
        <vt:i4>6357093</vt:i4>
      </vt:variant>
      <vt:variant>
        <vt:i4>3</vt:i4>
      </vt:variant>
      <vt:variant>
        <vt:i4>0</vt:i4>
      </vt:variant>
      <vt:variant>
        <vt:i4>5</vt:i4>
      </vt:variant>
      <vt:variant>
        <vt:lpwstr>http://www.cmc.qld.gov.au/</vt:lpwstr>
      </vt:variant>
      <vt:variant>
        <vt:lpwstr/>
      </vt:variant>
      <vt:variant>
        <vt:i4>1638440</vt:i4>
      </vt:variant>
      <vt:variant>
        <vt:i4>0</vt:i4>
      </vt:variant>
      <vt:variant>
        <vt:i4>0</vt:i4>
      </vt:variant>
      <vt:variant>
        <vt:i4>5</vt:i4>
      </vt:variant>
      <vt:variant>
        <vt:lpwstr>mailto:mailbox@cmc.qld.gov.au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 and Misconduct Commission Annual Report 2007–08: Financial statements</dc:title>
  <dc:subject>Extract from the Crime and Misconduct Commission Annual Report 2007–08</dc:subject>
  <dc:creator>finance</dc:creator>
  <cp:keywords>crime and misconduct commission, cmc, annual, report, 2007–08, Income statement (revenues and expenses), Balance sheet, Statement of changes in equity, Cash flow statement, Notes to and forming part of the financial statement</cp:keywords>
  <cp:lastModifiedBy>Rebecca Schultz</cp:lastModifiedBy>
  <cp:revision>3</cp:revision>
  <cp:lastPrinted>2018-08-29T05:59:00Z</cp:lastPrinted>
  <dcterms:created xsi:type="dcterms:W3CDTF">2018-09-19T01:17:00Z</dcterms:created>
  <dcterms:modified xsi:type="dcterms:W3CDTF">2018-09-26T02:31:00Z</dcterms:modified>
  <cp:category>Annual Report</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