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1F9A2" w14:textId="7A0D9FC8" w:rsidR="00ED5EA3" w:rsidRPr="001F67E4" w:rsidRDefault="00ED5EA3" w:rsidP="00ED5EA3"/>
    <w:tbl>
      <w:tblPr>
        <w:tblStyle w:val="TableGrid"/>
        <w:tblW w:w="8841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143"/>
        <w:gridCol w:w="1401"/>
        <w:gridCol w:w="1276"/>
        <w:gridCol w:w="1191"/>
      </w:tblGrid>
      <w:tr w:rsidR="00ED5EA3" w:rsidRPr="001F67E4" w14:paraId="6A8C4756" w14:textId="77777777" w:rsidTr="000C0367">
        <w:trPr>
          <w:trHeight w:val="393"/>
        </w:trPr>
        <w:tc>
          <w:tcPr>
            <w:tcW w:w="8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12A68D" w14:textId="40343AAF" w:rsidR="00ED5EA3" w:rsidRPr="000C0367" w:rsidRDefault="009378ED" w:rsidP="00ED5EA3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Crime and Corruption </w:t>
            </w:r>
            <w:r w:rsidR="00ED5EA3" w:rsidRPr="000C0367">
              <w:rPr>
                <w:rFonts w:ascii="Arial" w:hAnsi="Arial" w:cs="Arial"/>
                <w:b/>
                <w:bCs/>
                <w:sz w:val="20"/>
                <w:szCs w:val="20"/>
              </w:rPr>
              <w:t>Commission</w:t>
            </w:r>
          </w:p>
        </w:tc>
      </w:tr>
      <w:tr w:rsidR="00ED5EA3" w:rsidRPr="001F67E4" w14:paraId="3053F440" w14:textId="77777777" w:rsidTr="000C0367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99F76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36F3" w14:textId="77777777" w:rsidR="00ED5EA3" w:rsidRPr="00461069" w:rsidRDefault="00ED5EA3" w:rsidP="00ED5EA3">
            <w:pPr>
              <w:spacing w:before="60" w:after="60" w:line="259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1069">
              <w:rPr>
                <w:rFonts w:ascii="Arial" w:hAnsi="Arial" w:cs="Arial"/>
                <w:i/>
                <w:iCs/>
                <w:sz w:val="16"/>
                <w:szCs w:val="16"/>
              </w:rPr>
              <w:t>Crime and Corruption Act 2001</w:t>
            </w:r>
          </w:p>
        </w:tc>
      </w:tr>
      <w:tr w:rsidR="00ED5EA3" w:rsidRPr="001F67E4" w14:paraId="7AC26981" w14:textId="77777777" w:rsidTr="000C0367">
        <w:trPr>
          <w:trHeight w:val="3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CE0B5A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5126" w14:textId="2CF211E9" w:rsidR="00ED5EA3" w:rsidRPr="001F67E4" w:rsidRDefault="00ED5EA3" w:rsidP="00ED5EA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A16EF">
              <w:rPr>
                <w:rFonts w:ascii="Arial" w:hAnsi="Arial" w:cs="Arial"/>
                <w:sz w:val="16"/>
                <w:szCs w:val="16"/>
              </w:rPr>
              <w:t>The Commission is responsible for providing strategic leadership and direction for the performance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16EF">
              <w:rPr>
                <w:rFonts w:ascii="Arial" w:hAnsi="Arial" w:cs="Arial"/>
                <w:sz w:val="16"/>
                <w:szCs w:val="16"/>
              </w:rPr>
              <w:t xml:space="preserve">CCC’s functions and the exercise of our powers by the Chairperson, </w:t>
            </w:r>
            <w:proofErr w:type="gramStart"/>
            <w:r w:rsidRPr="00EA16EF">
              <w:rPr>
                <w:rFonts w:ascii="Arial" w:hAnsi="Arial" w:cs="Arial"/>
                <w:sz w:val="16"/>
                <w:szCs w:val="16"/>
              </w:rPr>
              <w:t>CEO</w:t>
            </w:r>
            <w:proofErr w:type="gramEnd"/>
            <w:r w:rsidRPr="00EA16EF">
              <w:rPr>
                <w:rFonts w:ascii="Arial" w:hAnsi="Arial" w:cs="Arial"/>
                <w:sz w:val="16"/>
                <w:szCs w:val="16"/>
              </w:rPr>
              <w:t xml:space="preserve"> and other staff.</w:t>
            </w:r>
          </w:p>
          <w:p w14:paraId="3EE1E2B1" w14:textId="77777777" w:rsidR="00ED5EA3" w:rsidRPr="001F67E4" w:rsidRDefault="00ED5EA3" w:rsidP="00ED5EA3">
            <w:pPr>
              <w:autoSpaceDE w:val="0"/>
              <w:autoSpaceDN w:val="0"/>
              <w:adjustRightInd w:val="0"/>
              <w:spacing w:before="60" w:after="60"/>
              <w:ind w:left="255" w:hanging="2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A3" w:rsidRPr="001F67E4" w14:paraId="2AE4314A" w14:textId="77777777" w:rsidTr="000C0367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566577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336B" w14:textId="79EE929B" w:rsidR="00ED5EA3" w:rsidRPr="001F67E4" w:rsidRDefault="00ED5EA3" w:rsidP="00ED5EA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80E36">
              <w:rPr>
                <w:rFonts w:ascii="Arial" w:hAnsi="Arial" w:cs="Arial"/>
                <w:sz w:val="16"/>
                <w:szCs w:val="16"/>
              </w:rPr>
              <w:t xml:space="preserve">See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580E36">
              <w:rPr>
                <w:rFonts w:ascii="Arial" w:hAnsi="Arial" w:cs="Arial"/>
                <w:sz w:val="16"/>
                <w:szCs w:val="16"/>
              </w:rPr>
              <w:t>CCC 2020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–</w:t>
            </w:r>
            <w:r w:rsidRPr="00580E36">
              <w:rPr>
                <w:rFonts w:ascii="Arial" w:hAnsi="Arial" w:cs="Arial"/>
                <w:sz w:val="16"/>
                <w:szCs w:val="16"/>
              </w:rPr>
              <w:t>21 Annual Report for achievements</w:t>
            </w:r>
          </w:p>
        </w:tc>
      </w:tr>
      <w:tr w:rsidR="00ED5EA3" w:rsidRPr="001F67E4" w14:paraId="167CCFA0" w14:textId="77777777" w:rsidTr="000C0367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43BE2D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7E9B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Transactions are accounted for in the CCC Financial Statements 2020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–21</w:t>
            </w:r>
          </w:p>
        </w:tc>
      </w:tr>
      <w:tr w:rsidR="00ED5EA3" w:rsidRPr="001F67E4" w14:paraId="259EC513" w14:textId="77777777" w:rsidTr="000C0367">
        <w:trPr>
          <w:trHeight w:val="386"/>
        </w:trPr>
        <w:tc>
          <w:tcPr>
            <w:tcW w:w="8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5D7A5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46002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5EA3" w:rsidRPr="001F67E4" w14:paraId="0C261097" w14:textId="77777777" w:rsidTr="00ED5E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FB29E4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82EE4F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FD4EC6" w14:textId="0A721B3F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C3E85C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B5D082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0D092F" w14:textId="37FF22BA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Actual fees received</w:t>
            </w:r>
            <w:r w:rsidR="009A7E5E" w:rsidRPr="009A7E5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D5EA3" w:rsidRPr="001F67E4" w14:paraId="32442D49" w14:textId="77777777" w:rsidTr="00ED5E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73365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Chairperson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88E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Alan MacSporran QC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442" w14:textId="5250DCE6" w:rsidR="00ED5EA3" w:rsidRPr="0094287F" w:rsidRDefault="00EC68EA" w:rsidP="009378ED">
            <w:pPr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="00ED5EA3" w:rsidRPr="009378ED">
              <w:rPr>
                <w:rFonts w:ascii="Arial" w:hAnsi="Arial" w:cs="Arial"/>
                <w:iCs/>
                <w:sz w:val="16"/>
                <w:szCs w:val="16"/>
              </w:rPr>
              <w:t xml:space="preserve"> ordinary meetings</w:t>
            </w:r>
            <w:r w:rsidR="009378ED">
              <w:rPr>
                <w:rFonts w:ascii="Arial" w:hAnsi="Arial" w:cs="Arial"/>
                <w:iCs/>
                <w:sz w:val="16"/>
                <w:szCs w:val="16"/>
              </w:rPr>
              <w:t xml:space="preserve"> and 3</w:t>
            </w:r>
            <w:r w:rsidR="00ED5EA3" w:rsidRPr="0094287F">
              <w:rPr>
                <w:rFonts w:ascii="Arial" w:hAnsi="Arial" w:cs="Arial"/>
                <w:iCs/>
                <w:sz w:val="16"/>
                <w:szCs w:val="16"/>
              </w:rPr>
              <w:t xml:space="preserve"> PCCC</w:t>
            </w:r>
            <w:r w:rsidR="00B77E1D" w:rsidRPr="00B77E1D">
              <w:rPr>
                <w:rFonts w:ascii="Arial" w:hAnsi="Arial" w:cs="Arial"/>
                <w:sz w:val="16"/>
                <w:szCs w:val="16"/>
              </w:rPr>
              <w:t>–</w:t>
            </w:r>
            <w:r w:rsidR="00ED5EA3" w:rsidRPr="0094287F">
              <w:rPr>
                <w:rFonts w:ascii="Arial" w:hAnsi="Arial" w:cs="Arial"/>
                <w:iCs/>
                <w:sz w:val="16"/>
                <w:szCs w:val="16"/>
              </w:rPr>
              <w:t xml:space="preserve">CCC </w:t>
            </w:r>
            <w:r w:rsidR="00B77E1D">
              <w:rPr>
                <w:rFonts w:ascii="Arial" w:hAnsi="Arial" w:cs="Arial"/>
                <w:iCs/>
                <w:sz w:val="16"/>
                <w:szCs w:val="16"/>
              </w:rPr>
              <w:t>j</w:t>
            </w:r>
            <w:r w:rsidR="00B77E1D" w:rsidRPr="0094287F">
              <w:rPr>
                <w:rFonts w:ascii="Arial" w:hAnsi="Arial" w:cs="Arial"/>
                <w:iCs/>
                <w:sz w:val="16"/>
                <w:szCs w:val="16"/>
              </w:rPr>
              <w:t xml:space="preserve">oint </w:t>
            </w:r>
            <w:r w:rsidR="00ED5EA3" w:rsidRPr="0094287F">
              <w:rPr>
                <w:rFonts w:ascii="Arial" w:hAnsi="Arial" w:cs="Arial"/>
                <w:iCs/>
                <w:sz w:val="16"/>
                <w:szCs w:val="16"/>
              </w:rPr>
              <w:t>meetings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BE5" w14:textId="77777777" w:rsidR="00ED5EA3" w:rsidRPr="0094287F" w:rsidRDefault="00ED5EA3" w:rsidP="00ED5EA3">
            <w:pPr>
              <w:spacing w:before="60" w:after="6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94287F">
              <w:rPr>
                <w:rFonts w:ascii="Arial" w:hAnsi="Arial" w:cs="Arial"/>
                <w:iCs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83AA" w14:textId="77777777" w:rsidR="00ED5EA3" w:rsidRPr="0094287F" w:rsidRDefault="00ED5EA3" w:rsidP="00ED5EA3">
            <w:pPr>
              <w:spacing w:before="60" w:after="6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94287F">
              <w:rPr>
                <w:rFonts w:ascii="Arial" w:hAnsi="Arial" w:cs="Arial"/>
                <w:iCs/>
                <w:sz w:val="16"/>
                <w:szCs w:val="16"/>
              </w:rPr>
              <w:t>N/A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08CC" w14:textId="77777777" w:rsidR="00ED5EA3" w:rsidRPr="0094287F" w:rsidRDefault="00ED5EA3" w:rsidP="00ED5EA3">
            <w:pPr>
              <w:spacing w:before="60" w:after="6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94287F">
              <w:rPr>
                <w:rFonts w:ascii="Arial" w:hAnsi="Arial" w:cs="Arial"/>
                <w:iCs/>
                <w:sz w:val="16"/>
                <w:szCs w:val="16"/>
              </w:rPr>
              <w:t>N/A</w:t>
            </w:r>
          </w:p>
        </w:tc>
      </w:tr>
      <w:tr w:rsidR="00ED5EA3" w:rsidRPr="001F67E4" w14:paraId="178F4F03" w14:textId="77777777" w:rsidTr="00ED5E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8A25AE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Deputy Chairperson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8516" w14:textId="77777777" w:rsidR="00ED5EA3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Sydney Williams QC</w:t>
            </w:r>
          </w:p>
          <w:p w14:paraId="26028705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18F" w14:textId="599B2BB6" w:rsidR="00ED5EA3" w:rsidRPr="009378ED" w:rsidRDefault="00ED5EA3" w:rsidP="009378ED">
            <w:pPr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9378ED">
              <w:rPr>
                <w:rFonts w:ascii="Arial" w:hAnsi="Arial" w:cs="Arial"/>
                <w:iCs/>
                <w:sz w:val="16"/>
                <w:szCs w:val="16"/>
              </w:rPr>
              <w:t>10 ordinary meetings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BD4B" w14:textId="64170F52" w:rsidR="00ED5EA3" w:rsidRPr="00E437CE" w:rsidRDefault="00E437CE" w:rsidP="00E437CE">
            <w:pPr>
              <w:spacing w:before="60" w:after="60" w:line="259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437CE">
              <w:rPr>
                <w:rFonts w:ascii="Arial" w:hAnsi="Arial" w:cs="Arial"/>
                <w:iCs/>
                <w:sz w:val="16"/>
                <w:szCs w:val="16"/>
              </w:rPr>
              <w:t>$41,712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per annum </w:t>
            </w:r>
            <w:r w:rsidR="009378ED">
              <w:rPr>
                <w:rFonts w:ascii="Arial" w:hAnsi="Arial" w:cs="Arial"/>
                <w:iCs/>
                <w:sz w:val="16"/>
                <w:szCs w:val="16"/>
              </w:rPr>
              <w:t>(plus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superannuation</w:t>
            </w:r>
            <w:r w:rsidR="009378ED">
              <w:rPr>
                <w:rFonts w:ascii="Arial" w:hAnsi="Arial" w:cs="Arial"/>
                <w:i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D7FD" w14:textId="77777777" w:rsidR="00ED5EA3" w:rsidRPr="0094287F" w:rsidRDefault="00ED5EA3" w:rsidP="00ED5EA3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4287F">
              <w:rPr>
                <w:rFonts w:ascii="Arial" w:hAnsi="Arial" w:cs="Arial"/>
                <w:iCs/>
                <w:sz w:val="16"/>
                <w:szCs w:val="16"/>
              </w:rPr>
              <w:t>N/A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D48F" w14:textId="77777777" w:rsidR="00ED5EA3" w:rsidRPr="002F231A" w:rsidRDefault="00ED5EA3" w:rsidP="00ED5EA3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31A">
              <w:rPr>
                <w:rFonts w:ascii="Arial" w:hAnsi="Arial" w:cs="Arial"/>
                <w:sz w:val="16"/>
                <w:szCs w:val="16"/>
              </w:rPr>
              <w:t>$46,914</w:t>
            </w:r>
          </w:p>
        </w:tc>
      </w:tr>
      <w:tr w:rsidR="00ED5EA3" w:rsidRPr="001F67E4" w14:paraId="607BEEF4" w14:textId="77777777" w:rsidTr="00ED5E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D6F07E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Ordinary Commissioner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F9C7" w14:textId="518B4DE3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Marshall Irwin</w:t>
            </w:r>
            <w:r w:rsidR="00B77E1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B3FD" w14:textId="7239B150" w:rsidR="00ED5EA3" w:rsidRPr="009378ED" w:rsidRDefault="00ED5EA3" w:rsidP="009378ED">
            <w:pPr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9378ED">
              <w:rPr>
                <w:rFonts w:ascii="Arial" w:hAnsi="Arial" w:cs="Arial"/>
                <w:iCs/>
                <w:sz w:val="16"/>
                <w:szCs w:val="16"/>
              </w:rPr>
              <w:t>8 ordinary meetings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D5B0" w14:textId="0DD6B66E" w:rsidR="00ED5EA3" w:rsidRPr="00E437CE" w:rsidRDefault="009378ED" w:rsidP="00E437CE">
            <w:pPr>
              <w:spacing w:before="60" w:after="60" w:line="259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437CE">
              <w:rPr>
                <w:rFonts w:ascii="Arial" w:hAnsi="Arial" w:cs="Arial"/>
                <w:iCs/>
                <w:sz w:val="16"/>
                <w:szCs w:val="16"/>
              </w:rPr>
              <w:t>$41,712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per annum (plus superannuation)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A68A" w14:textId="77777777" w:rsidR="00ED5EA3" w:rsidRPr="0094287F" w:rsidRDefault="00ED5EA3" w:rsidP="00ED5EA3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4287F">
              <w:rPr>
                <w:rFonts w:ascii="Arial" w:hAnsi="Arial" w:cs="Arial"/>
                <w:iCs/>
                <w:sz w:val="16"/>
                <w:szCs w:val="16"/>
              </w:rPr>
              <w:t>N/A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E1A8" w14:textId="77777777" w:rsidR="00ED5EA3" w:rsidRPr="002F231A" w:rsidRDefault="00ED5EA3" w:rsidP="00ED5EA3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31A">
              <w:rPr>
                <w:rFonts w:ascii="Arial" w:hAnsi="Arial" w:cs="Arial"/>
                <w:sz w:val="16"/>
                <w:szCs w:val="16"/>
              </w:rPr>
              <w:t>$38,409</w:t>
            </w:r>
          </w:p>
        </w:tc>
      </w:tr>
      <w:tr w:rsidR="00ED5EA3" w:rsidRPr="001F67E4" w14:paraId="2A6AD6BD" w14:textId="77777777" w:rsidTr="00ED5EA3">
        <w:trPr>
          <w:trHeight w:val="4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AE979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Ordinary Commissioner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0D7" w14:textId="442B7BE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Anne Tiernan</w:t>
            </w:r>
            <w:r w:rsidR="00B77E1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3F55" w14:textId="77777777" w:rsidR="00ED5EA3" w:rsidRPr="00E437CE" w:rsidRDefault="00ED5EA3" w:rsidP="00ED5EA3">
            <w:pPr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E437CE">
              <w:rPr>
                <w:rFonts w:ascii="Arial" w:hAnsi="Arial" w:cs="Arial"/>
                <w:iCs/>
                <w:sz w:val="16"/>
                <w:szCs w:val="16"/>
              </w:rPr>
              <w:t>0 meetings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4E55" w14:textId="74E11C27" w:rsidR="00ED5EA3" w:rsidRPr="00E437CE" w:rsidRDefault="009378ED" w:rsidP="00E437CE">
            <w:pPr>
              <w:spacing w:before="60" w:after="60" w:line="259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437CE">
              <w:rPr>
                <w:rFonts w:ascii="Arial" w:hAnsi="Arial" w:cs="Arial"/>
                <w:iCs/>
                <w:sz w:val="16"/>
                <w:szCs w:val="16"/>
              </w:rPr>
              <w:t>$41,712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per annum (plus superannuation)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0464" w14:textId="77777777" w:rsidR="00ED5EA3" w:rsidRPr="0094287F" w:rsidRDefault="00ED5EA3" w:rsidP="00ED5EA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94287F">
              <w:rPr>
                <w:rFonts w:ascii="Arial" w:hAnsi="Arial" w:cs="Arial"/>
                <w:iCs/>
                <w:sz w:val="16"/>
                <w:szCs w:val="16"/>
              </w:rPr>
              <w:t>N/A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7BA" w14:textId="77777777" w:rsidR="00ED5EA3" w:rsidRPr="002F231A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$4,783</w:t>
            </w:r>
          </w:p>
        </w:tc>
      </w:tr>
      <w:tr w:rsidR="00ED5EA3" w:rsidRPr="001F67E4" w14:paraId="00E942B5" w14:textId="77777777" w:rsidTr="00ED5E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CE507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Ordinary Commissioner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2B9C" w14:textId="02BA73E6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Deborah Holliday</w:t>
            </w:r>
            <w:r w:rsidR="00CC1A50">
              <w:rPr>
                <w:rFonts w:ascii="Arial" w:hAnsi="Arial" w:cs="Arial"/>
                <w:sz w:val="16"/>
                <w:szCs w:val="16"/>
              </w:rPr>
              <w:t xml:space="preserve"> QC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755" w14:textId="049BC993" w:rsidR="00ED5EA3" w:rsidRPr="0094287F" w:rsidRDefault="009D03C8" w:rsidP="009378ED">
            <w:pPr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="00ED5EA3" w:rsidRPr="009378ED">
              <w:rPr>
                <w:rFonts w:ascii="Arial" w:hAnsi="Arial" w:cs="Arial"/>
                <w:iCs/>
                <w:sz w:val="16"/>
                <w:szCs w:val="16"/>
              </w:rPr>
              <w:t xml:space="preserve"> ordinary meetings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934" w14:textId="135DFC9E" w:rsidR="00ED5EA3" w:rsidRPr="00E437CE" w:rsidRDefault="009378ED" w:rsidP="00E437CE">
            <w:pPr>
              <w:spacing w:before="60" w:after="60" w:line="259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437CE">
              <w:rPr>
                <w:rFonts w:ascii="Arial" w:hAnsi="Arial" w:cs="Arial"/>
                <w:iCs/>
                <w:sz w:val="16"/>
                <w:szCs w:val="16"/>
              </w:rPr>
              <w:t>$41,712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per annum (plus superannuation)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8D83" w14:textId="77777777" w:rsidR="00ED5EA3" w:rsidRPr="0094287F" w:rsidRDefault="00ED5EA3" w:rsidP="00ED5EA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94287F">
              <w:rPr>
                <w:rFonts w:ascii="Arial" w:hAnsi="Arial" w:cs="Arial"/>
                <w:iCs/>
                <w:sz w:val="16"/>
                <w:szCs w:val="16"/>
              </w:rPr>
              <w:t>N/A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AA89" w14:textId="77777777" w:rsidR="00ED5EA3" w:rsidRPr="002F231A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$48,168</w:t>
            </w:r>
          </w:p>
        </w:tc>
      </w:tr>
      <w:tr w:rsidR="00ED5EA3" w:rsidRPr="001F67E4" w14:paraId="2E511FFA" w14:textId="77777777" w:rsidTr="00ED5E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0D3AD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Ordinary Commissioner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6FD" w14:textId="69139408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Helen Darch</w:t>
            </w:r>
            <w:r w:rsidR="00B77E1D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0D1" w14:textId="43BC7F72" w:rsidR="00ED5EA3" w:rsidRPr="009378ED" w:rsidRDefault="00B77E1D" w:rsidP="009378ED">
            <w:pPr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ED5EA3" w:rsidRPr="009378ED">
              <w:rPr>
                <w:rFonts w:ascii="Arial" w:hAnsi="Arial" w:cs="Arial"/>
                <w:iCs/>
                <w:sz w:val="16"/>
                <w:szCs w:val="16"/>
              </w:rPr>
              <w:t xml:space="preserve"> ordinary meetings</w:t>
            </w:r>
            <w:r w:rsidR="009378ED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E535" w14:textId="79AA1CF9" w:rsidR="00ED5EA3" w:rsidRPr="00E437CE" w:rsidRDefault="009378ED" w:rsidP="00E437CE">
            <w:pPr>
              <w:spacing w:before="60" w:after="60" w:line="259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437CE">
              <w:rPr>
                <w:rFonts w:ascii="Arial" w:hAnsi="Arial" w:cs="Arial"/>
                <w:iCs/>
                <w:sz w:val="16"/>
                <w:szCs w:val="16"/>
              </w:rPr>
              <w:t>$41,712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per annum (plus superannuation)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EF94" w14:textId="77777777" w:rsidR="00ED5EA3" w:rsidRPr="0094287F" w:rsidRDefault="00ED5EA3" w:rsidP="00ED5EA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94287F">
              <w:rPr>
                <w:rFonts w:ascii="Arial" w:hAnsi="Arial" w:cs="Arial"/>
                <w:iCs/>
                <w:sz w:val="16"/>
                <w:szCs w:val="16"/>
              </w:rPr>
              <w:t>N/A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EBFE" w14:textId="77777777" w:rsidR="00ED5EA3" w:rsidRPr="002F231A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$5,763</w:t>
            </w:r>
          </w:p>
        </w:tc>
      </w:tr>
      <w:tr w:rsidR="00ED5EA3" w:rsidRPr="001F67E4" w14:paraId="16BADE63" w14:textId="77777777" w:rsidTr="00ED5E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49635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Ordinary Commissioner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EAC" w14:textId="66727843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Bruce Barbour</w:t>
            </w:r>
            <w:r w:rsidR="00B77E1D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0D5C" w14:textId="3EAE7980" w:rsidR="00ED5EA3" w:rsidRPr="009378ED" w:rsidRDefault="00ED5EA3" w:rsidP="009378ED">
            <w:pPr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9378ED">
              <w:rPr>
                <w:rFonts w:ascii="Arial" w:hAnsi="Arial" w:cs="Arial"/>
                <w:iCs/>
                <w:sz w:val="16"/>
                <w:szCs w:val="16"/>
              </w:rPr>
              <w:t>2 ordinary meetings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DC4" w14:textId="7715DF4B" w:rsidR="00ED5EA3" w:rsidRPr="00E437CE" w:rsidRDefault="009378ED" w:rsidP="00E437CE">
            <w:pPr>
              <w:spacing w:before="60" w:after="60" w:line="259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437CE">
              <w:rPr>
                <w:rFonts w:ascii="Arial" w:hAnsi="Arial" w:cs="Arial"/>
                <w:iCs/>
                <w:sz w:val="16"/>
                <w:szCs w:val="16"/>
              </w:rPr>
              <w:t>$41,712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per annum (plus superannuation)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5CA6" w14:textId="77777777" w:rsidR="00ED5EA3" w:rsidRPr="0094287F" w:rsidRDefault="00ED5EA3" w:rsidP="00ED5EA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94287F">
              <w:rPr>
                <w:rFonts w:ascii="Arial" w:hAnsi="Arial" w:cs="Arial"/>
                <w:iCs/>
                <w:sz w:val="16"/>
                <w:szCs w:val="16"/>
              </w:rPr>
              <w:t>N/A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1AFB" w14:textId="77777777" w:rsidR="00ED5EA3" w:rsidRPr="002F231A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$5,921</w:t>
            </w:r>
          </w:p>
        </w:tc>
      </w:tr>
      <w:tr w:rsidR="00ED5EA3" w:rsidRPr="001F67E4" w14:paraId="6AE6BA95" w14:textId="77777777" w:rsidTr="000C03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F22F38" w14:textId="77777777" w:rsidR="00ED5EA3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</w:t>
            </w:r>
          </w:p>
          <w:p w14:paraId="7B0A341B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sessions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FBEC" w14:textId="77777777" w:rsidR="00ED5EA3" w:rsidRPr="00ED5EA3" w:rsidRDefault="00ED5EA3" w:rsidP="00ED5EA3">
            <w:pPr>
              <w:pStyle w:val="Figureandtabletitles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D5EA3">
              <w:rPr>
                <w:rFonts w:ascii="Arial" w:hAnsi="Arial" w:cs="Arial"/>
                <w:sz w:val="16"/>
                <w:szCs w:val="16"/>
              </w:rPr>
              <w:t xml:space="preserve">There were 10 ordinary meetings and 3 joint PCCC/CCC meetings scheduled during 2020–21. Due to the COVID-19 pandemic the PCCC/CCC joint meetings were restricted to Chairperson, Chief Executive Officer, Senior Executive Officer (Corruption) and Senior Executive Officer (Crime). </w:t>
            </w:r>
          </w:p>
          <w:p w14:paraId="69368059" w14:textId="77777777" w:rsidR="00ED5EA3" w:rsidRPr="001F67E4" w:rsidRDefault="00ED5EA3" w:rsidP="00ED5EA3">
            <w:pPr>
              <w:spacing w:before="60" w:after="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C0367" w:rsidRPr="001F67E4" w14:paraId="35077884" w14:textId="77777777" w:rsidTr="000C03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90E7AE" w14:textId="77777777" w:rsidR="000C0367" w:rsidRPr="001F67E4" w:rsidRDefault="000C0367" w:rsidP="000C0367">
            <w:pPr>
              <w:spacing w:before="60" w:after="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DA4C" w14:textId="724CD457" w:rsidR="000C0367" w:rsidRPr="001F67E4" w:rsidRDefault="000C0367" w:rsidP="000C0367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7AA730CC" w14:textId="77777777" w:rsidR="00ED5EA3" w:rsidRDefault="00ED5EA3" w:rsidP="00901724">
      <w:pPr>
        <w:spacing w:before="120" w:after="0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Notes:</w:t>
      </w:r>
    </w:p>
    <w:p w14:paraId="1B901164" w14:textId="055858CA" w:rsidR="00B77E1D" w:rsidRDefault="00ED5EA3" w:rsidP="000C0367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16"/>
          <w:szCs w:val="16"/>
        </w:rPr>
      </w:pPr>
      <w:bookmarkStart w:id="0" w:name="_Hlk79566747"/>
      <w:r w:rsidRPr="0094287F">
        <w:rPr>
          <w:rFonts w:ascii="Arial" w:hAnsi="Arial" w:cs="Arial"/>
          <w:sz w:val="16"/>
          <w:szCs w:val="16"/>
        </w:rPr>
        <w:t>The remuneration paid to part-time Commissioners</w:t>
      </w:r>
      <w:r w:rsidR="00B77E1D">
        <w:rPr>
          <w:rFonts w:ascii="Arial" w:hAnsi="Arial" w:cs="Arial"/>
          <w:sz w:val="16"/>
          <w:szCs w:val="16"/>
        </w:rPr>
        <w:t xml:space="preserve"> (the Deputy Chairperson and Ordinary Commissioners)</w:t>
      </w:r>
      <w:r w:rsidRPr="0094287F">
        <w:rPr>
          <w:rFonts w:ascii="Arial" w:hAnsi="Arial" w:cs="Arial"/>
          <w:sz w:val="16"/>
          <w:szCs w:val="16"/>
        </w:rPr>
        <w:t xml:space="preserve"> is determined by the Governor-in-Council and based on rates specified in the </w:t>
      </w:r>
      <w:r w:rsidR="00B77E1D" w:rsidRPr="00B77E1D">
        <w:rPr>
          <w:rFonts w:ascii="Arial" w:hAnsi="Arial" w:cs="Arial"/>
          <w:i/>
          <w:iCs/>
          <w:sz w:val="16"/>
          <w:szCs w:val="16"/>
        </w:rPr>
        <w:t>G</w:t>
      </w:r>
      <w:r w:rsidRPr="00B77E1D">
        <w:rPr>
          <w:rFonts w:ascii="Arial" w:hAnsi="Arial" w:cs="Arial"/>
          <w:i/>
          <w:iCs/>
          <w:sz w:val="16"/>
          <w:szCs w:val="16"/>
        </w:rPr>
        <w:t>uidelines for Remuneration of Part-time Chairs and Members of Government Boards, Committees and Statutory Authorities: Remuneration Procedures</w:t>
      </w:r>
      <w:r w:rsidRPr="0094287F">
        <w:rPr>
          <w:rFonts w:ascii="Arial" w:hAnsi="Arial" w:cs="Arial"/>
          <w:sz w:val="16"/>
          <w:szCs w:val="16"/>
        </w:rPr>
        <w:t xml:space="preserve">. </w:t>
      </w:r>
      <w:bookmarkEnd w:id="0"/>
    </w:p>
    <w:p w14:paraId="375EC295" w14:textId="18283A4F" w:rsidR="009A7E5E" w:rsidRPr="00B77E1D" w:rsidRDefault="009A7E5E" w:rsidP="000C0367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actual fees received are inclusive of superannuation</w:t>
      </w:r>
      <w:r w:rsidR="00B80C83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FE2160">
        <w:rPr>
          <w:rFonts w:ascii="Arial" w:hAnsi="Arial" w:cs="Arial"/>
          <w:sz w:val="16"/>
          <w:szCs w:val="16"/>
        </w:rPr>
        <w:t xml:space="preserve">the rate of </w:t>
      </w:r>
      <w:r>
        <w:rPr>
          <w:rFonts w:ascii="Arial" w:hAnsi="Arial" w:cs="Arial"/>
          <w:sz w:val="16"/>
          <w:szCs w:val="16"/>
        </w:rPr>
        <w:t xml:space="preserve">which varies depending on </w:t>
      </w:r>
      <w:r w:rsidR="00B80C83">
        <w:rPr>
          <w:rFonts w:ascii="Arial" w:hAnsi="Arial" w:cs="Arial"/>
          <w:sz w:val="16"/>
          <w:szCs w:val="16"/>
        </w:rPr>
        <w:t xml:space="preserve">the </w:t>
      </w:r>
      <w:r w:rsidR="00805E91">
        <w:rPr>
          <w:rFonts w:ascii="Arial" w:hAnsi="Arial" w:cs="Arial"/>
          <w:sz w:val="16"/>
          <w:szCs w:val="16"/>
        </w:rPr>
        <w:t xml:space="preserve">standard </w:t>
      </w:r>
      <w:r>
        <w:rPr>
          <w:rFonts w:ascii="Arial" w:hAnsi="Arial" w:cs="Arial"/>
          <w:sz w:val="16"/>
          <w:szCs w:val="16"/>
        </w:rPr>
        <w:t>contribution</w:t>
      </w:r>
      <w:r w:rsidR="00B80C83">
        <w:rPr>
          <w:rFonts w:ascii="Arial" w:hAnsi="Arial" w:cs="Arial"/>
          <w:sz w:val="16"/>
          <w:szCs w:val="16"/>
        </w:rPr>
        <w:t xml:space="preserve"> rate </w:t>
      </w:r>
      <w:r w:rsidR="00FE2160">
        <w:rPr>
          <w:rFonts w:ascii="Arial" w:hAnsi="Arial" w:cs="Arial"/>
          <w:sz w:val="16"/>
          <w:szCs w:val="16"/>
        </w:rPr>
        <w:t>nominated</w:t>
      </w:r>
      <w:r w:rsidR="00B80C83">
        <w:rPr>
          <w:rFonts w:ascii="Arial" w:hAnsi="Arial" w:cs="Arial"/>
          <w:sz w:val="16"/>
          <w:szCs w:val="16"/>
        </w:rPr>
        <w:t xml:space="preserve"> by </w:t>
      </w:r>
      <w:r w:rsidR="00FE2160">
        <w:rPr>
          <w:rFonts w:ascii="Arial" w:hAnsi="Arial" w:cs="Arial"/>
          <w:sz w:val="16"/>
          <w:szCs w:val="16"/>
        </w:rPr>
        <w:t>a</w:t>
      </w:r>
      <w:r w:rsidR="00B80C83">
        <w:rPr>
          <w:rFonts w:ascii="Arial" w:hAnsi="Arial" w:cs="Arial"/>
          <w:sz w:val="16"/>
          <w:szCs w:val="16"/>
        </w:rPr>
        <w:t xml:space="preserve"> Commissioner</w:t>
      </w:r>
      <w:r>
        <w:rPr>
          <w:rFonts w:ascii="Arial" w:hAnsi="Arial" w:cs="Arial"/>
          <w:sz w:val="16"/>
          <w:szCs w:val="16"/>
        </w:rPr>
        <w:t>.</w:t>
      </w:r>
    </w:p>
    <w:p w14:paraId="7D3F2987" w14:textId="77777777" w:rsidR="00ED5EA3" w:rsidRPr="0094287F" w:rsidRDefault="00ED5EA3" w:rsidP="000C0367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94287F">
        <w:rPr>
          <w:rFonts w:ascii="Arial" w:hAnsi="Arial" w:cs="Arial"/>
          <w:sz w:val="16"/>
          <w:szCs w:val="16"/>
        </w:rPr>
        <w:t>Mr Irwin’s tenure as Ordinary Commissioner ended on 30 April 2021.</w:t>
      </w:r>
    </w:p>
    <w:p w14:paraId="7B291C0C" w14:textId="4BADA5C6" w:rsidR="00ED5EA3" w:rsidRPr="0094287F" w:rsidRDefault="00ED5EA3" w:rsidP="000C0367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94287F">
        <w:rPr>
          <w:rFonts w:ascii="Arial" w:hAnsi="Arial" w:cs="Arial"/>
          <w:sz w:val="16"/>
          <w:szCs w:val="16"/>
        </w:rPr>
        <w:t>Professor Tiernan resigned as Ordinary Commissioner on 24 July 2020</w:t>
      </w:r>
      <w:r>
        <w:rPr>
          <w:rFonts w:ascii="Arial" w:hAnsi="Arial" w:cs="Arial"/>
          <w:sz w:val="16"/>
          <w:szCs w:val="16"/>
        </w:rPr>
        <w:t>.</w:t>
      </w:r>
    </w:p>
    <w:p w14:paraId="7325E9DF" w14:textId="77777777" w:rsidR="00ED5EA3" w:rsidRPr="0094287F" w:rsidRDefault="00ED5EA3" w:rsidP="000C0367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94287F">
        <w:rPr>
          <w:rFonts w:ascii="Arial" w:hAnsi="Arial" w:cs="Arial"/>
          <w:sz w:val="16"/>
          <w:szCs w:val="16"/>
        </w:rPr>
        <w:t>Ms Darch commenced her term as Ordinary Commissioner on 14 May 2021</w:t>
      </w:r>
      <w:r>
        <w:rPr>
          <w:rFonts w:ascii="Arial" w:hAnsi="Arial" w:cs="Arial"/>
          <w:sz w:val="16"/>
          <w:szCs w:val="16"/>
        </w:rPr>
        <w:t>.</w:t>
      </w:r>
    </w:p>
    <w:p w14:paraId="46A7786F" w14:textId="776CDDE0" w:rsidR="00ED5EA3" w:rsidRPr="004E448C" w:rsidRDefault="00ED5EA3" w:rsidP="000C0367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94287F">
        <w:rPr>
          <w:rFonts w:ascii="Arial" w:hAnsi="Arial" w:cs="Arial"/>
          <w:sz w:val="16"/>
          <w:szCs w:val="16"/>
        </w:rPr>
        <w:t>Mr Barbour commenced his term as Ordinary Commissioner on 14 May 2021</w:t>
      </w:r>
    </w:p>
    <w:p w14:paraId="7ABAF278" w14:textId="77777777" w:rsidR="009378ED" w:rsidRDefault="009378ED">
      <w:pPr>
        <w:rPr>
          <w:b/>
          <w:bCs/>
        </w:rPr>
      </w:pPr>
      <w:r>
        <w:rPr>
          <w:b/>
          <w:bCs/>
        </w:rPr>
        <w:br w:type="page"/>
      </w:r>
    </w:p>
    <w:p w14:paraId="1D0D7DDC" w14:textId="19074434" w:rsidR="00ED5EA3" w:rsidRPr="001F67E4" w:rsidRDefault="00ED5EA3" w:rsidP="00ED5EA3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2126"/>
        <w:gridCol w:w="1008"/>
        <w:gridCol w:w="1336"/>
        <w:gridCol w:w="1350"/>
        <w:gridCol w:w="1267"/>
      </w:tblGrid>
      <w:tr w:rsidR="00ED5EA3" w:rsidRPr="001F67E4" w14:paraId="4EB827E4" w14:textId="77777777" w:rsidTr="009378ED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A2342B" w14:textId="33963B4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0367">
              <w:rPr>
                <w:rFonts w:ascii="Arial" w:hAnsi="Arial" w:cs="Arial"/>
                <w:b/>
                <w:sz w:val="20"/>
                <w:szCs w:val="20"/>
              </w:rPr>
              <w:t>Crime Reference Committee</w:t>
            </w:r>
          </w:p>
        </w:tc>
      </w:tr>
      <w:tr w:rsidR="00ED5EA3" w:rsidRPr="001F67E4" w14:paraId="1E00B46E" w14:textId="77777777" w:rsidTr="009378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DF409B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2790" w14:textId="77777777" w:rsidR="00ED5EA3" w:rsidRPr="00461069" w:rsidRDefault="00ED5EA3" w:rsidP="00ED5EA3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1069">
              <w:rPr>
                <w:rFonts w:ascii="Arial" w:hAnsi="Arial" w:cs="Arial"/>
                <w:i/>
                <w:iCs/>
                <w:sz w:val="16"/>
                <w:szCs w:val="16"/>
              </w:rPr>
              <w:t>Crime and Corruption Act 2001</w:t>
            </w:r>
          </w:p>
        </w:tc>
      </w:tr>
      <w:tr w:rsidR="00ED5EA3" w:rsidRPr="001F67E4" w14:paraId="0C09A69E" w14:textId="77777777" w:rsidTr="009378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168FC5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27B3" w14:textId="77777777" w:rsidR="00ED5EA3" w:rsidRDefault="00ED5EA3" w:rsidP="00ED5EA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reference committee has the following functions— </w:t>
            </w:r>
          </w:p>
          <w:p w14:paraId="237DBB2C" w14:textId="586B2754" w:rsidR="00ED5EA3" w:rsidRPr="00ED5EA3" w:rsidRDefault="00ED5EA3" w:rsidP="00ED5E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D5EA3">
              <w:rPr>
                <w:rFonts w:ascii="Arial" w:hAnsi="Arial" w:cs="Arial"/>
                <w:sz w:val="16"/>
                <w:szCs w:val="16"/>
              </w:rPr>
              <w:t xml:space="preserve">to refer, as provided under chapter 2, part 2, division 2, major crime to the commission for investigation; </w:t>
            </w:r>
          </w:p>
          <w:p w14:paraId="298242DB" w14:textId="0E2BEBD5" w:rsidR="00ED5EA3" w:rsidRDefault="00ED5EA3" w:rsidP="00ED5E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authorise the commission, as provided under chapter 2, part 4, division 2A, to undertake specific intelligence operations; </w:t>
            </w:r>
          </w:p>
          <w:p w14:paraId="054B840F" w14:textId="00CB9042" w:rsidR="00ED5EA3" w:rsidRDefault="00ED5EA3" w:rsidP="00ED5E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review general referrals under section 30A; </w:t>
            </w:r>
          </w:p>
          <w:p w14:paraId="3D15E547" w14:textId="1B93FA1F" w:rsidR="00ED5EA3" w:rsidRPr="001F67E4" w:rsidRDefault="00ED5EA3" w:rsidP="00ED5E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coordinate, to the extent the committee considers appropriate, investigations into major crime conducted by the commission in cooperation with a police task force or another entity.</w:t>
            </w:r>
          </w:p>
        </w:tc>
      </w:tr>
      <w:tr w:rsidR="00ED5EA3" w:rsidRPr="001F67E4" w14:paraId="1726658B" w14:textId="77777777" w:rsidTr="009378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49BC5C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01C5" w14:textId="6236EFD1" w:rsidR="00ED5EA3" w:rsidRDefault="000C0367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ED5EA3">
              <w:rPr>
                <w:rFonts w:ascii="Arial" w:hAnsi="Arial" w:cs="Arial"/>
                <w:sz w:val="16"/>
                <w:szCs w:val="16"/>
              </w:rPr>
              <w:t>ey achievements of the Crime Reference Committee in 2020</w:t>
            </w:r>
            <w:r w:rsidR="00ED5EA3" w:rsidRPr="00690DA4">
              <w:rPr>
                <w:rFonts w:ascii="Arial" w:hAnsi="Arial" w:cs="Arial"/>
                <w:sz w:val="16"/>
                <w:szCs w:val="16"/>
              </w:rPr>
              <w:t>–</w:t>
            </w:r>
            <w:r w:rsidR="00ED5EA3">
              <w:rPr>
                <w:rFonts w:ascii="Arial" w:hAnsi="Arial" w:cs="Arial"/>
                <w:sz w:val="16"/>
                <w:szCs w:val="16"/>
              </w:rPr>
              <w:t>21:</w:t>
            </w:r>
          </w:p>
          <w:p w14:paraId="496CAF11" w14:textId="77777777" w:rsidR="00ED5EA3" w:rsidRDefault="00ED5EA3" w:rsidP="00ED5EA3">
            <w:pPr>
              <w:numPr>
                <w:ilvl w:val="0"/>
                <w:numId w:val="12"/>
              </w:numPr>
              <w:spacing w:before="60" w:after="60"/>
              <w:ind w:left="74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 33 new operations</w:t>
            </w:r>
          </w:p>
          <w:p w14:paraId="69850A79" w14:textId="77777777" w:rsidR="00ED5EA3" w:rsidRDefault="00ED5EA3" w:rsidP="00ED5EA3">
            <w:pPr>
              <w:numPr>
                <w:ilvl w:val="0"/>
                <w:numId w:val="12"/>
              </w:numPr>
              <w:spacing w:before="60" w:after="60"/>
              <w:ind w:left="74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 amendments to 14 operations</w:t>
            </w:r>
          </w:p>
          <w:p w14:paraId="2FEFA1FE" w14:textId="77777777" w:rsidR="00ED5EA3" w:rsidRPr="001F67E4" w:rsidRDefault="00ED5EA3" w:rsidP="00ED5EA3">
            <w:pPr>
              <w:numPr>
                <w:ilvl w:val="0"/>
                <w:numId w:val="12"/>
              </w:numPr>
              <w:spacing w:before="60" w:after="60"/>
              <w:ind w:left="74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Reviewed documentation for General Referrals</w:t>
            </w:r>
          </w:p>
        </w:tc>
      </w:tr>
      <w:tr w:rsidR="00ED5EA3" w:rsidRPr="001F67E4" w14:paraId="5E2052E8" w14:textId="77777777" w:rsidTr="009378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1237EC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BF0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Transactions are accounted for in the CCC Financial Statements 2020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–21</w:t>
            </w:r>
          </w:p>
        </w:tc>
      </w:tr>
      <w:tr w:rsidR="00ED5EA3" w:rsidRPr="001F67E4" w14:paraId="01F539D2" w14:textId="77777777" w:rsidTr="009378ED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97DA1" w14:textId="27C5AE50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="000C0367" w:rsidRPr="000C036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ED5EA3" w:rsidRPr="001F67E4" w14:paraId="5DAE4E2D" w14:textId="77777777" w:rsidTr="009378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B7E6D6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1F6667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A852E9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67E4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67E4">
              <w:rPr>
                <w:rFonts w:ascii="Arial" w:hAnsi="Arial" w:cs="Arial"/>
                <w:sz w:val="16"/>
                <w:szCs w:val="16"/>
              </w:rPr>
              <w:t>sessions attendance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819827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B6CC09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BE5421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ED5EA3" w:rsidRPr="001F67E4" w14:paraId="330D57AF" w14:textId="77777777" w:rsidTr="009378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A0C89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 of the Committee – CCC Chairperson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4BB" w14:textId="77777777" w:rsidR="00ED5EA3" w:rsidRPr="0071648C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Alan MacSporran QC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648" w14:textId="77777777" w:rsidR="00ED5EA3" w:rsidRPr="00203B3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5BA9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49F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D10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D5EA3" w:rsidRPr="001F67E4" w14:paraId="301BCFFB" w14:textId="77777777" w:rsidTr="009378ED">
        <w:trPr>
          <w:trHeight w:val="28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E9A93F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 – C</w:t>
            </w:r>
            <w:r w:rsidRPr="00AC6465">
              <w:rPr>
                <w:rFonts w:ascii="Arial" w:hAnsi="Arial" w:cs="Arial"/>
                <w:sz w:val="16"/>
                <w:szCs w:val="16"/>
              </w:rPr>
              <w:t>ommissioner</w:t>
            </w:r>
            <w:r>
              <w:rPr>
                <w:rFonts w:ascii="Arial" w:hAnsi="Arial" w:cs="Arial"/>
                <w:sz w:val="16"/>
                <w:szCs w:val="16"/>
              </w:rPr>
              <w:t xml:space="preserve"> of Police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31B" w14:textId="77777777" w:rsidR="00ED5EA3" w:rsidRPr="0071648C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Katherine Innes (delegate)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35A4" w14:textId="77777777" w:rsidR="00ED5EA3" w:rsidRPr="00203B3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D5AD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4CD9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1C77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D5EA3" w:rsidRPr="001F67E4" w14:paraId="6AC3BB56" w14:textId="77777777" w:rsidTr="009378ED">
        <w:trPr>
          <w:trHeight w:val="27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6A65A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030" w14:textId="77777777" w:rsidR="00ED5EA3" w:rsidRPr="006754A1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4A1">
              <w:rPr>
                <w:rFonts w:ascii="Arial" w:hAnsi="Arial" w:cs="Arial"/>
                <w:sz w:val="16"/>
                <w:szCs w:val="16"/>
              </w:rPr>
              <w:t>Roger Lowe (delegate)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34F2" w14:textId="77777777" w:rsidR="00ED5EA3" w:rsidRPr="00203B3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E3C8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E83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F626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D5EA3" w:rsidRPr="001F67E4" w14:paraId="61E2CD26" w14:textId="77777777" w:rsidTr="009378ED">
        <w:trPr>
          <w:trHeight w:val="28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6C089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B76" w14:textId="77777777" w:rsidR="00ED5EA3" w:rsidRPr="006754A1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4A1">
              <w:rPr>
                <w:rFonts w:ascii="Arial" w:hAnsi="Arial" w:cs="Arial"/>
                <w:sz w:val="16"/>
                <w:szCs w:val="16"/>
              </w:rPr>
              <w:t>Brian Swan (delegate)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E2BA" w14:textId="77777777" w:rsidR="00ED5EA3" w:rsidRPr="00203B3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0A4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D999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C15B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D5EA3" w:rsidRPr="001F67E4" w14:paraId="2447DF09" w14:textId="77777777" w:rsidTr="009378ED">
        <w:trPr>
          <w:trHeight w:val="45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505D7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Member – Principal Commissioner, Queensland Family and Child Commission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D8B" w14:textId="77777777" w:rsidR="00ED5EA3" w:rsidRPr="006754A1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4A1">
              <w:rPr>
                <w:rFonts w:ascii="Arial" w:hAnsi="Arial" w:cs="Arial"/>
                <w:sz w:val="16"/>
                <w:szCs w:val="16"/>
              </w:rPr>
              <w:t>Cheryl Vardon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1AD" w14:textId="77777777" w:rsidR="00ED5EA3" w:rsidRPr="00203B3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3E25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D22E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627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D5EA3" w:rsidRPr="001F67E4" w14:paraId="0876B3C7" w14:textId="77777777" w:rsidTr="009378ED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42014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7DD" w14:textId="77777777" w:rsidR="00ED5EA3" w:rsidRPr="006754A1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4A1">
              <w:rPr>
                <w:rFonts w:ascii="Arial" w:hAnsi="Arial" w:cs="Arial"/>
                <w:sz w:val="16"/>
                <w:szCs w:val="16"/>
              </w:rPr>
              <w:t>Tony King (delegate)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1901" w14:textId="77777777" w:rsidR="00ED5EA3" w:rsidRPr="00203B3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E9D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48F1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3053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D5EA3" w:rsidRPr="001F67E4" w14:paraId="05FDC0A1" w14:textId="77777777" w:rsidTr="009378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B81AE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 – SEO Crime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662" w14:textId="77777777" w:rsidR="00ED5EA3" w:rsidRPr="006754A1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4A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Sharon Loder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4CBB" w14:textId="77777777" w:rsidR="00ED5EA3" w:rsidRPr="00203B3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8570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FBEB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453C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D5EA3" w:rsidRPr="001F67E4" w14:paraId="034D85CE" w14:textId="77777777" w:rsidTr="009378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D38BF2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AA3E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1648C">
              <w:rPr>
                <w:rFonts w:ascii="Arial" w:hAnsi="Arial" w:cs="Arial"/>
                <w:sz w:val="16"/>
                <w:szCs w:val="16"/>
              </w:rPr>
              <w:t>Alison Claire de Jersey</w:t>
            </w:r>
          </w:p>
          <w:p w14:paraId="530BD295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719A" w14:textId="77777777" w:rsidR="00ED5EA3" w:rsidRPr="00203B3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E1C2" w14:textId="77777777" w:rsidR="00ED5EA3" w:rsidRPr="001F67E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48C">
              <w:rPr>
                <w:rFonts w:ascii="Arial" w:hAnsi="Arial" w:cs="Arial"/>
                <w:sz w:val="16"/>
                <w:szCs w:val="16"/>
              </w:rPr>
              <w:t>$250 /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ADE4" w14:textId="77777777" w:rsidR="00ED5EA3" w:rsidRPr="001F67E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48C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B236" w14:textId="1E156914" w:rsidR="00ED5EA3" w:rsidRPr="001F67E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$1,500.00</w:t>
            </w:r>
            <w:r w:rsidR="000C036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D5EA3" w:rsidRPr="001F67E4" w14:paraId="04A8A125" w14:textId="77777777" w:rsidTr="009378ED">
        <w:trPr>
          <w:trHeight w:val="2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12EE8D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7258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Darryl Anderson</w:t>
            </w:r>
          </w:p>
          <w:p w14:paraId="6C6D3949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A2E0" w14:textId="77777777" w:rsidR="00ED5EA3" w:rsidRPr="00203B3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4C68" w14:textId="77777777" w:rsidR="00ED5EA3" w:rsidRPr="001F67E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48C">
              <w:rPr>
                <w:rFonts w:ascii="Arial" w:hAnsi="Arial" w:cs="Arial"/>
                <w:sz w:val="16"/>
                <w:szCs w:val="16"/>
              </w:rPr>
              <w:t>$250 /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143E" w14:textId="77777777" w:rsidR="00ED5EA3" w:rsidRPr="001F67E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3591" w14:textId="0B6085E2" w:rsidR="00ED5EA3" w:rsidRPr="001F67E4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$2,500.00</w:t>
            </w:r>
            <w:r w:rsidR="000C0367" w:rsidRPr="000C036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ED5EA3" w:rsidRPr="001F67E4" w14:paraId="7EB58971" w14:textId="77777777" w:rsidTr="009378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3AB506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9801" w14:textId="06C84BBB" w:rsidR="000C0367" w:rsidRPr="000C0367" w:rsidRDefault="000C0367" w:rsidP="000C03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0367">
              <w:rPr>
                <w:rFonts w:ascii="Arial" w:hAnsi="Arial" w:cs="Arial"/>
                <w:sz w:val="16"/>
                <w:szCs w:val="16"/>
              </w:rPr>
              <w:t>There were 12 meetings scheduled during 2020–21.</w:t>
            </w:r>
            <w:r>
              <w:rPr>
                <w:rFonts w:ascii="Arial" w:hAnsi="Arial" w:cs="Arial"/>
                <w:sz w:val="16"/>
                <w:szCs w:val="16"/>
              </w:rPr>
              <w:t xml:space="preserve"> However, the</w:t>
            </w:r>
            <w:r w:rsidRPr="000C0367">
              <w:rPr>
                <w:rFonts w:ascii="Arial" w:hAnsi="Arial" w:cs="Arial"/>
                <w:sz w:val="16"/>
                <w:szCs w:val="16"/>
              </w:rPr>
              <w:t xml:space="preserve"> September 2020 meeting was cancelled because of a quorum not being achievable. </w:t>
            </w:r>
          </w:p>
          <w:p w14:paraId="6B3F83F0" w14:textId="0B0358BA" w:rsidR="00ED5EA3" w:rsidRPr="0071648C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A3" w:rsidRPr="001F67E4" w14:paraId="47FFBFEF" w14:textId="77777777" w:rsidTr="009378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66AC9D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08E" w14:textId="29472CA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$135.03</w:t>
            </w:r>
            <w:r w:rsidR="000C0367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</w:tr>
    </w:tbl>
    <w:p w14:paraId="3972FE14" w14:textId="77777777" w:rsidR="00ED5EA3" w:rsidRPr="006754A1" w:rsidRDefault="00ED5EA3" w:rsidP="00901724">
      <w:pPr>
        <w:spacing w:before="120" w:after="0"/>
        <w:ind w:left="630" w:hanging="630"/>
        <w:rPr>
          <w:rFonts w:ascii="Arial" w:hAnsi="Arial" w:cs="Arial"/>
          <w:sz w:val="16"/>
          <w:szCs w:val="16"/>
        </w:rPr>
      </w:pPr>
      <w:r w:rsidRPr="006754A1">
        <w:rPr>
          <w:rFonts w:ascii="Arial" w:hAnsi="Arial" w:cs="Arial"/>
          <w:sz w:val="16"/>
          <w:szCs w:val="16"/>
        </w:rPr>
        <w:t>Notes:</w:t>
      </w:r>
    </w:p>
    <w:p w14:paraId="5581AD13" w14:textId="5489551F" w:rsidR="000C0367" w:rsidRPr="006F0160" w:rsidRDefault="00FE58CB" w:rsidP="00FE58CB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6F0160">
        <w:rPr>
          <w:rFonts w:ascii="Arial" w:hAnsi="Arial" w:cs="Arial"/>
          <w:sz w:val="16"/>
          <w:szCs w:val="16"/>
        </w:rPr>
        <w:t xml:space="preserve">The remuneration paid to community representatives </w:t>
      </w:r>
      <w:r w:rsidR="00777137" w:rsidRPr="006F0160">
        <w:rPr>
          <w:rFonts w:ascii="Arial" w:hAnsi="Arial" w:cs="Arial"/>
          <w:sz w:val="16"/>
          <w:szCs w:val="16"/>
        </w:rPr>
        <w:t xml:space="preserve">is in accordance with </w:t>
      </w:r>
      <w:r w:rsidRPr="006F0160">
        <w:rPr>
          <w:rFonts w:ascii="Arial" w:hAnsi="Arial" w:cs="Arial"/>
          <w:sz w:val="16"/>
          <w:szCs w:val="16"/>
        </w:rPr>
        <w:t xml:space="preserve">the </w:t>
      </w:r>
      <w:r w:rsidRPr="006F0160">
        <w:rPr>
          <w:rFonts w:ascii="Arial" w:hAnsi="Arial" w:cs="Arial"/>
          <w:i/>
          <w:iCs/>
          <w:sz w:val="16"/>
          <w:szCs w:val="16"/>
        </w:rPr>
        <w:t>Guidelines for Remuneration of Part-time Chairs and Members of Government Boards, Committees and Statutory Authorities: Remuneration Procedures</w:t>
      </w:r>
      <w:r w:rsidRPr="006F0160">
        <w:rPr>
          <w:rFonts w:ascii="Arial" w:hAnsi="Arial" w:cs="Arial"/>
          <w:sz w:val="16"/>
          <w:szCs w:val="16"/>
        </w:rPr>
        <w:t xml:space="preserve">. </w:t>
      </w:r>
      <w:r w:rsidR="000C0367" w:rsidRPr="006F0160">
        <w:rPr>
          <w:rFonts w:ascii="Arial" w:hAnsi="Arial" w:cs="Arial"/>
          <w:sz w:val="16"/>
          <w:szCs w:val="16"/>
        </w:rPr>
        <w:t>Remuneration amounts are exclusive of GST.</w:t>
      </w:r>
    </w:p>
    <w:p w14:paraId="0B8A1F55" w14:textId="17877E80" w:rsidR="00ED5EA3" w:rsidRPr="006754A1" w:rsidRDefault="00ED5EA3" w:rsidP="000C0367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6754A1">
        <w:rPr>
          <w:rFonts w:ascii="Arial" w:hAnsi="Arial" w:cs="Arial"/>
          <w:sz w:val="16"/>
          <w:szCs w:val="16"/>
        </w:rPr>
        <w:t xml:space="preserve">The </w:t>
      </w:r>
      <w:r w:rsidR="000C0367">
        <w:rPr>
          <w:rFonts w:ascii="Arial" w:hAnsi="Arial" w:cs="Arial"/>
          <w:sz w:val="16"/>
          <w:szCs w:val="16"/>
        </w:rPr>
        <w:t xml:space="preserve">remuneration received by </w:t>
      </w:r>
      <w:r w:rsidRPr="006754A1">
        <w:rPr>
          <w:rFonts w:ascii="Arial" w:hAnsi="Arial" w:cs="Arial"/>
          <w:sz w:val="16"/>
          <w:szCs w:val="16"/>
        </w:rPr>
        <w:t xml:space="preserve">Ms de Jersey in 2020–21 includes </w:t>
      </w:r>
      <w:r w:rsidR="000C0367">
        <w:rPr>
          <w:rFonts w:ascii="Arial" w:hAnsi="Arial" w:cs="Arial"/>
          <w:sz w:val="16"/>
          <w:szCs w:val="16"/>
        </w:rPr>
        <w:t xml:space="preserve">remuneration </w:t>
      </w:r>
      <w:r w:rsidRPr="006754A1">
        <w:rPr>
          <w:rFonts w:ascii="Arial" w:hAnsi="Arial" w:cs="Arial"/>
          <w:sz w:val="16"/>
          <w:szCs w:val="16"/>
        </w:rPr>
        <w:t xml:space="preserve">for a meeting convened in 2019–20 that was not paid in that financial year.  </w:t>
      </w:r>
    </w:p>
    <w:p w14:paraId="653625BE" w14:textId="34921B9C" w:rsidR="00ED5EA3" w:rsidRPr="000C0367" w:rsidRDefault="004E448C" w:rsidP="000C0367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remuneration </w:t>
      </w:r>
      <w:r w:rsidR="000C0367">
        <w:rPr>
          <w:rFonts w:ascii="Arial" w:hAnsi="Arial" w:cs="Arial"/>
          <w:sz w:val="16"/>
          <w:szCs w:val="16"/>
        </w:rPr>
        <w:t>received by</w:t>
      </w:r>
      <w:r>
        <w:rPr>
          <w:rFonts w:ascii="Arial" w:hAnsi="Arial" w:cs="Arial"/>
          <w:sz w:val="16"/>
          <w:szCs w:val="16"/>
        </w:rPr>
        <w:t xml:space="preserve"> Mr Anderson in 2020–21 includes </w:t>
      </w:r>
      <w:r w:rsidR="000C0367">
        <w:rPr>
          <w:rFonts w:ascii="Arial" w:hAnsi="Arial" w:cs="Arial"/>
          <w:sz w:val="16"/>
          <w:szCs w:val="16"/>
        </w:rPr>
        <w:t xml:space="preserve">remuneration </w:t>
      </w:r>
      <w:r>
        <w:rPr>
          <w:rFonts w:ascii="Arial" w:hAnsi="Arial" w:cs="Arial"/>
          <w:sz w:val="16"/>
          <w:szCs w:val="16"/>
        </w:rPr>
        <w:t>for a meeting in 2019–20 that was not paid in that financial year</w:t>
      </w:r>
      <w:r w:rsidR="000C0367">
        <w:rPr>
          <w:rFonts w:ascii="Arial" w:hAnsi="Arial" w:cs="Arial"/>
          <w:sz w:val="16"/>
          <w:szCs w:val="16"/>
        </w:rPr>
        <w:t xml:space="preserve"> and does not include remuneration for</w:t>
      </w:r>
      <w:r>
        <w:rPr>
          <w:rFonts w:ascii="Arial" w:hAnsi="Arial" w:cs="Arial"/>
          <w:sz w:val="16"/>
          <w:szCs w:val="16"/>
        </w:rPr>
        <w:t xml:space="preserve"> two meetings </w:t>
      </w:r>
      <w:r w:rsidR="000C0367">
        <w:rPr>
          <w:rFonts w:ascii="Arial" w:hAnsi="Arial" w:cs="Arial"/>
          <w:sz w:val="16"/>
          <w:szCs w:val="16"/>
        </w:rPr>
        <w:t xml:space="preserve">attended </w:t>
      </w:r>
      <w:r>
        <w:rPr>
          <w:rFonts w:ascii="Arial" w:hAnsi="Arial" w:cs="Arial"/>
          <w:sz w:val="16"/>
          <w:szCs w:val="16"/>
        </w:rPr>
        <w:t xml:space="preserve">in 2020–21 </w:t>
      </w:r>
      <w:r w:rsidR="000C0367">
        <w:rPr>
          <w:rFonts w:ascii="Arial" w:hAnsi="Arial" w:cs="Arial"/>
          <w:sz w:val="16"/>
          <w:szCs w:val="16"/>
        </w:rPr>
        <w:t>as these</w:t>
      </w:r>
      <w:r>
        <w:rPr>
          <w:rFonts w:ascii="Arial" w:hAnsi="Arial" w:cs="Arial"/>
          <w:sz w:val="16"/>
          <w:szCs w:val="16"/>
        </w:rPr>
        <w:t xml:space="preserve"> were not invoiced and paid in this financial year.  </w:t>
      </w:r>
      <w:r w:rsidR="00ED5EA3" w:rsidRPr="000C0367">
        <w:rPr>
          <w:rFonts w:ascii="Arial" w:hAnsi="Arial" w:cs="Arial"/>
          <w:sz w:val="16"/>
          <w:szCs w:val="16"/>
        </w:rPr>
        <w:t xml:space="preserve"> </w:t>
      </w:r>
    </w:p>
    <w:p w14:paraId="2D8D1664" w14:textId="690155F8" w:rsidR="00ED5EA3" w:rsidRPr="000C0367" w:rsidRDefault="00ED5EA3" w:rsidP="000C0367">
      <w:pPr>
        <w:pStyle w:val="ListParagraph"/>
        <w:numPr>
          <w:ilvl w:val="0"/>
          <w:numId w:val="13"/>
        </w:numPr>
        <w:spacing w:after="0"/>
        <w:ind w:left="284" w:hanging="284"/>
        <w:rPr>
          <w:b/>
          <w:bCs/>
        </w:rPr>
      </w:pPr>
      <w:r w:rsidRPr="000C0367">
        <w:rPr>
          <w:rFonts w:ascii="Arial" w:hAnsi="Arial" w:cs="Arial"/>
          <w:sz w:val="16"/>
          <w:szCs w:val="16"/>
        </w:rPr>
        <w:t xml:space="preserve">The total out of pocket expenses comprises travel expenses for Mr. Anderson for the meetings of 28/07/2020 and 27/10/2020.  </w:t>
      </w:r>
      <w:r w:rsidRPr="000C0367">
        <w:rPr>
          <w:b/>
          <w:bCs/>
        </w:rPr>
        <w:br w:type="page"/>
      </w:r>
    </w:p>
    <w:p w14:paraId="0FF6B09F" w14:textId="46D02DCC" w:rsidR="00ED5EA3" w:rsidRPr="001F67E4" w:rsidRDefault="00ED5EA3" w:rsidP="00ED5EA3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4"/>
        <w:gridCol w:w="1235"/>
        <w:gridCol w:w="2285"/>
        <w:gridCol w:w="1556"/>
        <w:gridCol w:w="1364"/>
        <w:gridCol w:w="1073"/>
      </w:tblGrid>
      <w:tr w:rsidR="00ED5EA3" w:rsidRPr="001F67E4" w14:paraId="5AFF9C99" w14:textId="77777777" w:rsidTr="009378ED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2706C" w14:textId="2149EB9F" w:rsidR="00ED5EA3" w:rsidRPr="00ED5EA3" w:rsidRDefault="00ED5EA3" w:rsidP="00ED5EA3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367">
              <w:rPr>
                <w:rFonts w:ascii="Arial" w:hAnsi="Arial" w:cs="Arial"/>
                <w:b/>
                <w:bCs/>
                <w:sz w:val="20"/>
                <w:szCs w:val="20"/>
              </w:rPr>
              <w:t>Commissioner for Police Service Reviews</w:t>
            </w:r>
          </w:p>
        </w:tc>
      </w:tr>
      <w:tr w:rsidR="00ED5EA3" w:rsidRPr="001F67E4" w14:paraId="6F24A3EB" w14:textId="77777777" w:rsidTr="009378ED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2790B8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B557" w14:textId="77777777" w:rsidR="00ED5EA3" w:rsidRPr="00461069" w:rsidRDefault="00ED5EA3" w:rsidP="00ED5EA3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1069">
              <w:rPr>
                <w:rFonts w:ascii="Arial" w:hAnsi="Arial" w:cs="Arial"/>
                <w:i/>
                <w:iCs/>
                <w:sz w:val="16"/>
                <w:szCs w:val="16"/>
              </w:rPr>
              <w:t>Crime and Corruption Act 2001 &amp; Police Service Administration Act 1990</w:t>
            </w:r>
          </w:p>
        </w:tc>
      </w:tr>
      <w:tr w:rsidR="00ED5EA3" w:rsidRPr="001F67E4" w14:paraId="6D40305A" w14:textId="77777777" w:rsidTr="009378ED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B15BFD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EF3A" w14:textId="77777777" w:rsidR="00ED5EA3" w:rsidRPr="001F67E4" w:rsidRDefault="00ED5EA3" w:rsidP="00ED5EA3">
            <w:pPr>
              <w:autoSpaceDE w:val="0"/>
              <w:autoSpaceDN w:val="0"/>
              <w:adjustRightInd w:val="0"/>
              <w:spacing w:before="60" w:after="60"/>
              <w:ind w:left="33"/>
              <w:rPr>
                <w:rFonts w:ascii="Arial" w:hAnsi="Arial" w:cs="Arial"/>
                <w:sz w:val="16"/>
                <w:szCs w:val="16"/>
              </w:rPr>
            </w:pPr>
            <w:r w:rsidRPr="00461069">
              <w:rPr>
                <w:rFonts w:ascii="Arial" w:hAnsi="Arial" w:cs="Arial"/>
                <w:sz w:val="16"/>
                <w:szCs w:val="16"/>
              </w:rPr>
              <w:t>To independently arbitrate, through a transparent and independent review process any grievances that police officers may have about promotions, transfers or disciplinary action and provide a recommendation to the Commissioner of Police.</w:t>
            </w:r>
          </w:p>
        </w:tc>
      </w:tr>
      <w:tr w:rsidR="00ED5EA3" w:rsidRPr="001F67E4" w14:paraId="5801BB00" w14:textId="77777777" w:rsidTr="009378ED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8BD3F2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D071" w14:textId="7675FC74" w:rsidR="00ED5EA3" w:rsidRDefault="000C0367" w:rsidP="00ED5EA3">
            <w:pPr>
              <w:spacing w:before="60" w:after="60" w:line="259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K</w:t>
            </w:r>
            <w:r w:rsidR="00ED5EA3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ey achievements of the Commissioners for Police Service Reviews in 2020</w:t>
            </w:r>
            <w:r w:rsidR="00ED5EA3" w:rsidRPr="00CD259D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ED5EA3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21:</w:t>
            </w:r>
          </w:p>
          <w:p w14:paraId="3F9F5D9C" w14:textId="77777777" w:rsidR="00ED5EA3" w:rsidRDefault="00ED5EA3" w:rsidP="00ED5EA3">
            <w:pPr>
              <w:numPr>
                <w:ilvl w:val="0"/>
                <w:numId w:val="12"/>
              </w:numPr>
              <w:spacing w:before="60" w:after="60"/>
              <w:ind w:left="745" w:hanging="283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0F753B">
              <w:rPr>
                <w:rFonts w:ascii="Arial" w:hAnsi="Arial" w:cs="Arial"/>
                <w:sz w:val="16"/>
                <w:szCs w:val="16"/>
              </w:rPr>
              <w:t>Considered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78 matters (in person, via </w:t>
            </w:r>
            <w:r w:rsidRPr="00ED5EA3">
              <w:rPr>
                <w:rFonts w:ascii="Arial" w:hAnsi="Arial" w:cs="Arial"/>
                <w:sz w:val="16"/>
                <w:szCs w:val="16"/>
              </w:rPr>
              <w:t>teleconference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and on the papers); and</w:t>
            </w:r>
          </w:p>
          <w:p w14:paraId="5FD70C5A" w14:textId="77777777" w:rsidR="00ED5EA3" w:rsidRPr="000F753B" w:rsidRDefault="00ED5EA3" w:rsidP="00ED5EA3">
            <w:pPr>
              <w:numPr>
                <w:ilvl w:val="0"/>
                <w:numId w:val="12"/>
              </w:numPr>
              <w:spacing w:before="60" w:after="60"/>
              <w:ind w:left="74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Liaised with QPS executives in an aim to improve the QPS Merit System Process</w:t>
            </w:r>
          </w:p>
        </w:tc>
      </w:tr>
      <w:tr w:rsidR="00ED5EA3" w:rsidRPr="001F67E4" w14:paraId="694B2730" w14:textId="77777777" w:rsidTr="009378ED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6FD4D4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9D16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Transactions are accounted for in the CCC Financial Statements 2020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–21</w:t>
            </w:r>
          </w:p>
        </w:tc>
      </w:tr>
      <w:tr w:rsidR="00ED5EA3" w:rsidRPr="001F67E4" w14:paraId="2D4C6244" w14:textId="77777777" w:rsidTr="009378ED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B403F" w14:textId="6A6434C9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="00FE58CB" w:rsidRPr="00FE58C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ED5EA3" w:rsidRPr="001F67E4" w14:paraId="57E4BEAB" w14:textId="77777777" w:rsidTr="009378ED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629914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9784F5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D48C0A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67E4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67E4">
              <w:rPr>
                <w:rFonts w:ascii="Arial" w:hAnsi="Arial" w:cs="Arial"/>
                <w:sz w:val="16"/>
                <w:szCs w:val="16"/>
              </w:rPr>
              <w:t>sessions attendance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0D17CD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</w:t>
            </w:r>
            <w:proofErr w:type="gramStart"/>
            <w:r w:rsidRPr="001F67E4">
              <w:rPr>
                <w:rFonts w:ascii="Arial" w:hAnsi="Arial" w:cs="Arial"/>
                <w:sz w:val="16"/>
                <w:szCs w:val="16"/>
              </w:rPr>
              <w:t>sessional</w:t>
            </w:r>
            <w:proofErr w:type="gramEnd"/>
            <w:r w:rsidRPr="001F67E4">
              <w:rPr>
                <w:rFonts w:ascii="Arial" w:hAnsi="Arial" w:cs="Arial"/>
                <w:sz w:val="16"/>
                <w:szCs w:val="16"/>
              </w:rPr>
              <w:t xml:space="preserve"> or daily fee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56E7D8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09112D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ED5EA3" w:rsidRPr="001F67E4" w14:paraId="5714BF4F" w14:textId="77777777" w:rsidTr="009378ED"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37F5B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 (Administrator)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9D313" w14:textId="77777777" w:rsidR="00ED5EA3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Julie Cork</w:t>
            </w:r>
          </w:p>
          <w:p w14:paraId="6F53540B" w14:textId="77777777" w:rsidR="00ED5EA3" w:rsidRPr="0071648C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986" w14:textId="2B8136DE" w:rsidR="00ED5EA3" w:rsidRPr="00203B3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sessions (66</w:t>
            </w:r>
            <w:r w:rsidRPr="0034763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34763E">
              <w:rPr>
                <w:rFonts w:ascii="Arial" w:hAnsi="Arial" w:cs="Arial"/>
                <w:sz w:val="16"/>
                <w:szCs w:val="16"/>
              </w:rPr>
              <w:t>earings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1D984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25CB9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BC86C" w14:textId="1722A543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$24,420.00</w:t>
            </w:r>
            <w:r w:rsidR="000C0367" w:rsidRPr="000F753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D5EA3" w:rsidRPr="001F67E4" w14:paraId="19B0523F" w14:textId="77777777" w:rsidTr="009378ED">
        <w:trPr>
          <w:trHeight w:val="285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C1F00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3304" w14:textId="77777777" w:rsidR="00ED5EA3" w:rsidRPr="0071648C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380F7E" w14:textId="77777777" w:rsidR="00ED5EA3" w:rsidRPr="00203B34" w:rsidRDefault="00ED5EA3" w:rsidP="00ED5EA3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sessions for administrative duties related to hearings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75C51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7FE5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04051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A3" w:rsidRPr="001F67E4" w14:paraId="7289F27A" w14:textId="77777777" w:rsidTr="009378ED">
        <w:trPr>
          <w:trHeight w:val="457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50073E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328C85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45B098" w14:textId="77777777" w:rsidR="00ED5EA3" w:rsidRPr="00203B3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sessions of other</w:t>
            </w:r>
            <w:r w:rsidRPr="0034763E">
              <w:rPr>
                <w:rFonts w:ascii="Arial" w:hAnsi="Arial" w:cs="Arial"/>
                <w:sz w:val="16"/>
                <w:szCs w:val="16"/>
              </w:rPr>
              <w:t xml:space="preserve"> administrative duties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948EBB" w14:textId="77777777" w:rsidR="00ED5EA3" w:rsidRPr="0034763E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34A222" w14:textId="77777777" w:rsidR="00ED5EA3" w:rsidRPr="0034763E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3CB21D" w14:textId="77777777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A3" w:rsidRPr="001F67E4" w14:paraId="21B76881" w14:textId="77777777" w:rsidTr="009378ED">
        <w:trPr>
          <w:trHeight w:val="45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81A66" w14:textId="77777777" w:rsidR="00ED5EA3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897A11" w14:textId="77777777" w:rsidR="00ED5EA3" w:rsidRPr="006754A1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Patrick Mullins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1CD52A" w14:textId="7FBA5A74" w:rsidR="00ED5EA3" w:rsidRPr="00203B3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sessions (12 hearings)</w:t>
            </w:r>
            <w:r w:rsidR="000C0367" w:rsidRPr="000F753B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A70D1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36E37C" w14:textId="77777777" w:rsidR="00ED5EA3" w:rsidRPr="0071648C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C1D28E" w14:textId="4DB53DF3" w:rsidR="00ED5EA3" w:rsidRDefault="00ED5EA3" w:rsidP="00ED5E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$1,560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</w:tr>
      <w:tr w:rsidR="00ED5EA3" w:rsidRPr="001F67E4" w14:paraId="70E644D2" w14:textId="77777777" w:rsidTr="009378ED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30EB51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CB9" w14:textId="1E8A9EE9" w:rsidR="00ED5EA3" w:rsidRPr="0071648C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753B">
              <w:rPr>
                <w:rFonts w:ascii="Arial" w:hAnsi="Arial" w:cs="Arial"/>
                <w:sz w:val="16"/>
                <w:szCs w:val="16"/>
              </w:rPr>
              <w:t xml:space="preserve">78 matters were heard during the reporting period. Of those 78 matters, 58 were heard on the papers (Commissioned Officer positions); 9 were heard via teleconference; 10 were heard in person and </w:t>
            </w:r>
            <w:r w:rsidR="00B3197B">
              <w:rPr>
                <w:rFonts w:ascii="Arial" w:hAnsi="Arial" w:cs="Arial"/>
                <w:sz w:val="16"/>
                <w:szCs w:val="16"/>
              </w:rPr>
              <w:t>1</w:t>
            </w:r>
            <w:r w:rsidRPr="000F753B">
              <w:rPr>
                <w:rFonts w:ascii="Arial" w:hAnsi="Arial" w:cs="Arial"/>
                <w:sz w:val="16"/>
                <w:szCs w:val="16"/>
              </w:rPr>
              <w:t xml:space="preserve"> was heard via videoconference.</w:t>
            </w:r>
          </w:p>
        </w:tc>
      </w:tr>
      <w:tr w:rsidR="00ED5EA3" w:rsidRPr="001F67E4" w14:paraId="697CCFDD" w14:textId="77777777" w:rsidTr="009378ED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EB0E4B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390" w14:textId="77777777" w:rsidR="00ED5EA3" w:rsidRPr="001F67E4" w:rsidRDefault="00ED5EA3" w:rsidP="00ED5E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743F487E" w14:textId="77777777" w:rsidR="00ED5EA3" w:rsidRPr="006754A1" w:rsidRDefault="00ED5EA3" w:rsidP="00901724">
      <w:pPr>
        <w:spacing w:before="120" w:after="0"/>
        <w:ind w:left="630" w:hanging="630"/>
        <w:rPr>
          <w:rFonts w:ascii="Arial" w:hAnsi="Arial" w:cs="Arial"/>
          <w:sz w:val="16"/>
          <w:szCs w:val="16"/>
        </w:rPr>
      </w:pPr>
      <w:r w:rsidRPr="006754A1">
        <w:rPr>
          <w:rFonts w:ascii="Arial" w:hAnsi="Arial" w:cs="Arial"/>
          <w:sz w:val="16"/>
          <w:szCs w:val="16"/>
        </w:rPr>
        <w:t>Notes:</w:t>
      </w:r>
    </w:p>
    <w:p w14:paraId="3ACD099A" w14:textId="443A1BE5" w:rsidR="00ED5EA3" w:rsidRPr="00777137" w:rsidRDefault="00777137" w:rsidP="00777137">
      <w:pPr>
        <w:pStyle w:val="ListParagraph"/>
        <w:numPr>
          <w:ilvl w:val="0"/>
          <w:numId w:val="14"/>
        </w:numPr>
        <w:spacing w:after="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777137">
        <w:rPr>
          <w:rFonts w:ascii="Arial" w:hAnsi="Arial" w:cs="Arial"/>
          <w:sz w:val="16"/>
          <w:szCs w:val="16"/>
        </w:rPr>
        <w:t>Commissioners</w:t>
      </w:r>
      <w:r w:rsidRPr="00777137">
        <w:rPr>
          <w:rFonts w:ascii="Arial" w:hAnsi="Arial" w:cs="Arial"/>
          <w:color w:val="000000"/>
          <w:sz w:val="16"/>
          <w:szCs w:val="16"/>
        </w:rPr>
        <w:t xml:space="preserve"> for Police Service Reviews preside over closed hearings and </w:t>
      </w:r>
      <w:r w:rsidR="006F6B7F">
        <w:rPr>
          <w:rFonts w:ascii="Arial" w:hAnsi="Arial" w:cs="Arial"/>
          <w:color w:val="000000"/>
          <w:sz w:val="16"/>
          <w:szCs w:val="16"/>
        </w:rPr>
        <w:t>are remunerated for</w:t>
      </w:r>
      <w:r w:rsidR="006F6B7F" w:rsidRPr="00777137">
        <w:rPr>
          <w:rFonts w:ascii="Arial" w:hAnsi="Arial" w:cs="Arial"/>
          <w:color w:val="000000"/>
          <w:sz w:val="16"/>
          <w:szCs w:val="16"/>
        </w:rPr>
        <w:t xml:space="preserve"> the total hours </w:t>
      </w:r>
      <w:r w:rsidR="006F6B7F">
        <w:rPr>
          <w:rFonts w:ascii="Arial" w:hAnsi="Arial" w:cs="Arial"/>
          <w:color w:val="000000"/>
          <w:sz w:val="16"/>
          <w:szCs w:val="16"/>
        </w:rPr>
        <w:t xml:space="preserve">worked </w:t>
      </w:r>
      <w:r w:rsidR="006F6B7F" w:rsidRPr="00777137">
        <w:rPr>
          <w:rFonts w:ascii="Arial" w:hAnsi="Arial" w:cs="Arial"/>
          <w:color w:val="000000"/>
          <w:sz w:val="16"/>
          <w:szCs w:val="16"/>
        </w:rPr>
        <w:t>relating to each hearing</w:t>
      </w:r>
      <w:r w:rsidR="006F6B7F">
        <w:rPr>
          <w:rFonts w:ascii="Arial" w:hAnsi="Arial" w:cs="Arial"/>
          <w:color w:val="000000"/>
          <w:sz w:val="16"/>
          <w:szCs w:val="16"/>
        </w:rPr>
        <w:t xml:space="preserve"> </w:t>
      </w:r>
      <w:r w:rsidRPr="00777137">
        <w:rPr>
          <w:rFonts w:ascii="Arial" w:hAnsi="Arial" w:cs="Arial"/>
          <w:color w:val="000000"/>
          <w:sz w:val="16"/>
          <w:szCs w:val="16"/>
        </w:rPr>
        <w:t xml:space="preserve">paid per session </w:t>
      </w:r>
      <w:r w:rsidR="006F6B7F">
        <w:rPr>
          <w:rFonts w:ascii="Arial" w:hAnsi="Arial" w:cs="Arial"/>
          <w:color w:val="000000"/>
          <w:sz w:val="16"/>
          <w:szCs w:val="16"/>
        </w:rPr>
        <w:t>(</w:t>
      </w:r>
      <w:r w:rsidRPr="00777137">
        <w:rPr>
          <w:rFonts w:ascii="Arial" w:hAnsi="Arial" w:cs="Arial"/>
          <w:color w:val="000000"/>
          <w:sz w:val="16"/>
          <w:szCs w:val="16"/>
        </w:rPr>
        <w:t xml:space="preserve">up to 4 </w:t>
      </w:r>
      <w:r w:rsidRPr="006F0160">
        <w:rPr>
          <w:rFonts w:ascii="Arial" w:hAnsi="Arial" w:cs="Arial"/>
          <w:color w:val="000000"/>
          <w:sz w:val="16"/>
          <w:szCs w:val="16"/>
        </w:rPr>
        <w:t>hours work</w:t>
      </w:r>
      <w:r w:rsidR="006F6B7F" w:rsidRPr="006F0160">
        <w:rPr>
          <w:rFonts w:ascii="Arial" w:hAnsi="Arial" w:cs="Arial"/>
          <w:color w:val="000000"/>
          <w:sz w:val="16"/>
          <w:szCs w:val="16"/>
        </w:rPr>
        <w:t>)</w:t>
      </w:r>
      <w:r w:rsidR="006F6B7F" w:rsidRPr="006F0160">
        <w:rPr>
          <w:rFonts w:ascii="Arial" w:hAnsi="Arial" w:cs="Arial"/>
          <w:sz w:val="16"/>
          <w:szCs w:val="16"/>
        </w:rPr>
        <w:t xml:space="preserve"> in accordance with the </w:t>
      </w:r>
      <w:r w:rsidR="006F6B7F" w:rsidRPr="006F0160">
        <w:rPr>
          <w:rFonts w:ascii="Arial" w:hAnsi="Arial" w:cs="Arial"/>
          <w:i/>
          <w:iCs/>
          <w:sz w:val="16"/>
          <w:szCs w:val="16"/>
        </w:rPr>
        <w:t>Guidelines for Remuneration of Part-time Chairs and Members of Government Boards, Committees and Statutory Authorities: Remuneration Procedures</w:t>
      </w:r>
      <w:r w:rsidR="006F6B7F" w:rsidRPr="006F0160">
        <w:rPr>
          <w:rFonts w:ascii="Arial" w:hAnsi="Arial" w:cs="Arial"/>
          <w:color w:val="000000"/>
          <w:sz w:val="16"/>
          <w:szCs w:val="16"/>
        </w:rPr>
        <w:t>)</w:t>
      </w:r>
      <w:r w:rsidRPr="006F0160">
        <w:rPr>
          <w:rFonts w:ascii="Arial" w:hAnsi="Arial" w:cs="Arial"/>
          <w:color w:val="000000"/>
          <w:sz w:val="16"/>
          <w:szCs w:val="16"/>
        </w:rPr>
        <w:t>.</w:t>
      </w:r>
      <w:r w:rsidRPr="00777137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6F62E49" w14:textId="3B99BDEF" w:rsidR="00ED5EA3" w:rsidRPr="006D1ED1" w:rsidRDefault="00ED5EA3" w:rsidP="00777137">
      <w:pPr>
        <w:pStyle w:val="ListParagraph"/>
        <w:numPr>
          <w:ilvl w:val="0"/>
          <w:numId w:val="14"/>
        </w:numPr>
        <w:spacing w:after="0"/>
        <w:ind w:left="284" w:hanging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An </w:t>
      </w:r>
      <w:r w:rsidRPr="00ED5EA3">
        <w:rPr>
          <w:rFonts w:ascii="Arial" w:hAnsi="Arial" w:cs="Arial"/>
          <w:sz w:val="16"/>
          <w:szCs w:val="16"/>
        </w:rPr>
        <w:t>error</w:t>
      </w:r>
      <w:r>
        <w:rPr>
          <w:rFonts w:ascii="Arial" w:hAnsi="Arial" w:cs="Arial"/>
          <w:color w:val="000000"/>
          <w:sz w:val="16"/>
          <w:szCs w:val="16"/>
        </w:rPr>
        <w:t xml:space="preserve"> on an invoice issued by Ms Cork in </w:t>
      </w:r>
      <w:r w:rsidRPr="000F753B">
        <w:rPr>
          <w:rFonts w:ascii="Arial" w:hAnsi="Arial" w:cs="Arial"/>
          <w:color w:val="000000"/>
          <w:sz w:val="16"/>
          <w:szCs w:val="16"/>
        </w:rPr>
        <w:t>2020</w:t>
      </w:r>
      <w:r w:rsidRPr="00CD259D">
        <w:rPr>
          <w:rFonts w:ascii="Arial" w:hAnsi="Arial" w:cs="Arial"/>
          <w:color w:val="000000"/>
          <w:sz w:val="16"/>
          <w:szCs w:val="16"/>
        </w:rPr>
        <w:t>–</w:t>
      </w:r>
      <w:r w:rsidRPr="000F753B"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 xml:space="preserve"> resulted in a</w:t>
      </w:r>
      <w:r w:rsidRPr="000F753B">
        <w:rPr>
          <w:rFonts w:ascii="Arial" w:hAnsi="Arial" w:cs="Arial"/>
          <w:color w:val="000000"/>
          <w:sz w:val="16"/>
          <w:szCs w:val="16"/>
        </w:rPr>
        <w:t xml:space="preserve"> sessional fee</w:t>
      </w:r>
      <w:r>
        <w:rPr>
          <w:rFonts w:ascii="Arial" w:hAnsi="Arial" w:cs="Arial"/>
          <w:color w:val="000000"/>
          <w:sz w:val="16"/>
          <w:szCs w:val="16"/>
        </w:rPr>
        <w:t xml:space="preserve"> for two session</w:t>
      </w:r>
      <w:r w:rsidR="000C0367"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 xml:space="preserve"> being remunerated at </w:t>
      </w:r>
      <w:r w:rsidRPr="000F753B">
        <w:rPr>
          <w:rFonts w:ascii="Arial" w:hAnsi="Arial" w:cs="Arial"/>
          <w:color w:val="000000"/>
          <w:sz w:val="16"/>
          <w:szCs w:val="16"/>
        </w:rPr>
        <w:t>$510</w:t>
      </w:r>
      <w:r>
        <w:rPr>
          <w:rFonts w:ascii="Arial" w:hAnsi="Arial" w:cs="Arial"/>
          <w:color w:val="000000"/>
          <w:sz w:val="16"/>
          <w:szCs w:val="16"/>
        </w:rPr>
        <w:t xml:space="preserve"> per session</w:t>
      </w:r>
      <w:r w:rsidRPr="000F753B">
        <w:rPr>
          <w:rFonts w:ascii="Arial" w:hAnsi="Arial" w:cs="Arial"/>
          <w:color w:val="000000"/>
          <w:sz w:val="16"/>
          <w:szCs w:val="16"/>
        </w:rPr>
        <w:t>. The resulting $20 underpayment will be corrected in 2021</w:t>
      </w:r>
      <w:r w:rsidRPr="00CD259D">
        <w:rPr>
          <w:rFonts w:ascii="Arial" w:hAnsi="Arial" w:cs="Arial"/>
          <w:color w:val="000000"/>
          <w:sz w:val="16"/>
          <w:szCs w:val="16"/>
        </w:rPr>
        <w:t>–</w:t>
      </w:r>
      <w:r w:rsidRPr="000F753B">
        <w:rPr>
          <w:rFonts w:ascii="Arial" w:hAnsi="Arial" w:cs="Arial"/>
          <w:color w:val="000000"/>
          <w:sz w:val="16"/>
          <w:szCs w:val="16"/>
        </w:rPr>
        <w:t xml:space="preserve">22. </w:t>
      </w:r>
    </w:p>
    <w:p w14:paraId="0D5AA274" w14:textId="0669B4CB" w:rsidR="00ED5EA3" w:rsidRDefault="00ED5EA3" w:rsidP="00777137">
      <w:pPr>
        <w:pStyle w:val="ListParagraph"/>
        <w:numPr>
          <w:ilvl w:val="0"/>
          <w:numId w:val="14"/>
        </w:numPr>
        <w:spacing w:after="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ED5EA3">
        <w:rPr>
          <w:rFonts w:ascii="Arial" w:hAnsi="Arial" w:cs="Arial"/>
          <w:sz w:val="16"/>
          <w:szCs w:val="16"/>
        </w:rPr>
        <w:t>Mr</w:t>
      </w:r>
      <w:r>
        <w:rPr>
          <w:rFonts w:ascii="Arial" w:hAnsi="Arial" w:cs="Arial"/>
          <w:color w:val="000000"/>
          <w:sz w:val="16"/>
          <w:szCs w:val="16"/>
        </w:rPr>
        <w:t xml:space="preserve"> Mullins presided over 12 hearings in </w:t>
      </w:r>
      <w:r w:rsidRPr="00CD259D">
        <w:rPr>
          <w:rFonts w:ascii="Arial" w:hAnsi="Arial" w:cs="Arial"/>
          <w:color w:val="000000"/>
          <w:sz w:val="16"/>
          <w:szCs w:val="16"/>
        </w:rPr>
        <w:t>in 2020–21</w:t>
      </w:r>
      <w:r>
        <w:rPr>
          <w:rFonts w:ascii="Arial" w:hAnsi="Arial" w:cs="Arial"/>
          <w:color w:val="000000"/>
          <w:sz w:val="16"/>
          <w:szCs w:val="16"/>
        </w:rPr>
        <w:t xml:space="preserve">. Sessions relating to 3 </w:t>
      </w:r>
      <w:r w:rsidR="000C0367">
        <w:rPr>
          <w:rFonts w:ascii="Arial" w:hAnsi="Arial" w:cs="Arial"/>
          <w:color w:val="000000"/>
          <w:sz w:val="16"/>
          <w:szCs w:val="16"/>
        </w:rPr>
        <w:t xml:space="preserve">hearings </w:t>
      </w:r>
      <w:r>
        <w:rPr>
          <w:rFonts w:ascii="Arial" w:hAnsi="Arial" w:cs="Arial"/>
          <w:color w:val="000000"/>
          <w:sz w:val="16"/>
          <w:szCs w:val="16"/>
        </w:rPr>
        <w:t xml:space="preserve">were invoiced and paid in </w:t>
      </w:r>
      <w:r w:rsidRPr="000F753B">
        <w:rPr>
          <w:rFonts w:ascii="Arial" w:hAnsi="Arial" w:cs="Arial"/>
          <w:color w:val="000000"/>
          <w:sz w:val="16"/>
          <w:szCs w:val="16"/>
        </w:rPr>
        <w:t>2020</w:t>
      </w:r>
      <w:r w:rsidRPr="00CD259D">
        <w:rPr>
          <w:rFonts w:ascii="Arial" w:hAnsi="Arial" w:cs="Arial"/>
          <w:color w:val="000000"/>
          <w:sz w:val="16"/>
          <w:szCs w:val="16"/>
        </w:rPr>
        <w:t>–</w:t>
      </w:r>
      <w:r w:rsidRPr="000F753B"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 xml:space="preserve"> as work relating to the remaining hearings was not finalised in</w:t>
      </w:r>
      <w:r w:rsidRPr="00CD259D">
        <w:rPr>
          <w:rFonts w:ascii="Arial" w:hAnsi="Arial" w:cs="Arial"/>
          <w:color w:val="000000"/>
          <w:sz w:val="16"/>
          <w:szCs w:val="16"/>
        </w:rPr>
        <w:t xml:space="preserve"> 2020–21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Pr="00CD259D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These hearings will be invoiced in </w:t>
      </w:r>
      <w:r w:rsidRPr="00CD259D">
        <w:rPr>
          <w:rFonts w:ascii="Arial" w:hAnsi="Arial" w:cs="Arial"/>
          <w:color w:val="000000"/>
          <w:sz w:val="16"/>
          <w:szCs w:val="16"/>
        </w:rPr>
        <w:t>2021–22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Pr="00EA7D5A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8502CA4" w14:textId="5A9B4EC0" w:rsidR="006F6B7F" w:rsidRDefault="006F6B7F" w:rsidP="006F6B7F">
      <w:pPr>
        <w:pStyle w:val="ListParagraph"/>
        <w:numPr>
          <w:ilvl w:val="0"/>
          <w:numId w:val="14"/>
        </w:numPr>
        <w:spacing w:after="0"/>
        <w:ind w:left="284" w:hanging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2019–20 we reported that one matter heard by Mr Mullins in 2019–20 was not included in the fees received for that year.  Th</w:t>
      </w:r>
      <w:r w:rsidR="00AC21A9">
        <w:rPr>
          <w:rFonts w:ascii="Arial" w:hAnsi="Arial" w:cs="Arial"/>
          <w:color w:val="000000"/>
          <w:sz w:val="16"/>
          <w:szCs w:val="16"/>
        </w:rPr>
        <w:t xml:space="preserve">is matter heard was further work for a hearing which had been paid in 2019–20 and </w:t>
      </w:r>
      <w:r>
        <w:rPr>
          <w:rFonts w:ascii="Arial" w:hAnsi="Arial" w:cs="Arial"/>
          <w:color w:val="000000"/>
          <w:sz w:val="16"/>
          <w:szCs w:val="16"/>
        </w:rPr>
        <w:t xml:space="preserve">no </w:t>
      </w:r>
      <w:r w:rsidR="00AC21A9">
        <w:rPr>
          <w:rFonts w:ascii="Arial" w:hAnsi="Arial" w:cs="Arial"/>
          <w:color w:val="000000"/>
          <w:sz w:val="16"/>
          <w:szCs w:val="16"/>
        </w:rPr>
        <w:t xml:space="preserve">additional </w:t>
      </w:r>
      <w:r>
        <w:rPr>
          <w:rFonts w:ascii="Arial" w:hAnsi="Arial" w:cs="Arial"/>
          <w:color w:val="000000"/>
          <w:sz w:val="16"/>
          <w:szCs w:val="16"/>
        </w:rPr>
        <w:t>sessional fee was</w:t>
      </w:r>
      <w:r w:rsidR="00AC21A9">
        <w:rPr>
          <w:rFonts w:ascii="Arial" w:hAnsi="Arial" w:cs="Arial"/>
          <w:color w:val="000000"/>
          <w:sz w:val="16"/>
          <w:szCs w:val="16"/>
        </w:rPr>
        <w:t xml:space="preserve"> required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AC21A9">
        <w:rPr>
          <w:rFonts w:ascii="Arial" w:hAnsi="Arial" w:cs="Arial"/>
          <w:color w:val="000000"/>
          <w:sz w:val="16"/>
          <w:szCs w:val="16"/>
        </w:rPr>
        <w:t>for the second hearing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14A2B8D3" w14:textId="5657AF66" w:rsidR="00461069" w:rsidRPr="00ED5EA3" w:rsidRDefault="00461069" w:rsidP="00461069">
      <w:pPr>
        <w:rPr>
          <w:b/>
          <w:bCs/>
        </w:rPr>
      </w:pPr>
    </w:p>
    <w:sectPr w:rsidR="00461069" w:rsidRPr="00ED5EA3" w:rsidSect="00B319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86E9" w14:textId="77777777" w:rsidR="002E7C67" w:rsidRDefault="002E7C67" w:rsidP="00461069">
      <w:pPr>
        <w:spacing w:after="0" w:line="240" w:lineRule="auto"/>
      </w:pPr>
      <w:r>
        <w:separator/>
      </w:r>
    </w:p>
  </w:endnote>
  <w:endnote w:type="continuationSeparator" w:id="0">
    <w:p w14:paraId="5C002080" w14:textId="77777777" w:rsidR="002E7C67" w:rsidRDefault="002E7C67" w:rsidP="004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EA99D" w14:textId="77777777" w:rsidR="009A7E5E" w:rsidRDefault="009A7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ED08" w14:textId="582753E3" w:rsidR="00ED5EA3" w:rsidRPr="00ED5EA3" w:rsidRDefault="00EC68EA" w:rsidP="00B3197B">
    <w:pPr>
      <w:pStyle w:val="BasicParagraph"/>
      <w:spacing w:before="240" w:after="0" w:line="240" w:lineRule="auto"/>
      <w:rPr>
        <w:rFonts w:asciiTheme="minorHAnsi" w:hAnsiTheme="minorHAnsi" w:cstheme="minorHAnsi"/>
        <w:b/>
        <w:bCs/>
        <w:caps/>
        <w:color w:val="404041"/>
        <w:sz w:val="16"/>
        <w:szCs w:val="16"/>
      </w:rPr>
    </w:pPr>
    <w:sdt>
      <w:sdtPr>
        <w:rPr>
          <w:b/>
          <w:bCs/>
          <w:color w:val="000000" w:themeColor="text1"/>
          <w:sz w:val="28"/>
          <w:szCs w:val="28"/>
        </w:rPr>
        <w:id w:val="1775438715"/>
        <w:docPartObj>
          <w:docPartGallery w:val="Page Numbers (Bottom of Page)"/>
          <w:docPartUnique/>
        </w:docPartObj>
      </w:sdtPr>
      <w:sdtEndPr>
        <w:rPr>
          <w:noProof/>
          <w:sz w:val="26"/>
          <w:szCs w:val="26"/>
        </w:rPr>
      </w:sdtEndPr>
      <w:sdtContent>
        <w:r w:rsidR="00ED5EA3">
          <w:rPr>
            <w:rFonts w:ascii="Calibri Light" w:hAnsi="Calibri Light" w:cs="Calibri Light"/>
            <w:caps/>
            <w:color w:val="58585B"/>
            <w:sz w:val="16"/>
            <w:szCs w:val="16"/>
          </w:rPr>
          <w:t xml:space="preserve">                                                    </w:t>
        </w:r>
        <w:r w:rsidR="00ED5EA3" w:rsidRPr="005A3524">
          <w:rPr>
            <w:rFonts w:ascii="Calibri Light" w:hAnsi="Calibri Light" w:cs="Calibri Light"/>
            <w:caps/>
            <w:color w:val="58585B"/>
            <w:sz w:val="16"/>
            <w:szCs w:val="16"/>
          </w:rPr>
          <w:t>annual report 2020</w:t>
        </w:r>
        <w:r w:rsidR="00ED5EA3">
          <w:rPr>
            <w:rFonts w:ascii="Calibri Light" w:hAnsi="Calibri Light" w:cs="Calibri Light"/>
            <w:caps/>
            <w:color w:val="58585B"/>
            <w:sz w:val="16"/>
            <w:szCs w:val="16"/>
          </w:rPr>
          <w:t>–</w:t>
        </w:r>
        <w:r w:rsidR="00ED5EA3" w:rsidRPr="005A3524">
          <w:rPr>
            <w:rFonts w:ascii="Calibri Light" w:hAnsi="Calibri Light" w:cs="Calibri Light"/>
            <w:caps/>
            <w:color w:val="58585B"/>
            <w:sz w:val="16"/>
            <w:szCs w:val="16"/>
          </w:rPr>
          <w:t xml:space="preserve">21     </w:t>
        </w:r>
        <w:r w:rsidR="00ED5EA3">
          <w:rPr>
            <w:rFonts w:ascii="Calibri Light" w:hAnsi="Calibri Light" w:cs="Calibri Light"/>
            <w:caps/>
            <w:color w:val="58585B"/>
            <w:sz w:val="16"/>
            <w:szCs w:val="16"/>
          </w:rPr>
          <w:t>|</w:t>
        </w:r>
        <w:r w:rsidR="00ED5EA3" w:rsidRPr="005A3524">
          <w:rPr>
            <w:rFonts w:ascii="Calibri Light" w:hAnsi="Calibri Light" w:cs="Calibri Light"/>
            <w:caps/>
            <w:color w:val="58585B"/>
            <w:sz w:val="16"/>
            <w:szCs w:val="16"/>
          </w:rPr>
          <w:t xml:space="preserve">   </w:t>
        </w:r>
        <w:r w:rsidR="00ED5EA3" w:rsidRPr="005A3524">
          <w:rPr>
            <w:rFonts w:ascii="Calibri" w:hAnsi="Calibri" w:cs="Calibri"/>
            <w:b/>
            <w:bCs/>
            <w:caps/>
            <w:color w:val="404041"/>
            <w:sz w:val="16"/>
            <w:szCs w:val="16"/>
          </w:rPr>
          <w:t>crime and corruption commission</w:t>
        </w:r>
        <w:r w:rsidR="00ED5EA3">
          <w:rPr>
            <w:rFonts w:ascii="Calibri" w:hAnsi="Calibri" w:cs="Calibri"/>
            <w:b/>
            <w:bCs/>
            <w:caps/>
            <w:color w:val="404041"/>
            <w:sz w:val="16"/>
            <w:szCs w:val="16"/>
          </w:rPr>
          <w:t xml:space="preserve"> </w:t>
        </w:r>
        <w:r w:rsidR="00E437CE">
          <w:rPr>
            <w:rFonts w:ascii="Calibri" w:hAnsi="Calibri" w:cs="Calibri"/>
            <w:b/>
            <w:bCs/>
            <w:caps/>
            <w:color w:val="404041"/>
            <w:sz w:val="16"/>
            <w:szCs w:val="16"/>
          </w:rPr>
          <w:tab/>
        </w:r>
        <w:r w:rsidR="00E437CE">
          <w:rPr>
            <w:rFonts w:ascii="Calibri" w:hAnsi="Calibri" w:cs="Calibri"/>
            <w:b/>
            <w:bCs/>
            <w:caps/>
            <w:color w:val="404041"/>
            <w:sz w:val="16"/>
            <w:szCs w:val="16"/>
          </w:rPr>
          <w:tab/>
        </w:r>
        <w:r w:rsidR="00E437CE">
          <w:rPr>
            <w:rFonts w:ascii="Calibri" w:hAnsi="Calibri" w:cs="Calibri"/>
            <w:b/>
            <w:bCs/>
            <w:caps/>
            <w:color w:val="404041"/>
            <w:sz w:val="16"/>
            <w:szCs w:val="16"/>
          </w:rPr>
          <w:tab/>
        </w:r>
      </w:sdtContent>
    </w:sdt>
    <w:r w:rsidR="00E437CE" w:rsidRPr="00E437CE">
      <w:rPr>
        <w:b/>
        <w:bCs/>
        <w:color w:val="000000" w:themeColor="text1"/>
        <w:sz w:val="26"/>
        <w:szCs w:val="26"/>
      </w:rPr>
      <w:t xml:space="preserve"> </w:t>
    </w:r>
    <w:r w:rsidR="00E437CE" w:rsidRPr="00A25F9B">
      <w:rPr>
        <w:b/>
        <w:bCs/>
        <w:color w:val="000000" w:themeColor="text1"/>
        <w:sz w:val="26"/>
        <w:szCs w:val="26"/>
      </w:rPr>
      <w:fldChar w:fldCharType="begin"/>
    </w:r>
    <w:r w:rsidR="00E437CE" w:rsidRPr="00A25F9B">
      <w:rPr>
        <w:b/>
        <w:bCs/>
        <w:color w:val="000000" w:themeColor="text1"/>
        <w:sz w:val="26"/>
        <w:szCs w:val="26"/>
      </w:rPr>
      <w:instrText xml:space="preserve"> PAGE   \* MERGEFORMAT </w:instrText>
    </w:r>
    <w:r w:rsidR="00E437CE" w:rsidRPr="00A25F9B">
      <w:rPr>
        <w:b/>
        <w:bCs/>
        <w:color w:val="000000" w:themeColor="text1"/>
        <w:sz w:val="26"/>
        <w:szCs w:val="26"/>
      </w:rPr>
      <w:fldChar w:fldCharType="separate"/>
    </w:r>
    <w:r w:rsidR="00E437CE">
      <w:rPr>
        <w:b/>
        <w:bCs/>
        <w:color w:val="000000" w:themeColor="text1"/>
        <w:sz w:val="26"/>
        <w:szCs w:val="26"/>
      </w:rPr>
      <w:t>1</w:t>
    </w:r>
    <w:r w:rsidR="00E437CE" w:rsidRPr="00A25F9B">
      <w:rPr>
        <w:b/>
        <w:bCs/>
        <w:noProof/>
        <w:color w:val="000000" w:themeColor="text1"/>
        <w:sz w:val="26"/>
        <w:szCs w:val="26"/>
      </w:rPr>
      <w:fldChar w:fldCharType="end"/>
    </w:r>
    <w:r w:rsidR="00E437CE" w:rsidRPr="007C6F91">
      <w:rPr>
        <w:rFonts w:ascii="Calibri Light" w:hAnsi="Calibri Light" w:cs="Calibri Light"/>
        <w:caps/>
        <w:color w:val="58585B"/>
        <w:sz w:val="16"/>
        <w:szCs w:val="16"/>
      </w:rPr>
      <w:t xml:space="preserve"> </w:t>
    </w:r>
    <w:r w:rsidR="00E437CE">
      <w:rPr>
        <w:rFonts w:ascii="Calibri Light" w:hAnsi="Calibri Light" w:cs="Calibri Light"/>
        <w:caps/>
        <w:color w:val="58585B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35F86" w14:textId="77777777" w:rsidR="009A7E5E" w:rsidRDefault="009A7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11F71" w14:textId="77777777" w:rsidR="002E7C67" w:rsidRDefault="002E7C67" w:rsidP="00461069">
      <w:pPr>
        <w:spacing w:after="0" w:line="240" w:lineRule="auto"/>
      </w:pPr>
      <w:r>
        <w:separator/>
      </w:r>
    </w:p>
  </w:footnote>
  <w:footnote w:type="continuationSeparator" w:id="0">
    <w:p w14:paraId="3C1B5CFB" w14:textId="77777777" w:rsidR="002E7C67" w:rsidRDefault="002E7C67" w:rsidP="0046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4E143" w14:textId="77777777" w:rsidR="009A7E5E" w:rsidRDefault="009A7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49736" w14:textId="597F1641" w:rsidR="00461069" w:rsidRPr="009378ED" w:rsidRDefault="00461069" w:rsidP="00461069">
    <w:pPr>
      <w:pStyle w:val="Header"/>
      <w:rPr>
        <w:b/>
        <w:sz w:val="40"/>
      </w:rPr>
    </w:pPr>
    <w:r w:rsidRPr="009378ED">
      <w:rPr>
        <w:b/>
        <w:sz w:val="40"/>
      </w:rPr>
      <w:t xml:space="preserve">Remuneration for members </w:t>
    </w:r>
    <w:r w:rsidR="00ED5EA3" w:rsidRPr="009378ED">
      <w:rPr>
        <w:b/>
        <w:sz w:val="40"/>
      </w:rPr>
      <w:t>of government bodies</w:t>
    </w:r>
    <w:r w:rsidR="009378ED">
      <w:rPr>
        <w:b/>
        <w:sz w:val="40"/>
      </w:rPr>
      <w:t xml:space="preserve"> </w:t>
    </w:r>
    <w:r w:rsidR="009378ED" w:rsidRPr="009378ED">
      <w:rPr>
        <w:b/>
        <w:sz w:val="40"/>
      </w:rPr>
      <w:t>2020–21</w:t>
    </w:r>
    <w:r w:rsidR="009378ED" w:rsidRPr="009378ED">
      <w:rPr>
        <w:noProof/>
      </w:rPr>
      <w:drawing>
        <wp:anchor distT="0" distB="0" distL="114300" distR="114300" simplePos="0" relativeHeight="251659264" behindDoc="0" locked="0" layoutInCell="1" allowOverlap="1" wp14:anchorId="250B27CD" wp14:editId="3802ABA1">
          <wp:simplePos x="0" y="0"/>
          <wp:positionH relativeFrom="column">
            <wp:posOffset>-59690</wp:posOffset>
          </wp:positionH>
          <wp:positionV relativeFrom="paragraph">
            <wp:posOffset>0</wp:posOffset>
          </wp:positionV>
          <wp:extent cx="801370" cy="708660"/>
          <wp:effectExtent l="0" t="0" r="0" b="0"/>
          <wp:wrapSquare wrapText="bothSides"/>
          <wp:docPr id="2" name="Picture 2" descr="http://my.ccc.intranet/work-areas/corporate-services/corporate-communications/ccc-1ccc-brand-guidelines/ccc-brand-identity/ccc-logos/CCClogocolourportrait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y.ccc.intranet/work-areas/corporate-services/corporate-communications/ccc-1ccc-brand-guidelines/ccc-brand-identity/ccc-logos/CCClogocolourportrait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FB059" w14:textId="77777777" w:rsidR="00461069" w:rsidRDefault="004610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982FD" w14:textId="77777777" w:rsidR="009A7E5E" w:rsidRDefault="009A7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2DE"/>
    <w:multiLevelType w:val="hybridMultilevel"/>
    <w:tmpl w:val="BD88ADA8"/>
    <w:lvl w:ilvl="0" w:tplc="71B6E196">
      <w:start w:val="1"/>
      <w:numFmt w:val="decimal"/>
      <w:lvlText w:val="%1."/>
      <w:lvlJc w:val="left"/>
      <w:pPr>
        <w:ind w:left="765" w:hanging="360"/>
      </w:pPr>
      <w:rPr>
        <w:rFonts w:ascii="Arial" w:hAnsi="Arial" w:cs="Arial" w:hint="default"/>
        <w:b w:val="0"/>
        <w:bCs w:val="0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>
      <w:start w:val="1"/>
      <w:numFmt w:val="lowerRoman"/>
      <w:lvlText w:val="%3."/>
      <w:lvlJc w:val="right"/>
      <w:pPr>
        <w:ind w:left="2205" w:hanging="180"/>
      </w:pPr>
    </w:lvl>
    <w:lvl w:ilvl="3" w:tplc="0C09000F">
      <w:start w:val="1"/>
      <w:numFmt w:val="decimal"/>
      <w:lvlText w:val="%4."/>
      <w:lvlJc w:val="left"/>
      <w:pPr>
        <w:ind w:left="2925" w:hanging="360"/>
      </w:pPr>
    </w:lvl>
    <w:lvl w:ilvl="4" w:tplc="0C090019">
      <w:start w:val="1"/>
      <w:numFmt w:val="lowerLetter"/>
      <w:lvlText w:val="%5."/>
      <w:lvlJc w:val="left"/>
      <w:pPr>
        <w:ind w:left="3645" w:hanging="360"/>
      </w:pPr>
    </w:lvl>
    <w:lvl w:ilvl="5" w:tplc="0C09001B">
      <w:start w:val="1"/>
      <w:numFmt w:val="lowerRoman"/>
      <w:lvlText w:val="%6."/>
      <w:lvlJc w:val="right"/>
      <w:pPr>
        <w:ind w:left="4365" w:hanging="180"/>
      </w:pPr>
    </w:lvl>
    <w:lvl w:ilvl="6" w:tplc="0C09000F">
      <w:start w:val="1"/>
      <w:numFmt w:val="decimal"/>
      <w:lvlText w:val="%7."/>
      <w:lvlJc w:val="left"/>
      <w:pPr>
        <w:ind w:left="5085" w:hanging="360"/>
      </w:pPr>
    </w:lvl>
    <w:lvl w:ilvl="7" w:tplc="0C090019">
      <w:start w:val="1"/>
      <w:numFmt w:val="lowerLetter"/>
      <w:lvlText w:val="%8."/>
      <w:lvlJc w:val="left"/>
      <w:pPr>
        <w:ind w:left="5805" w:hanging="360"/>
      </w:pPr>
    </w:lvl>
    <w:lvl w:ilvl="8" w:tplc="0C0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D1936FB"/>
    <w:multiLevelType w:val="hybridMultilevel"/>
    <w:tmpl w:val="9916473E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>
      <w:start w:val="1"/>
      <w:numFmt w:val="lowerRoman"/>
      <w:lvlText w:val="%3."/>
      <w:lvlJc w:val="right"/>
      <w:pPr>
        <w:ind w:left="2205" w:hanging="180"/>
      </w:pPr>
    </w:lvl>
    <w:lvl w:ilvl="3" w:tplc="0C09000F">
      <w:start w:val="1"/>
      <w:numFmt w:val="decimal"/>
      <w:lvlText w:val="%4."/>
      <w:lvlJc w:val="left"/>
      <w:pPr>
        <w:ind w:left="2925" w:hanging="360"/>
      </w:pPr>
    </w:lvl>
    <w:lvl w:ilvl="4" w:tplc="0C090019">
      <w:start w:val="1"/>
      <w:numFmt w:val="lowerLetter"/>
      <w:lvlText w:val="%5."/>
      <w:lvlJc w:val="left"/>
      <w:pPr>
        <w:ind w:left="3645" w:hanging="360"/>
      </w:pPr>
    </w:lvl>
    <w:lvl w:ilvl="5" w:tplc="0C09001B">
      <w:start w:val="1"/>
      <w:numFmt w:val="lowerRoman"/>
      <w:lvlText w:val="%6."/>
      <w:lvlJc w:val="right"/>
      <w:pPr>
        <w:ind w:left="4365" w:hanging="180"/>
      </w:pPr>
    </w:lvl>
    <w:lvl w:ilvl="6" w:tplc="0C09000F">
      <w:start w:val="1"/>
      <w:numFmt w:val="decimal"/>
      <w:lvlText w:val="%7."/>
      <w:lvlJc w:val="left"/>
      <w:pPr>
        <w:ind w:left="5085" w:hanging="360"/>
      </w:pPr>
    </w:lvl>
    <w:lvl w:ilvl="7" w:tplc="0C090019">
      <w:start w:val="1"/>
      <w:numFmt w:val="lowerLetter"/>
      <w:lvlText w:val="%8."/>
      <w:lvlJc w:val="left"/>
      <w:pPr>
        <w:ind w:left="5805" w:hanging="360"/>
      </w:pPr>
    </w:lvl>
    <w:lvl w:ilvl="8" w:tplc="0C09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4CF78DF"/>
    <w:multiLevelType w:val="hybridMultilevel"/>
    <w:tmpl w:val="BC22DA0A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>
      <w:start w:val="1"/>
      <w:numFmt w:val="lowerRoman"/>
      <w:lvlText w:val="%3."/>
      <w:lvlJc w:val="right"/>
      <w:pPr>
        <w:ind w:left="2205" w:hanging="180"/>
      </w:pPr>
    </w:lvl>
    <w:lvl w:ilvl="3" w:tplc="0C09000F">
      <w:start w:val="1"/>
      <w:numFmt w:val="decimal"/>
      <w:lvlText w:val="%4."/>
      <w:lvlJc w:val="left"/>
      <w:pPr>
        <w:ind w:left="2925" w:hanging="360"/>
      </w:pPr>
    </w:lvl>
    <w:lvl w:ilvl="4" w:tplc="0C090019">
      <w:start w:val="1"/>
      <w:numFmt w:val="lowerLetter"/>
      <w:lvlText w:val="%5."/>
      <w:lvlJc w:val="left"/>
      <w:pPr>
        <w:ind w:left="3645" w:hanging="360"/>
      </w:pPr>
    </w:lvl>
    <w:lvl w:ilvl="5" w:tplc="0C09001B">
      <w:start w:val="1"/>
      <w:numFmt w:val="lowerRoman"/>
      <w:lvlText w:val="%6."/>
      <w:lvlJc w:val="right"/>
      <w:pPr>
        <w:ind w:left="4365" w:hanging="180"/>
      </w:pPr>
    </w:lvl>
    <w:lvl w:ilvl="6" w:tplc="0C09000F">
      <w:start w:val="1"/>
      <w:numFmt w:val="decimal"/>
      <w:lvlText w:val="%7."/>
      <w:lvlJc w:val="left"/>
      <w:pPr>
        <w:ind w:left="5085" w:hanging="360"/>
      </w:pPr>
    </w:lvl>
    <w:lvl w:ilvl="7" w:tplc="0C090019">
      <w:start w:val="1"/>
      <w:numFmt w:val="lowerLetter"/>
      <w:lvlText w:val="%8."/>
      <w:lvlJc w:val="left"/>
      <w:pPr>
        <w:ind w:left="5805" w:hanging="360"/>
      </w:pPr>
    </w:lvl>
    <w:lvl w:ilvl="8" w:tplc="0C0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3F4DD6"/>
    <w:multiLevelType w:val="hybridMultilevel"/>
    <w:tmpl w:val="DD12804A"/>
    <w:lvl w:ilvl="0" w:tplc="D07A5A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05E08"/>
    <w:multiLevelType w:val="hybridMultilevel"/>
    <w:tmpl w:val="A0C8B344"/>
    <w:lvl w:ilvl="0" w:tplc="15E08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121B"/>
    <w:multiLevelType w:val="multilevel"/>
    <w:tmpl w:val="AD86735A"/>
    <w:lvl w:ilvl="0">
      <w:start w:val="14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AE55D68"/>
    <w:multiLevelType w:val="hybridMultilevel"/>
    <w:tmpl w:val="D794F8EC"/>
    <w:lvl w:ilvl="0" w:tplc="11BA8396">
      <w:start w:val="1"/>
      <w:numFmt w:val="decimal"/>
      <w:pStyle w:val="Note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81D9E"/>
    <w:multiLevelType w:val="hybridMultilevel"/>
    <w:tmpl w:val="B90469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77C8"/>
    <w:multiLevelType w:val="hybridMultilevel"/>
    <w:tmpl w:val="D98EA6F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E3B5F"/>
    <w:multiLevelType w:val="hybridMultilevel"/>
    <w:tmpl w:val="9916473E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>
      <w:start w:val="1"/>
      <w:numFmt w:val="lowerRoman"/>
      <w:lvlText w:val="%3."/>
      <w:lvlJc w:val="right"/>
      <w:pPr>
        <w:ind w:left="2205" w:hanging="180"/>
      </w:pPr>
    </w:lvl>
    <w:lvl w:ilvl="3" w:tplc="0C09000F">
      <w:start w:val="1"/>
      <w:numFmt w:val="decimal"/>
      <w:lvlText w:val="%4."/>
      <w:lvlJc w:val="left"/>
      <w:pPr>
        <w:ind w:left="2925" w:hanging="360"/>
      </w:pPr>
    </w:lvl>
    <w:lvl w:ilvl="4" w:tplc="0C090019">
      <w:start w:val="1"/>
      <w:numFmt w:val="lowerLetter"/>
      <w:lvlText w:val="%5."/>
      <w:lvlJc w:val="left"/>
      <w:pPr>
        <w:ind w:left="3645" w:hanging="360"/>
      </w:pPr>
    </w:lvl>
    <w:lvl w:ilvl="5" w:tplc="0C09001B">
      <w:start w:val="1"/>
      <w:numFmt w:val="lowerRoman"/>
      <w:lvlText w:val="%6."/>
      <w:lvlJc w:val="right"/>
      <w:pPr>
        <w:ind w:left="4365" w:hanging="180"/>
      </w:pPr>
    </w:lvl>
    <w:lvl w:ilvl="6" w:tplc="0C09000F">
      <w:start w:val="1"/>
      <w:numFmt w:val="decimal"/>
      <w:lvlText w:val="%7."/>
      <w:lvlJc w:val="left"/>
      <w:pPr>
        <w:ind w:left="5085" w:hanging="360"/>
      </w:pPr>
    </w:lvl>
    <w:lvl w:ilvl="7" w:tplc="0C090019">
      <w:start w:val="1"/>
      <w:numFmt w:val="lowerLetter"/>
      <w:lvlText w:val="%8."/>
      <w:lvlJc w:val="left"/>
      <w:pPr>
        <w:ind w:left="5805" w:hanging="360"/>
      </w:pPr>
    </w:lvl>
    <w:lvl w:ilvl="8" w:tplc="0C09001B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A376F43"/>
    <w:multiLevelType w:val="hybridMultilevel"/>
    <w:tmpl w:val="AFA00C92"/>
    <w:lvl w:ilvl="0" w:tplc="D07A5A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775DF"/>
    <w:multiLevelType w:val="hybridMultilevel"/>
    <w:tmpl w:val="9916473E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>
      <w:start w:val="1"/>
      <w:numFmt w:val="lowerRoman"/>
      <w:lvlText w:val="%3."/>
      <w:lvlJc w:val="right"/>
      <w:pPr>
        <w:ind w:left="2205" w:hanging="180"/>
      </w:pPr>
    </w:lvl>
    <w:lvl w:ilvl="3" w:tplc="0C09000F">
      <w:start w:val="1"/>
      <w:numFmt w:val="decimal"/>
      <w:lvlText w:val="%4."/>
      <w:lvlJc w:val="left"/>
      <w:pPr>
        <w:ind w:left="2925" w:hanging="360"/>
      </w:pPr>
    </w:lvl>
    <w:lvl w:ilvl="4" w:tplc="0C090019">
      <w:start w:val="1"/>
      <w:numFmt w:val="lowerLetter"/>
      <w:lvlText w:val="%5."/>
      <w:lvlJc w:val="left"/>
      <w:pPr>
        <w:ind w:left="3645" w:hanging="360"/>
      </w:pPr>
    </w:lvl>
    <w:lvl w:ilvl="5" w:tplc="0C09001B">
      <w:start w:val="1"/>
      <w:numFmt w:val="lowerRoman"/>
      <w:lvlText w:val="%6."/>
      <w:lvlJc w:val="right"/>
      <w:pPr>
        <w:ind w:left="4365" w:hanging="180"/>
      </w:pPr>
    </w:lvl>
    <w:lvl w:ilvl="6" w:tplc="0C09000F">
      <w:start w:val="1"/>
      <w:numFmt w:val="decimal"/>
      <w:lvlText w:val="%7."/>
      <w:lvlJc w:val="left"/>
      <w:pPr>
        <w:ind w:left="5085" w:hanging="360"/>
      </w:pPr>
    </w:lvl>
    <w:lvl w:ilvl="7" w:tplc="0C090019">
      <w:start w:val="1"/>
      <w:numFmt w:val="lowerLetter"/>
      <w:lvlText w:val="%8."/>
      <w:lvlJc w:val="left"/>
      <w:pPr>
        <w:ind w:left="5805" w:hanging="360"/>
      </w:pPr>
    </w:lvl>
    <w:lvl w:ilvl="8" w:tplc="0C09001B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FC45CC7"/>
    <w:multiLevelType w:val="hybridMultilevel"/>
    <w:tmpl w:val="9916473E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>
      <w:start w:val="1"/>
      <w:numFmt w:val="lowerRoman"/>
      <w:lvlText w:val="%3."/>
      <w:lvlJc w:val="right"/>
      <w:pPr>
        <w:ind w:left="2205" w:hanging="180"/>
      </w:pPr>
    </w:lvl>
    <w:lvl w:ilvl="3" w:tplc="0C09000F">
      <w:start w:val="1"/>
      <w:numFmt w:val="decimal"/>
      <w:lvlText w:val="%4."/>
      <w:lvlJc w:val="left"/>
      <w:pPr>
        <w:ind w:left="2925" w:hanging="360"/>
      </w:pPr>
    </w:lvl>
    <w:lvl w:ilvl="4" w:tplc="0C090019">
      <w:start w:val="1"/>
      <w:numFmt w:val="lowerLetter"/>
      <w:lvlText w:val="%5."/>
      <w:lvlJc w:val="left"/>
      <w:pPr>
        <w:ind w:left="3645" w:hanging="360"/>
      </w:pPr>
    </w:lvl>
    <w:lvl w:ilvl="5" w:tplc="0C09001B">
      <w:start w:val="1"/>
      <w:numFmt w:val="lowerRoman"/>
      <w:lvlText w:val="%6."/>
      <w:lvlJc w:val="right"/>
      <w:pPr>
        <w:ind w:left="4365" w:hanging="180"/>
      </w:pPr>
    </w:lvl>
    <w:lvl w:ilvl="6" w:tplc="0C09000F">
      <w:start w:val="1"/>
      <w:numFmt w:val="decimal"/>
      <w:lvlText w:val="%7."/>
      <w:lvlJc w:val="left"/>
      <w:pPr>
        <w:ind w:left="5085" w:hanging="360"/>
      </w:pPr>
    </w:lvl>
    <w:lvl w:ilvl="7" w:tplc="0C090019">
      <w:start w:val="1"/>
      <w:numFmt w:val="lowerLetter"/>
      <w:lvlText w:val="%8."/>
      <w:lvlJc w:val="left"/>
      <w:pPr>
        <w:ind w:left="5805" w:hanging="360"/>
      </w:pPr>
    </w:lvl>
    <w:lvl w:ilvl="8" w:tplc="0C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  <w:num w:numId="14">
    <w:abstractNumId w:val="1"/>
  </w:num>
  <w:num w:numId="15">
    <w:abstractNumId w:val="7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E4"/>
    <w:rsid w:val="000C0367"/>
    <w:rsid w:val="00105F1C"/>
    <w:rsid w:val="001F67E4"/>
    <w:rsid w:val="00241BC4"/>
    <w:rsid w:val="00245B50"/>
    <w:rsid w:val="002471AB"/>
    <w:rsid w:val="002B75B1"/>
    <w:rsid w:val="002E7C67"/>
    <w:rsid w:val="002F231A"/>
    <w:rsid w:val="003124BA"/>
    <w:rsid w:val="003479D9"/>
    <w:rsid w:val="003D19A5"/>
    <w:rsid w:val="003E4190"/>
    <w:rsid w:val="004327C7"/>
    <w:rsid w:val="0046002E"/>
    <w:rsid w:val="00461069"/>
    <w:rsid w:val="004E448C"/>
    <w:rsid w:val="00575281"/>
    <w:rsid w:val="005760D8"/>
    <w:rsid w:val="00580E36"/>
    <w:rsid w:val="00593AE8"/>
    <w:rsid w:val="00627F76"/>
    <w:rsid w:val="0069535C"/>
    <w:rsid w:val="006F0160"/>
    <w:rsid w:val="006F6B7F"/>
    <w:rsid w:val="00754D34"/>
    <w:rsid w:val="00777137"/>
    <w:rsid w:val="007C2C10"/>
    <w:rsid w:val="00805E91"/>
    <w:rsid w:val="008A6054"/>
    <w:rsid w:val="00901724"/>
    <w:rsid w:val="009378ED"/>
    <w:rsid w:val="0094287F"/>
    <w:rsid w:val="009A2E86"/>
    <w:rsid w:val="009A7E5E"/>
    <w:rsid w:val="009B13C2"/>
    <w:rsid w:val="009D03C8"/>
    <w:rsid w:val="00A9033D"/>
    <w:rsid w:val="00AC21A9"/>
    <w:rsid w:val="00AC2D52"/>
    <w:rsid w:val="00B06745"/>
    <w:rsid w:val="00B3197B"/>
    <w:rsid w:val="00B344F2"/>
    <w:rsid w:val="00B77E1D"/>
    <w:rsid w:val="00B80C83"/>
    <w:rsid w:val="00CC1A50"/>
    <w:rsid w:val="00D92771"/>
    <w:rsid w:val="00E437CE"/>
    <w:rsid w:val="00E47CF3"/>
    <w:rsid w:val="00E57198"/>
    <w:rsid w:val="00E85634"/>
    <w:rsid w:val="00EA16EF"/>
    <w:rsid w:val="00EC68EA"/>
    <w:rsid w:val="00ED5EA3"/>
    <w:rsid w:val="00EF0BD6"/>
    <w:rsid w:val="00F402A3"/>
    <w:rsid w:val="00FB1E94"/>
    <w:rsid w:val="00FE2160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159F28"/>
  <w15:chartTrackingRefBased/>
  <w15:docId w15:val="{82ACCFE5-CECB-4F7D-8B60-8BF77573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7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69"/>
  </w:style>
  <w:style w:type="paragraph" w:styleId="Footer">
    <w:name w:val="footer"/>
    <w:basedOn w:val="Normal"/>
    <w:link w:val="FooterChar"/>
    <w:uiPriority w:val="99"/>
    <w:unhideWhenUsed/>
    <w:rsid w:val="00461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69"/>
  </w:style>
  <w:style w:type="paragraph" w:styleId="ListParagraph">
    <w:name w:val="List Paragraph"/>
    <w:basedOn w:val="Normal"/>
    <w:uiPriority w:val="34"/>
    <w:qFormat/>
    <w:rsid w:val="00461069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2E"/>
    <w:rPr>
      <w:rFonts w:ascii="Segoe UI" w:hAnsi="Segoe UI" w:cs="Segoe UI"/>
      <w:sz w:val="18"/>
      <w:szCs w:val="18"/>
    </w:rPr>
  </w:style>
  <w:style w:type="paragraph" w:customStyle="1" w:styleId="Notes">
    <w:name w:val="Notes"/>
    <w:basedOn w:val="Normal"/>
    <w:link w:val="NotesChar"/>
    <w:qFormat/>
    <w:rsid w:val="0046002E"/>
    <w:pPr>
      <w:numPr>
        <w:numId w:val="8"/>
      </w:numPr>
      <w:suppressAutoHyphens/>
      <w:autoSpaceDE w:val="0"/>
      <w:autoSpaceDN w:val="0"/>
      <w:adjustRightInd w:val="0"/>
      <w:spacing w:after="400" w:line="240" w:lineRule="auto"/>
      <w:contextualSpacing/>
      <w:textAlignment w:val="center"/>
    </w:pPr>
    <w:rPr>
      <w:rFonts w:ascii="Calibri Light" w:hAnsi="Calibri Light" w:cs="Calibri"/>
      <w:color w:val="404041"/>
      <w:spacing w:val="-5"/>
      <w:sz w:val="16"/>
      <w:szCs w:val="16"/>
      <w:lang w:val="en-US"/>
    </w:rPr>
  </w:style>
  <w:style w:type="character" w:customStyle="1" w:styleId="NotesChar">
    <w:name w:val="Notes Char"/>
    <w:basedOn w:val="DefaultParagraphFont"/>
    <w:link w:val="Notes"/>
    <w:rsid w:val="0046002E"/>
    <w:rPr>
      <w:rFonts w:ascii="Calibri Light" w:hAnsi="Calibri Light" w:cs="Calibri"/>
      <w:color w:val="404041"/>
      <w:spacing w:val="-5"/>
      <w:sz w:val="16"/>
      <w:szCs w:val="16"/>
      <w:lang w:val="en-US"/>
    </w:rPr>
  </w:style>
  <w:style w:type="paragraph" w:customStyle="1" w:styleId="Figureandtabletitles">
    <w:name w:val="Figure and table titles"/>
    <w:qFormat/>
    <w:rsid w:val="00AC2D52"/>
    <w:pPr>
      <w:spacing w:before="180" w:after="0" w:line="250" w:lineRule="exact"/>
    </w:pPr>
    <w:rPr>
      <w:rFonts w:eastAsia="Times New Roman" w:cs="Times New Roman"/>
      <w:sz w:val="19"/>
      <w:szCs w:val="20"/>
    </w:rPr>
  </w:style>
  <w:style w:type="paragraph" w:customStyle="1" w:styleId="BasicParagraph">
    <w:name w:val="[Basic Paragraph]"/>
    <w:basedOn w:val="Normal"/>
    <w:uiPriority w:val="99"/>
    <w:rsid w:val="00ED5EA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7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E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E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548369F6FBC46B9DDB22555A1B9EA" ma:contentTypeVersion="11" ma:contentTypeDescription="Create a new document." ma:contentTypeScope="" ma:versionID="ac99021e54902ea47a10c9ee1fa33785">
  <xsd:schema xmlns:xsd="http://www.w3.org/2001/XMLSchema" xmlns:xs="http://www.w3.org/2001/XMLSchema" xmlns:p="http://schemas.microsoft.com/office/2006/metadata/properties" xmlns:ns3="2cb9b4a7-4132-4300-8398-1e9c39c017b8" xmlns:ns4="f95f4cf7-2f26-4f7e-928c-d3b70891cb4d" targetNamespace="http://schemas.microsoft.com/office/2006/metadata/properties" ma:root="true" ma:fieldsID="2c8a72d49ae66efab5de72fd2ea75a99" ns3:_="" ns4:_="">
    <xsd:import namespace="2cb9b4a7-4132-4300-8398-1e9c39c017b8"/>
    <xsd:import namespace="f95f4cf7-2f26-4f7e-928c-d3b70891cb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b4a7-4132-4300-8398-1e9c39c01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f4cf7-2f26-4f7e-928c-d3b70891c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62FA0E2-6B79-4FF3-AB80-B70E17CD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b4a7-4132-4300-8398-1e9c39c017b8"/>
    <ds:schemaRef ds:uri="f95f4cf7-2f26-4f7e-928c-d3b70891c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6E943-55A8-4328-80E9-B9909CA0AE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A6255E-92A1-4FA6-97DC-23092550D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1E356-2C58-4C21-95A0-796892E59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8086FDF-6EAC-41C2-8A1A-FFB4CD6A5A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template for Annual report requirements for Queensland Government agencies for the 2020–21 reporting period</vt:lpstr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template for Annual report requirements for Queensland Government agencies for the 2020–21 reporting period</dc:title>
  <dc:subject/>
  <dc:creator>Queensland Government</dc:creator>
  <cp:keywords/>
  <dc:description/>
  <cp:lastModifiedBy>Risk and Compliance</cp:lastModifiedBy>
  <cp:revision>2</cp:revision>
  <dcterms:created xsi:type="dcterms:W3CDTF">2021-08-29T21:46:00Z</dcterms:created>
  <dcterms:modified xsi:type="dcterms:W3CDTF">2021-08-29T21:46:00Z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0x010100E0F548369F6FBC46B9DDB22555A1B9EA</vt:lpwstr>
  </property>
</Properties>
</file>