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797B3" w14:textId="06A44C78" w:rsidR="008008E0" w:rsidRPr="0066235F" w:rsidRDefault="00D95D39" w:rsidP="008008E0">
      <w:pPr>
        <w:pStyle w:val="Header"/>
        <w:rPr>
          <w:b/>
          <w:sz w:val="40"/>
        </w:rPr>
      </w:pPr>
      <w:bookmarkStart w:id="0" w:name="_GoBack"/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1A41A84C" wp14:editId="63E2186A">
            <wp:simplePos x="0" y="0"/>
            <wp:positionH relativeFrom="column">
              <wp:posOffset>-59690</wp:posOffset>
            </wp:positionH>
            <wp:positionV relativeFrom="paragraph">
              <wp:posOffset>0</wp:posOffset>
            </wp:positionV>
            <wp:extent cx="801370" cy="708660"/>
            <wp:effectExtent l="0" t="0" r="0" b="0"/>
            <wp:wrapSquare wrapText="bothSides"/>
            <wp:docPr id="2" name="Picture 2" descr="http://my.ccc.intranet/work-areas/corporate-services/corporate-communications/ccc-1ccc-brand-guidelines/ccc-brand-identity/ccc-logos/CCClogocolourportrait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y.ccc.intranet/work-areas/corporate-services/corporate-communications/ccc-1ccc-brand-guidelines/ccc-brand-identity/ccc-logos/CCClogocolourportrait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008E0" w:rsidRPr="003D3C87">
        <w:rPr>
          <w:b/>
          <w:sz w:val="40"/>
        </w:rPr>
        <w:t>Remuneration for</w:t>
      </w:r>
      <w:r w:rsidR="00E465C3">
        <w:rPr>
          <w:b/>
          <w:sz w:val="40"/>
        </w:rPr>
        <w:t xml:space="preserve"> external committee members 2019–20</w:t>
      </w:r>
    </w:p>
    <w:p w14:paraId="0BC397E8" w14:textId="77777777" w:rsidR="00C125AC" w:rsidRDefault="00C125AC" w:rsidP="00C125AC"/>
    <w:p w14:paraId="69A745A4" w14:textId="77777777" w:rsidR="00C125AC" w:rsidRPr="001F67E4" w:rsidRDefault="00C125AC" w:rsidP="00C125AC">
      <w: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482"/>
        <w:gridCol w:w="1533"/>
        <w:gridCol w:w="1488"/>
        <w:gridCol w:w="1489"/>
        <w:gridCol w:w="1491"/>
      </w:tblGrid>
      <w:tr w:rsidR="00C125AC" w:rsidRPr="001F67E4" w14:paraId="78E95E53" w14:textId="77777777" w:rsidTr="00AB0BF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7A4C8" w14:textId="77777777" w:rsidR="00C125AC" w:rsidRPr="00E853B7" w:rsidRDefault="00C125AC" w:rsidP="00AB0BFC">
            <w:pPr>
              <w:spacing w:after="160" w:line="259" w:lineRule="auto"/>
              <w:rPr>
                <w:rFonts w:ascii="Symbol" w:hAnsi="Symbo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i/>
                <w:sz w:val="16"/>
                <w:szCs w:val="16"/>
              </w:rPr>
              <w:t>Name of Government body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  <w:r w:rsidRPr="001F67E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Crime Reference Committee</w:t>
            </w:r>
          </w:p>
        </w:tc>
      </w:tr>
      <w:tr w:rsidR="00C125AC" w:rsidRPr="001F67E4" w14:paraId="12012DDA" w14:textId="77777777" w:rsidTr="00AB0BFC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95E8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Act or instrument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B396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Crime and Corruption Act 2001</w:t>
            </w:r>
          </w:p>
        </w:tc>
      </w:tr>
      <w:tr w:rsidR="00C125AC" w:rsidRPr="001F67E4" w14:paraId="0C90E20F" w14:textId="77777777" w:rsidTr="00AB0BFC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CC0D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Functions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EFFB" w14:textId="77777777" w:rsidR="00C125AC" w:rsidRDefault="00C125AC" w:rsidP="00AB0B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 xml:space="preserve">The reference committee has the following functions— </w:t>
            </w:r>
          </w:p>
          <w:p w14:paraId="30AB412F" w14:textId="77777777" w:rsidR="00C125AC" w:rsidRDefault="00C125AC" w:rsidP="00AB0B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 xml:space="preserve">(a) to refer, as provided under chapter 2, part 2, division 2, major crime to the commission for investigation; </w:t>
            </w:r>
          </w:p>
          <w:p w14:paraId="34F0691D" w14:textId="77777777" w:rsidR="00C125AC" w:rsidRDefault="00C125AC" w:rsidP="00AB0B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 xml:space="preserve">(b) to authorise the commission, as provided under chapter 2, part 4, division 2A, to undertake specific intelligence operations; </w:t>
            </w:r>
          </w:p>
          <w:p w14:paraId="05FD4A7E" w14:textId="77777777" w:rsidR="00C125AC" w:rsidRDefault="00C125AC" w:rsidP="00AB0B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 xml:space="preserve">(c) to review general referrals under section 30A; </w:t>
            </w:r>
          </w:p>
          <w:p w14:paraId="611F65CA" w14:textId="77777777" w:rsidR="00C125AC" w:rsidRPr="00E853B7" w:rsidRDefault="00C125AC" w:rsidP="00AB0BF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>(d) to coordinate, to the extent the committee considers appropriate, investigations into major crime conducted by the commission in cooperation with a police task force or another entity.</w:t>
            </w:r>
          </w:p>
        </w:tc>
      </w:tr>
      <w:tr w:rsidR="00C125AC" w:rsidRPr="001F67E4" w14:paraId="139B64FA" w14:textId="77777777" w:rsidTr="00AB0BFC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0D9A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Achievements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909C" w14:textId="6B6CF589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</w:t>
            </w:r>
            <w:r w:rsidR="00671B31">
              <w:rPr>
                <w:rFonts w:ascii="Arial" w:hAnsi="Arial" w:cs="Arial"/>
                <w:sz w:val="16"/>
                <w:szCs w:val="16"/>
              </w:rPr>
              <w:t xml:space="preserve">er to the CCC Annual Report 2019–20 </w:t>
            </w:r>
            <w:r>
              <w:rPr>
                <w:rFonts w:ascii="Arial" w:hAnsi="Arial" w:cs="Arial"/>
                <w:sz w:val="16"/>
                <w:szCs w:val="16"/>
              </w:rPr>
              <w:t>&lt;www.ccc.qld.gov.au/annualreport&gt;</w:t>
            </w:r>
          </w:p>
        </w:tc>
      </w:tr>
      <w:tr w:rsidR="00C125AC" w:rsidRPr="001F67E4" w14:paraId="160D5293" w14:textId="77777777" w:rsidTr="00AB0BFC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760E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Financial reporting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C982" w14:textId="3A34201D" w:rsidR="00C125AC" w:rsidRPr="00E853B7" w:rsidRDefault="00C125AC" w:rsidP="004E0E5A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>Transaction</w:t>
            </w:r>
            <w:r w:rsidR="00FF1CB2">
              <w:rPr>
                <w:rFonts w:ascii="Arial" w:hAnsi="Arial" w:cs="Arial"/>
                <w:sz w:val="16"/>
                <w:szCs w:val="16"/>
              </w:rPr>
              <w:t>s are accounted for in the CCC Financial S</w:t>
            </w:r>
            <w:r w:rsidRPr="00E853B7">
              <w:rPr>
                <w:rFonts w:ascii="Arial" w:hAnsi="Arial" w:cs="Arial"/>
                <w:sz w:val="16"/>
                <w:szCs w:val="16"/>
              </w:rPr>
              <w:t xml:space="preserve">tatements </w:t>
            </w:r>
            <w:r>
              <w:rPr>
                <w:rFonts w:ascii="Arial" w:hAnsi="Arial" w:cs="Arial"/>
                <w:sz w:val="16"/>
                <w:szCs w:val="16"/>
              </w:rPr>
              <w:t>201</w:t>
            </w:r>
            <w:r w:rsidR="00FF1CB2">
              <w:rPr>
                <w:rFonts w:ascii="Arial" w:hAnsi="Arial" w:cs="Arial"/>
                <w:sz w:val="16"/>
                <w:szCs w:val="16"/>
              </w:rPr>
              <w:t>9</w:t>
            </w:r>
            <w:r w:rsidR="00FF1CB2">
              <w:rPr>
                <w:rFonts w:ascii="Arial" w:hAnsi="Arial" w:cs="Arial"/>
                <w:sz w:val="16"/>
                <w:szCs w:val="16"/>
              </w:rPr>
              <w:softHyphen/>
              <w:t>–</w:t>
            </w:r>
            <w:r w:rsidR="00671B3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C125AC" w:rsidRPr="001F67E4" w14:paraId="75FC7427" w14:textId="77777777" w:rsidTr="00AB0BFC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9CC8" w14:textId="77777777" w:rsidR="00C125AC" w:rsidRPr="001F67E4" w:rsidRDefault="00C125AC" w:rsidP="007B6FC1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sz w:val="16"/>
                <w:szCs w:val="16"/>
              </w:rPr>
              <w:t>Remuneration</w:t>
            </w:r>
            <w:r w:rsidRPr="001F67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125AC" w:rsidRPr="001F67E4" w14:paraId="19603EAE" w14:textId="77777777" w:rsidTr="00AB0BFC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F1A7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8CAD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B02C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Meetings/sessions attendance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7454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Approved annual, sessional or daily fee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AD62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Approved sub-committee fees if applicable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4D9C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 xml:space="preserve">Actual fees received </w:t>
            </w:r>
          </w:p>
        </w:tc>
      </w:tr>
      <w:tr w:rsidR="00C125AC" w:rsidRPr="001F67E4" w14:paraId="12184259" w14:textId="77777777" w:rsidTr="008C608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146FF" w14:textId="77777777" w:rsidR="00C125AC" w:rsidRPr="00E853B7" w:rsidRDefault="00C125AC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>Member – Community Representative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576F" w14:textId="77777777" w:rsidR="00C125AC" w:rsidRPr="004F550D" w:rsidRDefault="004E0E5A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4F550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Alison Claire de Jersey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4360" w14:textId="01D68DB8" w:rsidR="00C125AC" w:rsidRPr="004F550D" w:rsidRDefault="004F550D" w:rsidP="007B6FC1">
            <w:pPr>
              <w:tabs>
                <w:tab w:val="center" w:pos="658"/>
              </w:tabs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50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6BB3" w14:textId="77777777" w:rsidR="00C125AC" w:rsidRPr="004F550D" w:rsidRDefault="004E0E5A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4F550D">
              <w:rPr>
                <w:rFonts w:ascii="Arial" w:hAnsi="Arial" w:cs="Arial"/>
                <w:sz w:val="16"/>
                <w:szCs w:val="16"/>
              </w:rPr>
              <w:t>$250 per meeting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AA36" w14:textId="77777777" w:rsidR="00C125AC" w:rsidRPr="004F550D" w:rsidRDefault="004E0E5A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4F550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D7F3" w14:textId="7D3943A2" w:rsidR="00C125AC" w:rsidRPr="004F550D" w:rsidRDefault="004F550D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4F550D">
              <w:rPr>
                <w:rFonts w:ascii="Arial" w:hAnsi="Arial" w:cs="Arial"/>
                <w:sz w:val="16"/>
                <w:szCs w:val="16"/>
              </w:rPr>
              <w:t>$1,500</w:t>
            </w:r>
            <w:r w:rsidRPr="004F550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</w:tr>
      <w:tr w:rsidR="00C125AC" w:rsidRPr="001F67E4" w14:paraId="20C6DA66" w14:textId="77777777" w:rsidTr="00AB0BFC">
        <w:trPr>
          <w:trHeight w:val="69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053B" w14:textId="77777777" w:rsidR="00C125AC" w:rsidRPr="00E853B7" w:rsidRDefault="00C125AC" w:rsidP="00AB0BFC">
            <w:pPr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>Member – Community Representative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8B6A" w14:textId="77777777" w:rsidR="00C125AC" w:rsidRPr="004F550D" w:rsidRDefault="004E0E5A" w:rsidP="000757FB">
            <w:pPr>
              <w:rPr>
                <w:rFonts w:ascii="Arial" w:hAnsi="Arial" w:cs="Arial"/>
                <w:sz w:val="16"/>
                <w:szCs w:val="16"/>
              </w:rPr>
            </w:pPr>
            <w:r w:rsidRPr="004F550D">
              <w:rPr>
                <w:rFonts w:ascii="Arial" w:hAnsi="Arial" w:cs="Arial"/>
                <w:sz w:val="16"/>
                <w:szCs w:val="16"/>
              </w:rPr>
              <w:t xml:space="preserve">John </w:t>
            </w:r>
            <w:r w:rsidR="000757FB" w:rsidRPr="004F550D">
              <w:rPr>
                <w:rFonts w:ascii="Arial" w:hAnsi="Arial" w:cs="Arial"/>
                <w:sz w:val="16"/>
                <w:szCs w:val="16"/>
              </w:rPr>
              <w:t xml:space="preserve">Darryl </w:t>
            </w:r>
            <w:r w:rsidRPr="004F550D">
              <w:rPr>
                <w:rFonts w:ascii="Arial" w:hAnsi="Arial" w:cs="Arial"/>
                <w:sz w:val="16"/>
                <w:szCs w:val="16"/>
              </w:rPr>
              <w:t>Anderson</w:t>
            </w:r>
            <w:r w:rsidR="000757FB" w:rsidRPr="004F550D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3954" w14:textId="14E6B864" w:rsidR="00C125AC" w:rsidRPr="004F550D" w:rsidRDefault="004F550D" w:rsidP="00F619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50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FA80" w14:textId="77777777" w:rsidR="00C125AC" w:rsidRPr="004F550D" w:rsidRDefault="004E0E5A" w:rsidP="00AB0BFC">
            <w:pPr>
              <w:rPr>
                <w:rFonts w:ascii="Arial" w:hAnsi="Arial" w:cs="Arial"/>
                <w:sz w:val="16"/>
                <w:szCs w:val="16"/>
              </w:rPr>
            </w:pPr>
            <w:r w:rsidRPr="004F550D">
              <w:rPr>
                <w:rFonts w:ascii="Arial" w:hAnsi="Arial" w:cs="Arial"/>
                <w:sz w:val="16"/>
                <w:szCs w:val="16"/>
              </w:rPr>
              <w:t>$250 per meeting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AFB5" w14:textId="77777777" w:rsidR="00C125AC" w:rsidRPr="004F550D" w:rsidRDefault="004E0E5A" w:rsidP="00AB0BFC">
            <w:pPr>
              <w:rPr>
                <w:rFonts w:ascii="Arial" w:hAnsi="Arial" w:cs="Arial"/>
                <w:sz w:val="16"/>
                <w:szCs w:val="16"/>
              </w:rPr>
            </w:pPr>
            <w:r w:rsidRPr="004F550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76DC" w14:textId="24AE7D06" w:rsidR="00C125AC" w:rsidRPr="004F550D" w:rsidRDefault="004F550D" w:rsidP="00AB0BFC">
            <w:pPr>
              <w:rPr>
                <w:rFonts w:ascii="Arial" w:hAnsi="Arial" w:cs="Arial"/>
                <w:sz w:val="16"/>
                <w:szCs w:val="16"/>
              </w:rPr>
            </w:pPr>
            <w:r w:rsidRPr="004F550D">
              <w:rPr>
                <w:rFonts w:ascii="Arial" w:hAnsi="Arial" w:cs="Arial"/>
                <w:sz w:val="16"/>
                <w:szCs w:val="16"/>
              </w:rPr>
              <w:t>$1</w:t>
            </w:r>
            <w:r w:rsidR="000757FB" w:rsidRPr="004F550D">
              <w:rPr>
                <w:rFonts w:ascii="Arial" w:hAnsi="Arial" w:cs="Arial"/>
                <w:sz w:val="16"/>
                <w:szCs w:val="16"/>
              </w:rPr>
              <w:t>,750</w:t>
            </w:r>
            <w:r w:rsidRPr="004F550D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C125AC" w:rsidRPr="001F67E4" w14:paraId="09B645C9" w14:textId="77777777" w:rsidTr="008C6084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33EE" w14:textId="77777777" w:rsidR="00C125AC" w:rsidRPr="001F67E4" w:rsidRDefault="004E0E5A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No. scheduled meetings/sessions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DFC4" w14:textId="6D26FAA9" w:rsidR="00C125AC" w:rsidRPr="004F550D" w:rsidRDefault="004F550D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4F55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125AC" w:rsidRPr="001F67E4" w14:paraId="1376BA2D" w14:textId="77777777" w:rsidTr="00AB0BFC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F2DB" w14:textId="77777777" w:rsidR="00C125AC" w:rsidRPr="001F67E4" w:rsidRDefault="00C125AC" w:rsidP="00AB0BFC">
            <w:pPr>
              <w:spacing w:after="1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Total out of pocket expenses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964D" w14:textId="77777777" w:rsidR="00C125AC" w:rsidRPr="004F550D" w:rsidRDefault="004E0E5A" w:rsidP="00AB0BFC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4F550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</w:tbl>
    <w:p w14:paraId="54FF1277" w14:textId="77777777" w:rsidR="004F550D" w:rsidRPr="00FF1CB2" w:rsidRDefault="000757FB" w:rsidP="00EC542E">
      <w:pPr>
        <w:ind w:left="630" w:hanging="630"/>
        <w:rPr>
          <w:rFonts w:ascii="Arial" w:hAnsi="Arial" w:cs="Arial"/>
          <w:sz w:val="16"/>
          <w:szCs w:val="16"/>
        </w:rPr>
      </w:pPr>
      <w:r w:rsidRPr="00FF1CB2">
        <w:rPr>
          <w:rFonts w:ascii="Arial" w:hAnsi="Arial" w:cs="Arial"/>
          <w:sz w:val="16"/>
          <w:szCs w:val="16"/>
        </w:rPr>
        <w:t>Note</w:t>
      </w:r>
      <w:r w:rsidR="004F550D" w:rsidRPr="00FF1CB2">
        <w:rPr>
          <w:rFonts w:ascii="Arial" w:hAnsi="Arial" w:cs="Arial"/>
          <w:sz w:val="16"/>
          <w:szCs w:val="16"/>
        </w:rPr>
        <w:t>s:</w:t>
      </w:r>
    </w:p>
    <w:p w14:paraId="0D91B008" w14:textId="5A28B1B0" w:rsidR="00D95D39" w:rsidRPr="00FF1CB2" w:rsidRDefault="004F550D" w:rsidP="004F550D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FF1CB2">
        <w:rPr>
          <w:rFonts w:ascii="Arial" w:hAnsi="Arial" w:cs="Arial"/>
          <w:sz w:val="16"/>
          <w:szCs w:val="16"/>
        </w:rPr>
        <w:t xml:space="preserve">The remuneration </w:t>
      </w:r>
      <w:r w:rsidR="00FF1CB2" w:rsidRPr="00FF1CB2">
        <w:rPr>
          <w:rFonts w:ascii="Arial" w:hAnsi="Arial" w:cs="Arial"/>
          <w:sz w:val="16"/>
          <w:szCs w:val="16"/>
        </w:rPr>
        <w:t>for Ms. de Jersey for the meeting of 30/06/2020 was not processed within the 2019-20 financial year.</w:t>
      </w:r>
    </w:p>
    <w:p w14:paraId="1F186CFA" w14:textId="11F43CE0" w:rsidR="00FF1CB2" w:rsidRPr="004F550D" w:rsidRDefault="00FF1CB2" w:rsidP="00FF1CB2">
      <w:pPr>
        <w:pStyle w:val="ListParagraph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FF1CB2">
        <w:rPr>
          <w:rFonts w:ascii="Arial" w:hAnsi="Arial" w:cs="Arial"/>
          <w:sz w:val="16"/>
          <w:szCs w:val="16"/>
        </w:rPr>
        <w:t>The remuneration for</w:t>
      </w:r>
      <w:r>
        <w:rPr>
          <w:rFonts w:ascii="Arial" w:hAnsi="Arial" w:cs="Arial"/>
          <w:sz w:val="16"/>
          <w:szCs w:val="16"/>
        </w:rPr>
        <w:t xml:space="preserve"> Mr. Anderson for the meeting of 25/05/2020 was not processed within the 2019-20 financial year.</w:t>
      </w:r>
    </w:p>
    <w:p w14:paraId="31157439" w14:textId="77777777" w:rsidR="00FF1CB2" w:rsidRPr="004F550D" w:rsidRDefault="00FF1CB2" w:rsidP="00FF1CB2">
      <w:pPr>
        <w:pStyle w:val="ListParagraph"/>
        <w:ind w:left="765"/>
        <w:rPr>
          <w:rFonts w:ascii="Arial" w:hAnsi="Arial" w:cs="Arial"/>
          <w:sz w:val="16"/>
          <w:szCs w:val="16"/>
        </w:rPr>
      </w:pPr>
    </w:p>
    <w:p w14:paraId="291AE1B3" w14:textId="77777777" w:rsidR="00D95D39" w:rsidRDefault="00D95D3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7514BC0" w14:textId="13D476E5" w:rsidR="00D95D39" w:rsidRPr="0066235F" w:rsidRDefault="00D95D39" w:rsidP="00D95D39">
      <w:pPr>
        <w:pStyle w:val="Header"/>
        <w:rPr>
          <w:b/>
          <w:sz w:val="40"/>
        </w:rPr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60288" behindDoc="0" locked="0" layoutInCell="1" allowOverlap="1" wp14:anchorId="73CF8C2C" wp14:editId="7C4162E0">
            <wp:simplePos x="0" y="0"/>
            <wp:positionH relativeFrom="column">
              <wp:posOffset>-59690</wp:posOffset>
            </wp:positionH>
            <wp:positionV relativeFrom="paragraph">
              <wp:posOffset>0</wp:posOffset>
            </wp:positionV>
            <wp:extent cx="801370" cy="708660"/>
            <wp:effectExtent l="0" t="0" r="0" b="0"/>
            <wp:wrapSquare wrapText="bothSides"/>
            <wp:docPr id="3" name="Picture 3" descr="http://my.ccc.intranet/work-areas/corporate-services/corporate-communications/ccc-1ccc-brand-guidelines/ccc-brand-identity/ccc-logos/CCClogocolourportrait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y.ccc.intranet/work-areas/corporate-services/corporate-communications/ccc-1ccc-brand-guidelines/ccc-brand-identity/ccc-logos/CCClogocolourportraitsmal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C87">
        <w:rPr>
          <w:b/>
          <w:sz w:val="40"/>
        </w:rPr>
        <w:t>Remuneration for</w:t>
      </w:r>
      <w:r w:rsidR="00671B31">
        <w:rPr>
          <w:b/>
          <w:sz w:val="40"/>
        </w:rPr>
        <w:t xml:space="preserve"> external committee members 2019–20</w:t>
      </w:r>
    </w:p>
    <w:p w14:paraId="54D3AF4F" w14:textId="77777777" w:rsidR="000757FB" w:rsidRDefault="000757FB">
      <w:pPr>
        <w:rPr>
          <w:rFonts w:ascii="Arial" w:hAnsi="Arial" w:cs="Arial"/>
          <w:sz w:val="16"/>
          <w:szCs w:val="16"/>
        </w:rPr>
      </w:pPr>
    </w:p>
    <w:p w14:paraId="57F94A21" w14:textId="77777777" w:rsidR="00D95D39" w:rsidRDefault="00D95D39" w:rsidP="00D95D39">
      <w:r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3"/>
        <w:gridCol w:w="1439"/>
        <w:gridCol w:w="1843"/>
        <w:gridCol w:w="1559"/>
        <w:gridCol w:w="1418"/>
        <w:gridCol w:w="1224"/>
      </w:tblGrid>
      <w:tr w:rsidR="00D95D39" w:rsidRPr="001F67E4" w14:paraId="6D91DC9A" w14:textId="77777777" w:rsidTr="00B679FF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CB6D" w14:textId="77777777" w:rsidR="00D95D39" w:rsidRPr="0066235F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i/>
                <w:sz w:val="16"/>
                <w:szCs w:val="16"/>
              </w:rPr>
              <w:t>Name of Government body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  <w:r w:rsidRPr="001F67E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66235F">
              <w:rPr>
                <w:rFonts w:ascii="Arial" w:hAnsi="Arial" w:cs="Arial"/>
                <w:sz w:val="16"/>
                <w:szCs w:val="16"/>
              </w:rPr>
              <w:t>Commissioner for Police Service Reviews</w:t>
            </w:r>
            <w:r w:rsidRPr="007735CB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</w:tr>
      <w:tr w:rsidR="00D95D39" w:rsidRPr="001F67E4" w14:paraId="31ABD388" w14:textId="77777777" w:rsidTr="00B679FF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EF24" w14:textId="77777777" w:rsidR="00D95D39" w:rsidRPr="001F67E4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Act or instrument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00D6" w14:textId="77777777" w:rsidR="00D95D39" w:rsidRPr="001F67E4" w:rsidRDefault="00D95D39" w:rsidP="00B679F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Crime and Corruption Act 2001 &amp; Police Service Administration Act 1990 </w:t>
            </w:r>
          </w:p>
        </w:tc>
      </w:tr>
      <w:tr w:rsidR="00D95D39" w:rsidRPr="001F67E4" w14:paraId="23B3AC6D" w14:textId="77777777" w:rsidTr="00B679FF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CE51" w14:textId="77777777" w:rsidR="00D95D39" w:rsidRPr="001F67E4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Functions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BEF6" w14:textId="77777777" w:rsidR="00D95D39" w:rsidRPr="00E853B7" w:rsidRDefault="00D95D39" w:rsidP="00B679FF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independently arbitrate, through a transparent and independent review process any grievances that police officers may have about promotions, transfers or disciplinary action and provide a recommendation to the Commissioner of Police.</w:t>
            </w:r>
          </w:p>
        </w:tc>
      </w:tr>
      <w:tr w:rsidR="00D95D39" w:rsidRPr="001F67E4" w14:paraId="006A2838" w14:textId="77777777" w:rsidTr="00B679FF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88E5" w14:textId="77777777" w:rsidR="00D95D39" w:rsidRPr="001F67E4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Achievements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94FA" w14:textId="2065C338" w:rsidR="00D95D39" w:rsidRPr="001F67E4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</w:t>
            </w:r>
            <w:r w:rsidR="00671B31">
              <w:rPr>
                <w:rFonts w:ascii="Arial" w:hAnsi="Arial" w:cs="Arial"/>
                <w:sz w:val="16"/>
                <w:szCs w:val="16"/>
              </w:rPr>
              <w:t>er to the CCC Annual Report 2019–20</w:t>
            </w:r>
            <w:r>
              <w:rPr>
                <w:rFonts w:ascii="Arial" w:hAnsi="Arial" w:cs="Arial"/>
                <w:sz w:val="16"/>
                <w:szCs w:val="16"/>
              </w:rPr>
              <w:t xml:space="preserve"> &lt;www.ccc.qld.gov.au/annualreport&gt;</w:t>
            </w:r>
          </w:p>
        </w:tc>
      </w:tr>
      <w:tr w:rsidR="00D95D39" w:rsidRPr="001F67E4" w14:paraId="087C7B53" w14:textId="77777777" w:rsidTr="00B679FF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A751" w14:textId="77777777" w:rsidR="00D95D39" w:rsidRPr="001F67E4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sz w:val="16"/>
                <w:szCs w:val="16"/>
              </w:rPr>
              <w:t>Financial reporting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8008" w14:textId="6996E730" w:rsidR="00D95D39" w:rsidRPr="00E853B7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E853B7">
              <w:rPr>
                <w:rFonts w:ascii="Arial" w:hAnsi="Arial" w:cs="Arial"/>
                <w:sz w:val="16"/>
                <w:szCs w:val="16"/>
              </w:rPr>
              <w:t>Transaction</w:t>
            </w:r>
            <w:r w:rsidR="00FF1CB2">
              <w:rPr>
                <w:rFonts w:ascii="Arial" w:hAnsi="Arial" w:cs="Arial"/>
                <w:sz w:val="16"/>
                <w:szCs w:val="16"/>
              </w:rPr>
              <w:t>s are accounted for in the CCC Financial S</w:t>
            </w:r>
            <w:r w:rsidRPr="00E853B7">
              <w:rPr>
                <w:rFonts w:ascii="Arial" w:hAnsi="Arial" w:cs="Arial"/>
                <w:sz w:val="16"/>
                <w:szCs w:val="16"/>
              </w:rPr>
              <w:t xml:space="preserve">tatements </w:t>
            </w:r>
            <w:r w:rsidR="00FF1CB2">
              <w:rPr>
                <w:rFonts w:ascii="Arial" w:hAnsi="Arial" w:cs="Arial"/>
                <w:sz w:val="16"/>
                <w:szCs w:val="16"/>
              </w:rPr>
              <w:t>2019–</w:t>
            </w:r>
            <w:r w:rsidR="00671B3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D95D39" w:rsidRPr="001F67E4" w14:paraId="0330F5AB" w14:textId="77777777" w:rsidTr="00B679FF"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CD1F" w14:textId="77777777" w:rsidR="00D95D39" w:rsidRPr="001F67E4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1F67E4">
              <w:rPr>
                <w:rFonts w:ascii="Arial" w:hAnsi="Arial" w:cs="Arial"/>
                <w:b/>
                <w:sz w:val="16"/>
                <w:szCs w:val="16"/>
              </w:rPr>
              <w:t>Remuneration</w:t>
            </w:r>
            <w:r w:rsidRPr="001F67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95D39" w:rsidRPr="00841667" w14:paraId="0B7ECEEE" w14:textId="77777777" w:rsidTr="00331020">
        <w:trPr>
          <w:trHeight w:val="63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6353" w14:textId="77777777" w:rsidR="00D95D39" w:rsidRPr="00841667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19D9" w14:textId="77777777" w:rsidR="00D95D39" w:rsidRPr="00841667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4C83" w14:textId="77777777" w:rsidR="00D95D39" w:rsidRPr="00841667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Meetings/sessions attendance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16C2" w14:textId="77777777" w:rsidR="00D95D39" w:rsidRPr="00841667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 xml:space="preserve">Approved annual, sessional or daily fee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C9CD" w14:textId="77777777" w:rsidR="00D95D39" w:rsidRPr="00841667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Approved sub-committee fees if applicable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6F39" w14:textId="77777777" w:rsidR="00D95D39" w:rsidRPr="00841667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 xml:space="preserve">Actual fees received </w:t>
            </w:r>
          </w:p>
        </w:tc>
      </w:tr>
      <w:tr w:rsidR="00331020" w:rsidRPr="00841667" w14:paraId="4C308D78" w14:textId="77777777" w:rsidTr="00331020"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D53630" w14:textId="262D3BC8" w:rsidR="00331020" w:rsidRPr="00841667" w:rsidRDefault="00331020" w:rsidP="00331020">
            <w:pPr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Commissioner (Administrator)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C8BFC" w14:textId="77777777" w:rsidR="00331020" w:rsidRPr="00D06859" w:rsidRDefault="00331020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 w:rsidRPr="00D06859">
              <w:rPr>
                <w:rFonts w:ascii="Arial" w:hAnsi="Arial" w:cs="Arial"/>
                <w:sz w:val="16"/>
                <w:szCs w:val="16"/>
              </w:rPr>
              <w:t>Julie Cork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ED08" w14:textId="34DE99FC" w:rsidR="00331020" w:rsidRPr="00D06859" w:rsidRDefault="00331020" w:rsidP="003310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06859">
              <w:rPr>
                <w:rFonts w:ascii="Arial" w:hAnsi="Arial" w:cs="Arial"/>
                <w:sz w:val="16"/>
                <w:szCs w:val="16"/>
              </w:rPr>
              <w:t>14 Hearings</w:t>
            </w:r>
            <w:r w:rsidRPr="00CF4FF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255F" w14:textId="77777777" w:rsidR="00331020" w:rsidRPr="00D06859" w:rsidRDefault="00331020" w:rsidP="001C69E1">
            <w:pPr>
              <w:rPr>
                <w:rFonts w:ascii="Arial" w:hAnsi="Arial" w:cs="Arial"/>
                <w:sz w:val="16"/>
                <w:szCs w:val="16"/>
              </w:rPr>
            </w:pPr>
            <w:r w:rsidRPr="00D06859">
              <w:rPr>
                <w:rFonts w:ascii="Arial" w:hAnsi="Arial" w:cs="Arial"/>
                <w:sz w:val="16"/>
                <w:szCs w:val="16"/>
              </w:rPr>
              <w:t>$520 per session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28E36" w14:textId="77777777" w:rsidR="00331020" w:rsidRPr="00D06859" w:rsidRDefault="00331020" w:rsidP="00B679FF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6859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65D93" w14:textId="24FAE8C8" w:rsidR="00331020" w:rsidRPr="00D06859" w:rsidRDefault="00331020" w:rsidP="00B679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$31,720</w:t>
            </w:r>
          </w:p>
        </w:tc>
      </w:tr>
      <w:tr w:rsidR="00331020" w:rsidRPr="00841667" w14:paraId="6699003E" w14:textId="77777777" w:rsidTr="00331020"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0FDB" w14:textId="77777777" w:rsidR="00331020" w:rsidRPr="00841667" w:rsidRDefault="00331020" w:rsidP="00B679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3E8A" w14:textId="77777777" w:rsidR="00331020" w:rsidRPr="00D06859" w:rsidRDefault="00331020" w:rsidP="00B679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293F" w14:textId="2F6516E0" w:rsidR="00331020" w:rsidRPr="00D06859" w:rsidRDefault="00331020" w:rsidP="003310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06859">
              <w:rPr>
                <w:rFonts w:ascii="Arial" w:hAnsi="Arial" w:cs="Arial"/>
                <w:sz w:val="16"/>
                <w:szCs w:val="16"/>
              </w:rPr>
              <w:t>Additional administrative duties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2C0D" w14:textId="0552470E" w:rsidR="00331020" w:rsidRPr="00D06859" w:rsidRDefault="00331020" w:rsidP="00B679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$520 per session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EA94" w14:textId="77777777" w:rsidR="00331020" w:rsidRPr="00D06859" w:rsidRDefault="00331020" w:rsidP="00B679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1358" w14:textId="1FCE2CC4" w:rsidR="00331020" w:rsidRPr="00D06859" w:rsidRDefault="00331020" w:rsidP="00B679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5D39" w:rsidRPr="00841667" w14:paraId="6BE8F58B" w14:textId="77777777" w:rsidTr="00331020">
        <w:trPr>
          <w:trHeight w:val="468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2C3C" w14:textId="77777777" w:rsidR="00D95D39" w:rsidRPr="00841667" w:rsidRDefault="00D95D39" w:rsidP="00331020">
            <w:pPr>
              <w:spacing w:before="60" w:after="60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Commissioner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A7E1" w14:textId="264AC3ED" w:rsidR="00D95D39" w:rsidRPr="00D06859" w:rsidRDefault="00D95D39" w:rsidP="00331020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D06859">
              <w:rPr>
                <w:rFonts w:ascii="Arial" w:hAnsi="Arial" w:cs="Arial"/>
                <w:sz w:val="16"/>
                <w:szCs w:val="16"/>
              </w:rPr>
              <w:t>Patrick Mullins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316A" w14:textId="2E81588A" w:rsidR="00D95D39" w:rsidRPr="00D06859" w:rsidRDefault="001C69E1" w:rsidP="003310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1E55E9" w:rsidRPr="00D0685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95D39" w:rsidRPr="00D06859">
              <w:rPr>
                <w:rFonts w:ascii="Arial" w:hAnsi="Arial" w:cs="Arial"/>
                <w:sz w:val="16"/>
                <w:szCs w:val="16"/>
              </w:rPr>
              <w:t>Hearings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7EB5" w14:textId="77777777" w:rsidR="00D95D39" w:rsidRPr="00D06859" w:rsidRDefault="00D95D39" w:rsidP="003310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06859">
              <w:rPr>
                <w:rFonts w:ascii="Arial" w:hAnsi="Arial" w:cs="Arial"/>
                <w:sz w:val="16"/>
                <w:szCs w:val="16"/>
              </w:rPr>
              <w:t>$520 per session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BF5F" w14:textId="77777777" w:rsidR="00D95D39" w:rsidRPr="00D06859" w:rsidRDefault="00D95D39" w:rsidP="00331020">
            <w:pPr>
              <w:spacing w:after="1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6859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5C48" w14:textId="09CDA5E1" w:rsidR="00D95D39" w:rsidRPr="00D06859" w:rsidRDefault="00D95D39" w:rsidP="00331020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06859">
              <w:rPr>
                <w:rFonts w:ascii="Arial" w:hAnsi="Arial" w:cs="Arial"/>
                <w:sz w:val="16"/>
                <w:szCs w:val="16"/>
              </w:rPr>
              <w:t>$</w:t>
            </w:r>
            <w:r w:rsidR="008F31EF" w:rsidRPr="00D06859">
              <w:rPr>
                <w:rFonts w:ascii="Arial" w:hAnsi="Arial" w:cs="Arial"/>
                <w:sz w:val="16"/>
                <w:szCs w:val="16"/>
              </w:rPr>
              <w:t>2,080</w:t>
            </w:r>
            <w:r w:rsidR="00923EED" w:rsidRPr="00923EED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</w:p>
        </w:tc>
      </w:tr>
      <w:tr w:rsidR="00D95D39" w:rsidRPr="00841667" w14:paraId="1D2F0BE1" w14:textId="77777777" w:rsidTr="00B679FF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C8F5" w14:textId="77777777" w:rsidR="00D95D39" w:rsidRPr="00841667" w:rsidRDefault="00D95D39" w:rsidP="00331020">
            <w:pPr>
              <w:spacing w:before="60" w:after="60" w:line="259" w:lineRule="auto"/>
              <w:rPr>
                <w:rFonts w:ascii="Arial" w:hAnsi="Arial" w:cs="Arial"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No. scheduled meetings/sessions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5BC2" w14:textId="514725BC" w:rsidR="00D95D39" w:rsidRPr="00671B31" w:rsidRDefault="004F550D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F550D">
              <w:rPr>
                <w:rFonts w:ascii="Arial" w:hAnsi="Arial" w:cs="Arial"/>
                <w:sz w:val="16"/>
                <w:szCs w:val="16"/>
              </w:rPr>
              <w:t>19 Hearings</w:t>
            </w:r>
          </w:p>
        </w:tc>
      </w:tr>
      <w:tr w:rsidR="00D95D39" w:rsidRPr="00841667" w14:paraId="6513A8FE" w14:textId="77777777" w:rsidTr="00B679FF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76785" w14:textId="77777777" w:rsidR="00D95D39" w:rsidRPr="00841667" w:rsidRDefault="00D95D39" w:rsidP="00331020">
            <w:pPr>
              <w:spacing w:before="60" w:after="60" w:line="259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41667">
              <w:rPr>
                <w:rFonts w:ascii="Arial" w:hAnsi="Arial" w:cs="Arial"/>
                <w:sz w:val="16"/>
                <w:szCs w:val="16"/>
              </w:rPr>
              <w:t>Total out of pocket expenses</w:t>
            </w:r>
          </w:p>
        </w:tc>
        <w:tc>
          <w:tcPr>
            <w:tcW w:w="7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164F" w14:textId="77777777" w:rsidR="00D95D39" w:rsidRPr="00671B31" w:rsidRDefault="00D95D39" w:rsidP="00B679FF">
            <w:pPr>
              <w:spacing w:after="160" w:line="259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F550D">
              <w:rPr>
                <w:rFonts w:ascii="Arial" w:hAnsi="Arial" w:cs="Arial"/>
                <w:sz w:val="16"/>
                <w:szCs w:val="16"/>
              </w:rPr>
              <w:t>N/A</w:t>
            </w:r>
          </w:p>
        </w:tc>
      </w:tr>
    </w:tbl>
    <w:p w14:paraId="684657DA" w14:textId="180AE018" w:rsidR="00D06859" w:rsidRPr="004F550D" w:rsidRDefault="00D95D39" w:rsidP="00331020">
      <w:pPr>
        <w:spacing w:before="60" w:after="60"/>
        <w:rPr>
          <w:rFonts w:ascii="Arial" w:hAnsi="Arial" w:cs="Arial"/>
          <w:color w:val="000000"/>
          <w:sz w:val="16"/>
          <w:szCs w:val="16"/>
        </w:rPr>
      </w:pPr>
      <w:r w:rsidRPr="00331020">
        <w:rPr>
          <w:rFonts w:ascii="Arial" w:hAnsi="Arial" w:cs="Arial"/>
          <w:sz w:val="16"/>
          <w:szCs w:val="16"/>
        </w:rPr>
        <w:t>N</w:t>
      </w:r>
      <w:r w:rsidR="00D06859" w:rsidRPr="00331020">
        <w:rPr>
          <w:rFonts w:ascii="Arial" w:hAnsi="Arial" w:cs="Arial"/>
          <w:sz w:val="16"/>
          <w:szCs w:val="16"/>
        </w:rPr>
        <w:t>otes</w:t>
      </w:r>
      <w:r w:rsidR="00D06859" w:rsidRPr="004F550D">
        <w:rPr>
          <w:rFonts w:ascii="Arial" w:hAnsi="Arial" w:cs="Arial"/>
          <w:color w:val="000000"/>
          <w:sz w:val="16"/>
          <w:szCs w:val="16"/>
        </w:rPr>
        <w:t>:</w:t>
      </w:r>
    </w:p>
    <w:p w14:paraId="73800E78" w14:textId="77777777" w:rsidR="00AC46A4" w:rsidRDefault="00AC46A4" w:rsidP="00AC46A4">
      <w:pPr>
        <w:pStyle w:val="ListParagraph"/>
        <w:numPr>
          <w:ilvl w:val="0"/>
          <w:numId w:val="3"/>
        </w:numPr>
        <w:spacing w:line="252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Commissioners for Police Service Reviews (PSR) preside over closed hearings and receive a fee of $520 per hearing matter (this involves preparatory work prior to a hearing day and the preparation of a recommendation report to the Police Commissioner). One hearing may involve more than one sessional fee.</w:t>
      </w:r>
    </w:p>
    <w:p w14:paraId="12B801FD" w14:textId="0CE36230" w:rsidR="00AC46A4" w:rsidRDefault="00AC46A4" w:rsidP="00AC46A4">
      <w:pPr>
        <w:pStyle w:val="ListParagraph"/>
        <w:numPr>
          <w:ilvl w:val="0"/>
          <w:numId w:val="3"/>
        </w:numPr>
        <w:spacing w:line="252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Ms Cork received remuneration for 12 sessions where she presided over 14 hearings as multiple hearing</w:t>
      </w:r>
      <w:r w:rsidR="00397356"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 xml:space="preserve"> were held on the same day. She also received remuneration for 27 sessions of administrative work related to the hearings </w:t>
      </w:r>
      <w:r w:rsidR="00397356">
        <w:rPr>
          <w:rFonts w:ascii="Arial" w:hAnsi="Arial" w:cs="Arial"/>
          <w:color w:val="000000"/>
          <w:sz w:val="16"/>
          <w:szCs w:val="16"/>
        </w:rPr>
        <w:t>which included administrative work completed in 2019–20 relating</w:t>
      </w:r>
      <w:r w:rsidR="00397356" w:rsidRPr="00397356">
        <w:rPr>
          <w:rFonts w:ascii="Arial" w:hAnsi="Arial" w:cs="Arial"/>
          <w:sz w:val="16"/>
          <w:szCs w:val="16"/>
        </w:rPr>
        <w:t xml:space="preserve"> to a hear</w:t>
      </w:r>
      <w:r w:rsidR="00397356" w:rsidRPr="00397356">
        <w:rPr>
          <w:rFonts w:ascii="Arial" w:hAnsi="Arial" w:cs="Arial"/>
          <w:color w:val="000000"/>
          <w:sz w:val="16"/>
          <w:szCs w:val="16"/>
        </w:rPr>
        <w:t>ing</w:t>
      </w:r>
      <w:r w:rsidR="00397356">
        <w:rPr>
          <w:rFonts w:ascii="Arial" w:hAnsi="Arial" w:cs="Arial"/>
          <w:color w:val="000000"/>
          <w:sz w:val="16"/>
          <w:szCs w:val="16"/>
        </w:rPr>
        <w:t xml:space="preserve"> held in 2018–19 </w:t>
      </w:r>
      <w:r>
        <w:rPr>
          <w:rFonts w:ascii="Arial" w:hAnsi="Arial" w:cs="Arial"/>
          <w:color w:val="000000"/>
          <w:sz w:val="16"/>
          <w:szCs w:val="16"/>
        </w:rPr>
        <w:t xml:space="preserve">(paid per session for up to 4 hours work). </w:t>
      </w:r>
    </w:p>
    <w:p w14:paraId="38310C12" w14:textId="77777777" w:rsidR="00AC46A4" w:rsidRDefault="00AC46A4" w:rsidP="00AC46A4">
      <w:pPr>
        <w:pStyle w:val="ListParagraph"/>
        <w:numPr>
          <w:ilvl w:val="0"/>
          <w:numId w:val="3"/>
        </w:numPr>
        <w:spacing w:after="0" w:line="252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Ms Cork received remuneration for 22 sessions of additional administrative duties not directly related to a hearing (paid per session for up to 4 hours work). </w:t>
      </w:r>
    </w:p>
    <w:p w14:paraId="4CA8DB1E" w14:textId="77777777" w:rsidR="00AC46A4" w:rsidRDefault="00AC46A4" w:rsidP="00AC46A4">
      <w:pPr>
        <w:numPr>
          <w:ilvl w:val="0"/>
          <w:numId w:val="3"/>
        </w:numPr>
        <w:spacing w:after="0" w:line="252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One matter heard by Mr Mullins in 2019–20 will be paid in 2020–21.</w:t>
      </w:r>
    </w:p>
    <w:p w14:paraId="749E28D2" w14:textId="605D39D2" w:rsidR="00923EED" w:rsidRPr="00AC46A4" w:rsidRDefault="00923EED" w:rsidP="00AC46A4">
      <w:pPr>
        <w:rPr>
          <w:rFonts w:ascii="Arial" w:hAnsi="Arial" w:cs="Arial"/>
          <w:color w:val="000000"/>
          <w:sz w:val="16"/>
          <w:szCs w:val="16"/>
        </w:rPr>
      </w:pPr>
    </w:p>
    <w:sectPr w:rsidR="00923EED" w:rsidRPr="00AC46A4" w:rsidSect="00651E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A0BEE" w14:textId="77777777" w:rsidR="00987AC0" w:rsidRDefault="00987AC0" w:rsidP="00671B31">
      <w:pPr>
        <w:spacing w:after="0" w:line="240" w:lineRule="auto"/>
      </w:pPr>
      <w:r>
        <w:separator/>
      </w:r>
    </w:p>
  </w:endnote>
  <w:endnote w:type="continuationSeparator" w:id="0">
    <w:p w14:paraId="63D09CB7" w14:textId="77777777" w:rsidR="00987AC0" w:rsidRDefault="00987AC0" w:rsidP="00671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14D44" w14:textId="77777777" w:rsidR="00671B31" w:rsidRDefault="00671B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95EBD" w14:textId="77777777" w:rsidR="00671B31" w:rsidRDefault="00671B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6FD60" w14:textId="77777777" w:rsidR="00671B31" w:rsidRDefault="00671B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D8D2" w14:textId="77777777" w:rsidR="00987AC0" w:rsidRDefault="00987AC0" w:rsidP="00671B31">
      <w:pPr>
        <w:spacing w:after="0" w:line="240" w:lineRule="auto"/>
      </w:pPr>
      <w:r>
        <w:separator/>
      </w:r>
    </w:p>
  </w:footnote>
  <w:footnote w:type="continuationSeparator" w:id="0">
    <w:p w14:paraId="0C1609CE" w14:textId="77777777" w:rsidR="00987AC0" w:rsidRDefault="00987AC0" w:rsidP="00671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4A032" w14:textId="77777777" w:rsidR="00671B31" w:rsidRDefault="00671B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F8F0E" w14:textId="77777777" w:rsidR="00671B31" w:rsidRDefault="00671B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886CF" w14:textId="77777777" w:rsidR="00671B31" w:rsidRDefault="00671B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F78DF"/>
    <w:multiLevelType w:val="hybridMultilevel"/>
    <w:tmpl w:val="BC22DA0A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E2775DF"/>
    <w:multiLevelType w:val="hybridMultilevel"/>
    <w:tmpl w:val="9916473E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ocumentProtection w:edit="readOnly" w:enforcement="1" w:cryptProviderType="rsaAES" w:cryptAlgorithmClass="hash" w:cryptAlgorithmType="typeAny" w:cryptAlgorithmSid="14" w:cryptSpinCount="100000" w:hash="oEHDE3C2hy7Vgu8PH4xAF/3D8cj9vjGsn/2zOKShm+ZYiFKTgPj2Cz0DI8BtRy/AetIXllYaZKpasAGSN1uoDg==" w:salt="1gtETPELjhGmo29/O1Zmf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C"/>
    <w:rsid w:val="000757FB"/>
    <w:rsid w:val="000B0F42"/>
    <w:rsid w:val="001C69E1"/>
    <w:rsid w:val="001E55E9"/>
    <w:rsid w:val="00206B69"/>
    <w:rsid w:val="00215E14"/>
    <w:rsid w:val="00307736"/>
    <w:rsid w:val="00320C79"/>
    <w:rsid w:val="00331020"/>
    <w:rsid w:val="003518C5"/>
    <w:rsid w:val="00397356"/>
    <w:rsid w:val="00421D97"/>
    <w:rsid w:val="004C3F8D"/>
    <w:rsid w:val="004E0E5A"/>
    <w:rsid w:val="004F550D"/>
    <w:rsid w:val="00576889"/>
    <w:rsid w:val="005E150C"/>
    <w:rsid w:val="00651EC7"/>
    <w:rsid w:val="00671B31"/>
    <w:rsid w:val="006C6369"/>
    <w:rsid w:val="007B6FC1"/>
    <w:rsid w:val="008008E0"/>
    <w:rsid w:val="00841667"/>
    <w:rsid w:val="00844701"/>
    <w:rsid w:val="008C6084"/>
    <w:rsid w:val="008F31EF"/>
    <w:rsid w:val="009201AF"/>
    <w:rsid w:val="00923EED"/>
    <w:rsid w:val="009618AE"/>
    <w:rsid w:val="00987AC0"/>
    <w:rsid w:val="00AC46A4"/>
    <w:rsid w:val="00B71856"/>
    <w:rsid w:val="00BE3941"/>
    <w:rsid w:val="00BF7BDB"/>
    <w:rsid w:val="00C125AC"/>
    <w:rsid w:val="00C15BA4"/>
    <w:rsid w:val="00CF4FF1"/>
    <w:rsid w:val="00D06859"/>
    <w:rsid w:val="00D95D39"/>
    <w:rsid w:val="00E465C3"/>
    <w:rsid w:val="00EC542E"/>
    <w:rsid w:val="00F6198B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7D7A64"/>
  <w15:chartTrackingRefBased/>
  <w15:docId w15:val="{1A1E42D4-9B6E-4F06-BEFA-26390F95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08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8E0"/>
  </w:style>
  <w:style w:type="paragraph" w:styleId="BalloonText">
    <w:name w:val="Balloon Text"/>
    <w:basedOn w:val="Normal"/>
    <w:link w:val="BalloonTextChar"/>
    <w:uiPriority w:val="99"/>
    <w:semiHidden/>
    <w:unhideWhenUsed/>
    <w:rsid w:val="00075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7F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95D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0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F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0F4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71B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B31"/>
  </w:style>
  <w:style w:type="paragraph" w:styleId="ListParagraph">
    <w:name w:val="List Paragraph"/>
    <w:basedOn w:val="Normal"/>
    <w:uiPriority w:val="34"/>
    <w:qFormat/>
    <w:rsid w:val="004F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43A2E4D-AAD0-4969-AA08-0EF094883CF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8F282069.dotm</Template>
  <TotalTime>7</TotalTime>
  <Pages>2</Pages>
  <Words>530</Words>
  <Characters>3021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Crime and Corruption Commission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Cummins</dc:creator>
  <cp:keywords/>
  <dc:description/>
  <cp:lastModifiedBy>Rebecca Schultz</cp:lastModifiedBy>
  <cp:revision>5</cp:revision>
  <cp:lastPrinted>2019-09-20T06:21:00Z</cp:lastPrinted>
  <dcterms:created xsi:type="dcterms:W3CDTF">2020-09-22T22:58:00Z</dcterms:created>
  <dcterms:modified xsi:type="dcterms:W3CDTF">2020-09-25T02:29:00Z</dcterms:modified>
</cp:coreProperties>
</file>